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8F" w:rsidRDefault="0035688F" w:rsidP="0035688F">
      <w:pPr>
        <w:spacing w:after="0" w:line="240" w:lineRule="auto"/>
        <w:jc w:val="center"/>
        <w:rPr>
          <w:rFonts w:ascii="Times New Roman" w:hAnsi="Times New Roman" w:cs="Times New Roman"/>
          <w:sz w:val="28"/>
        </w:rPr>
      </w:pPr>
      <w:r w:rsidRPr="007847D1">
        <w:rPr>
          <w:rFonts w:ascii="Times New Roman" w:hAnsi="Times New Roman" w:cs="Times New Roman"/>
          <w:sz w:val="28"/>
        </w:rPr>
        <w:t>Санкт-Петербургс</w:t>
      </w:r>
      <w:r>
        <w:rPr>
          <w:rFonts w:ascii="Times New Roman" w:hAnsi="Times New Roman" w:cs="Times New Roman"/>
          <w:sz w:val="28"/>
        </w:rPr>
        <w:t>кий государственный университет</w:t>
      </w:r>
    </w:p>
    <w:p w:rsidR="0035688F" w:rsidRDefault="0035688F" w:rsidP="0035688F">
      <w:pPr>
        <w:spacing w:after="0" w:line="240" w:lineRule="auto"/>
        <w:jc w:val="center"/>
        <w:rPr>
          <w:rFonts w:ascii="Times New Roman" w:hAnsi="Times New Roman" w:cs="Times New Roman"/>
          <w:sz w:val="28"/>
        </w:rPr>
      </w:pPr>
      <w:r>
        <w:rPr>
          <w:rFonts w:ascii="Times New Roman" w:hAnsi="Times New Roman" w:cs="Times New Roman"/>
          <w:sz w:val="28"/>
        </w:rPr>
        <w:t>Экономический факультет</w:t>
      </w:r>
    </w:p>
    <w:p w:rsidR="0035688F" w:rsidRDefault="0035688F" w:rsidP="0035688F">
      <w:pPr>
        <w:spacing w:after="0" w:line="240" w:lineRule="auto"/>
        <w:jc w:val="center"/>
        <w:rPr>
          <w:rFonts w:ascii="Times New Roman" w:hAnsi="Times New Roman" w:cs="Times New Roman"/>
          <w:sz w:val="28"/>
        </w:rPr>
      </w:pPr>
      <w:r>
        <w:rPr>
          <w:rFonts w:ascii="Times New Roman" w:hAnsi="Times New Roman" w:cs="Times New Roman"/>
          <w:sz w:val="28"/>
        </w:rPr>
        <w:t>Кафедра теории кредита и финансового менеджмента</w:t>
      </w:r>
    </w:p>
    <w:p w:rsidR="0035688F" w:rsidRDefault="0035688F" w:rsidP="0035688F">
      <w:pPr>
        <w:jc w:val="center"/>
        <w:rPr>
          <w:rFonts w:ascii="Times New Roman" w:hAnsi="Times New Roman" w:cs="Times New Roman"/>
          <w:sz w:val="28"/>
        </w:rPr>
      </w:pPr>
    </w:p>
    <w:p w:rsidR="0035688F" w:rsidRDefault="0035688F" w:rsidP="0035688F">
      <w:pPr>
        <w:jc w:val="center"/>
        <w:rPr>
          <w:rFonts w:ascii="Times New Roman" w:hAnsi="Times New Roman" w:cs="Times New Roman"/>
          <w:sz w:val="28"/>
        </w:rPr>
      </w:pPr>
    </w:p>
    <w:p w:rsidR="0035688F" w:rsidRDefault="0035688F" w:rsidP="0035688F">
      <w:pPr>
        <w:jc w:val="center"/>
        <w:rPr>
          <w:rFonts w:ascii="Times New Roman" w:hAnsi="Times New Roman" w:cs="Times New Roman"/>
          <w:sz w:val="28"/>
        </w:rPr>
      </w:pPr>
    </w:p>
    <w:p w:rsidR="0035688F" w:rsidRDefault="0035688F" w:rsidP="0035688F">
      <w:pPr>
        <w:rPr>
          <w:rFonts w:ascii="Times New Roman" w:hAnsi="Times New Roman" w:cs="Times New Roman"/>
          <w:sz w:val="28"/>
        </w:rPr>
      </w:pPr>
    </w:p>
    <w:p w:rsidR="0035688F" w:rsidRDefault="0035688F" w:rsidP="0035688F">
      <w:pPr>
        <w:jc w:val="center"/>
        <w:rPr>
          <w:rFonts w:ascii="Times New Roman" w:hAnsi="Times New Roman" w:cs="Times New Roman"/>
          <w:sz w:val="28"/>
        </w:rPr>
      </w:pPr>
    </w:p>
    <w:p w:rsidR="0035688F" w:rsidRPr="0035688F" w:rsidRDefault="0035688F" w:rsidP="0035688F">
      <w:pPr>
        <w:spacing w:line="240" w:lineRule="auto"/>
        <w:jc w:val="center"/>
        <w:rPr>
          <w:rFonts w:ascii="Times New Roman" w:hAnsi="Times New Roman" w:cs="Times New Roman"/>
          <w:sz w:val="36"/>
        </w:rPr>
      </w:pPr>
      <w:r w:rsidRPr="0035688F">
        <w:rPr>
          <w:rFonts w:ascii="Times New Roman" w:hAnsi="Times New Roman" w:cs="Times New Roman"/>
          <w:sz w:val="36"/>
        </w:rPr>
        <w:t>ВЫПУСКНАЯ КВАЛИФИКАЦИОННАЯ РАБОТА</w:t>
      </w:r>
    </w:p>
    <w:p w:rsidR="0035688F" w:rsidRDefault="0035688F" w:rsidP="0035688F">
      <w:pPr>
        <w:spacing w:line="240" w:lineRule="auto"/>
        <w:jc w:val="center"/>
        <w:rPr>
          <w:rFonts w:ascii="Times New Roman" w:hAnsi="Times New Roman" w:cs="Times New Roman"/>
          <w:sz w:val="28"/>
        </w:rPr>
      </w:pPr>
      <w:r>
        <w:rPr>
          <w:rFonts w:ascii="Times New Roman" w:hAnsi="Times New Roman" w:cs="Times New Roman"/>
          <w:sz w:val="28"/>
        </w:rPr>
        <w:t>по направлению 080100 – «Экономика»</w:t>
      </w:r>
    </w:p>
    <w:p w:rsidR="0035688F" w:rsidRPr="0035688F" w:rsidRDefault="0035688F" w:rsidP="0035688F">
      <w:pPr>
        <w:jc w:val="center"/>
        <w:rPr>
          <w:rFonts w:ascii="Times New Roman" w:hAnsi="Times New Roman" w:cs="Times New Roman"/>
          <w:sz w:val="24"/>
          <w:szCs w:val="24"/>
        </w:rPr>
      </w:pPr>
      <w:r w:rsidRPr="0035688F">
        <w:rPr>
          <w:rFonts w:ascii="Times New Roman" w:hAnsi="Times New Roman" w:cs="Times New Roman"/>
          <w:sz w:val="36"/>
        </w:rPr>
        <w:t>ОЦЕНКА ЭФФЕКТИВНОСТИ СДЕЛОК СЛИЯНИЙ И ПОГЛОЩЕНИЙ</w:t>
      </w:r>
    </w:p>
    <w:p w:rsidR="0035688F" w:rsidRDefault="0035688F" w:rsidP="0035688F">
      <w:pPr>
        <w:jc w:val="right"/>
        <w:rPr>
          <w:rFonts w:ascii="Times New Roman" w:hAnsi="Times New Roman" w:cs="Times New Roman"/>
          <w:sz w:val="24"/>
          <w:szCs w:val="24"/>
        </w:rPr>
      </w:pPr>
    </w:p>
    <w:p w:rsidR="0035688F" w:rsidRDefault="0035688F" w:rsidP="0035688F">
      <w:pPr>
        <w:jc w:val="right"/>
        <w:rPr>
          <w:rFonts w:ascii="Times New Roman" w:hAnsi="Times New Roman" w:cs="Times New Roman"/>
          <w:sz w:val="24"/>
          <w:szCs w:val="24"/>
        </w:rPr>
      </w:pPr>
    </w:p>
    <w:p w:rsidR="0035688F" w:rsidRDefault="0035688F" w:rsidP="0035688F">
      <w:pPr>
        <w:jc w:val="right"/>
        <w:rPr>
          <w:rFonts w:ascii="Times New Roman" w:hAnsi="Times New Roman" w:cs="Times New Roman"/>
          <w:sz w:val="24"/>
          <w:szCs w:val="24"/>
        </w:rPr>
      </w:pPr>
    </w:p>
    <w:p w:rsidR="0035688F" w:rsidRPr="0035688F" w:rsidRDefault="0035688F" w:rsidP="0035688F">
      <w:pPr>
        <w:spacing w:after="0"/>
        <w:ind w:left="4956"/>
        <w:rPr>
          <w:rFonts w:ascii="Times New Roman" w:hAnsi="Times New Roman" w:cs="Times New Roman"/>
          <w:b/>
          <w:sz w:val="24"/>
          <w:szCs w:val="24"/>
        </w:rPr>
      </w:pPr>
      <w:r w:rsidRPr="0035688F">
        <w:rPr>
          <w:rFonts w:ascii="Times New Roman" w:hAnsi="Times New Roman" w:cs="Times New Roman"/>
          <w:b/>
          <w:sz w:val="24"/>
          <w:szCs w:val="24"/>
        </w:rPr>
        <w:t>Выполнил:</w:t>
      </w:r>
    </w:p>
    <w:p w:rsidR="0035688F" w:rsidRDefault="0035688F" w:rsidP="0035688F">
      <w:pPr>
        <w:spacing w:after="0"/>
        <w:ind w:left="4956"/>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4 курса, ФКСиУ-41 группы</w:t>
      </w:r>
    </w:p>
    <w:p w:rsidR="0035688F" w:rsidRDefault="0035688F" w:rsidP="0035688F">
      <w:pPr>
        <w:spacing w:after="0"/>
        <w:ind w:left="4956"/>
        <w:rPr>
          <w:rFonts w:ascii="Times New Roman" w:hAnsi="Times New Roman" w:cs="Times New Roman"/>
          <w:sz w:val="24"/>
          <w:szCs w:val="24"/>
        </w:rPr>
      </w:pPr>
      <w:r>
        <w:rPr>
          <w:rFonts w:ascii="Times New Roman" w:hAnsi="Times New Roman" w:cs="Times New Roman"/>
          <w:sz w:val="24"/>
          <w:szCs w:val="24"/>
        </w:rPr>
        <w:t>Бондаренко Маргарита Игоревна</w:t>
      </w:r>
    </w:p>
    <w:p w:rsidR="0035688F" w:rsidRDefault="0035688F" w:rsidP="0035688F">
      <w:pPr>
        <w:spacing w:after="0"/>
        <w:ind w:left="4956"/>
        <w:rPr>
          <w:rFonts w:ascii="Times New Roman" w:hAnsi="Times New Roman" w:cs="Times New Roman"/>
          <w:sz w:val="28"/>
        </w:rPr>
      </w:pPr>
      <w:r w:rsidRPr="00DF4A78">
        <w:rPr>
          <w:rFonts w:ascii="Times New Roman" w:hAnsi="Times New Roman" w:cs="Times New Roman"/>
          <w:sz w:val="28"/>
        </w:rPr>
        <w:t>____________</w:t>
      </w:r>
      <w:r>
        <w:rPr>
          <w:rFonts w:ascii="Times New Roman" w:hAnsi="Times New Roman" w:cs="Times New Roman"/>
          <w:sz w:val="28"/>
        </w:rPr>
        <w:t>/Подпись/</w:t>
      </w:r>
    </w:p>
    <w:p w:rsidR="0035688F" w:rsidRDefault="0035688F" w:rsidP="0035688F">
      <w:pPr>
        <w:ind w:left="4956"/>
        <w:rPr>
          <w:rFonts w:ascii="Times New Roman" w:hAnsi="Times New Roman" w:cs="Times New Roman"/>
          <w:sz w:val="28"/>
        </w:rPr>
      </w:pPr>
    </w:p>
    <w:p w:rsidR="0035688F" w:rsidRPr="0035688F" w:rsidRDefault="0035688F" w:rsidP="0035688F">
      <w:pPr>
        <w:rPr>
          <w:rFonts w:ascii="Times New Roman" w:hAnsi="Times New Roman" w:cs="Times New Roman"/>
          <w:b/>
          <w:sz w:val="24"/>
        </w:rPr>
      </w:pPr>
    </w:p>
    <w:p w:rsidR="0035688F" w:rsidRPr="0035688F" w:rsidRDefault="0035688F" w:rsidP="0035688F">
      <w:pPr>
        <w:spacing w:after="0"/>
        <w:ind w:left="4956"/>
        <w:rPr>
          <w:rFonts w:ascii="Times New Roman" w:hAnsi="Times New Roman" w:cs="Times New Roman"/>
          <w:b/>
          <w:sz w:val="24"/>
        </w:rPr>
      </w:pPr>
      <w:r w:rsidRPr="0035688F">
        <w:rPr>
          <w:rFonts w:ascii="Times New Roman" w:hAnsi="Times New Roman" w:cs="Times New Roman"/>
          <w:b/>
          <w:sz w:val="24"/>
        </w:rPr>
        <w:t>Научный руководитель:</w:t>
      </w:r>
    </w:p>
    <w:p w:rsidR="0035688F" w:rsidRPr="0035688F" w:rsidRDefault="0035688F" w:rsidP="0035688F">
      <w:pPr>
        <w:spacing w:after="0"/>
        <w:ind w:left="4956"/>
        <w:rPr>
          <w:rFonts w:ascii="Times New Roman" w:hAnsi="Times New Roman" w:cs="Times New Roman"/>
          <w:sz w:val="24"/>
        </w:rPr>
      </w:pPr>
      <w:r w:rsidRPr="0035688F">
        <w:rPr>
          <w:rFonts w:ascii="Times New Roman" w:hAnsi="Times New Roman" w:cs="Times New Roman"/>
          <w:sz w:val="24"/>
        </w:rPr>
        <w:t>Профессор, доктор экономических наук</w:t>
      </w:r>
    </w:p>
    <w:p w:rsidR="0035688F" w:rsidRPr="0035688F" w:rsidRDefault="0035688F" w:rsidP="0035688F">
      <w:pPr>
        <w:spacing w:after="0"/>
        <w:ind w:left="4956"/>
        <w:rPr>
          <w:rFonts w:ascii="Times New Roman" w:hAnsi="Times New Roman" w:cs="Times New Roman"/>
          <w:sz w:val="24"/>
        </w:rPr>
      </w:pPr>
      <w:r w:rsidRPr="0035688F">
        <w:rPr>
          <w:rFonts w:ascii="Times New Roman" w:hAnsi="Times New Roman" w:cs="Times New Roman"/>
          <w:sz w:val="24"/>
        </w:rPr>
        <w:t>Ковалёв Виталий Валерьевич</w:t>
      </w:r>
    </w:p>
    <w:p w:rsidR="0035688F" w:rsidRPr="0035688F" w:rsidRDefault="0035688F" w:rsidP="0035688F">
      <w:pPr>
        <w:ind w:left="4956"/>
        <w:rPr>
          <w:rFonts w:ascii="Times New Roman" w:hAnsi="Times New Roman"/>
          <w:sz w:val="28"/>
          <w:szCs w:val="28"/>
        </w:rPr>
      </w:pPr>
      <w:r w:rsidRPr="0035688F">
        <w:rPr>
          <w:rFonts w:ascii="Times New Roman" w:hAnsi="Times New Roman" w:cs="Times New Roman"/>
          <w:sz w:val="24"/>
        </w:rPr>
        <w:t>________________/Подпись/</w:t>
      </w:r>
    </w:p>
    <w:p w:rsidR="0035688F" w:rsidRDefault="0035688F" w:rsidP="0035688F">
      <w:pPr>
        <w:jc w:val="center"/>
        <w:rPr>
          <w:rFonts w:ascii="Times New Roman" w:hAnsi="Times New Roman"/>
          <w:sz w:val="28"/>
          <w:szCs w:val="28"/>
        </w:rPr>
      </w:pPr>
    </w:p>
    <w:p w:rsidR="0035688F" w:rsidRDefault="0035688F" w:rsidP="0035688F">
      <w:pPr>
        <w:jc w:val="center"/>
        <w:rPr>
          <w:rFonts w:ascii="Times New Roman" w:hAnsi="Times New Roman"/>
          <w:sz w:val="28"/>
          <w:szCs w:val="28"/>
        </w:rPr>
      </w:pPr>
    </w:p>
    <w:p w:rsidR="0035688F" w:rsidRDefault="0035688F" w:rsidP="0035688F">
      <w:pPr>
        <w:jc w:val="center"/>
        <w:rPr>
          <w:rFonts w:ascii="Times New Roman" w:hAnsi="Times New Roman"/>
          <w:sz w:val="28"/>
          <w:szCs w:val="28"/>
        </w:rPr>
      </w:pPr>
    </w:p>
    <w:p w:rsidR="0035688F" w:rsidRDefault="0035688F" w:rsidP="0035688F">
      <w:pPr>
        <w:jc w:val="center"/>
        <w:rPr>
          <w:rFonts w:ascii="Times New Roman" w:hAnsi="Times New Roman"/>
          <w:sz w:val="28"/>
          <w:szCs w:val="28"/>
        </w:rPr>
      </w:pPr>
    </w:p>
    <w:p w:rsidR="0035688F" w:rsidRDefault="0035688F" w:rsidP="0035688F">
      <w:pPr>
        <w:spacing w:after="0" w:line="240" w:lineRule="auto"/>
        <w:jc w:val="center"/>
        <w:rPr>
          <w:rFonts w:ascii="Times New Roman" w:hAnsi="Times New Roman"/>
          <w:sz w:val="28"/>
          <w:szCs w:val="28"/>
        </w:rPr>
      </w:pPr>
      <w:r>
        <w:rPr>
          <w:rFonts w:ascii="Times New Roman" w:hAnsi="Times New Roman"/>
          <w:sz w:val="28"/>
          <w:szCs w:val="28"/>
        </w:rPr>
        <w:t>Санкт-Петербург</w:t>
      </w:r>
    </w:p>
    <w:p w:rsidR="0035688F" w:rsidRPr="0035688F" w:rsidRDefault="0035688F" w:rsidP="0035688F">
      <w:pPr>
        <w:spacing w:after="0" w:line="240" w:lineRule="auto"/>
        <w:jc w:val="center"/>
        <w:rPr>
          <w:rFonts w:ascii="Times New Roman" w:hAnsi="Times New Roman"/>
          <w:sz w:val="28"/>
          <w:szCs w:val="28"/>
        </w:rPr>
      </w:pPr>
      <w:r>
        <w:rPr>
          <w:rFonts w:ascii="Times New Roman" w:hAnsi="Times New Roman"/>
          <w:sz w:val="28"/>
          <w:szCs w:val="28"/>
        </w:rPr>
        <w:t>2017</w:t>
      </w:r>
    </w:p>
    <w:sdt>
      <w:sdtPr>
        <w:rPr>
          <w:rFonts w:asciiTheme="minorHAnsi" w:eastAsiaTheme="minorHAnsi" w:hAnsiTheme="minorHAnsi" w:cstheme="minorBidi"/>
          <w:b w:val="0"/>
          <w:bCs w:val="0"/>
          <w:color w:val="auto"/>
          <w:sz w:val="22"/>
          <w:szCs w:val="22"/>
          <w:lang w:eastAsia="en-US"/>
        </w:rPr>
        <w:id w:val="847063935"/>
        <w:docPartObj>
          <w:docPartGallery w:val="Table of Contents"/>
          <w:docPartUnique/>
        </w:docPartObj>
      </w:sdtPr>
      <w:sdtEndPr>
        <w:rPr>
          <w:rFonts w:ascii="Times New Roman" w:hAnsi="Times New Roman" w:cs="Times New Roman"/>
          <w:sz w:val="24"/>
          <w:szCs w:val="24"/>
        </w:rPr>
      </w:sdtEndPr>
      <w:sdtContent>
        <w:p w:rsidR="0035688F" w:rsidRPr="00DB0224" w:rsidRDefault="0035688F" w:rsidP="0035688F">
          <w:pPr>
            <w:pStyle w:val="af2"/>
            <w:jc w:val="center"/>
            <w:rPr>
              <w:rFonts w:ascii="Times New Roman" w:hAnsi="Times New Roman" w:cs="Times New Roman"/>
              <w:color w:val="auto"/>
              <w:sz w:val="24"/>
              <w:szCs w:val="24"/>
            </w:rPr>
          </w:pPr>
          <w:r w:rsidRPr="00DB0224">
            <w:rPr>
              <w:rFonts w:ascii="Times New Roman" w:hAnsi="Times New Roman" w:cs="Times New Roman"/>
              <w:color w:val="auto"/>
              <w:szCs w:val="24"/>
            </w:rPr>
            <w:t>Содержание</w:t>
          </w:r>
        </w:p>
        <w:p w:rsidR="002F4269" w:rsidRPr="002F4269" w:rsidRDefault="0035688F">
          <w:pPr>
            <w:pStyle w:val="11"/>
            <w:tabs>
              <w:tab w:val="right" w:leader="dot" w:pos="9628"/>
            </w:tabs>
            <w:rPr>
              <w:rFonts w:ascii="Times New Roman" w:eastAsiaTheme="minorEastAsia" w:hAnsi="Times New Roman" w:cs="Times New Roman"/>
              <w:noProof/>
              <w:sz w:val="24"/>
              <w:lang w:eastAsia="ru-RU"/>
            </w:rPr>
          </w:pPr>
          <w:r w:rsidRPr="003436FE">
            <w:rPr>
              <w:rFonts w:ascii="Times New Roman" w:hAnsi="Times New Roman" w:cs="Times New Roman"/>
              <w:sz w:val="24"/>
              <w:szCs w:val="24"/>
            </w:rPr>
            <w:fldChar w:fldCharType="begin"/>
          </w:r>
          <w:r w:rsidRPr="003436FE">
            <w:rPr>
              <w:rFonts w:ascii="Times New Roman" w:hAnsi="Times New Roman" w:cs="Times New Roman"/>
              <w:sz w:val="24"/>
              <w:szCs w:val="24"/>
            </w:rPr>
            <w:instrText xml:space="preserve"> TOC \o "1-3" \h \z \u </w:instrText>
          </w:r>
          <w:r w:rsidRPr="003436FE">
            <w:rPr>
              <w:rFonts w:ascii="Times New Roman" w:hAnsi="Times New Roman" w:cs="Times New Roman"/>
              <w:sz w:val="24"/>
              <w:szCs w:val="24"/>
            </w:rPr>
            <w:fldChar w:fldCharType="separate"/>
          </w:r>
          <w:hyperlink w:anchor="_Toc482547510" w:history="1">
            <w:r w:rsidR="002F4269" w:rsidRPr="002F4269">
              <w:rPr>
                <w:rStyle w:val="a4"/>
                <w:rFonts w:ascii="Times New Roman" w:hAnsi="Times New Roman" w:cs="Times New Roman"/>
                <w:noProof/>
                <w:sz w:val="24"/>
              </w:rPr>
              <w:t>Введение</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_Toc482547510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3</w:t>
            </w:r>
            <w:r w:rsidR="002F4269" w:rsidRPr="002F4269">
              <w:rPr>
                <w:rFonts w:ascii="Times New Roman" w:hAnsi="Times New Roman" w:cs="Times New Roman"/>
                <w:noProof/>
                <w:webHidden/>
                <w:sz w:val="24"/>
              </w:rPr>
              <w:fldChar w:fldCharType="end"/>
            </w:r>
          </w:hyperlink>
        </w:p>
        <w:p w:rsidR="002F4269" w:rsidRPr="002F4269" w:rsidRDefault="002F0191">
          <w:pPr>
            <w:pStyle w:val="11"/>
            <w:tabs>
              <w:tab w:val="right" w:leader="dot" w:pos="9628"/>
            </w:tabs>
            <w:rPr>
              <w:rFonts w:ascii="Times New Roman" w:eastAsiaTheme="minorEastAsia" w:hAnsi="Times New Roman" w:cs="Times New Roman"/>
              <w:noProof/>
              <w:sz w:val="24"/>
              <w:lang w:eastAsia="ru-RU"/>
            </w:rPr>
          </w:pPr>
          <w:hyperlink w:anchor="_Toc482547511" w:history="1">
            <w:r w:rsidR="002F4269" w:rsidRPr="002F4269">
              <w:rPr>
                <w:rStyle w:val="a4"/>
                <w:rFonts w:ascii="Times New Roman" w:hAnsi="Times New Roman" w:cs="Times New Roman"/>
                <w:noProof/>
                <w:sz w:val="24"/>
              </w:rPr>
              <w:t>ГЛАВА 1 ТЕОРЕТИЧЕСКИЕ ОСНОВЫ СДЕЛОК СЛИЯНИЙ И ПОГЛОЩЕНИЙ</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_Toc482547511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5</w:t>
            </w:r>
            <w:r w:rsidR="002F4269" w:rsidRPr="002F4269">
              <w:rPr>
                <w:rFonts w:ascii="Times New Roman" w:hAnsi="Times New Roman" w:cs="Times New Roman"/>
                <w:noProof/>
                <w:webHidden/>
                <w:sz w:val="24"/>
              </w:rPr>
              <w:fldChar w:fldCharType="end"/>
            </w:r>
          </w:hyperlink>
        </w:p>
        <w:p w:rsidR="002F4269" w:rsidRPr="002F4269" w:rsidRDefault="002F0191">
          <w:pPr>
            <w:pStyle w:val="21"/>
            <w:tabs>
              <w:tab w:val="left" w:pos="880"/>
              <w:tab w:val="right" w:leader="dot" w:pos="9628"/>
            </w:tabs>
            <w:rPr>
              <w:rFonts w:ascii="Times New Roman" w:eastAsiaTheme="minorEastAsia" w:hAnsi="Times New Roman" w:cs="Times New Roman"/>
              <w:noProof/>
              <w:sz w:val="24"/>
              <w:lang w:eastAsia="ru-RU"/>
            </w:rPr>
          </w:pPr>
          <w:hyperlink w:anchor="_Toc482547512" w:history="1">
            <w:r w:rsidR="002F4269" w:rsidRPr="002F4269">
              <w:rPr>
                <w:rStyle w:val="a4"/>
                <w:rFonts w:ascii="Times New Roman" w:hAnsi="Times New Roman" w:cs="Times New Roman"/>
                <w:noProof/>
                <w:sz w:val="24"/>
              </w:rPr>
              <w:t>1.1</w:t>
            </w:r>
            <w:r w:rsidR="002F4269" w:rsidRPr="002F4269">
              <w:rPr>
                <w:rFonts w:ascii="Times New Roman" w:eastAsiaTheme="minorEastAsia" w:hAnsi="Times New Roman" w:cs="Times New Roman"/>
                <w:noProof/>
                <w:sz w:val="24"/>
                <w:lang w:eastAsia="ru-RU"/>
              </w:rPr>
              <w:tab/>
            </w:r>
            <w:r w:rsidR="002F4269" w:rsidRPr="002F4269">
              <w:rPr>
                <w:rStyle w:val="a4"/>
                <w:rFonts w:ascii="Times New Roman" w:hAnsi="Times New Roman" w:cs="Times New Roman"/>
                <w:noProof/>
                <w:sz w:val="24"/>
              </w:rPr>
              <w:t>Сущность сделок слияний и поглощений</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_Toc482547512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5</w:t>
            </w:r>
            <w:r w:rsidR="002F4269" w:rsidRPr="002F4269">
              <w:rPr>
                <w:rFonts w:ascii="Times New Roman" w:hAnsi="Times New Roman" w:cs="Times New Roman"/>
                <w:noProof/>
                <w:webHidden/>
                <w:sz w:val="24"/>
              </w:rPr>
              <w:fldChar w:fldCharType="end"/>
            </w:r>
          </w:hyperlink>
        </w:p>
        <w:p w:rsidR="002F4269" w:rsidRPr="002F4269" w:rsidRDefault="002F0191">
          <w:pPr>
            <w:pStyle w:val="21"/>
            <w:tabs>
              <w:tab w:val="left" w:pos="880"/>
              <w:tab w:val="right" w:leader="dot" w:pos="9628"/>
            </w:tabs>
            <w:rPr>
              <w:rFonts w:ascii="Times New Roman" w:eastAsiaTheme="minorEastAsia" w:hAnsi="Times New Roman" w:cs="Times New Roman"/>
              <w:noProof/>
              <w:sz w:val="24"/>
              <w:lang w:eastAsia="ru-RU"/>
            </w:rPr>
          </w:pPr>
          <w:hyperlink w:anchor="_Toc482547513" w:history="1">
            <w:r w:rsidR="002F4269" w:rsidRPr="002F4269">
              <w:rPr>
                <w:rStyle w:val="a4"/>
                <w:rFonts w:ascii="Times New Roman" w:hAnsi="Times New Roman" w:cs="Times New Roman"/>
                <w:noProof/>
                <w:sz w:val="24"/>
              </w:rPr>
              <w:t>1.2</w:t>
            </w:r>
            <w:r w:rsidR="002F4269" w:rsidRPr="002F4269">
              <w:rPr>
                <w:rFonts w:ascii="Times New Roman" w:eastAsiaTheme="minorEastAsia" w:hAnsi="Times New Roman" w:cs="Times New Roman"/>
                <w:noProof/>
                <w:sz w:val="24"/>
                <w:lang w:eastAsia="ru-RU"/>
              </w:rPr>
              <w:tab/>
            </w:r>
            <w:r w:rsidR="002F4269" w:rsidRPr="002F4269">
              <w:rPr>
                <w:rStyle w:val="a4"/>
                <w:rFonts w:ascii="Times New Roman" w:hAnsi="Times New Roman" w:cs="Times New Roman"/>
                <w:noProof/>
                <w:sz w:val="24"/>
              </w:rPr>
              <w:t>Обзор рынка слияний и поглощений в нефтегазовой отрасли</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_Toc482547513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9</w:t>
            </w:r>
            <w:r w:rsidR="002F4269" w:rsidRPr="002F4269">
              <w:rPr>
                <w:rFonts w:ascii="Times New Roman" w:hAnsi="Times New Roman" w:cs="Times New Roman"/>
                <w:noProof/>
                <w:webHidden/>
                <w:sz w:val="24"/>
              </w:rPr>
              <w:fldChar w:fldCharType="end"/>
            </w:r>
          </w:hyperlink>
        </w:p>
        <w:p w:rsidR="002F4269" w:rsidRPr="002F4269" w:rsidRDefault="002F0191">
          <w:pPr>
            <w:pStyle w:val="11"/>
            <w:tabs>
              <w:tab w:val="right" w:leader="dot" w:pos="9628"/>
            </w:tabs>
            <w:rPr>
              <w:rFonts w:ascii="Times New Roman" w:eastAsiaTheme="minorEastAsia" w:hAnsi="Times New Roman" w:cs="Times New Roman"/>
              <w:noProof/>
              <w:sz w:val="24"/>
              <w:lang w:eastAsia="ru-RU"/>
            </w:rPr>
          </w:pPr>
          <w:hyperlink w:anchor="_Toc482547514" w:history="1">
            <w:r w:rsidR="002F4269" w:rsidRPr="002F4269">
              <w:rPr>
                <w:rStyle w:val="a4"/>
                <w:rFonts w:ascii="Times New Roman" w:hAnsi="Times New Roman" w:cs="Times New Roman"/>
                <w:noProof/>
                <w:sz w:val="24"/>
              </w:rPr>
              <w:t>ГЛАВА 2 МЕТОДЫ ОЦЕНКИ ЭФФЕКТИВНОСТИ СДЕЛОК ПО СЛИЯНИЮ И ПОГЛОЩЕНИЮ</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_Toc482547514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20</w:t>
            </w:r>
            <w:r w:rsidR="002F4269" w:rsidRPr="002F4269">
              <w:rPr>
                <w:rFonts w:ascii="Times New Roman" w:hAnsi="Times New Roman" w:cs="Times New Roman"/>
                <w:noProof/>
                <w:webHidden/>
                <w:sz w:val="24"/>
              </w:rPr>
              <w:fldChar w:fldCharType="end"/>
            </w:r>
          </w:hyperlink>
        </w:p>
        <w:p w:rsidR="002F4269" w:rsidRPr="002F4269" w:rsidRDefault="002F0191">
          <w:pPr>
            <w:pStyle w:val="21"/>
            <w:tabs>
              <w:tab w:val="right" w:leader="dot" w:pos="9628"/>
            </w:tabs>
            <w:rPr>
              <w:rFonts w:ascii="Times New Roman" w:eastAsiaTheme="minorEastAsia" w:hAnsi="Times New Roman" w:cs="Times New Roman"/>
              <w:noProof/>
              <w:sz w:val="24"/>
              <w:lang w:eastAsia="ru-RU"/>
            </w:rPr>
          </w:pPr>
          <w:hyperlink w:anchor="_Toc482547515" w:history="1">
            <w:r w:rsidR="002F4269" w:rsidRPr="002F4269">
              <w:rPr>
                <w:rStyle w:val="a4"/>
                <w:rFonts w:ascii="Times New Roman" w:hAnsi="Times New Roman" w:cs="Times New Roman"/>
                <w:noProof/>
                <w:sz w:val="24"/>
              </w:rPr>
              <w:t>2.1 Оценка эффективности сделок по слиянию и поглощению</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_Toc482547515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20</w:t>
            </w:r>
            <w:r w:rsidR="002F4269" w:rsidRPr="002F4269">
              <w:rPr>
                <w:rFonts w:ascii="Times New Roman" w:hAnsi="Times New Roman" w:cs="Times New Roman"/>
                <w:noProof/>
                <w:webHidden/>
                <w:sz w:val="24"/>
              </w:rPr>
              <w:fldChar w:fldCharType="end"/>
            </w:r>
          </w:hyperlink>
        </w:p>
        <w:p w:rsidR="002F4269" w:rsidRPr="002F4269" w:rsidRDefault="002F0191">
          <w:pPr>
            <w:pStyle w:val="21"/>
            <w:tabs>
              <w:tab w:val="right" w:leader="dot" w:pos="9628"/>
            </w:tabs>
            <w:rPr>
              <w:rFonts w:ascii="Times New Roman" w:eastAsiaTheme="minorEastAsia" w:hAnsi="Times New Roman" w:cs="Times New Roman"/>
              <w:noProof/>
              <w:sz w:val="24"/>
              <w:lang w:eastAsia="ru-RU"/>
            </w:rPr>
          </w:pPr>
          <w:hyperlink w:anchor="_Toc482547516" w:history="1">
            <w:r w:rsidR="002F4269" w:rsidRPr="002F4269">
              <w:rPr>
                <w:rStyle w:val="a4"/>
                <w:rFonts w:ascii="Times New Roman" w:hAnsi="Times New Roman" w:cs="Times New Roman"/>
                <w:noProof/>
                <w:sz w:val="24"/>
              </w:rPr>
              <w:t>2.2 Метод дисконтированных денежных потоков (DCF)</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_Toc482547516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24</w:t>
            </w:r>
            <w:r w:rsidR="002F4269" w:rsidRPr="002F4269">
              <w:rPr>
                <w:rFonts w:ascii="Times New Roman" w:hAnsi="Times New Roman" w:cs="Times New Roman"/>
                <w:noProof/>
                <w:webHidden/>
                <w:sz w:val="24"/>
              </w:rPr>
              <w:fldChar w:fldCharType="end"/>
            </w:r>
          </w:hyperlink>
        </w:p>
        <w:p w:rsidR="002F4269" w:rsidRPr="002F4269" w:rsidRDefault="002F0191">
          <w:pPr>
            <w:pStyle w:val="21"/>
            <w:tabs>
              <w:tab w:val="right" w:leader="dot" w:pos="9628"/>
            </w:tabs>
            <w:rPr>
              <w:rFonts w:ascii="Times New Roman" w:eastAsiaTheme="minorEastAsia" w:hAnsi="Times New Roman" w:cs="Times New Roman"/>
              <w:noProof/>
              <w:sz w:val="24"/>
              <w:lang w:eastAsia="ru-RU"/>
            </w:rPr>
          </w:pPr>
          <w:hyperlink w:anchor="_Toc482547517" w:history="1">
            <w:r w:rsidR="002F4269" w:rsidRPr="002F4269">
              <w:rPr>
                <w:rStyle w:val="a4"/>
                <w:rFonts w:ascii="Times New Roman" w:hAnsi="Times New Roman" w:cs="Times New Roman"/>
                <w:noProof/>
                <w:sz w:val="24"/>
              </w:rPr>
              <w:t xml:space="preserve">2.3 </w:t>
            </w:r>
            <w:r w:rsidR="002F4269" w:rsidRPr="002F4269">
              <w:rPr>
                <w:rStyle w:val="a4"/>
                <w:rFonts w:ascii="Times New Roman" w:hAnsi="Times New Roman" w:cs="Times New Roman"/>
                <w:noProof/>
                <w:sz w:val="24"/>
                <w:lang w:val="en-US"/>
              </w:rPr>
              <w:t>EPS</w:t>
            </w:r>
            <w:r w:rsidR="002F4269" w:rsidRPr="002F4269">
              <w:rPr>
                <w:rStyle w:val="a4"/>
                <w:rFonts w:ascii="Times New Roman" w:hAnsi="Times New Roman" w:cs="Times New Roman"/>
                <w:noProof/>
                <w:sz w:val="24"/>
              </w:rPr>
              <w:t xml:space="preserve"> </w:t>
            </w:r>
            <w:r w:rsidR="002F4269" w:rsidRPr="002F4269">
              <w:rPr>
                <w:rStyle w:val="a4"/>
                <w:rFonts w:ascii="Times New Roman" w:hAnsi="Times New Roman" w:cs="Times New Roman"/>
                <w:noProof/>
                <w:sz w:val="24"/>
                <w:lang w:val="en-US"/>
              </w:rPr>
              <w:t>accretion</w:t>
            </w:r>
            <w:r w:rsidR="002F4269" w:rsidRPr="002F4269">
              <w:rPr>
                <w:rStyle w:val="a4"/>
                <w:rFonts w:ascii="Times New Roman" w:hAnsi="Times New Roman" w:cs="Times New Roman"/>
                <w:noProof/>
                <w:sz w:val="24"/>
              </w:rPr>
              <w:t>/</w:t>
            </w:r>
            <w:r w:rsidR="002F4269" w:rsidRPr="002F4269">
              <w:rPr>
                <w:rStyle w:val="a4"/>
                <w:rFonts w:ascii="Times New Roman" w:hAnsi="Times New Roman" w:cs="Times New Roman"/>
                <w:noProof/>
                <w:sz w:val="24"/>
                <w:lang w:val="en-US"/>
              </w:rPr>
              <w:t>dilution</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_Toc482547517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28</w:t>
            </w:r>
            <w:r w:rsidR="002F4269" w:rsidRPr="002F4269">
              <w:rPr>
                <w:rFonts w:ascii="Times New Roman" w:hAnsi="Times New Roman" w:cs="Times New Roman"/>
                <w:noProof/>
                <w:webHidden/>
                <w:sz w:val="24"/>
              </w:rPr>
              <w:fldChar w:fldCharType="end"/>
            </w:r>
          </w:hyperlink>
        </w:p>
        <w:p w:rsidR="002F4269" w:rsidRPr="002F4269" w:rsidRDefault="002F0191">
          <w:pPr>
            <w:pStyle w:val="21"/>
            <w:tabs>
              <w:tab w:val="right" w:leader="dot" w:pos="9628"/>
            </w:tabs>
            <w:rPr>
              <w:rFonts w:ascii="Times New Roman" w:eastAsiaTheme="minorEastAsia" w:hAnsi="Times New Roman" w:cs="Times New Roman"/>
              <w:noProof/>
              <w:sz w:val="24"/>
              <w:lang w:eastAsia="ru-RU"/>
            </w:rPr>
          </w:pPr>
          <w:hyperlink w:anchor="_Toc482547518" w:history="1">
            <w:r w:rsidR="002F4269" w:rsidRPr="002F4269">
              <w:rPr>
                <w:rStyle w:val="a4"/>
                <w:rFonts w:ascii="Times New Roman" w:hAnsi="Times New Roman" w:cs="Times New Roman"/>
                <w:noProof/>
                <w:sz w:val="24"/>
              </w:rPr>
              <w:t xml:space="preserve">2.4 </w:t>
            </w:r>
            <w:r w:rsidR="002F4269" w:rsidRPr="002F4269">
              <w:rPr>
                <w:rStyle w:val="a4"/>
                <w:rFonts w:ascii="Times New Roman" w:hAnsi="Times New Roman" w:cs="Times New Roman"/>
                <w:noProof/>
                <w:sz w:val="24"/>
                <w:lang w:val="en-US"/>
              </w:rPr>
              <w:t>Event</w:t>
            </w:r>
            <w:r w:rsidR="002F4269" w:rsidRPr="002F4269">
              <w:rPr>
                <w:rStyle w:val="a4"/>
                <w:rFonts w:ascii="Times New Roman" w:hAnsi="Times New Roman" w:cs="Times New Roman"/>
                <w:noProof/>
                <w:sz w:val="24"/>
              </w:rPr>
              <w:t xml:space="preserve"> </w:t>
            </w:r>
            <w:r w:rsidR="002F4269" w:rsidRPr="002F4269">
              <w:rPr>
                <w:rStyle w:val="a4"/>
                <w:rFonts w:ascii="Times New Roman" w:hAnsi="Times New Roman" w:cs="Times New Roman"/>
                <w:noProof/>
                <w:sz w:val="24"/>
                <w:lang w:val="en-US"/>
              </w:rPr>
              <w:t>studies</w:t>
            </w:r>
            <w:r w:rsidR="002F4269" w:rsidRPr="002F4269">
              <w:rPr>
                <w:rStyle w:val="a4"/>
                <w:rFonts w:ascii="Times New Roman" w:hAnsi="Times New Roman" w:cs="Times New Roman"/>
                <w:noProof/>
                <w:sz w:val="24"/>
              </w:rPr>
              <w:t xml:space="preserve"> метод</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_Toc482547518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31</w:t>
            </w:r>
            <w:r w:rsidR="002F4269" w:rsidRPr="002F4269">
              <w:rPr>
                <w:rFonts w:ascii="Times New Roman" w:hAnsi="Times New Roman" w:cs="Times New Roman"/>
                <w:noProof/>
                <w:webHidden/>
                <w:sz w:val="24"/>
              </w:rPr>
              <w:fldChar w:fldCharType="end"/>
            </w:r>
          </w:hyperlink>
        </w:p>
        <w:p w:rsidR="002F4269" w:rsidRPr="002F4269" w:rsidRDefault="002F0191">
          <w:pPr>
            <w:pStyle w:val="11"/>
            <w:tabs>
              <w:tab w:val="right" w:leader="dot" w:pos="9628"/>
            </w:tabs>
            <w:rPr>
              <w:rFonts w:ascii="Times New Roman" w:eastAsiaTheme="minorEastAsia" w:hAnsi="Times New Roman" w:cs="Times New Roman"/>
              <w:noProof/>
              <w:sz w:val="24"/>
              <w:lang w:eastAsia="ru-RU"/>
            </w:rPr>
          </w:pPr>
          <w:hyperlink w:anchor="_Toc482547519" w:history="1">
            <w:r w:rsidR="002F4269" w:rsidRPr="002F4269">
              <w:rPr>
                <w:rStyle w:val="a4"/>
                <w:rFonts w:ascii="Times New Roman" w:hAnsi="Times New Roman" w:cs="Times New Roman"/>
                <w:noProof/>
                <w:sz w:val="24"/>
              </w:rPr>
              <w:t>ГДАВА 3 КЕЙС РОСНЕФТЬ – ТНК-ВР Холдинг</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_Toc482547519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34</w:t>
            </w:r>
            <w:r w:rsidR="002F4269" w:rsidRPr="002F4269">
              <w:rPr>
                <w:rFonts w:ascii="Times New Roman" w:hAnsi="Times New Roman" w:cs="Times New Roman"/>
                <w:noProof/>
                <w:webHidden/>
                <w:sz w:val="24"/>
              </w:rPr>
              <w:fldChar w:fldCharType="end"/>
            </w:r>
          </w:hyperlink>
        </w:p>
        <w:p w:rsidR="002F4269" w:rsidRPr="002F4269" w:rsidRDefault="002F0191">
          <w:pPr>
            <w:pStyle w:val="21"/>
            <w:tabs>
              <w:tab w:val="right" w:leader="dot" w:pos="9628"/>
            </w:tabs>
            <w:rPr>
              <w:rFonts w:ascii="Times New Roman" w:eastAsiaTheme="minorEastAsia" w:hAnsi="Times New Roman" w:cs="Times New Roman"/>
              <w:noProof/>
              <w:sz w:val="24"/>
              <w:lang w:eastAsia="ru-RU"/>
            </w:rPr>
          </w:pPr>
          <w:hyperlink w:anchor="_Toc482547520" w:history="1">
            <w:r w:rsidR="002F4269" w:rsidRPr="002F4269">
              <w:rPr>
                <w:rStyle w:val="a4"/>
                <w:rFonts w:ascii="Times New Roman" w:hAnsi="Times New Roman" w:cs="Times New Roman"/>
                <w:noProof/>
                <w:sz w:val="24"/>
              </w:rPr>
              <w:t>3.1 События, предшествующие сделке между ТНК-</w:t>
            </w:r>
            <w:r w:rsidR="002F4269" w:rsidRPr="002F4269">
              <w:rPr>
                <w:rStyle w:val="a4"/>
                <w:rFonts w:ascii="Times New Roman" w:hAnsi="Times New Roman" w:cs="Times New Roman"/>
                <w:noProof/>
                <w:sz w:val="24"/>
                <w:lang w:val="en-US"/>
              </w:rPr>
              <w:t>BP</w:t>
            </w:r>
            <w:r w:rsidR="002F4269" w:rsidRPr="002F4269">
              <w:rPr>
                <w:rStyle w:val="a4"/>
                <w:rFonts w:ascii="Times New Roman" w:hAnsi="Times New Roman" w:cs="Times New Roman"/>
                <w:noProof/>
                <w:sz w:val="24"/>
              </w:rPr>
              <w:t xml:space="preserve"> и Роснефть</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_Toc482547520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34</w:t>
            </w:r>
            <w:r w:rsidR="002F4269" w:rsidRPr="002F4269">
              <w:rPr>
                <w:rFonts w:ascii="Times New Roman" w:hAnsi="Times New Roman" w:cs="Times New Roman"/>
                <w:noProof/>
                <w:webHidden/>
                <w:sz w:val="24"/>
              </w:rPr>
              <w:fldChar w:fldCharType="end"/>
            </w:r>
          </w:hyperlink>
        </w:p>
        <w:p w:rsidR="002F4269" w:rsidRPr="002F4269" w:rsidRDefault="002F0191">
          <w:pPr>
            <w:pStyle w:val="21"/>
            <w:tabs>
              <w:tab w:val="right" w:leader="dot" w:pos="9628"/>
            </w:tabs>
            <w:rPr>
              <w:rFonts w:ascii="Times New Roman" w:eastAsiaTheme="minorEastAsia" w:hAnsi="Times New Roman" w:cs="Times New Roman"/>
              <w:noProof/>
              <w:sz w:val="24"/>
              <w:lang w:eastAsia="ru-RU"/>
            </w:rPr>
          </w:pPr>
          <w:hyperlink w:anchor="_Toc482547521" w:history="1">
            <w:r w:rsidR="002F4269" w:rsidRPr="002F4269">
              <w:rPr>
                <w:rStyle w:val="a4"/>
                <w:rFonts w:ascii="Times New Roman" w:eastAsia="Times New Roman" w:hAnsi="Times New Roman" w:cs="Times New Roman"/>
                <w:noProof/>
                <w:sz w:val="24"/>
              </w:rPr>
              <w:t xml:space="preserve">3.2 Оценка эффективности поглощения методом </w:t>
            </w:r>
            <w:r w:rsidR="002F4269" w:rsidRPr="002F4269">
              <w:rPr>
                <w:rStyle w:val="a4"/>
                <w:rFonts w:ascii="Times New Roman" w:eastAsia="Times New Roman" w:hAnsi="Times New Roman" w:cs="Times New Roman"/>
                <w:noProof/>
                <w:sz w:val="24"/>
                <w:lang w:val="en-US"/>
              </w:rPr>
              <w:t>Discounted</w:t>
            </w:r>
            <w:r w:rsidR="002F4269" w:rsidRPr="002F4269">
              <w:rPr>
                <w:rStyle w:val="a4"/>
                <w:rFonts w:ascii="Times New Roman" w:eastAsia="Times New Roman" w:hAnsi="Times New Roman" w:cs="Times New Roman"/>
                <w:noProof/>
                <w:sz w:val="24"/>
              </w:rPr>
              <w:t xml:space="preserve"> </w:t>
            </w:r>
            <w:r w:rsidR="002F4269" w:rsidRPr="002F4269">
              <w:rPr>
                <w:rStyle w:val="a4"/>
                <w:rFonts w:ascii="Times New Roman" w:eastAsia="Times New Roman" w:hAnsi="Times New Roman" w:cs="Times New Roman"/>
                <w:noProof/>
                <w:sz w:val="24"/>
                <w:lang w:val="en-US"/>
              </w:rPr>
              <w:t>Cash</w:t>
            </w:r>
            <w:r w:rsidR="002F4269" w:rsidRPr="002F4269">
              <w:rPr>
                <w:rStyle w:val="a4"/>
                <w:rFonts w:ascii="Times New Roman" w:eastAsia="Times New Roman" w:hAnsi="Times New Roman" w:cs="Times New Roman"/>
                <w:noProof/>
                <w:sz w:val="24"/>
              </w:rPr>
              <w:t xml:space="preserve"> </w:t>
            </w:r>
            <w:r w:rsidR="002F4269" w:rsidRPr="002F4269">
              <w:rPr>
                <w:rStyle w:val="a4"/>
                <w:rFonts w:ascii="Times New Roman" w:eastAsia="Times New Roman" w:hAnsi="Times New Roman" w:cs="Times New Roman"/>
                <w:noProof/>
                <w:sz w:val="24"/>
                <w:lang w:val="en-US"/>
              </w:rPr>
              <w:t>Flaw</w:t>
            </w:r>
            <w:r w:rsidR="002F4269" w:rsidRPr="002F4269">
              <w:rPr>
                <w:rStyle w:val="a4"/>
                <w:rFonts w:ascii="Times New Roman" w:eastAsia="Times New Roman" w:hAnsi="Times New Roman" w:cs="Times New Roman"/>
                <w:noProof/>
                <w:sz w:val="24"/>
              </w:rPr>
              <w:t xml:space="preserve"> (</w:t>
            </w:r>
            <w:r w:rsidR="002F4269" w:rsidRPr="002F4269">
              <w:rPr>
                <w:rStyle w:val="a4"/>
                <w:rFonts w:ascii="Times New Roman" w:eastAsia="Times New Roman" w:hAnsi="Times New Roman" w:cs="Times New Roman"/>
                <w:noProof/>
                <w:sz w:val="24"/>
                <w:lang w:val="en-US"/>
              </w:rPr>
              <w:t>DCF</w:t>
            </w:r>
            <w:r w:rsidR="002F4269" w:rsidRPr="002F4269">
              <w:rPr>
                <w:rStyle w:val="a4"/>
                <w:rFonts w:ascii="Times New Roman" w:eastAsia="Times New Roman" w:hAnsi="Times New Roman" w:cs="Times New Roman"/>
                <w:noProof/>
                <w:sz w:val="24"/>
              </w:rPr>
              <w:t>)</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_Toc482547521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37</w:t>
            </w:r>
            <w:r w:rsidR="002F4269" w:rsidRPr="002F4269">
              <w:rPr>
                <w:rFonts w:ascii="Times New Roman" w:hAnsi="Times New Roman" w:cs="Times New Roman"/>
                <w:noProof/>
                <w:webHidden/>
                <w:sz w:val="24"/>
              </w:rPr>
              <w:fldChar w:fldCharType="end"/>
            </w:r>
          </w:hyperlink>
        </w:p>
        <w:p w:rsidR="002F4269" w:rsidRPr="002F4269" w:rsidRDefault="002F0191">
          <w:pPr>
            <w:pStyle w:val="21"/>
            <w:tabs>
              <w:tab w:val="right" w:leader="dot" w:pos="9628"/>
            </w:tabs>
            <w:rPr>
              <w:rFonts w:ascii="Times New Roman" w:eastAsiaTheme="minorEastAsia" w:hAnsi="Times New Roman" w:cs="Times New Roman"/>
              <w:noProof/>
              <w:sz w:val="24"/>
              <w:lang w:eastAsia="ru-RU"/>
            </w:rPr>
          </w:pPr>
          <w:hyperlink w:anchor="_Toc482547522" w:history="1">
            <w:r w:rsidR="002F4269" w:rsidRPr="002F4269">
              <w:rPr>
                <w:rStyle w:val="a4"/>
                <w:rFonts w:ascii="Times New Roman" w:eastAsia="Times New Roman" w:hAnsi="Times New Roman" w:cs="Times New Roman"/>
                <w:noProof/>
                <w:sz w:val="24"/>
              </w:rPr>
              <w:t>3.3 Оценка эффективности поглощения методом EPS accretion/dilution</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_Toc482547522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41</w:t>
            </w:r>
            <w:r w:rsidR="002F4269" w:rsidRPr="002F4269">
              <w:rPr>
                <w:rFonts w:ascii="Times New Roman" w:hAnsi="Times New Roman" w:cs="Times New Roman"/>
                <w:noProof/>
                <w:webHidden/>
                <w:sz w:val="24"/>
              </w:rPr>
              <w:fldChar w:fldCharType="end"/>
            </w:r>
          </w:hyperlink>
        </w:p>
        <w:p w:rsidR="002F4269" w:rsidRPr="002F4269" w:rsidRDefault="002F0191">
          <w:pPr>
            <w:pStyle w:val="21"/>
            <w:tabs>
              <w:tab w:val="right" w:leader="dot" w:pos="9628"/>
            </w:tabs>
            <w:rPr>
              <w:rFonts w:ascii="Times New Roman" w:eastAsiaTheme="minorEastAsia" w:hAnsi="Times New Roman" w:cs="Times New Roman"/>
              <w:noProof/>
              <w:sz w:val="24"/>
              <w:lang w:eastAsia="ru-RU"/>
            </w:rPr>
          </w:pPr>
          <w:hyperlink w:anchor="_Toc482547523" w:history="1">
            <w:r w:rsidR="002F4269" w:rsidRPr="002F4269">
              <w:rPr>
                <w:rStyle w:val="a4"/>
                <w:rFonts w:ascii="Times New Roman" w:eastAsia="Times New Roman" w:hAnsi="Times New Roman" w:cs="Times New Roman"/>
                <w:noProof/>
                <w:sz w:val="24"/>
              </w:rPr>
              <w:t>3.4 Оценка эффективности поглощения методом Event studies</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_Toc482547523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43</w:t>
            </w:r>
            <w:r w:rsidR="002F4269" w:rsidRPr="002F4269">
              <w:rPr>
                <w:rFonts w:ascii="Times New Roman" w:hAnsi="Times New Roman" w:cs="Times New Roman"/>
                <w:noProof/>
                <w:webHidden/>
                <w:sz w:val="24"/>
              </w:rPr>
              <w:fldChar w:fldCharType="end"/>
            </w:r>
          </w:hyperlink>
        </w:p>
        <w:p w:rsidR="002F4269" w:rsidRPr="002F4269" w:rsidRDefault="002F0191">
          <w:pPr>
            <w:pStyle w:val="21"/>
            <w:tabs>
              <w:tab w:val="right" w:leader="dot" w:pos="9628"/>
            </w:tabs>
            <w:rPr>
              <w:rFonts w:ascii="Times New Roman" w:eastAsiaTheme="minorEastAsia" w:hAnsi="Times New Roman" w:cs="Times New Roman"/>
              <w:noProof/>
              <w:sz w:val="24"/>
              <w:lang w:eastAsia="ru-RU"/>
            </w:rPr>
          </w:pPr>
          <w:hyperlink w:anchor="_Toc482547524" w:history="1">
            <w:r w:rsidR="002F4269" w:rsidRPr="002F4269">
              <w:rPr>
                <w:rStyle w:val="a4"/>
                <w:rFonts w:ascii="Times New Roman" w:eastAsia="Times New Roman" w:hAnsi="Times New Roman" w:cs="Times New Roman"/>
                <w:noProof/>
                <w:sz w:val="24"/>
              </w:rPr>
              <w:t>3.5 Сравнение результатов оценки эффективности сделки Роснефть – ТНК-ВР Холдинг, полученных при применении разных методов</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_Toc482547524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47</w:t>
            </w:r>
            <w:r w:rsidR="002F4269" w:rsidRPr="002F4269">
              <w:rPr>
                <w:rFonts w:ascii="Times New Roman" w:hAnsi="Times New Roman" w:cs="Times New Roman"/>
                <w:noProof/>
                <w:webHidden/>
                <w:sz w:val="24"/>
              </w:rPr>
              <w:fldChar w:fldCharType="end"/>
            </w:r>
          </w:hyperlink>
        </w:p>
        <w:p w:rsidR="002F4269" w:rsidRPr="002F4269" w:rsidRDefault="002F0191">
          <w:pPr>
            <w:pStyle w:val="11"/>
            <w:tabs>
              <w:tab w:val="right" w:leader="dot" w:pos="9628"/>
            </w:tabs>
            <w:rPr>
              <w:rFonts w:ascii="Times New Roman" w:eastAsiaTheme="minorEastAsia" w:hAnsi="Times New Roman" w:cs="Times New Roman"/>
              <w:noProof/>
              <w:sz w:val="24"/>
              <w:lang w:eastAsia="ru-RU"/>
            </w:rPr>
          </w:pPr>
          <w:hyperlink w:anchor="_Toc482547525" w:history="1">
            <w:r w:rsidR="002F4269" w:rsidRPr="002F4269">
              <w:rPr>
                <w:rStyle w:val="a4"/>
                <w:rFonts w:ascii="Times New Roman" w:hAnsi="Times New Roman" w:cs="Times New Roman"/>
                <w:noProof/>
                <w:sz w:val="24"/>
              </w:rPr>
              <w:t>Заключение</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_Toc482547525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51</w:t>
            </w:r>
            <w:r w:rsidR="002F4269" w:rsidRPr="002F4269">
              <w:rPr>
                <w:rFonts w:ascii="Times New Roman" w:hAnsi="Times New Roman" w:cs="Times New Roman"/>
                <w:noProof/>
                <w:webHidden/>
                <w:sz w:val="24"/>
              </w:rPr>
              <w:fldChar w:fldCharType="end"/>
            </w:r>
          </w:hyperlink>
        </w:p>
        <w:p w:rsidR="002F4269" w:rsidRPr="002F4269" w:rsidRDefault="002F0191">
          <w:pPr>
            <w:pStyle w:val="11"/>
            <w:tabs>
              <w:tab w:val="right" w:leader="dot" w:pos="9628"/>
            </w:tabs>
            <w:rPr>
              <w:rFonts w:ascii="Times New Roman" w:eastAsiaTheme="minorEastAsia" w:hAnsi="Times New Roman" w:cs="Times New Roman"/>
              <w:noProof/>
              <w:sz w:val="24"/>
              <w:lang w:eastAsia="ru-RU"/>
            </w:rPr>
          </w:pPr>
          <w:hyperlink w:anchor="_Toc482547526" w:history="1">
            <w:r w:rsidR="002F4269" w:rsidRPr="002F4269">
              <w:rPr>
                <w:rStyle w:val="a4"/>
                <w:rFonts w:ascii="Times New Roman" w:hAnsi="Times New Roman" w:cs="Times New Roman"/>
                <w:noProof/>
                <w:sz w:val="24"/>
              </w:rPr>
              <w:t>Список использованных источников</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_Toc482547526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53</w:t>
            </w:r>
            <w:r w:rsidR="002F4269" w:rsidRPr="002F4269">
              <w:rPr>
                <w:rFonts w:ascii="Times New Roman" w:hAnsi="Times New Roman" w:cs="Times New Roman"/>
                <w:noProof/>
                <w:webHidden/>
                <w:sz w:val="24"/>
              </w:rPr>
              <w:fldChar w:fldCharType="end"/>
            </w:r>
          </w:hyperlink>
        </w:p>
        <w:p w:rsidR="002F4269" w:rsidRDefault="002F0191">
          <w:pPr>
            <w:pStyle w:val="11"/>
            <w:tabs>
              <w:tab w:val="right" w:leader="dot" w:pos="9628"/>
            </w:tabs>
            <w:rPr>
              <w:rFonts w:eastAsiaTheme="minorEastAsia"/>
              <w:noProof/>
              <w:lang w:eastAsia="ru-RU"/>
            </w:rPr>
          </w:pPr>
          <w:hyperlink w:anchor="_Toc482547527" w:history="1">
            <w:r w:rsidR="002F4269" w:rsidRPr="002F4269">
              <w:rPr>
                <w:rStyle w:val="a4"/>
                <w:rFonts w:ascii="Times New Roman" w:hAnsi="Times New Roman" w:cs="Times New Roman"/>
                <w:noProof/>
                <w:sz w:val="24"/>
              </w:rPr>
              <w:t>Приложения</w:t>
            </w:r>
            <w:r w:rsidR="002F4269" w:rsidRPr="002F4269">
              <w:rPr>
                <w:rFonts w:ascii="Times New Roman" w:hAnsi="Times New Roman" w:cs="Times New Roman"/>
                <w:noProof/>
                <w:webHidden/>
                <w:sz w:val="24"/>
              </w:rPr>
              <w:tab/>
            </w:r>
            <w:r w:rsidR="002F4269" w:rsidRPr="002F4269">
              <w:rPr>
                <w:rFonts w:ascii="Times New Roman" w:hAnsi="Times New Roman" w:cs="Times New Roman"/>
                <w:noProof/>
                <w:webHidden/>
                <w:sz w:val="24"/>
              </w:rPr>
              <w:fldChar w:fldCharType="begin"/>
            </w:r>
            <w:r w:rsidR="002F4269" w:rsidRPr="002F4269">
              <w:rPr>
                <w:rFonts w:ascii="Times New Roman" w:hAnsi="Times New Roman" w:cs="Times New Roman"/>
                <w:noProof/>
                <w:webHidden/>
                <w:sz w:val="24"/>
              </w:rPr>
              <w:instrText xml:space="preserve"> PAGEREF _Toc482547527 \h </w:instrText>
            </w:r>
            <w:r w:rsidR="002F4269" w:rsidRPr="002F4269">
              <w:rPr>
                <w:rFonts w:ascii="Times New Roman" w:hAnsi="Times New Roman" w:cs="Times New Roman"/>
                <w:noProof/>
                <w:webHidden/>
                <w:sz w:val="24"/>
              </w:rPr>
            </w:r>
            <w:r w:rsidR="002F4269" w:rsidRPr="002F4269">
              <w:rPr>
                <w:rFonts w:ascii="Times New Roman" w:hAnsi="Times New Roman" w:cs="Times New Roman"/>
                <w:noProof/>
                <w:webHidden/>
                <w:sz w:val="24"/>
              </w:rPr>
              <w:fldChar w:fldCharType="separate"/>
            </w:r>
            <w:r w:rsidR="002F4269" w:rsidRPr="002F4269">
              <w:rPr>
                <w:rFonts w:ascii="Times New Roman" w:hAnsi="Times New Roman" w:cs="Times New Roman"/>
                <w:noProof/>
                <w:webHidden/>
                <w:sz w:val="24"/>
              </w:rPr>
              <w:t>56</w:t>
            </w:r>
            <w:r w:rsidR="002F4269" w:rsidRPr="002F4269">
              <w:rPr>
                <w:rFonts w:ascii="Times New Roman" w:hAnsi="Times New Roman" w:cs="Times New Roman"/>
                <w:noProof/>
                <w:webHidden/>
                <w:sz w:val="24"/>
              </w:rPr>
              <w:fldChar w:fldCharType="end"/>
            </w:r>
          </w:hyperlink>
        </w:p>
        <w:p w:rsidR="0035688F" w:rsidRPr="003436FE" w:rsidRDefault="0035688F">
          <w:pPr>
            <w:rPr>
              <w:rFonts w:ascii="Times New Roman" w:hAnsi="Times New Roman" w:cs="Times New Roman"/>
              <w:sz w:val="24"/>
              <w:szCs w:val="24"/>
            </w:rPr>
          </w:pPr>
          <w:r w:rsidRPr="003436FE">
            <w:rPr>
              <w:rFonts w:ascii="Times New Roman" w:hAnsi="Times New Roman" w:cs="Times New Roman"/>
              <w:b/>
              <w:bCs/>
              <w:sz w:val="24"/>
              <w:szCs w:val="24"/>
            </w:rPr>
            <w:fldChar w:fldCharType="end"/>
          </w:r>
        </w:p>
      </w:sdtContent>
    </w:sdt>
    <w:p w:rsidR="0035688F" w:rsidRDefault="0035688F">
      <w:pPr>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br w:type="page"/>
      </w:r>
    </w:p>
    <w:p w:rsidR="0059775B" w:rsidRPr="006F769D" w:rsidRDefault="0059775B" w:rsidP="0035688F">
      <w:pPr>
        <w:pStyle w:val="1"/>
        <w:spacing w:after="240"/>
        <w:jc w:val="center"/>
        <w:rPr>
          <w:rFonts w:ascii="Times New Roman" w:hAnsi="Times New Roman" w:cs="Times New Roman"/>
          <w:color w:val="auto"/>
        </w:rPr>
      </w:pPr>
      <w:bookmarkStart w:id="0" w:name="_Toc482547510"/>
      <w:r w:rsidRPr="006F769D">
        <w:rPr>
          <w:rFonts w:ascii="Times New Roman" w:hAnsi="Times New Roman" w:cs="Times New Roman"/>
          <w:color w:val="auto"/>
        </w:rPr>
        <w:lastRenderedPageBreak/>
        <w:t>Введение</w:t>
      </w:r>
      <w:bookmarkEnd w:id="0"/>
    </w:p>
    <w:p w:rsidR="0059775B" w:rsidRDefault="0059775B" w:rsidP="0059775B">
      <w:pPr>
        <w:spacing w:line="360" w:lineRule="auto"/>
        <w:ind w:firstLine="709"/>
        <w:jc w:val="both"/>
        <w:rPr>
          <w:rFonts w:ascii="Times New Roman" w:hAnsi="Times New Roman" w:cs="Times New Roman"/>
          <w:sz w:val="24"/>
          <w:szCs w:val="24"/>
        </w:rPr>
      </w:pPr>
      <w:r w:rsidRPr="00464F1F">
        <w:rPr>
          <w:rFonts w:ascii="Times New Roman" w:hAnsi="Times New Roman" w:cs="Times New Roman"/>
          <w:sz w:val="24"/>
          <w:szCs w:val="24"/>
        </w:rPr>
        <w:t xml:space="preserve">В современном мире компании вынуждены искать эффективные методы для того, чтобы развиваться, оставаться конкурентоспособными на рынке и увеличивать свою рентабельность и стоимость. На данный момент одним из таких методов является заключение сделок по слиянию и поглощению. </w:t>
      </w:r>
    </w:p>
    <w:p w:rsidR="0059775B" w:rsidRDefault="0059775B" w:rsidP="0059775B">
      <w:pPr>
        <w:spacing w:line="360" w:lineRule="auto"/>
        <w:ind w:firstLine="709"/>
        <w:jc w:val="both"/>
        <w:rPr>
          <w:rFonts w:ascii="Times New Roman" w:hAnsi="Times New Roman" w:cs="Times New Roman"/>
          <w:sz w:val="24"/>
          <w:szCs w:val="24"/>
        </w:rPr>
      </w:pPr>
      <w:r w:rsidRPr="00054102">
        <w:rPr>
          <w:rFonts w:ascii="Times New Roman" w:hAnsi="Times New Roman" w:cs="Times New Roman"/>
          <w:sz w:val="24"/>
          <w:szCs w:val="24"/>
        </w:rPr>
        <w:t>В последние годы активность в сфере слияний и поглощений стала главной движущей силой экономического роста во всем мире.</w:t>
      </w:r>
      <w:r>
        <w:rPr>
          <w:rFonts w:ascii="Times New Roman" w:hAnsi="Times New Roman" w:cs="Times New Roman"/>
          <w:sz w:val="24"/>
          <w:szCs w:val="24"/>
        </w:rPr>
        <w:t xml:space="preserve"> Все чаще компании объединяются с целью создания более крупного бизнеса и укрепления своих позиций на рынке. Как правило, объединение нескольких компаний приводит к росту рыночной стоимости образовавшейся в результате сделки по слиянию и поглощению компании, а также к получению синергетических выгод.</w:t>
      </w:r>
    </w:p>
    <w:p w:rsidR="0059775B" w:rsidRPr="00DC1A73" w:rsidRDefault="0059775B" w:rsidP="0059775B">
      <w:pPr>
        <w:spacing w:line="360" w:lineRule="auto"/>
        <w:ind w:firstLine="709"/>
        <w:jc w:val="both"/>
        <w:rPr>
          <w:rFonts w:ascii="Times New Roman" w:hAnsi="Times New Roman" w:cs="Times New Roman"/>
          <w:sz w:val="24"/>
          <w:szCs w:val="24"/>
        </w:rPr>
      </w:pPr>
      <w:r w:rsidRPr="00DC1A73">
        <w:rPr>
          <w:rFonts w:ascii="Times New Roman" w:hAnsi="Times New Roman" w:cs="Times New Roman"/>
          <w:sz w:val="24"/>
          <w:szCs w:val="24"/>
        </w:rPr>
        <w:t>Даже в период сложной экономической ситуации в стране стратегия слияний и поглощений остается действенной, хоть число сделок и снижается. Наиболее крупные компании путём приобретения слабых или недооцененных пытаются создать более конкурентоспособную и сильную фирму либо получить ряд выгод, например, такие как сокращение затрат или рост доходов.</w:t>
      </w:r>
    </w:p>
    <w:p w:rsidR="0059775B" w:rsidRDefault="0059775B" w:rsidP="0059775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данный момент рынок слияний и поглощений отличается значительной активностью в нефтегазовой отрасли, в последние годы было заключено множество крупных </w:t>
      </w:r>
      <w:proofErr w:type="gramStart"/>
      <w:r>
        <w:rPr>
          <w:rFonts w:ascii="Times New Roman" w:hAnsi="Times New Roman" w:cs="Times New Roman"/>
          <w:sz w:val="24"/>
          <w:szCs w:val="24"/>
        </w:rPr>
        <w:t>сделок</w:t>
      </w:r>
      <w:proofErr w:type="gramEnd"/>
      <w:r>
        <w:rPr>
          <w:rFonts w:ascii="Times New Roman" w:hAnsi="Times New Roman" w:cs="Times New Roman"/>
          <w:sz w:val="24"/>
          <w:szCs w:val="24"/>
        </w:rPr>
        <w:t xml:space="preserve"> как на российском, так и на иностранном рынках. Именно поэтому данная отрасль была выбрана для исследования.</w:t>
      </w:r>
    </w:p>
    <w:p w:rsidR="0059775B" w:rsidRPr="006F769D" w:rsidRDefault="0059775B" w:rsidP="0059775B">
      <w:pPr>
        <w:spacing w:line="360" w:lineRule="auto"/>
        <w:ind w:firstLine="567"/>
        <w:jc w:val="both"/>
        <w:rPr>
          <w:rFonts w:ascii="Times New Roman" w:hAnsi="Times New Roman"/>
          <w:sz w:val="24"/>
          <w:szCs w:val="28"/>
        </w:rPr>
      </w:pPr>
      <w:r>
        <w:rPr>
          <w:rFonts w:ascii="Times New Roman" w:hAnsi="Times New Roman"/>
          <w:sz w:val="24"/>
          <w:szCs w:val="28"/>
        </w:rPr>
        <w:t xml:space="preserve">Целью выпускной квалификационной работы является </w:t>
      </w:r>
      <w:r w:rsidRPr="00C263A6">
        <w:rPr>
          <w:rFonts w:ascii="Times New Roman" w:hAnsi="Times New Roman"/>
          <w:sz w:val="24"/>
          <w:szCs w:val="28"/>
        </w:rPr>
        <w:t xml:space="preserve">изучение основ сделок слияний и поглощений, а также непосредственно проведение </w:t>
      </w:r>
      <w:r>
        <w:rPr>
          <w:rFonts w:ascii="Times New Roman" w:hAnsi="Times New Roman"/>
          <w:sz w:val="24"/>
          <w:szCs w:val="28"/>
        </w:rPr>
        <w:t xml:space="preserve">и анализ </w:t>
      </w:r>
      <w:r w:rsidRPr="00C263A6">
        <w:rPr>
          <w:rFonts w:ascii="Times New Roman" w:hAnsi="Times New Roman"/>
          <w:sz w:val="24"/>
          <w:szCs w:val="28"/>
        </w:rPr>
        <w:t xml:space="preserve">оценки </w:t>
      </w:r>
      <w:r>
        <w:rPr>
          <w:rFonts w:ascii="Times New Roman" w:hAnsi="Times New Roman"/>
          <w:sz w:val="24"/>
          <w:szCs w:val="28"/>
        </w:rPr>
        <w:t>эффективности сделок различными методами. Для оценки эффективности было решено проанал</w:t>
      </w:r>
      <w:r w:rsidR="006F49AF">
        <w:rPr>
          <w:rFonts w:ascii="Times New Roman" w:hAnsi="Times New Roman"/>
          <w:sz w:val="24"/>
          <w:szCs w:val="28"/>
        </w:rPr>
        <w:t>изировать конкретную сделку по п</w:t>
      </w:r>
      <w:r>
        <w:rPr>
          <w:rFonts w:ascii="Times New Roman" w:hAnsi="Times New Roman"/>
          <w:sz w:val="24"/>
          <w:szCs w:val="28"/>
        </w:rPr>
        <w:t>оглощению</w:t>
      </w:r>
      <w:r w:rsidRPr="00FF24B2">
        <w:rPr>
          <w:rFonts w:ascii="Times New Roman" w:hAnsi="Times New Roman"/>
          <w:sz w:val="24"/>
          <w:szCs w:val="28"/>
        </w:rPr>
        <w:t xml:space="preserve"> ОАО «НК «Роснефть» ОАО «ТНК-ВР Холдинг»</w:t>
      </w:r>
      <w:r>
        <w:rPr>
          <w:rFonts w:ascii="Times New Roman" w:hAnsi="Times New Roman"/>
          <w:sz w:val="24"/>
          <w:szCs w:val="28"/>
        </w:rPr>
        <w:t xml:space="preserve">. Данная сделка была выбрана не случайно: она занимает первое место в рейтинге крупнейших сделок </w:t>
      </w:r>
      <w:r>
        <w:rPr>
          <w:rFonts w:ascii="Times New Roman" w:hAnsi="Times New Roman"/>
          <w:sz w:val="24"/>
          <w:szCs w:val="28"/>
          <w:lang w:val="en-US"/>
        </w:rPr>
        <w:t>M</w:t>
      </w:r>
      <w:r w:rsidRPr="006F769D">
        <w:rPr>
          <w:rFonts w:ascii="Times New Roman" w:hAnsi="Times New Roman"/>
          <w:sz w:val="24"/>
          <w:szCs w:val="28"/>
        </w:rPr>
        <w:t>&amp;</w:t>
      </w:r>
      <w:r>
        <w:rPr>
          <w:rFonts w:ascii="Times New Roman" w:hAnsi="Times New Roman"/>
          <w:sz w:val="24"/>
          <w:szCs w:val="28"/>
          <w:lang w:val="en-US"/>
        </w:rPr>
        <w:t>A</w:t>
      </w:r>
      <w:r w:rsidRPr="006F769D">
        <w:rPr>
          <w:rFonts w:ascii="Times New Roman" w:hAnsi="Times New Roman"/>
          <w:sz w:val="24"/>
          <w:szCs w:val="28"/>
        </w:rPr>
        <w:t xml:space="preserve"> </w:t>
      </w:r>
      <w:r>
        <w:rPr>
          <w:rFonts w:ascii="Times New Roman" w:hAnsi="Times New Roman"/>
          <w:sz w:val="24"/>
          <w:szCs w:val="28"/>
        </w:rPr>
        <w:t>2013 года.</w:t>
      </w:r>
    </w:p>
    <w:p w:rsidR="0059775B" w:rsidRDefault="006F49AF" w:rsidP="0059775B">
      <w:pPr>
        <w:spacing w:line="360" w:lineRule="auto"/>
        <w:ind w:firstLine="567"/>
        <w:jc w:val="both"/>
        <w:rPr>
          <w:rFonts w:ascii="Times New Roman" w:hAnsi="Times New Roman"/>
          <w:sz w:val="24"/>
          <w:szCs w:val="28"/>
        </w:rPr>
      </w:pPr>
      <w:r>
        <w:rPr>
          <w:rFonts w:ascii="Times New Roman" w:hAnsi="Times New Roman"/>
          <w:sz w:val="24"/>
          <w:szCs w:val="28"/>
        </w:rPr>
        <w:t>Для достижения поставленной</w:t>
      </w:r>
      <w:r w:rsidR="0059775B">
        <w:rPr>
          <w:rFonts w:ascii="Times New Roman" w:hAnsi="Times New Roman"/>
          <w:sz w:val="24"/>
          <w:szCs w:val="28"/>
        </w:rPr>
        <w:t xml:space="preserve"> цели необходимо решить следующие задачи:</w:t>
      </w:r>
    </w:p>
    <w:p w:rsidR="0059775B" w:rsidRDefault="0059775B" w:rsidP="0059775B">
      <w:pPr>
        <w:pStyle w:val="a3"/>
        <w:numPr>
          <w:ilvl w:val="0"/>
          <w:numId w:val="1"/>
        </w:numPr>
        <w:spacing w:line="360" w:lineRule="auto"/>
        <w:jc w:val="both"/>
        <w:rPr>
          <w:rFonts w:ascii="Times New Roman" w:hAnsi="Times New Roman"/>
          <w:sz w:val="24"/>
          <w:szCs w:val="28"/>
        </w:rPr>
      </w:pPr>
      <w:r>
        <w:rPr>
          <w:rFonts w:ascii="Times New Roman" w:hAnsi="Times New Roman"/>
          <w:sz w:val="24"/>
          <w:szCs w:val="28"/>
        </w:rPr>
        <w:t>дать понятие и выявить сущность сделок слияний и поглощений;</w:t>
      </w:r>
    </w:p>
    <w:p w:rsidR="0059775B" w:rsidRDefault="0059775B" w:rsidP="0059775B">
      <w:pPr>
        <w:pStyle w:val="a3"/>
        <w:numPr>
          <w:ilvl w:val="0"/>
          <w:numId w:val="1"/>
        </w:numPr>
        <w:spacing w:line="360" w:lineRule="auto"/>
        <w:jc w:val="both"/>
        <w:rPr>
          <w:rFonts w:ascii="Times New Roman" w:hAnsi="Times New Roman"/>
          <w:sz w:val="24"/>
          <w:szCs w:val="28"/>
        </w:rPr>
      </w:pPr>
      <w:r>
        <w:rPr>
          <w:rFonts w:ascii="Times New Roman" w:hAnsi="Times New Roman"/>
          <w:sz w:val="24"/>
          <w:szCs w:val="28"/>
        </w:rPr>
        <w:t>охарактеризовать современный рынок сделок слияний и поглощений в нефтегазовой отрасли;</w:t>
      </w:r>
    </w:p>
    <w:p w:rsidR="0059775B" w:rsidRDefault="0059775B" w:rsidP="0059775B">
      <w:pPr>
        <w:pStyle w:val="a3"/>
        <w:numPr>
          <w:ilvl w:val="0"/>
          <w:numId w:val="1"/>
        </w:numPr>
        <w:spacing w:line="360" w:lineRule="auto"/>
        <w:jc w:val="both"/>
        <w:rPr>
          <w:rFonts w:ascii="Times New Roman" w:hAnsi="Times New Roman"/>
          <w:sz w:val="24"/>
          <w:szCs w:val="28"/>
        </w:rPr>
      </w:pPr>
      <w:r>
        <w:rPr>
          <w:rFonts w:ascii="Times New Roman" w:hAnsi="Times New Roman"/>
          <w:sz w:val="24"/>
          <w:szCs w:val="28"/>
        </w:rPr>
        <w:t>рассмотреть некоторые методы оценки эффективности сделок;</w:t>
      </w:r>
    </w:p>
    <w:p w:rsidR="0059775B" w:rsidRDefault="0059775B" w:rsidP="0059775B">
      <w:pPr>
        <w:pStyle w:val="a3"/>
        <w:numPr>
          <w:ilvl w:val="0"/>
          <w:numId w:val="1"/>
        </w:numPr>
        <w:spacing w:line="360" w:lineRule="auto"/>
        <w:jc w:val="both"/>
        <w:rPr>
          <w:rFonts w:ascii="Times New Roman" w:hAnsi="Times New Roman"/>
          <w:sz w:val="24"/>
          <w:szCs w:val="28"/>
        </w:rPr>
      </w:pPr>
      <w:r>
        <w:rPr>
          <w:rFonts w:ascii="Times New Roman" w:hAnsi="Times New Roman"/>
          <w:sz w:val="24"/>
          <w:szCs w:val="28"/>
        </w:rPr>
        <w:lastRenderedPageBreak/>
        <w:t xml:space="preserve">провести анализ эффективности сделки по приобретению ОАО «НК «Роснефть» </w:t>
      </w:r>
      <w:r w:rsidRPr="00C02F15">
        <w:rPr>
          <w:rFonts w:ascii="Times New Roman" w:hAnsi="Times New Roman"/>
          <w:sz w:val="24"/>
          <w:szCs w:val="28"/>
        </w:rPr>
        <w:t>ОАО «ТНК-ВР Холдинг»</w:t>
      </w:r>
      <w:r>
        <w:rPr>
          <w:rFonts w:ascii="Times New Roman" w:hAnsi="Times New Roman"/>
          <w:sz w:val="24"/>
          <w:szCs w:val="28"/>
        </w:rPr>
        <w:t xml:space="preserve"> несколькими методами;</w:t>
      </w:r>
    </w:p>
    <w:p w:rsidR="0059775B" w:rsidRDefault="0059775B" w:rsidP="0059775B">
      <w:pPr>
        <w:pStyle w:val="a3"/>
        <w:numPr>
          <w:ilvl w:val="0"/>
          <w:numId w:val="1"/>
        </w:numPr>
        <w:spacing w:line="360" w:lineRule="auto"/>
        <w:jc w:val="both"/>
        <w:rPr>
          <w:rFonts w:ascii="Times New Roman" w:hAnsi="Times New Roman"/>
          <w:sz w:val="24"/>
          <w:szCs w:val="28"/>
        </w:rPr>
      </w:pPr>
      <w:r>
        <w:rPr>
          <w:rFonts w:ascii="Times New Roman" w:hAnsi="Times New Roman"/>
          <w:sz w:val="24"/>
          <w:szCs w:val="28"/>
        </w:rPr>
        <w:t>сравнить результаты анализа сделки и сделать соответствующие выводы.</w:t>
      </w:r>
    </w:p>
    <w:p w:rsidR="0059775B" w:rsidRDefault="006F49AF" w:rsidP="0059775B">
      <w:pPr>
        <w:spacing w:line="360" w:lineRule="auto"/>
        <w:ind w:firstLine="567"/>
        <w:jc w:val="both"/>
        <w:rPr>
          <w:rFonts w:ascii="Times New Roman" w:hAnsi="Times New Roman"/>
          <w:sz w:val="24"/>
          <w:szCs w:val="28"/>
        </w:rPr>
      </w:pPr>
      <w:r>
        <w:rPr>
          <w:rFonts w:ascii="Times New Roman" w:hAnsi="Times New Roman"/>
          <w:sz w:val="24"/>
          <w:szCs w:val="28"/>
        </w:rPr>
        <w:t>Объектом исследования выступают</w:t>
      </w:r>
      <w:r w:rsidR="0059775B">
        <w:rPr>
          <w:rFonts w:ascii="Times New Roman" w:hAnsi="Times New Roman"/>
          <w:sz w:val="24"/>
          <w:szCs w:val="28"/>
        </w:rPr>
        <w:t xml:space="preserve"> сделки слияний и поглощений.</w:t>
      </w:r>
    </w:p>
    <w:p w:rsidR="0059775B" w:rsidRDefault="006F49AF" w:rsidP="0059775B">
      <w:pPr>
        <w:spacing w:line="360" w:lineRule="auto"/>
        <w:ind w:firstLine="567"/>
        <w:jc w:val="both"/>
        <w:rPr>
          <w:rFonts w:ascii="Times New Roman" w:hAnsi="Times New Roman"/>
          <w:sz w:val="24"/>
          <w:szCs w:val="28"/>
        </w:rPr>
      </w:pPr>
      <w:r>
        <w:rPr>
          <w:rFonts w:ascii="Times New Roman" w:hAnsi="Times New Roman"/>
          <w:sz w:val="24"/>
          <w:szCs w:val="28"/>
        </w:rPr>
        <w:t>Предмет исследования –</w:t>
      </w:r>
      <w:r w:rsidR="0059775B">
        <w:rPr>
          <w:rFonts w:ascii="Times New Roman" w:hAnsi="Times New Roman"/>
          <w:sz w:val="24"/>
          <w:szCs w:val="28"/>
        </w:rPr>
        <w:t xml:space="preserve"> оценка эффективности </w:t>
      </w:r>
      <w:r>
        <w:rPr>
          <w:rFonts w:ascii="Times New Roman" w:hAnsi="Times New Roman"/>
          <w:sz w:val="24"/>
          <w:szCs w:val="28"/>
        </w:rPr>
        <w:t xml:space="preserve">сделок </w:t>
      </w:r>
      <w:r>
        <w:rPr>
          <w:rFonts w:ascii="Times New Roman" w:hAnsi="Times New Roman"/>
          <w:sz w:val="24"/>
          <w:szCs w:val="28"/>
          <w:lang w:val="en-US"/>
        </w:rPr>
        <w:t>M</w:t>
      </w:r>
      <w:r w:rsidRPr="006F49AF">
        <w:rPr>
          <w:rFonts w:ascii="Times New Roman" w:hAnsi="Times New Roman"/>
          <w:sz w:val="24"/>
          <w:szCs w:val="28"/>
        </w:rPr>
        <w:t>&amp;</w:t>
      </w:r>
      <w:r>
        <w:rPr>
          <w:rFonts w:ascii="Times New Roman" w:hAnsi="Times New Roman"/>
          <w:sz w:val="24"/>
          <w:szCs w:val="28"/>
          <w:lang w:val="en-US"/>
        </w:rPr>
        <w:t>A</w:t>
      </w:r>
      <w:r w:rsidR="0059775B">
        <w:rPr>
          <w:rFonts w:ascii="Times New Roman" w:hAnsi="Times New Roman"/>
          <w:sz w:val="24"/>
          <w:szCs w:val="28"/>
        </w:rPr>
        <w:t xml:space="preserve"> компаний.</w:t>
      </w:r>
    </w:p>
    <w:p w:rsidR="0059775B" w:rsidRDefault="0059775B" w:rsidP="0059775B">
      <w:pPr>
        <w:spacing w:line="360" w:lineRule="auto"/>
        <w:ind w:firstLine="567"/>
        <w:jc w:val="both"/>
        <w:rPr>
          <w:rFonts w:ascii="Times New Roman" w:hAnsi="Times New Roman"/>
          <w:sz w:val="24"/>
          <w:szCs w:val="28"/>
        </w:rPr>
      </w:pPr>
      <w:r w:rsidRPr="001C5A38">
        <w:rPr>
          <w:rFonts w:ascii="Times New Roman" w:hAnsi="Times New Roman"/>
          <w:sz w:val="24"/>
          <w:szCs w:val="28"/>
        </w:rPr>
        <w:t xml:space="preserve">Теоретической основой исследования выступили труды российских и зарубежных специалистов в области оценки бизнеса и инвестиций. </w:t>
      </w:r>
      <w:r w:rsidR="006F49AF">
        <w:rPr>
          <w:rFonts w:ascii="Times New Roman" w:hAnsi="Times New Roman"/>
          <w:sz w:val="24"/>
          <w:szCs w:val="28"/>
        </w:rPr>
        <w:t>В качестве источников</w:t>
      </w:r>
      <w:r>
        <w:rPr>
          <w:rFonts w:ascii="Times New Roman" w:hAnsi="Times New Roman"/>
          <w:sz w:val="24"/>
          <w:szCs w:val="28"/>
        </w:rPr>
        <w:t xml:space="preserve"> при написании </w:t>
      </w:r>
      <w:r w:rsidRPr="001C5A38">
        <w:rPr>
          <w:rFonts w:ascii="Times New Roman" w:hAnsi="Times New Roman"/>
          <w:sz w:val="24"/>
          <w:szCs w:val="28"/>
        </w:rPr>
        <w:t xml:space="preserve">работы </w:t>
      </w:r>
      <w:r w:rsidR="006F49AF">
        <w:rPr>
          <w:rFonts w:ascii="Times New Roman" w:hAnsi="Times New Roman"/>
          <w:sz w:val="24"/>
          <w:szCs w:val="28"/>
        </w:rPr>
        <w:t xml:space="preserve">также </w:t>
      </w:r>
      <w:r w:rsidRPr="001C5A38">
        <w:rPr>
          <w:rFonts w:ascii="Times New Roman" w:hAnsi="Times New Roman"/>
          <w:sz w:val="24"/>
          <w:szCs w:val="28"/>
        </w:rPr>
        <w:t>были ис</w:t>
      </w:r>
      <w:r w:rsidR="006F49AF">
        <w:rPr>
          <w:rFonts w:ascii="Times New Roman" w:hAnsi="Times New Roman"/>
          <w:sz w:val="24"/>
          <w:szCs w:val="28"/>
        </w:rPr>
        <w:t>пользованы</w:t>
      </w:r>
      <w:r w:rsidRPr="001C5A38">
        <w:rPr>
          <w:rFonts w:ascii="Times New Roman" w:hAnsi="Times New Roman"/>
          <w:sz w:val="24"/>
          <w:szCs w:val="28"/>
        </w:rPr>
        <w:t xml:space="preserve"> </w:t>
      </w:r>
      <w:r w:rsidR="002C3412">
        <w:rPr>
          <w:rFonts w:ascii="Times New Roman" w:hAnsi="Times New Roman"/>
          <w:sz w:val="24"/>
          <w:szCs w:val="28"/>
        </w:rPr>
        <w:t>аналитические отчеты международных консалтинговых компаний (</w:t>
      </w:r>
      <w:r w:rsidR="002C3412">
        <w:rPr>
          <w:rFonts w:ascii="Times New Roman" w:hAnsi="Times New Roman"/>
          <w:sz w:val="24"/>
          <w:szCs w:val="28"/>
          <w:lang w:val="en-US"/>
        </w:rPr>
        <w:t>KPMG</w:t>
      </w:r>
      <w:r w:rsidR="002C3412" w:rsidRPr="002C3412">
        <w:rPr>
          <w:rFonts w:ascii="Times New Roman" w:hAnsi="Times New Roman"/>
          <w:sz w:val="24"/>
          <w:szCs w:val="28"/>
        </w:rPr>
        <w:t xml:space="preserve">, </w:t>
      </w:r>
      <w:r w:rsidR="002C3412">
        <w:rPr>
          <w:rFonts w:ascii="Times New Roman" w:hAnsi="Times New Roman"/>
          <w:sz w:val="24"/>
          <w:szCs w:val="28"/>
          <w:lang w:val="en-US"/>
        </w:rPr>
        <w:t>Deloitte</w:t>
      </w:r>
      <w:r w:rsidR="002C3412" w:rsidRPr="002C3412">
        <w:rPr>
          <w:rFonts w:ascii="Times New Roman" w:hAnsi="Times New Roman"/>
          <w:sz w:val="24"/>
          <w:szCs w:val="28"/>
        </w:rPr>
        <w:t xml:space="preserve">, </w:t>
      </w:r>
      <w:r w:rsidR="002C3412">
        <w:rPr>
          <w:rFonts w:ascii="Times New Roman" w:hAnsi="Times New Roman"/>
          <w:sz w:val="24"/>
          <w:szCs w:val="28"/>
          <w:lang w:val="en-US"/>
        </w:rPr>
        <w:t>McKinsey</w:t>
      </w:r>
      <w:r w:rsidR="002C3412" w:rsidRPr="002C3412">
        <w:rPr>
          <w:rFonts w:ascii="Times New Roman" w:hAnsi="Times New Roman"/>
          <w:sz w:val="24"/>
          <w:szCs w:val="28"/>
        </w:rPr>
        <w:t xml:space="preserve"> </w:t>
      </w:r>
      <w:r w:rsidR="002C3412">
        <w:rPr>
          <w:rFonts w:ascii="Times New Roman" w:hAnsi="Times New Roman"/>
          <w:sz w:val="24"/>
          <w:szCs w:val="28"/>
        </w:rPr>
        <w:t xml:space="preserve">и др.), </w:t>
      </w:r>
      <w:r w:rsidRPr="001C5A38">
        <w:rPr>
          <w:rFonts w:ascii="Times New Roman" w:hAnsi="Times New Roman"/>
          <w:sz w:val="24"/>
          <w:szCs w:val="28"/>
        </w:rPr>
        <w:t>нормативно-правовые документы</w:t>
      </w:r>
      <w:r w:rsidR="002C3412">
        <w:rPr>
          <w:rFonts w:ascii="Times New Roman" w:hAnsi="Times New Roman"/>
          <w:sz w:val="24"/>
          <w:szCs w:val="28"/>
        </w:rPr>
        <w:t>, отраслевые журналы</w:t>
      </w:r>
      <w:r>
        <w:rPr>
          <w:rFonts w:ascii="Times New Roman" w:hAnsi="Times New Roman"/>
          <w:sz w:val="24"/>
          <w:szCs w:val="28"/>
        </w:rPr>
        <w:t>,</w:t>
      </w:r>
      <w:r w:rsidR="002C3412">
        <w:rPr>
          <w:rFonts w:ascii="Times New Roman" w:hAnsi="Times New Roman"/>
          <w:sz w:val="24"/>
          <w:szCs w:val="28"/>
        </w:rPr>
        <w:t xml:space="preserve"> научные статьи, которые посвящены</w:t>
      </w:r>
      <w:r w:rsidRPr="001C5A38">
        <w:rPr>
          <w:rFonts w:ascii="Times New Roman" w:hAnsi="Times New Roman"/>
          <w:sz w:val="24"/>
          <w:szCs w:val="28"/>
        </w:rPr>
        <w:t xml:space="preserve"> оценке </w:t>
      </w:r>
      <w:r w:rsidR="002C3412">
        <w:rPr>
          <w:rFonts w:ascii="Times New Roman" w:hAnsi="Times New Roman"/>
          <w:sz w:val="24"/>
          <w:szCs w:val="28"/>
        </w:rPr>
        <w:t>эффективности сделок слияний и поглощений</w:t>
      </w:r>
      <w:r w:rsidRPr="001C5A38">
        <w:rPr>
          <w:rFonts w:ascii="Times New Roman" w:hAnsi="Times New Roman"/>
          <w:sz w:val="24"/>
          <w:szCs w:val="28"/>
        </w:rPr>
        <w:t>. Кроме того, были задействованы материал</w:t>
      </w:r>
      <w:r>
        <w:rPr>
          <w:rFonts w:ascii="Times New Roman" w:hAnsi="Times New Roman"/>
          <w:sz w:val="24"/>
          <w:szCs w:val="28"/>
        </w:rPr>
        <w:t>ы интернет-сайтов, официальные документы и отчетности компаний-участниц рассматриваемой сделки.</w:t>
      </w:r>
    </w:p>
    <w:p w:rsidR="0059775B" w:rsidRPr="003E3ABF" w:rsidRDefault="0059775B" w:rsidP="0059775B">
      <w:pPr>
        <w:spacing w:line="360" w:lineRule="auto"/>
        <w:ind w:firstLine="567"/>
        <w:jc w:val="both"/>
        <w:rPr>
          <w:rFonts w:ascii="Times New Roman" w:hAnsi="Times New Roman"/>
          <w:sz w:val="24"/>
          <w:szCs w:val="28"/>
        </w:rPr>
      </w:pPr>
      <w:r>
        <w:rPr>
          <w:rFonts w:ascii="Times New Roman" w:hAnsi="Times New Roman"/>
          <w:sz w:val="24"/>
          <w:szCs w:val="28"/>
        </w:rPr>
        <w:t>Для проведения оценки эффективности сделки между «НК «Роснефть» и</w:t>
      </w:r>
      <w:r w:rsidRPr="00C02F15">
        <w:rPr>
          <w:rFonts w:ascii="Times New Roman" w:hAnsi="Times New Roman"/>
          <w:sz w:val="24"/>
          <w:szCs w:val="28"/>
        </w:rPr>
        <w:t xml:space="preserve"> «ТНК-ВР Холдинг»</w:t>
      </w:r>
      <w:r>
        <w:rPr>
          <w:rFonts w:ascii="Times New Roman" w:hAnsi="Times New Roman"/>
          <w:sz w:val="24"/>
          <w:szCs w:val="28"/>
        </w:rPr>
        <w:t xml:space="preserve"> и последующего его анализа были задействованы такие базы данных, как </w:t>
      </w:r>
      <w:r>
        <w:rPr>
          <w:rFonts w:ascii="Times New Roman" w:hAnsi="Times New Roman"/>
          <w:sz w:val="24"/>
          <w:szCs w:val="28"/>
          <w:lang w:val="en-US"/>
        </w:rPr>
        <w:t>Zephyr</w:t>
      </w:r>
      <w:r w:rsidRPr="00643A16">
        <w:rPr>
          <w:rFonts w:ascii="Times New Roman" w:hAnsi="Times New Roman"/>
          <w:sz w:val="24"/>
          <w:szCs w:val="28"/>
        </w:rPr>
        <w:t xml:space="preserve">, </w:t>
      </w:r>
      <w:r>
        <w:rPr>
          <w:rFonts w:ascii="Times New Roman" w:hAnsi="Times New Roman"/>
          <w:sz w:val="24"/>
          <w:szCs w:val="28"/>
          <w:lang w:val="en-US"/>
        </w:rPr>
        <w:t>Yahoo</w:t>
      </w:r>
      <w:r w:rsidRPr="003E3ABF">
        <w:rPr>
          <w:rFonts w:ascii="Times New Roman" w:hAnsi="Times New Roman"/>
          <w:sz w:val="24"/>
          <w:szCs w:val="28"/>
        </w:rPr>
        <w:t xml:space="preserve"> </w:t>
      </w:r>
      <w:r>
        <w:rPr>
          <w:rFonts w:ascii="Times New Roman" w:hAnsi="Times New Roman"/>
          <w:sz w:val="24"/>
          <w:szCs w:val="28"/>
          <w:lang w:val="en-US"/>
        </w:rPr>
        <w:t>finance</w:t>
      </w:r>
      <w:r>
        <w:rPr>
          <w:rFonts w:ascii="Times New Roman" w:hAnsi="Times New Roman"/>
          <w:sz w:val="24"/>
          <w:szCs w:val="28"/>
        </w:rPr>
        <w:t xml:space="preserve">, </w:t>
      </w:r>
      <w:r>
        <w:rPr>
          <w:rFonts w:ascii="Times New Roman" w:hAnsi="Times New Roman"/>
          <w:sz w:val="24"/>
          <w:szCs w:val="28"/>
          <w:lang w:val="en-US"/>
        </w:rPr>
        <w:t>Bloomberg</w:t>
      </w:r>
      <w:r w:rsidRPr="003E3ABF">
        <w:rPr>
          <w:rFonts w:ascii="Times New Roman" w:hAnsi="Times New Roman"/>
          <w:sz w:val="24"/>
          <w:szCs w:val="28"/>
        </w:rPr>
        <w:t>.</w:t>
      </w:r>
    </w:p>
    <w:p w:rsidR="0059775B" w:rsidRDefault="0059775B" w:rsidP="0059775B">
      <w:pPr>
        <w:spacing w:line="360" w:lineRule="auto"/>
        <w:ind w:firstLine="567"/>
        <w:jc w:val="both"/>
        <w:rPr>
          <w:rFonts w:ascii="Times New Roman" w:hAnsi="Times New Roman"/>
          <w:sz w:val="24"/>
          <w:szCs w:val="28"/>
        </w:rPr>
      </w:pPr>
      <w:r>
        <w:rPr>
          <w:rFonts w:ascii="Times New Roman" w:hAnsi="Times New Roman"/>
          <w:sz w:val="24"/>
          <w:szCs w:val="28"/>
        </w:rPr>
        <w:t>Цели и задачи дипломной</w:t>
      </w:r>
      <w:r w:rsidRPr="001C5A38">
        <w:rPr>
          <w:rFonts w:ascii="Times New Roman" w:hAnsi="Times New Roman"/>
          <w:sz w:val="24"/>
          <w:szCs w:val="28"/>
        </w:rPr>
        <w:t xml:space="preserve"> работы предопределили ее структуру. </w:t>
      </w:r>
      <w:r w:rsidR="002C3412">
        <w:rPr>
          <w:rFonts w:ascii="Times New Roman" w:hAnsi="Times New Roman"/>
          <w:sz w:val="24"/>
          <w:szCs w:val="28"/>
        </w:rPr>
        <w:t>Данная работа включает в себя введение</w:t>
      </w:r>
      <w:r>
        <w:rPr>
          <w:rFonts w:ascii="Times New Roman" w:hAnsi="Times New Roman"/>
          <w:sz w:val="24"/>
          <w:szCs w:val="28"/>
        </w:rPr>
        <w:t xml:space="preserve">, </w:t>
      </w:r>
      <w:r w:rsidR="002C3412">
        <w:rPr>
          <w:rFonts w:ascii="Times New Roman" w:hAnsi="Times New Roman"/>
          <w:sz w:val="24"/>
          <w:szCs w:val="28"/>
        </w:rPr>
        <w:t>три</w:t>
      </w:r>
      <w:r>
        <w:rPr>
          <w:rFonts w:ascii="Times New Roman" w:hAnsi="Times New Roman"/>
          <w:sz w:val="24"/>
          <w:szCs w:val="28"/>
        </w:rPr>
        <w:t xml:space="preserve"> </w:t>
      </w:r>
      <w:r w:rsidRPr="001C5A38">
        <w:rPr>
          <w:rFonts w:ascii="Times New Roman" w:hAnsi="Times New Roman"/>
          <w:sz w:val="24"/>
          <w:szCs w:val="28"/>
        </w:rPr>
        <w:t>глав</w:t>
      </w:r>
      <w:r w:rsidR="002C3412">
        <w:rPr>
          <w:rFonts w:ascii="Times New Roman" w:hAnsi="Times New Roman"/>
          <w:sz w:val="24"/>
          <w:szCs w:val="28"/>
        </w:rPr>
        <w:t>ы, заключение, список литературы и приложения</w:t>
      </w:r>
      <w:r w:rsidRPr="001C5A38">
        <w:rPr>
          <w:rFonts w:ascii="Times New Roman" w:hAnsi="Times New Roman"/>
          <w:sz w:val="24"/>
          <w:szCs w:val="28"/>
        </w:rPr>
        <w:t>.</w:t>
      </w:r>
      <w:r>
        <w:rPr>
          <w:rFonts w:ascii="Times New Roman" w:hAnsi="Times New Roman"/>
          <w:sz w:val="24"/>
          <w:szCs w:val="28"/>
        </w:rPr>
        <w:t xml:space="preserve"> В первой главе раскрыта сущность сделок слияний и поглощений, а также проведен обзор </w:t>
      </w:r>
      <w:proofErr w:type="gramStart"/>
      <w:r>
        <w:rPr>
          <w:rFonts w:ascii="Times New Roman" w:hAnsi="Times New Roman"/>
          <w:sz w:val="24"/>
          <w:szCs w:val="28"/>
        </w:rPr>
        <w:t>рынка</w:t>
      </w:r>
      <w:proofErr w:type="gramEnd"/>
      <w:r>
        <w:rPr>
          <w:rFonts w:ascii="Times New Roman" w:hAnsi="Times New Roman"/>
          <w:sz w:val="24"/>
          <w:szCs w:val="28"/>
        </w:rPr>
        <w:t xml:space="preserve"> как в целом, так и конкретно в нефтегазовой </w:t>
      </w:r>
      <w:r w:rsidR="002C3412">
        <w:rPr>
          <w:rFonts w:ascii="Times New Roman" w:hAnsi="Times New Roman"/>
          <w:sz w:val="24"/>
          <w:szCs w:val="28"/>
        </w:rPr>
        <w:t>отрасли. Во второй главе проводится теоретический обзор</w:t>
      </w:r>
      <w:r>
        <w:rPr>
          <w:rFonts w:ascii="Times New Roman" w:hAnsi="Times New Roman"/>
          <w:sz w:val="24"/>
          <w:szCs w:val="28"/>
        </w:rPr>
        <w:t xml:space="preserve"> методов оценки эффективности сделок </w:t>
      </w:r>
      <w:r>
        <w:rPr>
          <w:rFonts w:ascii="Times New Roman" w:hAnsi="Times New Roman"/>
          <w:sz w:val="24"/>
          <w:szCs w:val="28"/>
          <w:lang w:val="en-US"/>
        </w:rPr>
        <w:t>M</w:t>
      </w:r>
      <w:r w:rsidRPr="00642D3B">
        <w:rPr>
          <w:rFonts w:ascii="Times New Roman" w:hAnsi="Times New Roman"/>
          <w:sz w:val="24"/>
          <w:szCs w:val="28"/>
        </w:rPr>
        <w:t>&amp;</w:t>
      </w:r>
      <w:r>
        <w:rPr>
          <w:rFonts w:ascii="Times New Roman" w:hAnsi="Times New Roman"/>
          <w:sz w:val="24"/>
          <w:szCs w:val="28"/>
          <w:lang w:val="en-US"/>
        </w:rPr>
        <w:t>A</w:t>
      </w:r>
      <w:r>
        <w:rPr>
          <w:rFonts w:ascii="Times New Roman" w:hAnsi="Times New Roman"/>
          <w:sz w:val="24"/>
          <w:szCs w:val="28"/>
        </w:rPr>
        <w:t xml:space="preserve">. Третья глава представляет собой практическую часть дипломной работы, а именно непосредственно оценку эффективности сделки на примере кейса «Роснефть – ТНК-ВР Холдинг» с помощью методов </w:t>
      </w:r>
      <w:r>
        <w:rPr>
          <w:rFonts w:ascii="Times New Roman" w:hAnsi="Times New Roman"/>
          <w:sz w:val="24"/>
          <w:szCs w:val="28"/>
          <w:lang w:val="en-US"/>
        </w:rPr>
        <w:t>Discounted</w:t>
      </w:r>
      <w:r w:rsidRPr="00642D3B">
        <w:rPr>
          <w:rFonts w:ascii="Times New Roman" w:hAnsi="Times New Roman"/>
          <w:sz w:val="24"/>
          <w:szCs w:val="28"/>
        </w:rPr>
        <w:t xml:space="preserve"> </w:t>
      </w:r>
      <w:r>
        <w:rPr>
          <w:rFonts w:ascii="Times New Roman" w:hAnsi="Times New Roman"/>
          <w:sz w:val="24"/>
          <w:szCs w:val="28"/>
          <w:lang w:val="en-US"/>
        </w:rPr>
        <w:t>Cash</w:t>
      </w:r>
      <w:r w:rsidRPr="00642D3B">
        <w:rPr>
          <w:rFonts w:ascii="Times New Roman" w:hAnsi="Times New Roman"/>
          <w:sz w:val="24"/>
          <w:szCs w:val="28"/>
        </w:rPr>
        <w:t xml:space="preserve"> </w:t>
      </w:r>
      <w:r>
        <w:rPr>
          <w:rFonts w:ascii="Times New Roman" w:hAnsi="Times New Roman"/>
          <w:sz w:val="24"/>
          <w:szCs w:val="28"/>
          <w:lang w:val="en-US"/>
        </w:rPr>
        <w:t>Flaw</w:t>
      </w:r>
      <w:r w:rsidRPr="00642D3B">
        <w:rPr>
          <w:rFonts w:ascii="Times New Roman" w:hAnsi="Times New Roman"/>
          <w:sz w:val="24"/>
          <w:szCs w:val="28"/>
        </w:rPr>
        <w:t xml:space="preserve">, </w:t>
      </w:r>
      <w:r>
        <w:rPr>
          <w:rFonts w:ascii="Times New Roman" w:hAnsi="Times New Roman"/>
          <w:sz w:val="24"/>
          <w:szCs w:val="28"/>
          <w:lang w:val="en-US"/>
        </w:rPr>
        <w:t>Accretion</w:t>
      </w:r>
      <w:r w:rsidR="0089107C">
        <w:rPr>
          <w:rFonts w:ascii="Times New Roman" w:hAnsi="Times New Roman"/>
          <w:sz w:val="24"/>
          <w:szCs w:val="28"/>
        </w:rPr>
        <w:t>/</w:t>
      </w:r>
      <w:proofErr w:type="spellStart"/>
      <w:r w:rsidRPr="00642D3B">
        <w:rPr>
          <w:rFonts w:ascii="Times New Roman" w:hAnsi="Times New Roman"/>
          <w:sz w:val="24"/>
          <w:szCs w:val="28"/>
        </w:rPr>
        <w:t>Dilution</w:t>
      </w:r>
      <w:proofErr w:type="spellEnd"/>
      <w:r w:rsidRPr="00642D3B">
        <w:rPr>
          <w:rFonts w:ascii="Times New Roman" w:hAnsi="Times New Roman"/>
          <w:sz w:val="24"/>
          <w:szCs w:val="28"/>
        </w:rPr>
        <w:t xml:space="preserve"> </w:t>
      </w:r>
      <w:proofErr w:type="spellStart"/>
      <w:r w:rsidRPr="00642D3B">
        <w:rPr>
          <w:rFonts w:ascii="Times New Roman" w:hAnsi="Times New Roman"/>
          <w:sz w:val="24"/>
          <w:szCs w:val="28"/>
        </w:rPr>
        <w:t>Analysis</w:t>
      </w:r>
      <w:proofErr w:type="spellEnd"/>
      <w:r w:rsidRPr="007B0273">
        <w:rPr>
          <w:rFonts w:ascii="Times New Roman" w:hAnsi="Times New Roman"/>
          <w:sz w:val="24"/>
          <w:szCs w:val="28"/>
        </w:rPr>
        <w:t xml:space="preserve"> </w:t>
      </w:r>
      <w:r>
        <w:rPr>
          <w:rFonts w:ascii="Times New Roman" w:hAnsi="Times New Roman"/>
          <w:sz w:val="24"/>
          <w:szCs w:val="28"/>
        </w:rPr>
        <w:t xml:space="preserve">и </w:t>
      </w:r>
      <w:r>
        <w:rPr>
          <w:rFonts w:ascii="Times New Roman" w:hAnsi="Times New Roman"/>
          <w:sz w:val="24"/>
          <w:szCs w:val="28"/>
          <w:lang w:val="en-US"/>
        </w:rPr>
        <w:t>Event</w:t>
      </w:r>
      <w:r w:rsidRPr="007B0273">
        <w:rPr>
          <w:rFonts w:ascii="Times New Roman" w:hAnsi="Times New Roman"/>
          <w:sz w:val="24"/>
          <w:szCs w:val="28"/>
        </w:rPr>
        <w:t xml:space="preserve"> </w:t>
      </w:r>
      <w:r>
        <w:rPr>
          <w:rFonts w:ascii="Times New Roman" w:hAnsi="Times New Roman"/>
          <w:sz w:val="24"/>
          <w:szCs w:val="28"/>
          <w:lang w:val="en-US"/>
        </w:rPr>
        <w:t>studies</w:t>
      </w:r>
      <w:r w:rsidRPr="007B0273">
        <w:rPr>
          <w:rFonts w:ascii="Times New Roman" w:hAnsi="Times New Roman"/>
          <w:sz w:val="24"/>
          <w:szCs w:val="28"/>
        </w:rPr>
        <w:t xml:space="preserve"> </w:t>
      </w:r>
      <w:r>
        <w:rPr>
          <w:rFonts w:ascii="Times New Roman" w:hAnsi="Times New Roman"/>
          <w:sz w:val="24"/>
          <w:szCs w:val="28"/>
        </w:rPr>
        <w:t>и сравнение результатов анализа сделки.</w:t>
      </w:r>
    </w:p>
    <w:p w:rsidR="0059775B" w:rsidRDefault="0059775B" w:rsidP="0059775B">
      <w:r>
        <w:br w:type="page"/>
      </w:r>
    </w:p>
    <w:p w:rsidR="0059775B" w:rsidRPr="00DB5908" w:rsidRDefault="0059775B" w:rsidP="0059775B">
      <w:pPr>
        <w:pStyle w:val="1"/>
        <w:spacing w:after="240" w:line="360" w:lineRule="auto"/>
        <w:ind w:firstLine="709"/>
        <w:jc w:val="center"/>
        <w:rPr>
          <w:rFonts w:ascii="Times New Roman" w:hAnsi="Times New Roman" w:cs="Times New Roman"/>
          <w:color w:val="auto"/>
          <w:sz w:val="24"/>
          <w:szCs w:val="24"/>
        </w:rPr>
      </w:pPr>
      <w:bookmarkStart w:id="1" w:name="_Toc469372279"/>
      <w:bookmarkStart w:id="2" w:name="_Toc482547511"/>
      <w:r w:rsidRPr="00DB5908">
        <w:rPr>
          <w:rFonts w:ascii="Times New Roman" w:hAnsi="Times New Roman" w:cs="Times New Roman"/>
          <w:color w:val="auto"/>
          <w:sz w:val="24"/>
          <w:szCs w:val="24"/>
        </w:rPr>
        <w:lastRenderedPageBreak/>
        <w:t>ГЛАВА 1 ТЕОРЕТИЧЕСКИЕ ОСНОВЫ СДЕЛОК СЛИЯНИЙ И ПОГЛОЩЕНИЙ</w:t>
      </w:r>
      <w:bookmarkEnd w:id="1"/>
      <w:bookmarkEnd w:id="2"/>
    </w:p>
    <w:p w:rsidR="0059775B" w:rsidRPr="00DB5908" w:rsidRDefault="0059775B" w:rsidP="0059775B">
      <w:pPr>
        <w:pStyle w:val="2"/>
        <w:numPr>
          <w:ilvl w:val="1"/>
          <w:numId w:val="2"/>
        </w:numPr>
        <w:spacing w:after="240" w:line="360" w:lineRule="auto"/>
        <w:ind w:firstLine="709"/>
        <w:jc w:val="center"/>
        <w:rPr>
          <w:rFonts w:ascii="Times New Roman" w:hAnsi="Times New Roman" w:cs="Times New Roman"/>
          <w:color w:val="auto"/>
          <w:sz w:val="24"/>
          <w:szCs w:val="24"/>
        </w:rPr>
      </w:pPr>
      <w:bookmarkStart w:id="3" w:name="_Toc469372280"/>
      <w:bookmarkStart w:id="4" w:name="_Toc482547512"/>
      <w:r w:rsidRPr="00DB5908">
        <w:rPr>
          <w:rFonts w:ascii="Times New Roman" w:hAnsi="Times New Roman" w:cs="Times New Roman"/>
          <w:color w:val="auto"/>
          <w:sz w:val="24"/>
          <w:szCs w:val="24"/>
        </w:rPr>
        <w:t>Сущность сделок слияний и поглощений</w:t>
      </w:r>
      <w:bookmarkEnd w:id="3"/>
      <w:bookmarkEnd w:id="4"/>
    </w:p>
    <w:p w:rsidR="0059775B" w:rsidRPr="00BB5208" w:rsidRDefault="0059775B" w:rsidP="0059775B">
      <w:p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На сегодняшний день сделки слияний и поглощений имеют большую популярность и занимают значительное место в сфере корпоративных финансов. Существуют некоторые различия в толковании термина «слияние», если рассматривать зарубежную литературу и российское законодательство. В Федеральном законе от 26.12.1995 № 208-ФЗ «Об акционерных обществах» под слиянием компаний понимается «возникновение нового общества путем передачи ему всех прав и обязанностей двух или нескольких обще</w:t>
      </w:r>
      <w:proofErr w:type="gramStart"/>
      <w:r w:rsidRPr="00DB5908">
        <w:rPr>
          <w:rFonts w:ascii="Times New Roman" w:hAnsi="Times New Roman" w:cs="Times New Roman"/>
          <w:sz w:val="24"/>
          <w:szCs w:val="24"/>
        </w:rPr>
        <w:t>ств с пр</w:t>
      </w:r>
      <w:proofErr w:type="gramEnd"/>
      <w:r w:rsidRPr="00DB5908">
        <w:rPr>
          <w:rFonts w:ascii="Times New Roman" w:hAnsi="Times New Roman" w:cs="Times New Roman"/>
          <w:sz w:val="24"/>
          <w:szCs w:val="24"/>
        </w:rPr>
        <w:t>екращением последних». В зарубежной литературе, а именно в учебнике S. F. </w:t>
      </w:r>
      <w:proofErr w:type="spellStart"/>
      <w:r w:rsidRPr="00DB5908">
        <w:rPr>
          <w:rFonts w:ascii="Times New Roman" w:hAnsi="Times New Roman" w:cs="Times New Roman"/>
          <w:sz w:val="24"/>
          <w:szCs w:val="24"/>
        </w:rPr>
        <w:t>Reed</w:t>
      </w:r>
      <w:proofErr w:type="spellEnd"/>
      <w:r w:rsidRPr="00DB5908">
        <w:rPr>
          <w:rFonts w:ascii="Times New Roman" w:hAnsi="Times New Roman" w:cs="Times New Roman"/>
          <w:sz w:val="24"/>
          <w:szCs w:val="24"/>
        </w:rPr>
        <w:t xml:space="preserve"> &amp; A. </w:t>
      </w:r>
      <w:proofErr w:type="spellStart"/>
      <w:r w:rsidRPr="00DB5908">
        <w:rPr>
          <w:rFonts w:ascii="Times New Roman" w:hAnsi="Times New Roman" w:cs="Times New Roman"/>
          <w:sz w:val="24"/>
          <w:szCs w:val="24"/>
        </w:rPr>
        <w:t>Lajoux</w:t>
      </w:r>
      <w:proofErr w:type="spellEnd"/>
      <w:r w:rsidRPr="00DB5908">
        <w:rPr>
          <w:rFonts w:ascii="Times New Roman" w:hAnsi="Times New Roman" w:cs="Times New Roman"/>
          <w:sz w:val="24"/>
          <w:szCs w:val="24"/>
        </w:rPr>
        <w:t xml:space="preserve"> «</w:t>
      </w:r>
      <w:proofErr w:type="spellStart"/>
      <w:r w:rsidRPr="00DB5908">
        <w:rPr>
          <w:rFonts w:ascii="Times New Roman" w:hAnsi="Times New Roman" w:cs="Times New Roman"/>
          <w:sz w:val="24"/>
          <w:szCs w:val="24"/>
        </w:rPr>
        <w:t>The</w:t>
      </w:r>
      <w:proofErr w:type="spellEnd"/>
      <w:r w:rsidRPr="00DB5908">
        <w:rPr>
          <w:rFonts w:ascii="Times New Roman" w:hAnsi="Times New Roman" w:cs="Times New Roman"/>
          <w:sz w:val="24"/>
          <w:szCs w:val="24"/>
        </w:rPr>
        <w:t xml:space="preserve"> </w:t>
      </w:r>
      <w:proofErr w:type="spellStart"/>
      <w:r w:rsidRPr="00DB5908">
        <w:rPr>
          <w:rFonts w:ascii="Times New Roman" w:hAnsi="Times New Roman" w:cs="Times New Roman"/>
          <w:sz w:val="24"/>
          <w:szCs w:val="24"/>
        </w:rPr>
        <w:t>Art</w:t>
      </w:r>
      <w:proofErr w:type="spellEnd"/>
      <w:r w:rsidRPr="00DB5908">
        <w:rPr>
          <w:rFonts w:ascii="Times New Roman" w:hAnsi="Times New Roman" w:cs="Times New Roman"/>
          <w:sz w:val="24"/>
          <w:szCs w:val="24"/>
        </w:rPr>
        <w:t xml:space="preserve"> </w:t>
      </w:r>
      <w:proofErr w:type="spellStart"/>
      <w:r w:rsidRPr="00DB5908">
        <w:rPr>
          <w:rFonts w:ascii="Times New Roman" w:hAnsi="Times New Roman" w:cs="Times New Roman"/>
          <w:sz w:val="24"/>
          <w:szCs w:val="24"/>
        </w:rPr>
        <w:t>of</w:t>
      </w:r>
      <w:proofErr w:type="spellEnd"/>
      <w:r w:rsidRPr="00DB5908">
        <w:rPr>
          <w:rFonts w:ascii="Times New Roman" w:hAnsi="Times New Roman" w:cs="Times New Roman"/>
          <w:sz w:val="24"/>
          <w:szCs w:val="24"/>
        </w:rPr>
        <w:t xml:space="preserve"> M&amp;A», данная формулировка используется для обозначения корпоративной консолидации, которая, по мнению S. F. </w:t>
      </w:r>
      <w:proofErr w:type="spellStart"/>
      <w:r w:rsidRPr="00DB5908">
        <w:rPr>
          <w:rFonts w:ascii="Times New Roman" w:hAnsi="Times New Roman" w:cs="Times New Roman"/>
          <w:sz w:val="24"/>
          <w:szCs w:val="24"/>
        </w:rPr>
        <w:t>Reed</w:t>
      </w:r>
      <w:proofErr w:type="spellEnd"/>
      <w:r w:rsidRPr="00DB5908">
        <w:rPr>
          <w:rFonts w:ascii="Times New Roman" w:hAnsi="Times New Roman" w:cs="Times New Roman"/>
          <w:sz w:val="24"/>
          <w:szCs w:val="24"/>
        </w:rPr>
        <w:t xml:space="preserve"> &amp; A. </w:t>
      </w:r>
      <w:proofErr w:type="spellStart"/>
      <w:r w:rsidRPr="00DB5908">
        <w:rPr>
          <w:rFonts w:ascii="Times New Roman" w:hAnsi="Times New Roman" w:cs="Times New Roman"/>
          <w:sz w:val="24"/>
          <w:szCs w:val="24"/>
        </w:rPr>
        <w:t>Lajoux</w:t>
      </w:r>
      <w:proofErr w:type="spellEnd"/>
      <w:r w:rsidRPr="00DB5908">
        <w:rPr>
          <w:rFonts w:ascii="Times New Roman" w:hAnsi="Times New Roman" w:cs="Times New Roman"/>
          <w:sz w:val="24"/>
          <w:szCs w:val="24"/>
        </w:rPr>
        <w:t>, является специфической формой слияния</w:t>
      </w:r>
      <w:r w:rsidRPr="00BB5208">
        <w:rPr>
          <w:rFonts w:ascii="Times New Roman" w:hAnsi="Times New Roman" w:cs="Times New Roman"/>
          <w:sz w:val="24"/>
          <w:szCs w:val="24"/>
        </w:rPr>
        <w:t xml:space="preserve">. В свою очередь, </w:t>
      </w:r>
      <w:r w:rsidR="002C3412" w:rsidRPr="00BB5208">
        <w:rPr>
          <w:rFonts w:ascii="Times New Roman" w:hAnsi="Times New Roman" w:cs="Times New Roman"/>
          <w:sz w:val="24"/>
          <w:szCs w:val="24"/>
        </w:rPr>
        <w:t xml:space="preserve">с точки зрения вышеупомянутых авторов, </w:t>
      </w:r>
      <w:r w:rsidRPr="00BB5208">
        <w:rPr>
          <w:rFonts w:ascii="Times New Roman" w:hAnsi="Times New Roman" w:cs="Times New Roman"/>
          <w:sz w:val="24"/>
          <w:szCs w:val="24"/>
        </w:rPr>
        <w:t>сл</w:t>
      </w:r>
      <w:r w:rsidR="002C3412" w:rsidRPr="00BB5208">
        <w:rPr>
          <w:rFonts w:ascii="Times New Roman" w:hAnsi="Times New Roman" w:cs="Times New Roman"/>
          <w:sz w:val="24"/>
          <w:szCs w:val="24"/>
        </w:rPr>
        <w:t xml:space="preserve">ияние </w:t>
      </w:r>
      <w:r w:rsidR="00FC69E2" w:rsidRPr="00BB5208">
        <w:rPr>
          <w:rFonts w:ascii="Times New Roman" w:hAnsi="Times New Roman" w:cs="Times New Roman"/>
          <w:sz w:val="24"/>
          <w:szCs w:val="24"/>
        </w:rPr>
        <w:t xml:space="preserve">– это </w:t>
      </w:r>
      <w:r w:rsidRPr="00BB5208">
        <w:rPr>
          <w:rFonts w:ascii="Times New Roman" w:hAnsi="Times New Roman" w:cs="Times New Roman"/>
          <w:sz w:val="24"/>
          <w:szCs w:val="24"/>
        </w:rPr>
        <w:t>процесс объед</w:t>
      </w:r>
      <w:r w:rsidR="00FC69E2" w:rsidRPr="00BB5208">
        <w:rPr>
          <w:rFonts w:ascii="Times New Roman" w:hAnsi="Times New Roman" w:cs="Times New Roman"/>
          <w:sz w:val="24"/>
          <w:szCs w:val="24"/>
        </w:rPr>
        <w:t>инения двух компаний, в результате</w:t>
      </w:r>
      <w:r w:rsidRPr="00BB5208">
        <w:rPr>
          <w:rFonts w:ascii="Times New Roman" w:hAnsi="Times New Roman" w:cs="Times New Roman"/>
          <w:sz w:val="24"/>
          <w:szCs w:val="24"/>
        </w:rPr>
        <w:t xml:space="preserve"> которого происх</w:t>
      </w:r>
      <w:r w:rsidR="00FC69E2" w:rsidRPr="00BB5208">
        <w:rPr>
          <w:rFonts w:ascii="Times New Roman" w:hAnsi="Times New Roman" w:cs="Times New Roman"/>
          <w:sz w:val="24"/>
          <w:szCs w:val="24"/>
        </w:rPr>
        <w:t xml:space="preserve">одит обмен сертификатов на возможность владения </w:t>
      </w:r>
      <w:r w:rsidRPr="00BB5208">
        <w:rPr>
          <w:rFonts w:ascii="Times New Roman" w:hAnsi="Times New Roman" w:cs="Times New Roman"/>
          <w:sz w:val="24"/>
          <w:szCs w:val="24"/>
        </w:rPr>
        <w:t>компании</w:t>
      </w:r>
      <w:r w:rsidR="00FC69E2" w:rsidRPr="00BB5208">
        <w:rPr>
          <w:rFonts w:ascii="Times New Roman" w:hAnsi="Times New Roman" w:cs="Times New Roman"/>
          <w:sz w:val="24"/>
          <w:szCs w:val="24"/>
        </w:rPr>
        <w:t>-цели на сертификаты на возможность</w:t>
      </w:r>
      <w:r w:rsidRPr="00BB5208">
        <w:rPr>
          <w:rFonts w:ascii="Times New Roman" w:hAnsi="Times New Roman" w:cs="Times New Roman"/>
          <w:sz w:val="24"/>
          <w:szCs w:val="24"/>
        </w:rPr>
        <w:t xml:space="preserve"> владения акциями компании-покупателя. При этом сертиф</w:t>
      </w:r>
      <w:r w:rsidR="00FC69E2" w:rsidRPr="00BB5208">
        <w:rPr>
          <w:rFonts w:ascii="Times New Roman" w:hAnsi="Times New Roman" w:cs="Times New Roman"/>
          <w:sz w:val="24"/>
          <w:szCs w:val="24"/>
        </w:rPr>
        <w:t xml:space="preserve">икаты </w:t>
      </w:r>
      <w:r w:rsidRPr="00BB5208">
        <w:rPr>
          <w:rFonts w:ascii="Times New Roman" w:hAnsi="Times New Roman" w:cs="Times New Roman"/>
          <w:sz w:val="24"/>
          <w:szCs w:val="24"/>
        </w:rPr>
        <w:t>компании</w:t>
      </w:r>
      <w:r w:rsidR="00FC69E2" w:rsidRPr="00BB5208">
        <w:rPr>
          <w:rFonts w:ascii="Times New Roman" w:hAnsi="Times New Roman" w:cs="Times New Roman"/>
          <w:sz w:val="24"/>
          <w:szCs w:val="24"/>
        </w:rPr>
        <w:t xml:space="preserve">-цели отправляются </w:t>
      </w:r>
      <w:r w:rsidRPr="00BB5208">
        <w:rPr>
          <w:rFonts w:ascii="Times New Roman" w:hAnsi="Times New Roman" w:cs="Times New Roman"/>
          <w:sz w:val="24"/>
          <w:szCs w:val="24"/>
        </w:rPr>
        <w:t>на хранение</w:t>
      </w:r>
      <w:r w:rsidR="00FC69E2" w:rsidRPr="00BB5208">
        <w:rPr>
          <w:rFonts w:ascii="Times New Roman" w:hAnsi="Times New Roman" w:cs="Times New Roman"/>
          <w:sz w:val="24"/>
          <w:szCs w:val="24"/>
        </w:rPr>
        <w:t xml:space="preserve"> в архив</w:t>
      </w:r>
      <w:r w:rsidRPr="00BB5208">
        <w:rPr>
          <w:rFonts w:ascii="Times New Roman" w:hAnsi="Times New Roman" w:cs="Times New Roman"/>
          <w:sz w:val="24"/>
          <w:szCs w:val="24"/>
        </w:rPr>
        <w:t xml:space="preserve">. </w:t>
      </w:r>
      <w:r w:rsidR="00FC69E2" w:rsidRPr="00BB5208">
        <w:rPr>
          <w:rFonts w:ascii="Times New Roman" w:hAnsi="Times New Roman" w:cs="Times New Roman"/>
          <w:sz w:val="24"/>
          <w:szCs w:val="24"/>
        </w:rPr>
        <w:t>Итогом такой</w:t>
      </w:r>
      <w:r w:rsidRPr="00BB5208">
        <w:rPr>
          <w:rFonts w:ascii="Times New Roman" w:hAnsi="Times New Roman" w:cs="Times New Roman"/>
          <w:sz w:val="24"/>
          <w:szCs w:val="24"/>
        </w:rPr>
        <w:t xml:space="preserve"> сделки</w:t>
      </w:r>
      <w:r w:rsidR="00FC69E2" w:rsidRPr="00BB5208">
        <w:rPr>
          <w:rFonts w:ascii="Times New Roman" w:hAnsi="Times New Roman" w:cs="Times New Roman"/>
          <w:sz w:val="24"/>
          <w:szCs w:val="24"/>
        </w:rPr>
        <w:t xml:space="preserve"> является прекращение существования компании-цели</w:t>
      </w:r>
      <w:r w:rsidRPr="00BB5208">
        <w:rPr>
          <w:rFonts w:ascii="Times New Roman" w:hAnsi="Times New Roman" w:cs="Times New Roman"/>
          <w:sz w:val="24"/>
          <w:szCs w:val="24"/>
        </w:rPr>
        <w:t>.</w:t>
      </w:r>
      <w:r w:rsidRPr="00BB5208">
        <w:rPr>
          <w:rStyle w:val="a7"/>
          <w:rFonts w:ascii="Times New Roman" w:hAnsi="Times New Roman" w:cs="Times New Roman"/>
          <w:sz w:val="24"/>
          <w:szCs w:val="24"/>
        </w:rPr>
        <w:footnoteReference w:id="1"/>
      </w:r>
      <w:r w:rsidR="00FC69E2" w:rsidRPr="00BB5208">
        <w:rPr>
          <w:rFonts w:ascii="Times New Roman" w:hAnsi="Times New Roman" w:cs="Times New Roman"/>
          <w:sz w:val="24"/>
          <w:szCs w:val="24"/>
        </w:rPr>
        <w:t xml:space="preserve"> В соответствии с </w:t>
      </w:r>
      <w:r w:rsidRPr="00BB5208">
        <w:rPr>
          <w:rFonts w:ascii="Times New Roman" w:hAnsi="Times New Roman" w:cs="Times New Roman"/>
          <w:sz w:val="24"/>
          <w:szCs w:val="24"/>
        </w:rPr>
        <w:t>законодательством</w:t>
      </w:r>
      <w:r w:rsidR="00FC69E2" w:rsidRPr="00BB5208">
        <w:rPr>
          <w:rFonts w:ascii="Times New Roman" w:hAnsi="Times New Roman" w:cs="Times New Roman"/>
          <w:sz w:val="24"/>
          <w:szCs w:val="24"/>
        </w:rPr>
        <w:t xml:space="preserve"> нашей страны</w:t>
      </w:r>
      <w:r w:rsidRPr="00BB5208">
        <w:rPr>
          <w:rFonts w:ascii="Times New Roman" w:hAnsi="Times New Roman" w:cs="Times New Roman"/>
          <w:sz w:val="24"/>
          <w:szCs w:val="24"/>
        </w:rPr>
        <w:t xml:space="preserve">, </w:t>
      </w:r>
      <w:r w:rsidR="00FC69E2" w:rsidRPr="00BB5208">
        <w:rPr>
          <w:rFonts w:ascii="Times New Roman" w:hAnsi="Times New Roman" w:cs="Times New Roman"/>
          <w:sz w:val="24"/>
          <w:szCs w:val="24"/>
        </w:rPr>
        <w:t>поглощение представляет собой присоединение компании</w:t>
      </w:r>
      <w:r w:rsidRPr="00BB5208">
        <w:rPr>
          <w:rFonts w:ascii="Times New Roman" w:hAnsi="Times New Roman" w:cs="Times New Roman"/>
          <w:sz w:val="24"/>
          <w:szCs w:val="24"/>
        </w:rPr>
        <w:t xml:space="preserve"> и подр</w:t>
      </w:r>
      <w:r w:rsidR="00FC69E2" w:rsidRPr="00BB5208">
        <w:rPr>
          <w:rFonts w:ascii="Times New Roman" w:hAnsi="Times New Roman" w:cs="Times New Roman"/>
          <w:sz w:val="24"/>
          <w:szCs w:val="24"/>
        </w:rPr>
        <w:t>азумевает</w:t>
      </w:r>
      <w:r w:rsidRPr="00BB5208">
        <w:rPr>
          <w:rFonts w:ascii="Times New Roman" w:hAnsi="Times New Roman" w:cs="Times New Roman"/>
          <w:sz w:val="24"/>
          <w:szCs w:val="24"/>
        </w:rPr>
        <w:t xml:space="preserve"> «прекращение </w:t>
      </w:r>
      <w:r w:rsidR="00FC69E2" w:rsidRPr="00BB5208">
        <w:rPr>
          <w:rFonts w:ascii="Times New Roman" w:hAnsi="Times New Roman" w:cs="Times New Roman"/>
          <w:sz w:val="24"/>
          <w:szCs w:val="24"/>
        </w:rPr>
        <w:t>существования одного или более</w:t>
      </w:r>
      <w:r w:rsidRPr="00BB5208">
        <w:rPr>
          <w:rFonts w:ascii="Times New Roman" w:hAnsi="Times New Roman" w:cs="Times New Roman"/>
          <w:sz w:val="24"/>
          <w:szCs w:val="24"/>
        </w:rPr>
        <w:t xml:space="preserve"> обществ с </w:t>
      </w:r>
      <w:r w:rsidR="00FC69E2" w:rsidRPr="00BB5208">
        <w:rPr>
          <w:rFonts w:ascii="Times New Roman" w:hAnsi="Times New Roman" w:cs="Times New Roman"/>
          <w:sz w:val="24"/>
          <w:szCs w:val="24"/>
        </w:rPr>
        <w:t xml:space="preserve">последующей </w:t>
      </w:r>
      <w:r w:rsidRPr="00BB5208">
        <w:rPr>
          <w:rFonts w:ascii="Times New Roman" w:hAnsi="Times New Roman" w:cs="Times New Roman"/>
          <w:sz w:val="24"/>
          <w:szCs w:val="24"/>
        </w:rPr>
        <w:t xml:space="preserve">передачей </w:t>
      </w:r>
      <w:r w:rsidR="00FC69E2" w:rsidRPr="00BB5208">
        <w:rPr>
          <w:rFonts w:ascii="Times New Roman" w:hAnsi="Times New Roman" w:cs="Times New Roman"/>
          <w:sz w:val="24"/>
          <w:szCs w:val="24"/>
        </w:rPr>
        <w:t>всех прав и обязанностей иному</w:t>
      </w:r>
      <w:r w:rsidRPr="00BB5208">
        <w:rPr>
          <w:rFonts w:ascii="Times New Roman" w:hAnsi="Times New Roman" w:cs="Times New Roman"/>
          <w:sz w:val="24"/>
          <w:szCs w:val="24"/>
        </w:rPr>
        <w:t xml:space="preserve"> обществу».</w:t>
      </w:r>
      <w:r w:rsidRPr="00BB5208">
        <w:rPr>
          <w:rStyle w:val="a7"/>
          <w:rFonts w:ascii="Times New Roman" w:hAnsi="Times New Roman" w:cs="Times New Roman"/>
          <w:sz w:val="24"/>
          <w:szCs w:val="24"/>
        </w:rPr>
        <w:footnoteReference w:id="2"/>
      </w:r>
      <w:r w:rsidRPr="00BB5208">
        <w:rPr>
          <w:rFonts w:ascii="Times New Roman" w:hAnsi="Times New Roman" w:cs="Times New Roman"/>
          <w:sz w:val="24"/>
          <w:szCs w:val="24"/>
        </w:rPr>
        <w:t xml:space="preserve"> Так</w:t>
      </w:r>
      <w:r w:rsidR="00A17338" w:rsidRPr="00BB5208">
        <w:rPr>
          <w:rFonts w:ascii="Times New Roman" w:hAnsi="Times New Roman" w:cs="Times New Roman"/>
          <w:sz w:val="24"/>
          <w:szCs w:val="24"/>
        </w:rPr>
        <w:t>им образом, поглощение – это более общий термин, применяющийся для обозначения</w:t>
      </w:r>
      <w:r w:rsidRPr="00BB5208">
        <w:rPr>
          <w:rFonts w:ascii="Times New Roman" w:hAnsi="Times New Roman" w:cs="Times New Roman"/>
          <w:sz w:val="24"/>
          <w:szCs w:val="24"/>
        </w:rPr>
        <w:t xml:space="preserve"> пе</w:t>
      </w:r>
      <w:r w:rsidR="00A17338" w:rsidRPr="00BB5208">
        <w:rPr>
          <w:rFonts w:ascii="Times New Roman" w:hAnsi="Times New Roman" w:cs="Times New Roman"/>
          <w:sz w:val="24"/>
          <w:szCs w:val="24"/>
        </w:rPr>
        <w:t xml:space="preserve">редачи собственности, в свою очередь </w:t>
      </w:r>
      <w:r w:rsidRPr="00BB5208">
        <w:rPr>
          <w:rFonts w:ascii="Times New Roman" w:hAnsi="Times New Roman" w:cs="Times New Roman"/>
          <w:sz w:val="24"/>
          <w:szCs w:val="24"/>
        </w:rPr>
        <w:t>слияние</w:t>
      </w:r>
      <w:r w:rsidR="00A17338" w:rsidRPr="00BB5208">
        <w:rPr>
          <w:rFonts w:ascii="Times New Roman" w:hAnsi="Times New Roman" w:cs="Times New Roman"/>
          <w:sz w:val="24"/>
          <w:szCs w:val="24"/>
        </w:rPr>
        <w:t xml:space="preserve"> является более узким</w:t>
      </w:r>
      <w:r w:rsidRPr="00BB5208">
        <w:rPr>
          <w:rFonts w:ascii="Times New Roman" w:hAnsi="Times New Roman" w:cs="Times New Roman"/>
          <w:sz w:val="24"/>
          <w:szCs w:val="24"/>
        </w:rPr>
        <w:t xml:space="preserve"> термин</w:t>
      </w:r>
      <w:r w:rsidR="00A17338" w:rsidRPr="00BB5208">
        <w:rPr>
          <w:rFonts w:ascii="Times New Roman" w:hAnsi="Times New Roman" w:cs="Times New Roman"/>
          <w:sz w:val="24"/>
          <w:szCs w:val="24"/>
        </w:rPr>
        <w:t>ом и означает</w:t>
      </w:r>
      <w:r w:rsidRPr="00BB5208">
        <w:rPr>
          <w:rFonts w:ascii="Times New Roman" w:hAnsi="Times New Roman" w:cs="Times New Roman"/>
          <w:sz w:val="24"/>
          <w:szCs w:val="24"/>
        </w:rPr>
        <w:t xml:space="preserve"> определённый юридически регламентированный пр</w:t>
      </w:r>
      <w:r w:rsidR="00A17338" w:rsidRPr="00BB5208">
        <w:rPr>
          <w:rFonts w:ascii="Times New Roman" w:hAnsi="Times New Roman" w:cs="Times New Roman"/>
          <w:sz w:val="24"/>
          <w:szCs w:val="24"/>
        </w:rPr>
        <w:t>оцесс, который может стать следствием поглощения, но этого может и не произойти</w:t>
      </w:r>
      <w:r w:rsidRPr="00BB5208">
        <w:rPr>
          <w:rFonts w:ascii="Times New Roman" w:hAnsi="Times New Roman" w:cs="Times New Roman"/>
          <w:sz w:val="24"/>
          <w:szCs w:val="24"/>
        </w:rPr>
        <w:t>.</w:t>
      </w:r>
    </w:p>
    <w:p w:rsidR="0059775B" w:rsidRPr="00DB5908" w:rsidRDefault="00DB0224" w:rsidP="0059775B">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зарубежных </w:t>
      </w:r>
      <w:proofErr w:type="spellStart"/>
      <w:r>
        <w:rPr>
          <w:rFonts w:ascii="Times New Roman" w:hAnsi="Times New Roman" w:cs="Times New Roman"/>
          <w:sz w:val="24"/>
          <w:szCs w:val="24"/>
        </w:rPr>
        <w:t>странх</w:t>
      </w:r>
      <w:proofErr w:type="spellEnd"/>
      <w:r w:rsidR="0059775B" w:rsidRPr="00DB5908">
        <w:rPr>
          <w:rFonts w:ascii="Times New Roman" w:hAnsi="Times New Roman" w:cs="Times New Roman"/>
          <w:sz w:val="24"/>
          <w:szCs w:val="24"/>
        </w:rPr>
        <w:t xml:space="preserve"> понятия “слияния</w:t>
      </w:r>
      <w:r>
        <w:rPr>
          <w:rFonts w:ascii="Times New Roman" w:hAnsi="Times New Roman" w:cs="Times New Roman"/>
          <w:sz w:val="24"/>
          <w:szCs w:val="24"/>
        </w:rPr>
        <w:t>” и “поглощения” не имеют такого</w:t>
      </w:r>
      <w:r w:rsidR="0059775B" w:rsidRPr="00DB5908">
        <w:rPr>
          <w:rFonts w:ascii="Times New Roman" w:hAnsi="Times New Roman" w:cs="Times New Roman"/>
          <w:sz w:val="24"/>
          <w:szCs w:val="24"/>
        </w:rPr>
        <w:t xml:space="preserve"> четкого разграничения, как в нашем законодательстве. Даже сами английские аналоги рассматриваемых понят</w:t>
      </w:r>
      <w:r w:rsidR="005E24FF">
        <w:rPr>
          <w:rFonts w:ascii="Times New Roman" w:hAnsi="Times New Roman" w:cs="Times New Roman"/>
          <w:sz w:val="24"/>
          <w:szCs w:val="24"/>
        </w:rPr>
        <w:t>ий имеют неоднозначное значение.</w:t>
      </w:r>
    </w:p>
    <w:p w:rsidR="0059775B" w:rsidRPr="00DB5908" w:rsidRDefault="0059775B" w:rsidP="0059775B">
      <w:pPr>
        <w:spacing w:after="240" w:line="360" w:lineRule="auto"/>
        <w:ind w:firstLine="709"/>
        <w:jc w:val="both"/>
        <w:rPr>
          <w:rFonts w:ascii="Times New Roman" w:hAnsi="Times New Roman" w:cs="Times New Roman"/>
          <w:sz w:val="24"/>
          <w:szCs w:val="24"/>
        </w:rPr>
      </w:pPr>
      <w:proofErr w:type="spellStart"/>
      <w:r w:rsidRPr="00DB5908">
        <w:rPr>
          <w:rFonts w:ascii="Times New Roman" w:hAnsi="Times New Roman" w:cs="Times New Roman"/>
          <w:sz w:val="24"/>
          <w:szCs w:val="24"/>
        </w:rPr>
        <w:t>Merger</w:t>
      </w:r>
      <w:proofErr w:type="spellEnd"/>
      <w:r w:rsidRPr="00DB5908">
        <w:rPr>
          <w:rFonts w:ascii="Times New Roman" w:hAnsi="Times New Roman" w:cs="Times New Roman"/>
          <w:sz w:val="24"/>
          <w:szCs w:val="24"/>
        </w:rPr>
        <w:t xml:space="preserve"> – поглощение (путем приобретения ценных бумаг или основного капитала), слияние (компаний);</w:t>
      </w:r>
    </w:p>
    <w:p w:rsidR="0059775B" w:rsidRPr="00DB5908" w:rsidRDefault="0059775B" w:rsidP="0059775B">
      <w:pPr>
        <w:spacing w:after="240" w:line="360" w:lineRule="auto"/>
        <w:ind w:firstLine="709"/>
        <w:jc w:val="both"/>
        <w:rPr>
          <w:rFonts w:ascii="Times New Roman" w:hAnsi="Times New Roman" w:cs="Times New Roman"/>
          <w:sz w:val="24"/>
          <w:szCs w:val="24"/>
        </w:rPr>
      </w:pPr>
      <w:proofErr w:type="spellStart"/>
      <w:r w:rsidRPr="00DB5908">
        <w:rPr>
          <w:rFonts w:ascii="Times New Roman" w:hAnsi="Times New Roman" w:cs="Times New Roman"/>
          <w:sz w:val="24"/>
          <w:szCs w:val="24"/>
        </w:rPr>
        <w:t>Acquisition</w:t>
      </w:r>
      <w:proofErr w:type="spellEnd"/>
      <w:r w:rsidRPr="00DB5908">
        <w:rPr>
          <w:rFonts w:ascii="Times New Roman" w:hAnsi="Times New Roman" w:cs="Times New Roman"/>
          <w:sz w:val="24"/>
          <w:szCs w:val="24"/>
        </w:rPr>
        <w:t xml:space="preserve"> – приобретение (например, акций), поглощение (компании);</w:t>
      </w:r>
    </w:p>
    <w:p w:rsidR="0059775B" w:rsidRPr="00DB5908" w:rsidRDefault="00A17338" w:rsidP="0059775B">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Соответственно, </w:t>
      </w:r>
      <w:r>
        <w:rPr>
          <w:rFonts w:ascii="Times New Roman" w:hAnsi="Times New Roman" w:cs="Times New Roman"/>
          <w:sz w:val="24"/>
          <w:szCs w:val="24"/>
          <w:lang w:val="en-US"/>
        </w:rPr>
        <w:t>m</w:t>
      </w:r>
      <w:proofErr w:type="spellStart"/>
      <w:r w:rsidR="0059775B" w:rsidRPr="00DB5908">
        <w:rPr>
          <w:rFonts w:ascii="Times New Roman" w:hAnsi="Times New Roman" w:cs="Times New Roman"/>
          <w:sz w:val="24"/>
          <w:szCs w:val="24"/>
        </w:rPr>
        <w:t>erger</w:t>
      </w:r>
      <w:proofErr w:type="spellEnd"/>
      <w:r w:rsidR="0059775B">
        <w:rPr>
          <w:rFonts w:ascii="Times New Roman" w:hAnsi="Times New Roman" w:cs="Times New Roman"/>
          <w:sz w:val="24"/>
          <w:szCs w:val="24"/>
          <w:lang w:val="en-US"/>
        </w:rPr>
        <w:t>s</w:t>
      </w:r>
      <w:r w:rsidR="0059775B" w:rsidRPr="00DB5908">
        <w:rPr>
          <w:rFonts w:ascii="Times New Roman" w:hAnsi="Times New Roman" w:cs="Times New Roman"/>
          <w:sz w:val="24"/>
          <w:szCs w:val="24"/>
        </w:rPr>
        <w:t xml:space="preserve"> </w:t>
      </w:r>
      <w:proofErr w:type="spellStart"/>
      <w:r w:rsidR="0059775B" w:rsidRPr="00DB5908">
        <w:rPr>
          <w:rFonts w:ascii="Times New Roman" w:hAnsi="Times New Roman" w:cs="Times New Roman"/>
          <w:sz w:val="24"/>
          <w:szCs w:val="24"/>
        </w:rPr>
        <w:t>and</w:t>
      </w:r>
      <w:proofErr w:type="spellEnd"/>
      <w:r w:rsidR="0059775B" w:rsidRPr="00DB5908">
        <w:rPr>
          <w:rFonts w:ascii="Times New Roman" w:hAnsi="Times New Roman" w:cs="Times New Roman"/>
          <w:sz w:val="24"/>
          <w:szCs w:val="24"/>
        </w:rPr>
        <w:t xml:space="preserve"> </w:t>
      </w:r>
      <w:proofErr w:type="spellStart"/>
      <w:r w:rsidR="0059775B" w:rsidRPr="00DB5908">
        <w:rPr>
          <w:rFonts w:ascii="Times New Roman" w:hAnsi="Times New Roman" w:cs="Times New Roman"/>
          <w:sz w:val="24"/>
          <w:szCs w:val="24"/>
        </w:rPr>
        <w:t>acquisitions</w:t>
      </w:r>
      <w:proofErr w:type="spellEnd"/>
      <w:r w:rsidR="0059775B" w:rsidRPr="00DB5908">
        <w:rPr>
          <w:rFonts w:ascii="Times New Roman" w:hAnsi="Times New Roman" w:cs="Times New Roman"/>
          <w:sz w:val="24"/>
          <w:szCs w:val="24"/>
        </w:rPr>
        <w:t xml:space="preserve"> (</w:t>
      </w:r>
      <w:r w:rsidR="0059775B" w:rsidRPr="00DB5908">
        <w:rPr>
          <w:rFonts w:ascii="Times New Roman" w:hAnsi="Times New Roman" w:cs="Times New Roman"/>
          <w:sz w:val="24"/>
          <w:szCs w:val="24"/>
          <w:lang w:val="en-US"/>
        </w:rPr>
        <w:t>M</w:t>
      </w:r>
      <w:r w:rsidR="0059775B" w:rsidRPr="00DB5908">
        <w:rPr>
          <w:rFonts w:ascii="Times New Roman" w:hAnsi="Times New Roman" w:cs="Times New Roman"/>
          <w:sz w:val="24"/>
          <w:szCs w:val="24"/>
        </w:rPr>
        <w:t>&amp;</w:t>
      </w:r>
      <w:r w:rsidR="0059775B" w:rsidRPr="00DB5908">
        <w:rPr>
          <w:rFonts w:ascii="Times New Roman" w:hAnsi="Times New Roman" w:cs="Times New Roman"/>
          <w:sz w:val="24"/>
          <w:szCs w:val="24"/>
          <w:lang w:val="en-US"/>
        </w:rPr>
        <w:t>A</w:t>
      </w:r>
      <w:r w:rsidR="0059775B" w:rsidRPr="00DB5908">
        <w:rPr>
          <w:rFonts w:ascii="Times New Roman" w:hAnsi="Times New Roman" w:cs="Times New Roman"/>
          <w:sz w:val="24"/>
          <w:szCs w:val="24"/>
        </w:rPr>
        <w:t>)</w:t>
      </w:r>
      <w:r>
        <w:rPr>
          <w:rFonts w:ascii="Times New Roman" w:hAnsi="Times New Roman" w:cs="Times New Roman"/>
          <w:sz w:val="24"/>
          <w:szCs w:val="24"/>
        </w:rPr>
        <w:t xml:space="preserve"> – слияния и поглощения предприятий</w:t>
      </w:r>
      <w:r w:rsidR="0059775B" w:rsidRPr="00DB5908">
        <w:rPr>
          <w:rFonts w:ascii="Times New Roman" w:hAnsi="Times New Roman" w:cs="Times New Roman"/>
          <w:sz w:val="24"/>
          <w:szCs w:val="24"/>
        </w:rPr>
        <w:t>.</w:t>
      </w:r>
    </w:p>
    <w:p w:rsidR="0059775B" w:rsidRPr="00DB5908" w:rsidRDefault="0059775B" w:rsidP="0059775B">
      <w:p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 xml:space="preserve">Существует множество типов сделок </w:t>
      </w:r>
      <w:r w:rsidRPr="00DB5908">
        <w:rPr>
          <w:rFonts w:ascii="Times New Roman" w:hAnsi="Times New Roman" w:cs="Times New Roman"/>
          <w:sz w:val="24"/>
          <w:szCs w:val="24"/>
          <w:lang w:val="en-US"/>
        </w:rPr>
        <w:t>M</w:t>
      </w:r>
      <w:r w:rsidRPr="00DB5908">
        <w:rPr>
          <w:rFonts w:ascii="Times New Roman" w:hAnsi="Times New Roman" w:cs="Times New Roman"/>
          <w:sz w:val="24"/>
          <w:szCs w:val="24"/>
        </w:rPr>
        <w:t>&amp;</w:t>
      </w:r>
      <w:r w:rsidRPr="00DB5908">
        <w:rPr>
          <w:rFonts w:ascii="Times New Roman" w:hAnsi="Times New Roman" w:cs="Times New Roman"/>
          <w:sz w:val="24"/>
          <w:szCs w:val="24"/>
          <w:lang w:val="en-US"/>
        </w:rPr>
        <w:t>A</w:t>
      </w:r>
      <w:r w:rsidRPr="00DB5908">
        <w:rPr>
          <w:rFonts w:ascii="Times New Roman" w:hAnsi="Times New Roman" w:cs="Times New Roman"/>
          <w:sz w:val="24"/>
          <w:szCs w:val="24"/>
        </w:rPr>
        <w:t>. Можно выделить следующие критерии классификации:</w:t>
      </w:r>
    </w:p>
    <w:p w:rsidR="0059775B" w:rsidRPr="00DB5908" w:rsidRDefault="00A17338" w:rsidP="0059775B">
      <w:pPr>
        <w:pStyle w:val="a3"/>
        <w:numPr>
          <w:ilvl w:val="0"/>
          <w:numId w:val="3"/>
        </w:num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w:t>
      </w:r>
      <w:r w:rsidR="0059775B" w:rsidRPr="00DB5908">
        <w:rPr>
          <w:rFonts w:ascii="Times New Roman" w:hAnsi="Times New Roman" w:cs="Times New Roman"/>
          <w:sz w:val="24"/>
          <w:szCs w:val="24"/>
        </w:rPr>
        <w:t xml:space="preserve"> интеграции компаний;</w:t>
      </w:r>
    </w:p>
    <w:p w:rsidR="0059775B" w:rsidRPr="00DB5908" w:rsidRDefault="00A10D5A" w:rsidP="0059775B">
      <w:pPr>
        <w:pStyle w:val="a3"/>
        <w:numPr>
          <w:ilvl w:val="0"/>
          <w:numId w:val="3"/>
        </w:num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национальная принадлежность предприятий, участвующих в сделке</w:t>
      </w:r>
      <w:r w:rsidR="0059775B" w:rsidRPr="00DB5908">
        <w:rPr>
          <w:rFonts w:ascii="Times New Roman" w:hAnsi="Times New Roman" w:cs="Times New Roman"/>
          <w:sz w:val="24"/>
          <w:szCs w:val="24"/>
        </w:rPr>
        <w:t>;</w:t>
      </w:r>
    </w:p>
    <w:p w:rsidR="0059775B" w:rsidRPr="00DB5908" w:rsidRDefault="0059775B" w:rsidP="0059775B">
      <w:pPr>
        <w:pStyle w:val="a3"/>
        <w:numPr>
          <w:ilvl w:val="0"/>
          <w:numId w:val="3"/>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 xml:space="preserve">отношение </w:t>
      </w:r>
      <w:r w:rsidR="00A10D5A">
        <w:rPr>
          <w:rFonts w:ascii="Times New Roman" w:hAnsi="Times New Roman" w:cs="Times New Roman"/>
          <w:sz w:val="24"/>
          <w:szCs w:val="24"/>
        </w:rPr>
        <w:t>объединяемых компаний к сделке</w:t>
      </w:r>
      <w:r w:rsidRPr="00DB5908">
        <w:rPr>
          <w:rFonts w:ascii="Times New Roman" w:hAnsi="Times New Roman" w:cs="Times New Roman"/>
          <w:sz w:val="24"/>
          <w:szCs w:val="24"/>
        </w:rPr>
        <w:t>;</w:t>
      </w:r>
    </w:p>
    <w:p w:rsidR="0059775B" w:rsidRPr="00DB5908" w:rsidRDefault="00A17338" w:rsidP="0059775B">
      <w:pPr>
        <w:pStyle w:val="a3"/>
        <w:numPr>
          <w:ilvl w:val="0"/>
          <w:numId w:val="3"/>
        </w:num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метод</w:t>
      </w:r>
      <w:r w:rsidR="0059775B" w:rsidRPr="00DB5908">
        <w:rPr>
          <w:rFonts w:ascii="Times New Roman" w:hAnsi="Times New Roman" w:cs="Times New Roman"/>
          <w:sz w:val="24"/>
          <w:szCs w:val="24"/>
        </w:rPr>
        <w:t xml:space="preserve"> объединения потенциала;</w:t>
      </w:r>
    </w:p>
    <w:p w:rsidR="0059775B" w:rsidRPr="00DB5908" w:rsidRDefault="0059775B" w:rsidP="0059775B">
      <w:pPr>
        <w:pStyle w:val="a3"/>
        <w:numPr>
          <w:ilvl w:val="0"/>
          <w:numId w:val="3"/>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условия слияния;</w:t>
      </w:r>
    </w:p>
    <w:p w:rsidR="0059775B" w:rsidRPr="00DB5908" w:rsidRDefault="00A10D5A" w:rsidP="0059775B">
      <w:pPr>
        <w:pStyle w:val="a3"/>
        <w:numPr>
          <w:ilvl w:val="0"/>
          <w:numId w:val="3"/>
        </w:num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механизм сделки</w:t>
      </w:r>
      <w:r w:rsidR="0059775B" w:rsidRPr="00DB5908">
        <w:rPr>
          <w:rFonts w:ascii="Times New Roman" w:hAnsi="Times New Roman" w:cs="Times New Roman"/>
          <w:sz w:val="24"/>
          <w:szCs w:val="24"/>
        </w:rPr>
        <w:t>.</w:t>
      </w:r>
      <w:r w:rsidR="0059775B" w:rsidRPr="00DB5908">
        <w:rPr>
          <w:rStyle w:val="a7"/>
          <w:rFonts w:ascii="Times New Roman" w:hAnsi="Times New Roman" w:cs="Times New Roman"/>
          <w:sz w:val="24"/>
          <w:szCs w:val="24"/>
        </w:rPr>
        <w:footnoteReference w:id="3"/>
      </w:r>
    </w:p>
    <w:p w:rsidR="0059775B" w:rsidRPr="00DB5908" w:rsidRDefault="0059775B" w:rsidP="0059775B">
      <w:p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 xml:space="preserve">По способу интеграции компаний сделки слияний и поглощения делятся </w:t>
      </w:r>
      <w:proofErr w:type="gramStart"/>
      <w:r w:rsidRPr="00DB5908">
        <w:rPr>
          <w:rFonts w:ascii="Times New Roman" w:hAnsi="Times New Roman" w:cs="Times New Roman"/>
          <w:sz w:val="24"/>
          <w:szCs w:val="24"/>
        </w:rPr>
        <w:t>на</w:t>
      </w:r>
      <w:proofErr w:type="gramEnd"/>
      <w:r w:rsidRPr="00DB5908">
        <w:rPr>
          <w:rFonts w:ascii="Times New Roman" w:hAnsi="Times New Roman" w:cs="Times New Roman"/>
          <w:sz w:val="24"/>
          <w:szCs w:val="24"/>
        </w:rPr>
        <w:t>:</w:t>
      </w:r>
    </w:p>
    <w:p w:rsidR="0059775B" w:rsidRPr="00DB5908" w:rsidRDefault="0059775B" w:rsidP="0059775B">
      <w:pPr>
        <w:pStyle w:val="a3"/>
        <w:numPr>
          <w:ilvl w:val="0"/>
          <w:numId w:val="9"/>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горизонтальные – объединение компаний одной отрасли, которые производят одинаковые изделия или осуществляют одинаковые стадии производства;</w:t>
      </w:r>
    </w:p>
    <w:p w:rsidR="0059775B" w:rsidRPr="00DB5908" w:rsidRDefault="0059775B" w:rsidP="0059775B">
      <w:pPr>
        <w:pStyle w:val="a3"/>
        <w:numPr>
          <w:ilvl w:val="0"/>
          <w:numId w:val="9"/>
        </w:numPr>
        <w:spacing w:after="240" w:line="360" w:lineRule="auto"/>
        <w:ind w:firstLine="709"/>
        <w:jc w:val="both"/>
        <w:rPr>
          <w:rFonts w:ascii="Times New Roman" w:hAnsi="Times New Roman" w:cs="Times New Roman"/>
          <w:sz w:val="24"/>
          <w:szCs w:val="24"/>
        </w:rPr>
      </w:pPr>
      <w:proofErr w:type="gramStart"/>
      <w:r w:rsidRPr="00DB5908">
        <w:rPr>
          <w:rFonts w:ascii="Times New Roman" w:hAnsi="Times New Roman" w:cs="Times New Roman"/>
          <w:sz w:val="24"/>
          <w:szCs w:val="24"/>
        </w:rPr>
        <w:t>вер</w:t>
      </w:r>
      <w:r w:rsidR="00A10D5A">
        <w:rPr>
          <w:rFonts w:ascii="Times New Roman" w:hAnsi="Times New Roman" w:cs="Times New Roman"/>
          <w:sz w:val="24"/>
          <w:szCs w:val="24"/>
        </w:rPr>
        <w:t>тикальные – сделки между фирмами разных отраслей, которые связаны</w:t>
      </w:r>
      <w:r w:rsidRPr="00DB5908">
        <w:rPr>
          <w:rFonts w:ascii="Times New Roman" w:hAnsi="Times New Roman" w:cs="Times New Roman"/>
          <w:sz w:val="24"/>
          <w:szCs w:val="24"/>
        </w:rPr>
        <w:t xml:space="preserve"> </w:t>
      </w:r>
      <w:r w:rsidR="00A10D5A">
        <w:rPr>
          <w:rFonts w:ascii="Times New Roman" w:hAnsi="Times New Roman" w:cs="Times New Roman"/>
          <w:sz w:val="24"/>
          <w:szCs w:val="24"/>
        </w:rPr>
        <w:t>между собой производственным процессом готового продукта; иными словами, расширение компанией, которая приобретает другую компанию,</w:t>
      </w:r>
      <w:r w:rsidRPr="00DB5908">
        <w:rPr>
          <w:rFonts w:ascii="Times New Roman" w:hAnsi="Times New Roman" w:cs="Times New Roman"/>
          <w:sz w:val="24"/>
          <w:szCs w:val="24"/>
        </w:rPr>
        <w:t xml:space="preserve"> своей деятельности либо на предыдущие производственные ст</w:t>
      </w:r>
      <w:r w:rsidR="00A10D5A">
        <w:rPr>
          <w:rFonts w:ascii="Times New Roman" w:hAnsi="Times New Roman" w:cs="Times New Roman"/>
          <w:sz w:val="24"/>
          <w:szCs w:val="24"/>
        </w:rPr>
        <w:t>адии, либо на последующие</w:t>
      </w:r>
      <w:r w:rsidRPr="00DB5908">
        <w:rPr>
          <w:rFonts w:ascii="Times New Roman" w:hAnsi="Times New Roman" w:cs="Times New Roman"/>
          <w:sz w:val="24"/>
          <w:szCs w:val="24"/>
        </w:rPr>
        <w:t>;</w:t>
      </w:r>
      <w:proofErr w:type="gramEnd"/>
    </w:p>
    <w:p w:rsidR="0059775B" w:rsidRPr="00DB5908" w:rsidRDefault="0059775B" w:rsidP="00A10D5A">
      <w:pPr>
        <w:pStyle w:val="a3"/>
        <w:numPr>
          <w:ilvl w:val="0"/>
          <w:numId w:val="9"/>
        </w:numPr>
        <w:spacing w:after="240" w:line="360" w:lineRule="auto"/>
        <w:jc w:val="both"/>
        <w:rPr>
          <w:rFonts w:ascii="Times New Roman" w:hAnsi="Times New Roman" w:cs="Times New Roman"/>
          <w:sz w:val="24"/>
          <w:szCs w:val="24"/>
        </w:rPr>
      </w:pPr>
      <w:r w:rsidRPr="00DB5908">
        <w:rPr>
          <w:rFonts w:ascii="Times New Roman" w:hAnsi="Times New Roman" w:cs="Times New Roman"/>
          <w:sz w:val="24"/>
          <w:szCs w:val="24"/>
        </w:rPr>
        <w:t>конгл</w:t>
      </w:r>
      <w:r w:rsidR="00A10D5A">
        <w:rPr>
          <w:rFonts w:ascii="Times New Roman" w:hAnsi="Times New Roman" w:cs="Times New Roman"/>
          <w:sz w:val="24"/>
          <w:szCs w:val="24"/>
        </w:rPr>
        <w:t>омератные – сделки между компаниями разных отраслей, которые не имеют</w:t>
      </w:r>
      <w:r w:rsidR="00A10D5A" w:rsidRPr="00A10D5A">
        <w:t xml:space="preserve"> </w:t>
      </w:r>
      <w:r w:rsidR="00A10D5A" w:rsidRPr="00A10D5A">
        <w:rPr>
          <w:rFonts w:ascii="Times New Roman" w:hAnsi="Times New Roman" w:cs="Times New Roman"/>
          <w:sz w:val="24"/>
          <w:szCs w:val="24"/>
        </w:rPr>
        <w:t>технологического</w:t>
      </w:r>
      <w:r w:rsidR="00A10D5A">
        <w:rPr>
          <w:rFonts w:ascii="Times New Roman" w:hAnsi="Times New Roman" w:cs="Times New Roman"/>
          <w:sz w:val="24"/>
          <w:szCs w:val="24"/>
        </w:rPr>
        <w:t xml:space="preserve"> или </w:t>
      </w:r>
      <w:r w:rsidRPr="00DB5908">
        <w:rPr>
          <w:rFonts w:ascii="Times New Roman" w:hAnsi="Times New Roman" w:cs="Times New Roman"/>
          <w:sz w:val="24"/>
          <w:szCs w:val="24"/>
        </w:rPr>
        <w:t xml:space="preserve">производственного </w:t>
      </w:r>
      <w:r w:rsidR="00A10D5A">
        <w:rPr>
          <w:rFonts w:ascii="Times New Roman" w:hAnsi="Times New Roman" w:cs="Times New Roman"/>
          <w:sz w:val="24"/>
          <w:szCs w:val="24"/>
        </w:rPr>
        <w:t>единства, то есть объединение такого типа – это объединение предприятия одной отрасли с предприятием</w:t>
      </w:r>
      <w:r w:rsidRPr="00DB5908">
        <w:rPr>
          <w:rFonts w:ascii="Times New Roman" w:hAnsi="Times New Roman" w:cs="Times New Roman"/>
          <w:sz w:val="24"/>
          <w:szCs w:val="24"/>
        </w:rPr>
        <w:t xml:space="preserve"> другой отрасли, не являющейся ни поставщиком, ни клиентом, ни конкурентом.</w:t>
      </w:r>
    </w:p>
    <w:p w:rsidR="0059775B" w:rsidRPr="00DB5908" w:rsidRDefault="00A10D5A" w:rsidP="0059775B">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w:t>
      </w:r>
      <w:r w:rsidR="0059775B" w:rsidRPr="00DB5908">
        <w:rPr>
          <w:rFonts w:ascii="Times New Roman" w:hAnsi="Times New Roman" w:cs="Times New Roman"/>
          <w:sz w:val="24"/>
          <w:szCs w:val="24"/>
        </w:rPr>
        <w:t xml:space="preserve">национальной принадлежности </w:t>
      </w:r>
      <w:r w:rsidRPr="00A10D5A">
        <w:rPr>
          <w:rFonts w:ascii="Times New Roman" w:hAnsi="Times New Roman" w:cs="Times New Roman"/>
          <w:sz w:val="24"/>
          <w:szCs w:val="24"/>
        </w:rPr>
        <w:t>п</w:t>
      </w:r>
      <w:r>
        <w:rPr>
          <w:rFonts w:ascii="Times New Roman" w:hAnsi="Times New Roman" w:cs="Times New Roman"/>
          <w:sz w:val="24"/>
          <w:szCs w:val="24"/>
        </w:rPr>
        <w:t xml:space="preserve">редприятий, участвующих в сделке, </w:t>
      </w:r>
      <w:r w:rsidR="0059775B" w:rsidRPr="00DB5908">
        <w:rPr>
          <w:rFonts w:ascii="Times New Roman" w:hAnsi="Times New Roman" w:cs="Times New Roman"/>
          <w:sz w:val="24"/>
          <w:szCs w:val="24"/>
        </w:rPr>
        <w:t>можно выделить:</w:t>
      </w:r>
    </w:p>
    <w:p w:rsidR="0059775B" w:rsidRPr="00DB5908" w:rsidRDefault="0059775B" w:rsidP="0059775B">
      <w:pPr>
        <w:pStyle w:val="a3"/>
        <w:numPr>
          <w:ilvl w:val="0"/>
          <w:numId w:val="8"/>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национальны</w:t>
      </w:r>
      <w:r w:rsidR="00DB0224">
        <w:rPr>
          <w:rFonts w:ascii="Times New Roman" w:hAnsi="Times New Roman" w:cs="Times New Roman"/>
          <w:sz w:val="24"/>
          <w:szCs w:val="24"/>
        </w:rPr>
        <w:t>е слияния – объединение предприятий</w:t>
      </w:r>
      <w:r w:rsidRPr="00DB5908">
        <w:rPr>
          <w:rFonts w:ascii="Times New Roman" w:hAnsi="Times New Roman" w:cs="Times New Roman"/>
          <w:sz w:val="24"/>
          <w:szCs w:val="24"/>
        </w:rPr>
        <w:t>,</w:t>
      </w:r>
      <w:r w:rsidR="00DB0224">
        <w:rPr>
          <w:rFonts w:ascii="Times New Roman" w:hAnsi="Times New Roman" w:cs="Times New Roman"/>
          <w:sz w:val="24"/>
          <w:szCs w:val="24"/>
        </w:rPr>
        <w:t xml:space="preserve"> которые находятся в одной стране</w:t>
      </w:r>
      <w:r w:rsidRPr="00DB5908">
        <w:rPr>
          <w:rFonts w:ascii="Times New Roman" w:hAnsi="Times New Roman" w:cs="Times New Roman"/>
          <w:sz w:val="24"/>
          <w:szCs w:val="24"/>
        </w:rPr>
        <w:t>;</w:t>
      </w:r>
    </w:p>
    <w:p w:rsidR="0059775B" w:rsidRPr="00DB5908" w:rsidRDefault="0059775B" w:rsidP="0059775B">
      <w:pPr>
        <w:pStyle w:val="a3"/>
        <w:numPr>
          <w:ilvl w:val="0"/>
          <w:numId w:val="8"/>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lastRenderedPageBreak/>
        <w:t>транснациона</w:t>
      </w:r>
      <w:r w:rsidR="00C97FB1">
        <w:rPr>
          <w:rFonts w:ascii="Times New Roman" w:hAnsi="Times New Roman" w:cs="Times New Roman"/>
          <w:sz w:val="24"/>
          <w:szCs w:val="24"/>
        </w:rPr>
        <w:t>льные слияния – объединения компаний, которые располагаются в разных странах</w:t>
      </w:r>
      <w:r w:rsidRPr="00DB5908">
        <w:rPr>
          <w:rFonts w:ascii="Times New Roman" w:hAnsi="Times New Roman" w:cs="Times New Roman"/>
          <w:sz w:val="24"/>
          <w:szCs w:val="24"/>
        </w:rPr>
        <w:t xml:space="preserve"> (</w:t>
      </w:r>
      <w:r w:rsidR="00C97FB1">
        <w:rPr>
          <w:rFonts w:ascii="Times New Roman" w:hAnsi="Times New Roman" w:cs="Times New Roman"/>
          <w:sz w:val="24"/>
          <w:szCs w:val="24"/>
        </w:rPr>
        <w:t xml:space="preserve">так называемые, </w:t>
      </w:r>
      <w:proofErr w:type="spellStart"/>
      <w:r w:rsidRPr="00DB5908">
        <w:rPr>
          <w:rFonts w:ascii="Times New Roman" w:hAnsi="Times New Roman" w:cs="Times New Roman"/>
          <w:sz w:val="24"/>
          <w:szCs w:val="24"/>
        </w:rPr>
        <w:t>transnationa</w:t>
      </w:r>
      <w:r w:rsidR="00DB0224">
        <w:rPr>
          <w:rFonts w:ascii="Times New Roman" w:hAnsi="Times New Roman" w:cs="Times New Roman"/>
          <w:sz w:val="24"/>
          <w:szCs w:val="24"/>
        </w:rPr>
        <w:t>l</w:t>
      </w:r>
      <w:proofErr w:type="spellEnd"/>
      <w:r w:rsidR="00DB0224">
        <w:rPr>
          <w:rFonts w:ascii="Times New Roman" w:hAnsi="Times New Roman" w:cs="Times New Roman"/>
          <w:sz w:val="24"/>
          <w:szCs w:val="24"/>
        </w:rPr>
        <w:t xml:space="preserve"> </w:t>
      </w:r>
      <w:proofErr w:type="spellStart"/>
      <w:r w:rsidR="00DB0224">
        <w:rPr>
          <w:rFonts w:ascii="Times New Roman" w:hAnsi="Times New Roman" w:cs="Times New Roman"/>
          <w:sz w:val="24"/>
          <w:szCs w:val="24"/>
        </w:rPr>
        <w:t>merger</w:t>
      </w:r>
      <w:proofErr w:type="spellEnd"/>
      <w:r w:rsidR="00C97FB1">
        <w:rPr>
          <w:rFonts w:ascii="Times New Roman" w:hAnsi="Times New Roman" w:cs="Times New Roman"/>
          <w:sz w:val="24"/>
          <w:szCs w:val="24"/>
          <w:lang w:val="en-US"/>
        </w:rPr>
        <w:t>s</w:t>
      </w:r>
      <w:r w:rsidR="00DB0224">
        <w:rPr>
          <w:rFonts w:ascii="Times New Roman" w:hAnsi="Times New Roman" w:cs="Times New Roman"/>
          <w:sz w:val="24"/>
          <w:szCs w:val="24"/>
        </w:rPr>
        <w:t>)</w:t>
      </w:r>
      <w:r w:rsidR="00C97FB1">
        <w:rPr>
          <w:rFonts w:ascii="Times New Roman" w:hAnsi="Times New Roman" w:cs="Times New Roman"/>
          <w:sz w:val="24"/>
          <w:szCs w:val="24"/>
        </w:rPr>
        <w:t>, сделки с</w:t>
      </w:r>
      <w:r w:rsidR="00DB0224">
        <w:rPr>
          <w:rFonts w:ascii="Times New Roman" w:hAnsi="Times New Roman" w:cs="Times New Roman"/>
          <w:sz w:val="24"/>
          <w:szCs w:val="24"/>
        </w:rPr>
        <w:t xml:space="preserve"> фирм</w:t>
      </w:r>
      <w:r w:rsidR="00C97FB1">
        <w:rPr>
          <w:rFonts w:ascii="Times New Roman" w:hAnsi="Times New Roman" w:cs="Times New Roman"/>
          <w:sz w:val="24"/>
          <w:szCs w:val="24"/>
        </w:rPr>
        <w:t>ами за рубежом</w:t>
      </w:r>
      <w:r w:rsidRPr="00DB5908">
        <w:rPr>
          <w:rFonts w:ascii="Times New Roman" w:hAnsi="Times New Roman" w:cs="Times New Roman"/>
          <w:sz w:val="24"/>
          <w:szCs w:val="24"/>
        </w:rPr>
        <w:t xml:space="preserve"> (</w:t>
      </w:r>
      <w:proofErr w:type="spellStart"/>
      <w:r w:rsidRPr="00DB5908">
        <w:rPr>
          <w:rFonts w:ascii="Times New Roman" w:hAnsi="Times New Roman" w:cs="Times New Roman"/>
          <w:sz w:val="24"/>
          <w:szCs w:val="24"/>
        </w:rPr>
        <w:t>cross-border</w:t>
      </w:r>
      <w:proofErr w:type="spellEnd"/>
      <w:r w:rsidRPr="00DB5908">
        <w:rPr>
          <w:rFonts w:ascii="Times New Roman" w:hAnsi="Times New Roman" w:cs="Times New Roman"/>
          <w:sz w:val="24"/>
          <w:szCs w:val="24"/>
        </w:rPr>
        <w:t xml:space="preserve"> </w:t>
      </w:r>
      <w:proofErr w:type="spellStart"/>
      <w:r w:rsidRPr="00DB5908">
        <w:rPr>
          <w:rFonts w:ascii="Times New Roman" w:hAnsi="Times New Roman" w:cs="Times New Roman"/>
          <w:sz w:val="24"/>
          <w:szCs w:val="24"/>
        </w:rPr>
        <w:t>acquisition</w:t>
      </w:r>
      <w:proofErr w:type="spellEnd"/>
      <w:r w:rsidR="00C97FB1">
        <w:rPr>
          <w:rFonts w:ascii="Times New Roman" w:hAnsi="Times New Roman" w:cs="Times New Roman"/>
          <w:sz w:val="24"/>
          <w:szCs w:val="24"/>
          <w:lang w:val="en-US"/>
        </w:rPr>
        <w:t>s</w:t>
      </w:r>
      <w:r w:rsidRPr="00DB5908">
        <w:rPr>
          <w:rFonts w:ascii="Times New Roman" w:hAnsi="Times New Roman" w:cs="Times New Roman"/>
          <w:sz w:val="24"/>
          <w:szCs w:val="24"/>
        </w:rPr>
        <w:t>).</w:t>
      </w:r>
    </w:p>
    <w:p w:rsidR="0059775B" w:rsidRPr="00DB5908" w:rsidRDefault="0059775B" w:rsidP="0059775B">
      <w:p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В зависимости от</w:t>
      </w:r>
      <w:r w:rsidR="00C97FB1">
        <w:rPr>
          <w:rFonts w:ascii="Times New Roman" w:hAnsi="Times New Roman" w:cs="Times New Roman"/>
          <w:sz w:val="24"/>
          <w:szCs w:val="24"/>
        </w:rPr>
        <w:t xml:space="preserve"> отношения </w:t>
      </w:r>
      <w:proofErr w:type="gramStart"/>
      <w:r w:rsidR="00C97FB1">
        <w:rPr>
          <w:rFonts w:ascii="Times New Roman" w:hAnsi="Times New Roman" w:cs="Times New Roman"/>
          <w:sz w:val="24"/>
          <w:szCs w:val="24"/>
        </w:rPr>
        <w:t>топ-менеджмента</w:t>
      </w:r>
      <w:proofErr w:type="gramEnd"/>
      <w:r w:rsidR="00C97FB1">
        <w:rPr>
          <w:rFonts w:ascii="Times New Roman" w:hAnsi="Times New Roman" w:cs="Times New Roman"/>
          <w:sz w:val="24"/>
          <w:szCs w:val="24"/>
        </w:rPr>
        <w:t xml:space="preserve"> предприятий</w:t>
      </w:r>
      <w:r w:rsidR="00DB0224">
        <w:rPr>
          <w:rFonts w:ascii="Times New Roman" w:hAnsi="Times New Roman" w:cs="Times New Roman"/>
          <w:sz w:val="24"/>
          <w:szCs w:val="24"/>
        </w:rPr>
        <w:t xml:space="preserve"> к сделке </w:t>
      </w:r>
      <w:r w:rsidR="00DB0224">
        <w:rPr>
          <w:rFonts w:ascii="Times New Roman" w:hAnsi="Times New Roman" w:cs="Times New Roman"/>
          <w:sz w:val="24"/>
          <w:szCs w:val="24"/>
          <w:lang w:val="en-US"/>
        </w:rPr>
        <w:t>M</w:t>
      </w:r>
      <w:r w:rsidR="00DB0224" w:rsidRPr="00DB0224">
        <w:rPr>
          <w:rFonts w:ascii="Times New Roman" w:hAnsi="Times New Roman" w:cs="Times New Roman"/>
          <w:sz w:val="24"/>
          <w:szCs w:val="24"/>
        </w:rPr>
        <w:t>&amp;</w:t>
      </w:r>
      <w:r w:rsidR="00DB0224">
        <w:rPr>
          <w:rFonts w:ascii="Times New Roman" w:hAnsi="Times New Roman" w:cs="Times New Roman"/>
          <w:sz w:val="24"/>
          <w:szCs w:val="24"/>
          <w:lang w:val="en-US"/>
        </w:rPr>
        <w:t>A</w:t>
      </w:r>
      <w:r w:rsidR="00C97FB1">
        <w:rPr>
          <w:rFonts w:ascii="Times New Roman" w:hAnsi="Times New Roman" w:cs="Times New Roman"/>
          <w:sz w:val="24"/>
          <w:szCs w:val="24"/>
        </w:rPr>
        <w:t xml:space="preserve"> выделяются</w:t>
      </w:r>
      <w:r w:rsidRPr="00DB5908">
        <w:rPr>
          <w:rFonts w:ascii="Times New Roman" w:hAnsi="Times New Roman" w:cs="Times New Roman"/>
          <w:sz w:val="24"/>
          <w:szCs w:val="24"/>
        </w:rPr>
        <w:t>:</w:t>
      </w:r>
    </w:p>
    <w:p w:rsidR="0059775B" w:rsidRPr="00DB5908" w:rsidRDefault="0059775B" w:rsidP="0059775B">
      <w:pPr>
        <w:pStyle w:val="a3"/>
        <w:numPr>
          <w:ilvl w:val="0"/>
          <w:numId w:val="10"/>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дружественные слияния – слияния, при которых мене</w:t>
      </w:r>
      <w:r w:rsidR="00DB0224">
        <w:rPr>
          <w:rFonts w:ascii="Times New Roman" w:hAnsi="Times New Roman" w:cs="Times New Roman"/>
          <w:sz w:val="24"/>
          <w:szCs w:val="24"/>
        </w:rPr>
        <w:t>джеры целевой фирмы выступают за проведение сделки</w:t>
      </w:r>
      <w:r w:rsidRPr="00DB5908">
        <w:rPr>
          <w:rFonts w:ascii="Times New Roman" w:hAnsi="Times New Roman" w:cs="Times New Roman"/>
          <w:sz w:val="24"/>
          <w:szCs w:val="24"/>
        </w:rPr>
        <w:t>;</w:t>
      </w:r>
    </w:p>
    <w:p w:rsidR="0059775B" w:rsidRPr="00DB5908" w:rsidRDefault="0059775B" w:rsidP="0059775B">
      <w:pPr>
        <w:pStyle w:val="a3"/>
        <w:numPr>
          <w:ilvl w:val="0"/>
          <w:numId w:val="10"/>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враждебные слияния – сделки, при которых руково</w:t>
      </w:r>
      <w:r w:rsidR="00DB0224">
        <w:rPr>
          <w:rFonts w:ascii="Times New Roman" w:hAnsi="Times New Roman" w:cs="Times New Roman"/>
          <w:sz w:val="24"/>
          <w:szCs w:val="24"/>
        </w:rPr>
        <w:t>дящий состав компании-цели выступает против проведения сделки</w:t>
      </w:r>
      <w:r w:rsidRPr="00DB5908">
        <w:rPr>
          <w:rFonts w:ascii="Times New Roman" w:hAnsi="Times New Roman" w:cs="Times New Roman"/>
          <w:sz w:val="24"/>
          <w:szCs w:val="24"/>
        </w:rPr>
        <w:t xml:space="preserve"> и о</w:t>
      </w:r>
      <w:r w:rsidR="00DB0224">
        <w:rPr>
          <w:rFonts w:ascii="Times New Roman" w:hAnsi="Times New Roman" w:cs="Times New Roman"/>
          <w:sz w:val="24"/>
          <w:szCs w:val="24"/>
        </w:rPr>
        <w:t>существляет ряд</w:t>
      </w:r>
      <w:r w:rsidRPr="00DB5908">
        <w:rPr>
          <w:rFonts w:ascii="Times New Roman" w:hAnsi="Times New Roman" w:cs="Times New Roman"/>
          <w:sz w:val="24"/>
          <w:szCs w:val="24"/>
        </w:rPr>
        <w:t xml:space="preserve"> мероприятий</w:t>
      </w:r>
      <w:r w:rsidR="00DB0224">
        <w:rPr>
          <w:rFonts w:ascii="Times New Roman" w:hAnsi="Times New Roman" w:cs="Times New Roman"/>
          <w:sz w:val="24"/>
          <w:szCs w:val="24"/>
        </w:rPr>
        <w:t>, чтобы не допустить ее осуществления</w:t>
      </w:r>
      <w:r w:rsidRPr="00DB5908">
        <w:rPr>
          <w:rFonts w:ascii="Times New Roman" w:hAnsi="Times New Roman" w:cs="Times New Roman"/>
          <w:sz w:val="24"/>
          <w:szCs w:val="24"/>
        </w:rPr>
        <w:t xml:space="preserve">. </w:t>
      </w:r>
    </w:p>
    <w:p w:rsidR="0059775B" w:rsidRPr="00DB5908" w:rsidRDefault="00C97FB1" w:rsidP="0059775B">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методу объединения потенциала выделяются</w:t>
      </w:r>
      <w:r w:rsidR="0059775B" w:rsidRPr="00DB5908">
        <w:rPr>
          <w:rFonts w:ascii="Times New Roman" w:hAnsi="Times New Roman" w:cs="Times New Roman"/>
          <w:sz w:val="24"/>
          <w:szCs w:val="24"/>
        </w:rPr>
        <w:t>:</w:t>
      </w:r>
    </w:p>
    <w:p w:rsidR="0059775B" w:rsidRPr="00DB5908" w:rsidRDefault="0059775B" w:rsidP="0059775B">
      <w:pPr>
        <w:pStyle w:val="a3"/>
        <w:numPr>
          <w:ilvl w:val="0"/>
          <w:numId w:val="4"/>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корпоративные альянсы – это</w:t>
      </w:r>
      <w:r w:rsidR="00C97FB1">
        <w:rPr>
          <w:rFonts w:ascii="Times New Roman" w:hAnsi="Times New Roman" w:cs="Times New Roman"/>
          <w:sz w:val="24"/>
          <w:szCs w:val="24"/>
        </w:rPr>
        <w:t xml:space="preserve"> слияние двух или более предприятий, которое нацелено на конкретное направление</w:t>
      </w:r>
      <w:r w:rsidRPr="00DB5908">
        <w:rPr>
          <w:rFonts w:ascii="Times New Roman" w:hAnsi="Times New Roman" w:cs="Times New Roman"/>
          <w:sz w:val="24"/>
          <w:szCs w:val="24"/>
        </w:rPr>
        <w:t xml:space="preserve"> бизнеса, обеспечивающее получение син</w:t>
      </w:r>
      <w:r w:rsidR="00C97FB1">
        <w:rPr>
          <w:rFonts w:ascii="Times New Roman" w:hAnsi="Times New Roman" w:cs="Times New Roman"/>
          <w:sz w:val="24"/>
          <w:szCs w:val="24"/>
        </w:rPr>
        <w:t>ергии исключительно</w:t>
      </w:r>
      <w:r w:rsidR="00DB0224">
        <w:rPr>
          <w:rFonts w:ascii="Times New Roman" w:hAnsi="Times New Roman" w:cs="Times New Roman"/>
          <w:sz w:val="24"/>
          <w:szCs w:val="24"/>
        </w:rPr>
        <w:t xml:space="preserve"> в этом виде деятельности</w:t>
      </w:r>
      <w:r w:rsidRPr="00DB5908">
        <w:rPr>
          <w:rFonts w:ascii="Times New Roman" w:hAnsi="Times New Roman" w:cs="Times New Roman"/>
          <w:sz w:val="24"/>
          <w:szCs w:val="24"/>
        </w:rPr>
        <w:t>, в</w:t>
      </w:r>
      <w:r w:rsidR="00DB0224">
        <w:rPr>
          <w:rFonts w:ascii="Times New Roman" w:hAnsi="Times New Roman" w:cs="Times New Roman"/>
          <w:sz w:val="24"/>
          <w:szCs w:val="24"/>
        </w:rPr>
        <w:t xml:space="preserve"> остальных же направлениях компании</w:t>
      </w:r>
      <w:r w:rsidRPr="00DB5908">
        <w:rPr>
          <w:rFonts w:ascii="Times New Roman" w:hAnsi="Times New Roman" w:cs="Times New Roman"/>
          <w:sz w:val="24"/>
          <w:szCs w:val="24"/>
        </w:rPr>
        <w:t xml:space="preserve"> де</w:t>
      </w:r>
      <w:r w:rsidR="00DB0224">
        <w:rPr>
          <w:rFonts w:ascii="Times New Roman" w:hAnsi="Times New Roman" w:cs="Times New Roman"/>
          <w:sz w:val="24"/>
          <w:szCs w:val="24"/>
        </w:rPr>
        <w:t>йствуют самостоятельно</w:t>
      </w:r>
      <w:r w:rsidRPr="00DB5908">
        <w:rPr>
          <w:rFonts w:ascii="Times New Roman" w:hAnsi="Times New Roman" w:cs="Times New Roman"/>
          <w:sz w:val="24"/>
          <w:szCs w:val="24"/>
        </w:rPr>
        <w:t>;</w:t>
      </w:r>
    </w:p>
    <w:p w:rsidR="0059775B" w:rsidRPr="00DB5908" w:rsidRDefault="00DB0224" w:rsidP="0059775B">
      <w:pPr>
        <w:pStyle w:val="a3"/>
        <w:numPr>
          <w:ilvl w:val="0"/>
          <w:numId w:val="4"/>
        </w:num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корпорации – это такой вид слияния, когда происходит объединение</w:t>
      </w:r>
      <w:r w:rsidR="0059775B" w:rsidRPr="00DB5908">
        <w:rPr>
          <w:rFonts w:ascii="Times New Roman" w:hAnsi="Times New Roman" w:cs="Times New Roman"/>
          <w:sz w:val="24"/>
          <w:szCs w:val="24"/>
        </w:rPr>
        <w:t xml:space="preserve"> все</w:t>
      </w:r>
      <w:r>
        <w:rPr>
          <w:rFonts w:ascii="Times New Roman" w:hAnsi="Times New Roman" w:cs="Times New Roman"/>
          <w:sz w:val="24"/>
          <w:szCs w:val="24"/>
        </w:rPr>
        <w:t>х активов,</w:t>
      </w:r>
      <w:r w:rsidR="0059775B" w:rsidRPr="00DB5908">
        <w:rPr>
          <w:rFonts w:ascii="Times New Roman" w:hAnsi="Times New Roman" w:cs="Times New Roman"/>
          <w:sz w:val="24"/>
          <w:szCs w:val="24"/>
        </w:rPr>
        <w:t xml:space="preserve"> вовлекаемых в сделку фирм.</w:t>
      </w:r>
    </w:p>
    <w:p w:rsidR="0059775B" w:rsidRPr="00DB5908" w:rsidRDefault="00DB0224" w:rsidP="0059775B">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59775B" w:rsidRPr="00DB5908">
        <w:rPr>
          <w:rFonts w:ascii="Times New Roman" w:hAnsi="Times New Roman" w:cs="Times New Roman"/>
          <w:sz w:val="24"/>
          <w:szCs w:val="24"/>
        </w:rPr>
        <w:t>зависимости от того, какой потенциал в ходе слия</w:t>
      </w:r>
      <w:r>
        <w:rPr>
          <w:rFonts w:ascii="Times New Roman" w:hAnsi="Times New Roman" w:cs="Times New Roman"/>
          <w:sz w:val="24"/>
          <w:szCs w:val="24"/>
        </w:rPr>
        <w:t>ния объединяется, можно определить</w:t>
      </w:r>
      <w:r w:rsidR="0059775B" w:rsidRPr="00DB5908">
        <w:rPr>
          <w:rFonts w:ascii="Times New Roman" w:hAnsi="Times New Roman" w:cs="Times New Roman"/>
          <w:sz w:val="24"/>
          <w:szCs w:val="24"/>
        </w:rPr>
        <w:t>:</w:t>
      </w:r>
    </w:p>
    <w:p w:rsidR="0059775B" w:rsidRPr="00DB5908" w:rsidRDefault="0059775B" w:rsidP="0059775B">
      <w:pPr>
        <w:pStyle w:val="a3"/>
        <w:numPr>
          <w:ilvl w:val="0"/>
          <w:numId w:val="11"/>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 xml:space="preserve">производственные слияния – это </w:t>
      </w:r>
      <w:r w:rsidR="00C97FB1">
        <w:rPr>
          <w:rFonts w:ascii="Times New Roman" w:hAnsi="Times New Roman" w:cs="Times New Roman"/>
          <w:sz w:val="24"/>
          <w:szCs w:val="24"/>
        </w:rPr>
        <w:t xml:space="preserve">такие </w:t>
      </w:r>
      <w:r w:rsidRPr="00DB5908">
        <w:rPr>
          <w:rFonts w:ascii="Times New Roman" w:hAnsi="Times New Roman" w:cs="Times New Roman"/>
          <w:sz w:val="24"/>
          <w:szCs w:val="24"/>
        </w:rPr>
        <w:t>слияния, при которых объединяютс</w:t>
      </w:r>
      <w:r w:rsidR="00C97FB1">
        <w:rPr>
          <w:rFonts w:ascii="Times New Roman" w:hAnsi="Times New Roman" w:cs="Times New Roman"/>
          <w:sz w:val="24"/>
          <w:szCs w:val="24"/>
        </w:rPr>
        <w:t>я производственные мощности</w:t>
      </w:r>
      <w:r w:rsidR="00DB0224">
        <w:rPr>
          <w:rFonts w:ascii="Times New Roman" w:hAnsi="Times New Roman" w:cs="Times New Roman"/>
          <w:sz w:val="24"/>
          <w:szCs w:val="24"/>
        </w:rPr>
        <w:t xml:space="preserve"> предприятий</w:t>
      </w:r>
      <w:r w:rsidRPr="00DB5908">
        <w:rPr>
          <w:rFonts w:ascii="Times New Roman" w:hAnsi="Times New Roman" w:cs="Times New Roman"/>
          <w:sz w:val="24"/>
          <w:szCs w:val="24"/>
        </w:rPr>
        <w:t xml:space="preserve"> с целью по</w:t>
      </w:r>
      <w:r w:rsidR="00C97FB1">
        <w:rPr>
          <w:rFonts w:ascii="Times New Roman" w:hAnsi="Times New Roman" w:cs="Times New Roman"/>
          <w:sz w:val="24"/>
          <w:szCs w:val="24"/>
        </w:rPr>
        <w:t>лучения синергии путём</w:t>
      </w:r>
      <w:r w:rsidRPr="00DB5908">
        <w:rPr>
          <w:rFonts w:ascii="Times New Roman" w:hAnsi="Times New Roman" w:cs="Times New Roman"/>
          <w:sz w:val="24"/>
          <w:szCs w:val="24"/>
        </w:rPr>
        <w:t xml:space="preserve"> увеличения масштабов деятельности;</w:t>
      </w:r>
    </w:p>
    <w:p w:rsidR="0059775B" w:rsidRPr="00DB5908" w:rsidRDefault="00234464" w:rsidP="0059775B">
      <w:pPr>
        <w:pStyle w:val="a3"/>
        <w:numPr>
          <w:ilvl w:val="0"/>
          <w:numId w:val="11"/>
        </w:num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финансовые слияния – </w:t>
      </w:r>
      <w:r w:rsidR="00603DDD">
        <w:rPr>
          <w:rFonts w:ascii="Times New Roman" w:hAnsi="Times New Roman" w:cs="Times New Roman"/>
          <w:sz w:val="24"/>
          <w:szCs w:val="24"/>
        </w:rPr>
        <w:t xml:space="preserve">такие </w:t>
      </w:r>
      <w:r w:rsidR="0059775B" w:rsidRPr="00DB5908">
        <w:rPr>
          <w:rFonts w:ascii="Times New Roman" w:hAnsi="Times New Roman" w:cs="Times New Roman"/>
          <w:sz w:val="24"/>
          <w:szCs w:val="24"/>
        </w:rPr>
        <w:t>слияния, при</w:t>
      </w:r>
      <w:r>
        <w:rPr>
          <w:rFonts w:ascii="Times New Roman" w:hAnsi="Times New Roman" w:cs="Times New Roman"/>
          <w:sz w:val="24"/>
          <w:szCs w:val="24"/>
        </w:rPr>
        <w:t xml:space="preserve"> которых объединившиеся фирмы не действуют как одно</w:t>
      </w:r>
      <w:r w:rsidR="0059775B" w:rsidRPr="00DB5908">
        <w:rPr>
          <w:rFonts w:ascii="Times New Roman" w:hAnsi="Times New Roman" w:cs="Times New Roman"/>
          <w:sz w:val="24"/>
          <w:szCs w:val="24"/>
        </w:rPr>
        <w:t xml:space="preserve"> целое, в данном случае производственная экономия не</w:t>
      </w:r>
      <w:r w:rsidR="00603DDD">
        <w:rPr>
          <w:rFonts w:ascii="Times New Roman" w:hAnsi="Times New Roman" w:cs="Times New Roman"/>
          <w:sz w:val="24"/>
          <w:szCs w:val="24"/>
        </w:rPr>
        <w:t xml:space="preserve"> является</w:t>
      </w:r>
      <w:r>
        <w:rPr>
          <w:rFonts w:ascii="Times New Roman" w:hAnsi="Times New Roman" w:cs="Times New Roman"/>
          <w:sz w:val="24"/>
          <w:szCs w:val="24"/>
        </w:rPr>
        <w:t xml:space="preserve"> преимущественной целью, но присутствует единство</w:t>
      </w:r>
      <w:r w:rsidR="0059775B" w:rsidRPr="00DB5908">
        <w:rPr>
          <w:rFonts w:ascii="Times New Roman" w:hAnsi="Times New Roman" w:cs="Times New Roman"/>
          <w:sz w:val="24"/>
          <w:szCs w:val="24"/>
        </w:rPr>
        <w:t xml:space="preserve"> финансовой политики, </w:t>
      </w:r>
      <w:r>
        <w:rPr>
          <w:rFonts w:ascii="Times New Roman" w:hAnsi="Times New Roman" w:cs="Times New Roman"/>
          <w:sz w:val="24"/>
          <w:szCs w:val="24"/>
        </w:rPr>
        <w:t>которая способствует укрепл</w:t>
      </w:r>
      <w:r w:rsidR="00603DDD">
        <w:rPr>
          <w:rFonts w:ascii="Times New Roman" w:hAnsi="Times New Roman" w:cs="Times New Roman"/>
          <w:sz w:val="24"/>
          <w:szCs w:val="24"/>
        </w:rPr>
        <w:t>е</w:t>
      </w:r>
      <w:r>
        <w:rPr>
          <w:rFonts w:ascii="Times New Roman" w:hAnsi="Times New Roman" w:cs="Times New Roman"/>
          <w:sz w:val="24"/>
          <w:szCs w:val="24"/>
        </w:rPr>
        <w:t>нию</w:t>
      </w:r>
      <w:r w:rsidR="0059775B" w:rsidRPr="00DB5908">
        <w:rPr>
          <w:rFonts w:ascii="Times New Roman" w:hAnsi="Times New Roman" w:cs="Times New Roman"/>
          <w:sz w:val="24"/>
          <w:szCs w:val="24"/>
        </w:rPr>
        <w:t xml:space="preserve"> </w:t>
      </w:r>
      <w:r w:rsidR="00603DDD">
        <w:rPr>
          <w:rFonts w:ascii="Times New Roman" w:hAnsi="Times New Roman" w:cs="Times New Roman"/>
          <w:sz w:val="24"/>
          <w:szCs w:val="24"/>
        </w:rPr>
        <w:t>позиций на рынке ценных бумаг</w:t>
      </w:r>
      <w:r w:rsidR="0059775B" w:rsidRPr="00DB5908">
        <w:rPr>
          <w:rFonts w:ascii="Times New Roman" w:hAnsi="Times New Roman" w:cs="Times New Roman"/>
          <w:sz w:val="24"/>
          <w:szCs w:val="24"/>
        </w:rPr>
        <w:t>.</w:t>
      </w:r>
    </w:p>
    <w:p w:rsidR="0059775B" w:rsidRPr="00DB5908" w:rsidRDefault="0059775B" w:rsidP="0059775B">
      <w:p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Большинство исследований эффективности слияний и по</w:t>
      </w:r>
      <w:r w:rsidR="005E24FF">
        <w:rPr>
          <w:rFonts w:ascii="Times New Roman" w:hAnsi="Times New Roman" w:cs="Times New Roman"/>
          <w:sz w:val="24"/>
          <w:szCs w:val="24"/>
        </w:rPr>
        <w:t xml:space="preserve">глощений свидетельствуют, что приблизительно 60 - </w:t>
      </w:r>
      <w:r w:rsidRPr="00DB5908">
        <w:rPr>
          <w:rFonts w:ascii="Times New Roman" w:hAnsi="Times New Roman" w:cs="Times New Roman"/>
          <w:sz w:val="24"/>
          <w:szCs w:val="24"/>
        </w:rPr>
        <w:t>80%</w:t>
      </w:r>
      <w:r w:rsidR="005E24FF">
        <w:rPr>
          <w:rFonts w:ascii="Times New Roman" w:hAnsi="Times New Roman" w:cs="Times New Roman"/>
          <w:sz w:val="24"/>
          <w:szCs w:val="24"/>
        </w:rPr>
        <w:t xml:space="preserve"> компаний, даже выбрав на первый взгляд </w:t>
      </w:r>
      <w:proofErr w:type="gramStart"/>
      <w:r w:rsidR="005E24FF">
        <w:rPr>
          <w:rFonts w:ascii="Times New Roman" w:hAnsi="Times New Roman" w:cs="Times New Roman"/>
          <w:sz w:val="24"/>
          <w:szCs w:val="24"/>
        </w:rPr>
        <w:t xml:space="preserve">эффективную </w:t>
      </w:r>
      <w:r w:rsidR="005E24FF">
        <w:rPr>
          <w:rFonts w:ascii="Times New Roman" w:hAnsi="Times New Roman" w:cs="Times New Roman"/>
          <w:sz w:val="24"/>
          <w:szCs w:val="24"/>
        </w:rPr>
        <w:lastRenderedPageBreak/>
        <w:t>стратегию, не достигает</w:t>
      </w:r>
      <w:proofErr w:type="gramEnd"/>
      <w:r w:rsidR="005E24FF">
        <w:rPr>
          <w:rFonts w:ascii="Times New Roman" w:hAnsi="Times New Roman" w:cs="Times New Roman"/>
          <w:sz w:val="24"/>
          <w:szCs w:val="24"/>
        </w:rPr>
        <w:t xml:space="preserve"> успеха. Как правило, </w:t>
      </w:r>
      <w:r w:rsidRPr="00DB5908">
        <w:rPr>
          <w:rFonts w:ascii="Times New Roman" w:hAnsi="Times New Roman" w:cs="Times New Roman"/>
          <w:sz w:val="24"/>
          <w:szCs w:val="24"/>
        </w:rPr>
        <w:t>это связано с неправильной организацией процесса сделки.</w:t>
      </w:r>
      <w:r w:rsidRPr="00DB5908">
        <w:rPr>
          <w:rStyle w:val="a7"/>
          <w:rFonts w:ascii="Times New Roman" w:hAnsi="Times New Roman" w:cs="Times New Roman"/>
          <w:sz w:val="24"/>
          <w:szCs w:val="24"/>
        </w:rPr>
        <w:footnoteReference w:id="4"/>
      </w:r>
    </w:p>
    <w:p w:rsidR="0059775B" w:rsidRPr="00DB5908" w:rsidRDefault="0059775B" w:rsidP="0059775B">
      <w:p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Процесс слияния и поглоще</w:t>
      </w:r>
      <w:r w:rsidR="005E24FF">
        <w:rPr>
          <w:rFonts w:ascii="Times New Roman" w:hAnsi="Times New Roman" w:cs="Times New Roman"/>
          <w:sz w:val="24"/>
          <w:szCs w:val="24"/>
        </w:rPr>
        <w:t>ния является многоэтапным и сложным в отношении реализации</w:t>
      </w:r>
      <w:r w:rsidRPr="00DB5908">
        <w:rPr>
          <w:rFonts w:ascii="Times New Roman" w:hAnsi="Times New Roman" w:cs="Times New Roman"/>
          <w:sz w:val="24"/>
          <w:szCs w:val="24"/>
        </w:rPr>
        <w:t xml:space="preserve">. Можно выделить две основные стадии организации сделки </w:t>
      </w:r>
      <w:r w:rsidRPr="00DB5908">
        <w:rPr>
          <w:rFonts w:ascii="Times New Roman" w:hAnsi="Times New Roman" w:cs="Times New Roman"/>
          <w:sz w:val="24"/>
          <w:szCs w:val="24"/>
          <w:lang w:val="en-US"/>
        </w:rPr>
        <w:t>M</w:t>
      </w:r>
      <w:r w:rsidRPr="00DB5908">
        <w:rPr>
          <w:rFonts w:ascii="Times New Roman" w:hAnsi="Times New Roman" w:cs="Times New Roman"/>
          <w:sz w:val="24"/>
          <w:szCs w:val="24"/>
        </w:rPr>
        <w:t>&amp;</w:t>
      </w:r>
      <w:r w:rsidRPr="00DB5908">
        <w:rPr>
          <w:rFonts w:ascii="Times New Roman" w:hAnsi="Times New Roman" w:cs="Times New Roman"/>
          <w:sz w:val="24"/>
          <w:szCs w:val="24"/>
          <w:lang w:val="en-US"/>
        </w:rPr>
        <w:t>A</w:t>
      </w:r>
      <w:r w:rsidRPr="00DB5908">
        <w:rPr>
          <w:rFonts w:ascii="Times New Roman" w:hAnsi="Times New Roman" w:cs="Times New Roman"/>
          <w:sz w:val="24"/>
          <w:szCs w:val="24"/>
        </w:rPr>
        <w:t xml:space="preserve"> – выбор объекта</w:t>
      </w:r>
      <w:r w:rsidR="005E24FF">
        <w:rPr>
          <w:rFonts w:ascii="Times New Roman" w:hAnsi="Times New Roman" w:cs="Times New Roman"/>
          <w:sz w:val="24"/>
          <w:szCs w:val="24"/>
        </w:rPr>
        <w:t xml:space="preserve"> сделки</w:t>
      </w:r>
      <w:r w:rsidRPr="00DB5908">
        <w:rPr>
          <w:rFonts w:ascii="Times New Roman" w:hAnsi="Times New Roman" w:cs="Times New Roman"/>
          <w:sz w:val="24"/>
          <w:szCs w:val="24"/>
        </w:rPr>
        <w:t xml:space="preserve"> и </w:t>
      </w:r>
      <w:r w:rsidR="005E24FF">
        <w:rPr>
          <w:rFonts w:ascii="Times New Roman" w:hAnsi="Times New Roman" w:cs="Times New Roman"/>
          <w:sz w:val="24"/>
          <w:szCs w:val="24"/>
        </w:rPr>
        <w:t xml:space="preserve">непосредственно </w:t>
      </w:r>
      <w:r w:rsidRPr="00DB5908">
        <w:rPr>
          <w:rFonts w:ascii="Times New Roman" w:hAnsi="Times New Roman" w:cs="Times New Roman"/>
          <w:sz w:val="24"/>
          <w:szCs w:val="24"/>
        </w:rPr>
        <w:t>проведение сделки.</w:t>
      </w:r>
    </w:p>
    <w:p w:rsidR="0059775B" w:rsidRPr="00DB5908" w:rsidRDefault="0059775B" w:rsidP="0059775B">
      <w:p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Подготовительная фаза обычно включает несколько этапов.</w:t>
      </w:r>
      <w:r w:rsidRPr="00DB5908">
        <w:rPr>
          <w:rStyle w:val="a7"/>
          <w:rFonts w:ascii="Times New Roman" w:hAnsi="Times New Roman" w:cs="Times New Roman"/>
          <w:sz w:val="24"/>
          <w:szCs w:val="24"/>
        </w:rPr>
        <w:footnoteReference w:id="5"/>
      </w:r>
    </w:p>
    <w:p w:rsidR="0059775B" w:rsidRPr="00DB5908" w:rsidRDefault="0059775B" w:rsidP="0059775B">
      <w:pPr>
        <w:pStyle w:val="a3"/>
        <w:numPr>
          <w:ilvl w:val="0"/>
          <w:numId w:val="12"/>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Анализ от</w:t>
      </w:r>
      <w:r w:rsidR="005E24FF">
        <w:rPr>
          <w:rFonts w:ascii="Times New Roman" w:hAnsi="Times New Roman" w:cs="Times New Roman"/>
          <w:sz w:val="24"/>
          <w:szCs w:val="24"/>
        </w:rPr>
        <w:t>расли: компания выбирает сектор для проведения сделки, проектирует динамику</w:t>
      </w:r>
      <w:r w:rsidRPr="00DB5908">
        <w:rPr>
          <w:rFonts w:ascii="Times New Roman" w:hAnsi="Times New Roman" w:cs="Times New Roman"/>
          <w:sz w:val="24"/>
          <w:szCs w:val="24"/>
        </w:rPr>
        <w:t xml:space="preserve"> роста </w:t>
      </w:r>
      <w:r w:rsidR="005E24FF">
        <w:rPr>
          <w:rFonts w:ascii="Times New Roman" w:hAnsi="Times New Roman" w:cs="Times New Roman"/>
          <w:sz w:val="24"/>
          <w:szCs w:val="24"/>
        </w:rPr>
        <w:t xml:space="preserve">отрасли </w:t>
      </w:r>
      <w:r w:rsidRPr="00DB5908">
        <w:rPr>
          <w:rFonts w:ascii="Times New Roman" w:hAnsi="Times New Roman" w:cs="Times New Roman"/>
          <w:sz w:val="24"/>
          <w:szCs w:val="24"/>
        </w:rPr>
        <w:t xml:space="preserve">и </w:t>
      </w:r>
      <w:r w:rsidR="005E24FF">
        <w:rPr>
          <w:rFonts w:ascii="Times New Roman" w:hAnsi="Times New Roman" w:cs="Times New Roman"/>
          <w:sz w:val="24"/>
          <w:szCs w:val="24"/>
        </w:rPr>
        <w:t xml:space="preserve">ее </w:t>
      </w:r>
      <w:r w:rsidRPr="00DB5908">
        <w:rPr>
          <w:rFonts w:ascii="Times New Roman" w:hAnsi="Times New Roman" w:cs="Times New Roman"/>
          <w:sz w:val="24"/>
          <w:szCs w:val="24"/>
        </w:rPr>
        <w:t>структуру;</w:t>
      </w:r>
    </w:p>
    <w:p w:rsidR="0059775B" w:rsidRPr="00DB5908" w:rsidRDefault="0059775B" w:rsidP="0059775B">
      <w:pPr>
        <w:pStyle w:val="a3"/>
        <w:numPr>
          <w:ilvl w:val="0"/>
          <w:numId w:val="12"/>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самооценк</w:t>
      </w:r>
      <w:r w:rsidR="00C87D20">
        <w:rPr>
          <w:rFonts w:ascii="Times New Roman" w:hAnsi="Times New Roman" w:cs="Times New Roman"/>
          <w:sz w:val="24"/>
          <w:szCs w:val="24"/>
        </w:rPr>
        <w:t>а: оценка</w:t>
      </w:r>
      <w:r w:rsidR="005E24FF">
        <w:rPr>
          <w:rFonts w:ascii="Times New Roman" w:hAnsi="Times New Roman" w:cs="Times New Roman"/>
          <w:sz w:val="24"/>
          <w:szCs w:val="24"/>
        </w:rPr>
        <w:t xml:space="preserve"> собственного состояния</w:t>
      </w:r>
      <w:r w:rsidRPr="00DB5908">
        <w:rPr>
          <w:rFonts w:ascii="Times New Roman" w:hAnsi="Times New Roman" w:cs="Times New Roman"/>
          <w:sz w:val="24"/>
          <w:szCs w:val="24"/>
        </w:rPr>
        <w:t>, определ</w:t>
      </w:r>
      <w:r w:rsidR="00C87D20">
        <w:rPr>
          <w:rFonts w:ascii="Times New Roman" w:hAnsi="Times New Roman" w:cs="Times New Roman"/>
          <w:sz w:val="24"/>
          <w:szCs w:val="24"/>
        </w:rPr>
        <w:t>ение собственных навыков, анализ потенциальных</w:t>
      </w:r>
      <w:r w:rsidRPr="00DB5908">
        <w:rPr>
          <w:rFonts w:ascii="Times New Roman" w:hAnsi="Times New Roman" w:cs="Times New Roman"/>
          <w:sz w:val="24"/>
          <w:szCs w:val="24"/>
        </w:rPr>
        <w:t xml:space="preserve"> возможностей для создания синергетических эффектов;</w:t>
      </w:r>
    </w:p>
    <w:p w:rsidR="0059775B" w:rsidRPr="00DB5908" w:rsidRDefault="0059775B" w:rsidP="0059775B">
      <w:pPr>
        <w:pStyle w:val="a3"/>
        <w:numPr>
          <w:ilvl w:val="0"/>
          <w:numId w:val="12"/>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оценка ка</w:t>
      </w:r>
      <w:r w:rsidR="00C87D20">
        <w:rPr>
          <w:rFonts w:ascii="Times New Roman" w:hAnsi="Times New Roman" w:cs="Times New Roman"/>
          <w:sz w:val="24"/>
          <w:szCs w:val="24"/>
        </w:rPr>
        <w:t>ндидатов на проведение сделки: соотношение</w:t>
      </w:r>
      <w:r w:rsidRPr="00DB5908">
        <w:rPr>
          <w:rFonts w:ascii="Times New Roman" w:hAnsi="Times New Roman" w:cs="Times New Roman"/>
          <w:sz w:val="24"/>
          <w:szCs w:val="24"/>
        </w:rPr>
        <w:t xml:space="preserve"> собственных ожиданий от сделки и параметров кандидатов (операционные характеристики, структура собственности, финансовые показатели);</w:t>
      </w:r>
    </w:p>
    <w:p w:rsidR="0059775B" w:rsidRPr="00DB5908" w:rsidRDefault="0059775B" w:rsidP="0059775B">
      <w:pPr>
        <w:pStyle w:val="a3"/>
        <w:numPr>
          <w:ilvl w:val="0"/>
          <w:numId w:val="12"/>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финансовая оценка кандида</w:t>
      </w:r>
      <w:r w:rsidR="00C87D20">
        <w:rPr>
          <w:rFonts w:ascii="Times New Roman" w:hAnsi="Times New Roman" w:cs="Times New Roman"/>
          <w:sz w:val="24"/>
          <w:szCs w:val="24"/>
        </w:rPr>
        <w:t>та: оценка стоимости</w:t>
      </w:r>
      <w:r w:rsidRPr="00DB5908">
        <w:rPr>
          <w:rFonts w:ascii="Times New Roman" w:hAnsi="Times New Roman" w:cs="Times New Roman"/>
          <w:sz w:val="24"/>
          <w:szCs w:val="24"/>
        </w:rPr>
        <w:t xml:space="preserve"> компании</w:t>
      </w:r>
      <w:r w:rsidR="00234464">
        <w:rPr>
          <w:rFonts w:ascii="Times New Roman" w:hAnsi="Times New Roman" w:cs="Times New Roman"/>
          <w:sz w:val="24"/>
          <w:szCs w:val="24"/>
        </w:rPr>
        <w:t>-мишени при помощи</w:t>
      </w:r>
      <w:r w:rsidR="00C87D20">
        <w:rPr>
          <w:rFonts w:ascii="Times New Roman" w:hAnsi="Times New Roman" w:cs="Times New Roman"/>
          <w:sz w:val="24"/>
          <w:szCs w:val="24"/>
        </w:rPr>
        <w:t xml:space="preserve"> внутренних и внешних показателей.</w:t>
      </w:r>
    </w:p>
    <w:p w:rsidR="0059775B" w:rsidRPr="00DB5908" w:rsidRDefault="00C87D20" w:rsidP="0059775B">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После</w:t>
      </w:r>
      <w:r w:rsidR="0059775B" w:rsidRPr="00DB5908">
        <w:rPr>
          <w:rFonts w:ascii="Times New Roman" w:hAnsi="Times New Roman" w:cs="Times New Roman"/>
          <w:sz w:val="24"/>
          <w:szCs w:val="24"/>
        </w:rPr>
        <w:t xml:space="preserve"> выбора компании-цели проводится сама сделка. Рассмотрим традиционные стадии ее проведения.</w:t>
      </w:r>
    </w:p>
    <w:p w:rsidR="0059775B" w:rsidRPr="00DB5908" w:rsidRDefault="0059775B" w:rsidP="0059775B">
      <w:pPr>
        <w:pStyle w:val="a3"/>
        <w:numPr>
          <w:ilvl w:val="0"/>
          <w:numId w:val="5"/>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Первоначальный контакт: первое знакомство компаний, обмен обзорными материалами, заключение соглашения о конфиденциальности;</w:t>
      </w:r>
    </w:p>
    <w:p w:rsidR="0059775B" w:rsidRPr="00DB5908" w:rsidRDefault="0059775B" w:rsidP="0059775B">
      <w:pPr>
        <w:pStyle w:val="a3"/>
        <w:numPr>
          <w:ilvl w:val="0"/>
          <w:numId w:val="5"/>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 xml:space="preserve">первоначальный </w:t>
      </w:r>
      <w:r w:rsidRPr="00DB5908">
        <w:rPr>
          <w:rFonts w:ascii="Times New Roman" w:hAnsi="Times New Roman" w:cs="Times New Roman"/>
          <w:sz w:val="24"/>
          <w:szCs w:val="24"/>
          <w:lang w:val="en-US"/>
        </w:rPr>
        <w:t>due</w:t>
      </w:r>
      <w:r w:rsidRPr="00DB5908">
        <w:rPr>
          <w:rFonts w:ascii="Times New Roman" w:hAnsi="Times New Roman" w:cs="Times New Roman"/>
          <w:sz w:val="24"/>
          <w:szCs w:val="24"/>
        </w:rPr>
        <w:t xml:space="preserve"> </w:t>
      </w:r>
      <w:r w:rsidRPr="00DB5908">
        <w:rPr>
          <w:rFonts w:ascii="Times New Roman" w:hAnsi="Times New Roman" w:cs="Times New Roman"/>
          <w:sz w:val="24"/>
          <w:szCs w:val="24"/>
          <w:lang w:val="en-US"/>
        </w:rPr>
        <w:t>diligence</w:t>
      </w:r>
      <w:r w:rsidR="00C87D20">
        <w:rPr>
          <w:rFonts w:ascii="Times New Roman" w:hAnsi="Times New Roman" w:cs="Times New Roman"/>
          <w:sz w:val="24"/>
          <w:szCs w:val="24"/>
        </w:rPr>
        <w:t>: стороны раскрывают друг другу</w:t>
      </w:r>
      <w:r w:rsidRPr="00DB5908">
        <w:rPr>
          <w:rFonts w:ascii="Times New Roman" w:hAnsi="Times New Roman" w:cs="Times New Roman"/>
          <w:sz w:val="24"/>
          <w:szCs w:val="24"/>
        </w:rPr>
        <w:t xml:space="preserve"> детальную, в основном конфи</w:t>
      </w:r>
      <w:r w:rsidR="00C87D20">
        <w:rPr>
          <w:rFonts w:ascii="Times New Roman" w:hAnsi="Times New Roman" w:cs="Times New Roman"/>
          <w:sz w:val="24"/>
          <w:szCs w:val="24"/>
        </w:rPr>
        <w:t>денциальную, информацию, но исключительно</w:t>
      </w:r>
      <w:r w:rsidRPr="00DB5908">
        <w:rPr>
          <w:rFonts w:ascii="Times New Roman" w:hAnsi="Times New Roman" w:cs="Times New Roman"/>
          <w:sz w:val="24"/>
          <w:szCs w:val="24"/>
        </w:rPr>
        <w:t xml:space="preserve"> ту, разглашение которой</w:t>
      </w:r>
      <w:r w:rsidR="00C87D20">
        <w:rPr>
          <w:rFonts w:ascii="Times New Roman" w:hAnsi="Times New Roman" w:cs="Times New Roman"/>
          <w:sz w:val="24"/>
          <w:szCs w:val="24"/>
        </w:rPr>
        <w:t xml:space="preserve"> в случае чего</w:t>
      </w:r>
      <w:r w:rsidRPr="00DB5908">
        <w:rPr>
          <w:rFonts w:ascii="Times New Roman" w:hAnsi="Times New Roman" w:cs="Times New Roman"/>
          <w:sz w:val="24"/>
          <w:szCs w:val="24"/>
        </w:rPr>
        <w:t xml:space="preserve"> не несет</w:t>
      </w:r>
      <w:r w:rsidR="00C87D20">
        <w:rPr>
          <w:rFonts w:ascii="Times New Roman" w:hAnsi="Times New Roman" w:cs="Times New Roman"/>
          <w:sz w:val="24"/>
          <w:szCs w:val="24"/>
        </w:rPr>
        <w:t xml:space="preserve"> существенного вреда</w:t>
      </w:r>
      <w:r w:rsidRPr="00DB5908">
        <w:rPr>
          <w:rFonts w:ascii="Times New Roman" w:hAnsi="Times New Roman" w:cs="Times New Roman"/>
          <w:sz w:val="24"/>
          <w:szCs w:val="24"/>
        </w:rPr>
        <w:t>;</w:t>
      </w:r>
    </w:p>
    <w:p w:rsidR="0059775B" w:rsidRPr="00DB5908" w:rsidRDefault="00C87D20" w:rsidP="0059775B">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59775B" w:rsidRPr="00DB5908">
        <w:rPr>
          <w:rFonts w:ascii="Times New Roman" w:hAnsi="Times New Roman" w:cs="Times New Roman"/>
          <w:sz w:val="24"/>
          <w:szCs w:val="24"/>
        </w:rPr>
        <w:t xml:space="preserve"> рамках </w:t>
      </w:r>
      <w:proofErr w:type="spellStart"/>
      <w:r w:rsidR="0059775B" w:rsidRPr="00DB5908">
        <w:rPr>
          <w:rFonts w:ascii="Times New Roman" w:hAnsi="Times New Roman" w:cs="Times New Roman"/>
          <w:sz w:val="24"/>
          <w:szCs w:val="24"/>
        </w:rPr>
        <w:t>Due</w:t>
      </w:r>
      <w:proofErr w:type="spellEnd"/>
      <w:r w:rsidR="0059775B" w:rsidRPr="00DB5908">
        <w:rPr>
          <w:rFonts w:ascii="Times New Roman" w:hAnsi="Times New Roman" w:cs="Times New Roman"/>
          <w:sz w:val="24"/>
          <w:szCs w:val="24"/>
        </w:rPr>
        <w:t xml:space="preserve"> </w:t>
      </w:r>
      <w:proofErr w:type="spellStart"/>
      <w:r w:rsidR="0059775B" w:rsidRPr="00DB5908">
        <w:rPr>
          <w:rFonts w:ascii="Times New Roman" w:hAnsi="Times New Roman" w:cs="Times New Roman"/>
          <w:sz w:val="24"/>
          <w:szCs w:val="24"/>
        </w:rPr>
        <w:t>Diligence</w:t>
      </w:r>
      <w:proofErr w:type="spellEnd"/>
      <w:r w:rsidR="0059775B" w:rsidRPr="00DB5908">
        <w:rPr>
          <w:rFonts w:ascii="Times New Roman" w:hAnsi="Times New Roman" w:cs="Times New Roman"/>
          <w:sz w:val="24"/>
          <w:szCs w:val="24"/>
        </w:rPr>
        <w:t>, как правило, предоставляются:</w:t>
      </w:r>
      <w:r w:rsidR="0059775B" w:rsidRPr="00DB5908">
        <w:rPr>
          <w:rStyle w:val="a7"/>
          <w:rFonts w:ascii="Times New Roman" w:hAnsi="Times New Roman" w:cs="Times New Roman"/>
          <w:sz w:val="24"/>
          <w:szCs w:val="24"/>
        </w:rPr>
        <w:footnoteReference w:id="6"/>
      </w:r>
    </w:p>
    <w:p w:rsidR="003436FE" w:rsidRPr="003436FE" w:rsidRDefault="0059775B" w:rsidP="003436FE">
      <w:pPr>
        <w:pStyle w:val="a3"/>
        <w:numPr>
          <w:ilvl w:val="0"/>
          <w:numId w:val="6"/>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общие сведения о компании: выписка о регистрации, устав, сведения о руководителях, структ</w:t>
      </w:r>
      <w:r w:rsidR="00C87D20">
        <w:rPr>
          <w:rFonts w:ascii="Times New Roman" w:hAnsi="Times New Roman" w:cs="Times New Roman"/>
          <w:sz w:val="24"/>
          <w:szCs w:val="24"/>
        </w:rPr>
        <w:t>ура компании, информация о зависимых предприятиях</w:t>
      </w:r>
      <w:r w:rsidRPr="00DB5908">
        <w:rPr>
          <w:rFonts w:ascii="Times New Roman" w:hAnsi="Times New Roman" w:cs="Times New Roman"/>
          <w:sz w:val="24"/>
          <w:szCs w:val="24"/>
        </w:rPr>
        <w:t xml:space="preserve"> и т.д.</w:t>
      </w:r>
      <w:r w:rsidR="00C87D20">
        <w:rPr>
          <w:rFonts w:ascii="Times New Roman" w:hAnsi="Times New Roman" w:cs="Times New Roman"/>
          <w:sz w:val="24"/>
          <w:szCs w:val="24"/>
        </w:rPr>
        <w:t>;</w:t>
      </w:r>
    </w:p>
    <w:p w:rsidR="0059775B" w:rsidRPr="003436FE" w:rsidRDefault="0059775B" w:rsidP="003436FE">
      <w:pPr>
        <w:pStyle w:val="a3"/>
        <w:numPr>
          <w:ilvl w:val="0"/>
          <w:numId w:val="6"/>
        </w:numPr>
        <w:spacing w:after="240" w:line="360" w:lineRule="auto"/>
        <w:ind w:firstLine="709"/>
        <w:jc w:val="both"/>
        <w:rPr>
          <w:rFonts w:ascii="Times New Roman" w:hAnsi="Times New Roman" w:cs="Times New Roman"/>
          <w:sz w:val="24"/>
          <w:szCs w:val="24"/>
        </w:rPr>
      </w:pPr>
      <w:r w:rsidRPr="003436FE">
        <w:rPr>
          <w:rFonts w:ascii="Times New Roman" w:hAnsi="Times New Roman" w:cs="Times New Roman"/>
          <w:sz w:val="24"/>
          <w:szCs w:val="24"/>
        </w:rPr>
        <w:lastRenderedPageBreak/>
        <w:t>сведения</w:t>
      </w:r>
      <w:r w:rsidR="00234464" w:rsidRPr="00234464">
        <w:t xml:space="preserve"> </w:t>
      </w:r>
      <w:r w:rsidR="00234464">
        <w:t xml:space="preserve">об </w:t>
      </w:r>
      <w:r w:rsidR="00234464" w:rsidRPr="003436FE">
        <w:rPr>
          <w:rFonts w:ascii="Times New Roman" w:hAnsi="Times New Roman" w:cs="Times New Roman"/>
          <w:sz w:val="24"/>
          <w:szCs w:val="24"/>
        </w:rPr>
        <w:t xml:space="preserve">обязательствах фирмы </w:t>
      </w:r>
      <w:proofErr w:type="gramStart"/>
      <w:r w:rsidR="00234464" w:rsidRPr="003436FE">
        <w:rPr>
          <w:rFonts w:ascii="Times New Roman" w:hAnsi="Times New Roman" w:cs="Times New Roman"/>
          <w:sz w:val="24"/>
          <w:szCs w:val="24"/>
        </w:rPr>
        <w:t>и о ее</w:t>
      </w:r>
      <w:proofErr w:type="gramEnd"/>
      <w:r w:rsidRPr="003436FE">
        <w:rPr>
          <w:rFonts w:ascii="Times New Roman" w:hAnsi="Times New Roman" w:cs="Times New Roman"/>
          <w:sz w:val="24"/>
          <w:szCs w:val="24"/>
        </w:rPr>
        <w:t xml:space="preserve"> имущественном сос</w:t>
      </w:r>
      <w:r w:rsidR="00234464" w:rsidRPr="003436FE">
        <w:rPr>
          <w:rFonts w:ascii="Times New Roman" w:hAnsi="Times New Roman" w:cs="Times New Roman"/>
          <w:sz w:val="24"/>
          <w:szCs w:val="24"/>
        </w:rPr>
        <w:t xml:space="preserve">тоянии: список </w:t>
      </w:r>
      <w:r w:rsidRPr="003436FE">
        <w:rPr>
          <w:rFonts w:ascii="Times New Roman" w:hAnsi="Times New Roman" w:cs="Times New Roman"/>
          <w:sz w:val="24"/>
          <w:szCs w:val="24"/>
        </w:rPr>
        <w:t>всех материальных и немат</w:t>
      </w:r>
      <w:r w:rsidR="00234464" w:rsidRPr="003436FE">
        <w:rPr>
          <w:rFonts w:ascii="Times New Roman" w:hAnsi="Times New Roman" w:cs="Times New Roman"/>
          <w:sz w:val="24"/>
          <w:szCs w:val="24"/>
        </w:rPr>
        <w:t>ериальных активов, перечень всех</w:t>
      </w:r>
      <w:r w:rsidRPr="003436FE">
        <w:rPr>
          <w:rFonts w:ascii="Times New Roman" w:hAnsi="Times New Roman" w:cs="Times New Roman"/>
          <w:sz w:val="24"/>
          <w:szCs w:val="24"/>
        </w:rPr>
        <w:t xml:space="preserve"> имеющихся кратко-, средне- и долгосрочных обязате</w:t>
      </w:r>
      <w:r w:rsidR="00234464" w:rsidRPr="003436FE">
        <w:rPr>
          <w:rFonts w:ascii="Times New Roman" w:hAnsi="Times New Roman" w:cs="Times New Roman"/>
          <w:sz w:val="24"/>
          <w:szCs w:val="24"/>
        </w:rPr>
        <w:t>льств</w:t>
      </w:r>
      <w:r w:rsidRPr="003436FE">
        <w:rPr>
          <w:rFonts w:ascii="Times New Roman" w:hAnsi="Times New Roman" w:cs="Times New Roman"/>
          <w:sz w:val="24"/>
          <w:szCs w:val="24"/>
        </w:rPr>
        <w:t xml:space="preserve"> (с указанием должников и кредиторов, процентной ставки, сроки платежа), взаимные</w:t>
      </w:r>
      <w:r w:rsidR="00234464" w:rsidRPr="003436FE">
        <w:rPr>
          <w:rFonts w:ascii="Times New Roman" w:hAnsi="Times New Roman" w:cs="Times New Roman"/>
          <w:sz w:val="24"/>
          <w:szCs w:val="24"/>
        </w:rPr>
        <w:t xml:space="preserve"> обязательства в рамках предприятия</w:t>
      </w:r>
      <w:r w:rsidRPr="003436FE">
        <w:rPr>
          <w:rFonts w:ascii="Times New Roman" w:hAnsi="Times New Roman" w:cs="Times New Roman"/>
          <w:sz w:val="24"/>
          <w:szCs w:val="24"/>
        </w:rPr>
        <w:t xml:space="preserve"> и т.д.</w:t>
      </w:r>
      <w:r w:rsidR="00C87D20" w:rsidRPr="003436FE">
        <w:rPr>
          <w:rFonts w:ascii="Times New Roman" w:hAnsi="Times New Roman" w:cs="Times New Roman"/>
          <w:sz w:val="24"/>
          <w:szCs w:val="24"/>
        </w:rPr>
        <w:t>;</w:t>
      </w:r>
    </w:p>
    <w:p w:rsidR="0059775B" w:rsidRPr="00DB5908" w:rsidRDefault="00C87D20" w:rsidP="0059775B">
      <w:pPr>
        <w:pStyle w:val="a3"/>
        <w:numPr>
          <w:ilvl w:val="0"/>
          <w:numId w:val="6"/>
        </w:num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финансовая</w:t>
      </w:r>
      <w:r w:rsidR="0059775B" w:rsidRPr="00DB5908">
        <w:rPr>
          <w:rFonts w:ascii="Times New Roman" w:hAnsi="Times New Roman" w:cs="Times New Roman"/>
          <w:sz w:val="24"/>
          <w:szCs w:val="24"/>
        </w:rPr>
        <w:t xml:space="preserve"> отчетность</w:t>
      </w:r>
      <w:r>
        <w:rPr>
          <w:rFonts w:ascii="Times New Roman" w:hAnsi="Times New Roman" w:cs="Times New Roman"/>
          <w:sz w:val="24"/>
          <w:szCs w:val="24"/>
        </w:rPr>
        <w:t xml:space="preserve"> компаний</w:t>
      </w:r>
      <w:r w:rsidR="00234464">
        <w:rPr>
          <w:rFonts w:ascii="Times New Roman" w:hAnsi="Times New Roman" w:cs="Times New Roman"/>
          <w:sz w:val="24"/>
          <w:szCs w:val="24"/>
        </w:rPr>
        <w:t>;</w:t>
      </w:r>
    </w:p>
    <w:p w:rsidR="0059775B" w:rsidRPr="00DB5908" w:rsidRDefault="0059775B" w:rsidP="0059775B">
      <w:pPr>
        <w:pStyle w:val="a3"/>
        <w:numPr>
          <w:ilvl w:val="0"/>
          <w:numId w:val="6"/>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существующие соглашения с коллективом и профсоюзами в рамках трудового законодательства, пенсионному обеспечению и т.д.</w:t>
      </w:r>
      <w:r w:rsidR="00C87D20">
        <w:rPr>
          <w:rFonts w:ascii="Times New Roman" w:hAnsi="Times New Roman" w:cs="Times New Roman"/>
          <w:sz w:val="24"/>
          <w:szCs w:val="24"/>
        </w:rPr>
        <w:t>;</w:t>
      </w:r>
    </w:p>
    <w:p w:rsidR="0059775B" w:rsidRPr="00DB5908" w:rsidRDefault="00234464" w:rsidP="0059775B">
      <w:pPr>
        <w:pStyle w:val="a3"/>
        <w:numPr>
          <w:ilvl w:val="0"/>
          <w:numId w:val="6"/>
        </w:num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иные договорные</w:t>
      </w:r>
      <w:r w:rsidR="0059775B" w:rsidRPr="00DB5908">
        <w:rPr>
          <w:rFonts w:ascii="Times New Roman" w:hAnsi="Times New Roman" w:cs="Times New Roman"/>
          <w:sz w:val="24"/>
          <w:szCs w:val="24"/>
        </w:rPr>
        <w:t xml:space="preserve"> права</w:t>
      </w:r>
      <w:r>
        <w:rPr>
          <w:rFonts w:ascii="Times New Roman" w:hAnsi="Times New Roman" w:cs="Times New Roman"/>
          <w:sz w:val="24"/>
          <w:szCs w:val="24"/>
        </w:rPr>
        <w:t xml:space="preserve"> и обязательства: договоры внутри фирмы</w:t>
      </w:r>
      <w:r w:rsidR="0059775B" w:rsidRPr="00DB5908">
        <w:rPr>
          <w:rFonts w:ascii="Times New Roman" w:hAnsi="Times New Roman" w:cs="Times New Roman"/>
          <w:sz w:val="24"/>
          <w:szCs w:val="24"/>
        </w:rPr>
        <w:t xml:space="preserve">, арендные договоры, соглашения с </w:t>
      </w:r>
      <w:r>
        <w:rPr>
          <w:rFonts w:ascii="Times New Roman" w:hAnsi="Times New Roman" w:cs="Times New Roman"/>
          <w:sz w:val="24"/>
          <w:szCs w:val="24"/>
        </w:rPr>
        <w:t>контрагентами</w:t>
      </w:r>
      <w:r w:rsidR="0059775B" w:rsidRPr="00DB5908">
        <w:rPr>
          <w:rFonts w:ascii="Times New Roman" w:hAnsi="Times New Roman" w:cs="Times New Roman"/>
          <w:sz w:val="24"/>
          <w:szCs w:val="24"/>
        </w:rPr>
        <w:t xml:space="preserve"> и т.д.</w:t>
      </w:r>
      <w:r w:rsidR="00C87D20">
        <w:rPr>
          <w:rFonts w:ascii="Times New Roman" w:hAnsi="Times New Roman" w:cs="Times New Roman"/>
          <w:sz w:val="24"/>
          <w:szCs w:val="24"/>
        </w:rPr>
        <w:t>;</w:t>
      </w:r>
    </w:p>
    <w:p w:rsidR="0059775B" w:rsidRPr="00DB5908" w:rsidRDefault="00234464" w:rsidP="0059775B">
      <w:pPr>
        <w:pStyle w:val="a3"/>
        <w:numPr>
          <w:ilvl w:val="0"/>
          <w:numId w:val="6"/>
        </w:num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w:t>
      </w:r>
      <w:r w:rsidR="0059775B" w:rsidRPr="00DB5908">
        <w:rPr>
          <w:rFonts w:ascii="Times New Roman" w:hAnsi="Times New Roman" w:cs="Times New Roman"/>
          <w:sz w:val="24"/>
          <w:szCs w:val="24"/>
        </w:rPr>
        <w:t xml:space="preserve"> о </w:t>
      </w:r>
      <w:r>
        <w:rPr>
          <w:rFonts w:ascii="Times New Roman" w:hAnsi="Times New Roman" w:cs="Times New Roman"/>
          <w:sz w:val="24"/>
          <w:szCs w:val="24"/>
        </w:rPr>
        <w:t>все</w:t>
      </w:r>
      <w:r w:rsidR="0059775B" w:rsidRPr="00DB5908">
        <w:rPr>
          <w:rFonts w:ascii="Times New Roman" w:hAnsi="Times New Roman" w:cs="Times New Roman"/>
          <w:sz w:val="24"/>
          <w:szCs w:val="24"/>
        </w:rPr>
        <w:t>возможных юридических процессах</w:t>
      </w:r>
      <w:r w:rsidR="00C87D20">
        <w:rPr>
          <w:rFonts w:ascii="Times New Roman" w:hAnsi="Times New Roman" w:cs="Times New Roman"/>
          <w:sz w:val="24"/>
          <w:szCs w:val="24"/>
        </w:rPr>
        <w:t>;</w:t>
      </w:r>
    </w:p>
    <w:p w:rsidR="0059775B" w:rsidRPr="00DB5908" w:rsidRDefault="0059775B" w:rsidP="0059775B">
      <w:pPr>
        <w:pStyle w:val="a3"/>
        <w:numPr>
          <w:ilvl w:val="0"/>
          <w:numId w:val="7"/>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подписание меморандума о намерениях: достигается первичное соглашение по стоимости сделки, ее структуре;</w:t>
      </w:r>
    </w:p>
    <w:p w:rsidR="0059775B" w:rsidRPr="00DB5908" w:rsidRDefault="0059775B" w:rsidP="0059775B">
      <w:pPr>
        <w:pStyle w:val="a3"/>
        <w:numPr>
          <w:ilvl w:val="0"/>
          <w:numId w:val="7"/>
        </w:numPr>
        <w:spacing w:after="240" w:line="360" w:lineRule="auto"/>
        <w:ind w:firstLine="709"/>
        <w:jc w:val="both"/>
        <w:rPr>
          <w:rFonts w:ascii="Times New Roman" w:hAnsi="Times New Roman" w:cs="Times New Roman"/>
          <w:sz w:val="24"/>
          <w:szCs w:val="24"/>
        </w:rPr>
      </w:pPr>
      <w:proofErr w:type="gramStart"/>
      <w:r w:rsidRPr="00DB5908">
        <w:rPr>
          <w:rFonts w:ascii="Times New Roman" w:hAnsi="Times New Roman" w:cs="Times New Roman"/>
          <w:sz w:val="24"/>
          <w:szCs w:val="24"/>
        </w:rPr>
        <w:t>окончательный</w:t>
      </w:r>
      <w:proofErr w:type="gramEnd"/>
      <w:r w:rsidRPr="00DB5908">
        <w:rPr>
          <w:rFonts w:ascii="Times New Roman" w:hAnsi="Times New Roman" w:cs="Times New Roman"/>
          <w:sz w:val="24"/>
          <w:szCs w:val="24"/>
        </w:rPr>
        <w:t xml:space="preserve"> </w:t>
      </w:r>
      <w:r w:rsidRPr="00DB5908">
        <w:rPr>
          <w:rFonts w:ascii="Times New Roman" w:hAnsi="Times New Roman" w:cs="Times New Roman"/>
          <w:sz w:val="24"/>
          <w:szCs w:val="24"/>
          <w:lang w:val="en-US"/>
        </w:rPr>
        <w:t>due</w:t>
      </w:r>
      <w:r w:rsidRPr="00DB5908">
        <w:rPr>
          <w:rFonts w:ascii="Times New Roman" w:hAnsi="Times New Roman" w:cs="Times New Roman"/>
          <w:sz w:val="24"/>
          <w:szCs w:val="24"/>
        </w:rPr>
        <w:t xml:space="preserve"> </w:t>
      </w:r>
      <w:r w:rsidRPr="00DB5908">
        <w:rPr>
          <w:rFonts w:ascii="Times New Roman" w:hAnsi="Times New Roman" w:cs="Times New Roman"/>
          <w:sz w:val="24"/>
          <w:szCs w:val="24"/>
          <w:lang w:val="en-US"/>
        </w:rPr>
        <w:t>diligence</w:t>
      </w:r>
      <w:r w:rsidRPr="00DB5908">
        <w:rPr>
          <w:rFonts w:ascii="Times New Roman" w:hAnsi="Times New Roman" w:cs="Times New Roman"/>
          <w:sz w:val="24"/>
          <w:szCs w:val="24"/>
        </w:rPr>
        <w:t xml:space="preserve"> (отличается от первоначал</w:t>
      </w:r>
      <w:r w:rsidR="00234464">
        <w:rPr>
          <w:rFonts w:ascii="Times New Roman" w:hAnsi="Times New Roman" w:cs="Times New Roman"/>
          <w:sz w:val="24"/>
          <w:szCs w:val="24"/>
        </w:rPr>
        <w:t>ьного уровнем</w:t>
      </w:r>
      <w:r w:rsidRPr="00DB5908">
        <w:rPr>
          <w:rFonts w:ascii="Times New Roman" w:hAnsi="Times New Roman" w:cs="Times New Roman"/>
          <w:sz w:val="24"/>
          <w:szCs w:val="24"/>
        </w:rPr>
        <w:t xml:space="preserve"> раскрытия информации): </w:t>
      </w:r>
      <w:r w:rsidR="00234464">
        <w:rPr>
          <w:rFonts w:ascii="Times New Roman" w:hAnsi="Times New Roman" w:cs="Times New Roman"/>
          <w:sz w:val="24"/>
          <w:szCs w:val="24"/>
        </w:rPr>
        <w:t>уточняется стоимость приобретаемой</w:t>
      </w:r>
      <w:r w:rsidRPr="00DB5908">
        <w:rPr>
          <w:rFonts w:ascii="Times New Roman" w:hAnsi="Times New Roman" w:cs="Times New Roman"/>
          <w:sz w:val="24"/>
          <w:szCs w:val="24"/>
        </w:rPr>
        <w:t xml:space="preserve"> компании, могут быть внесены изменения в меморандуме о намерениях;</w:t>
      </w:r>
    </w:p>
    <w:p w:rsidR="0059775B" w:rsidRPr="00DB5908" w:rsidRDefault="0059775B" w:rsidP="0059775B">
      <w:pPr>
        <w:pStyle w:val="a3"/>
        <w:numPr>
          <w:ilvl w:val="0"/>
          <w:numId w:val="7"/>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заключение с</w:t>
      </w:r>
      <w:r w:rsidR="00234464">
        <w:rPr>
          <w:rFonts w:ascii="Times New Roman" w:hAnsi="Times New Roman" w:cs="Times New Roman"/>
          <w:sz w:val="24"/>
          <w:szCs w:val="24"/>
        </w:rPr>
        <w:t>делки: определение финальной</w:t>
      </w:r>
      <w:r w:rsidRPr="00DB5908">
        <w:rPr>
          <w:rFonts w:ascii="Times New Roman" w:hAnsi="Times New Roman" w:cs="Times New Roman"/>
          <w:sz w:val="24"/>
          <w:szCs w:val="24"/>
        </w:rPr>
        <w:t xml:space="preserve"> цены</w:t>
      </w:r>
      <w:r w:rsidR="00234464">
        <w:rPr>
          <w:rFonts w:ascii="Times New Roman" w:hAnsi="Times New Roman" w:cs="Times New Roman"/>
          <w:sz w:val="24"/>
          <w:szCs w:val="24"/>
        </w:rPr>
        <w:t xml:space="preserve"> и структуры сделки, </w:t>
      </w:r>
      <w:r w:rsidRPr="00DB5908">
        <w:rPr>
          <w:rFonts w:ascii="Times New Roman" w:hAnsi="Times New Roman" w:cs="Times New Roman"/>
          <w:sz w:val="24"/>
          <w:szCs w:val="24"/>
        </w:rPr>
        <w:t xml:space="preserve">юридическое оформление </w:t>
      </w:r>
      <w:r w:rsidR="00234464">
        <w:rPr>
          <w:rFonts w:ascii="Times New Roman" w:hAnsi="Times New Roman" w:cs="Times New Roman"/>
          <w:sz w:val="24"/>
          <w:szCs w:val="24"/>
        </w:rPr>
        <w:t xml:space="preserve">всех </w:t>
      </w:r>
      <w:r w:rsidRPr="00DB5908">
        <w:rPr>
          <w:rFonts w:ascii="Times New Roman" w:hAnsi="Times New Roman" w:cs="Times New Roman"/>
          <w:sz w:val="24"/>
          <w:szCs w:val="24"/>
        </w:rPr>
        <w:t>необходимых документов, предварительное планирование интеграции;</w:t>
      </w:r>
    </w:p>
    <w:p w:rsidR="0059775B" w:rsidRPr="002F4269" w:rsidRDefault="0059775B" w:rsidP="0059775B">
      <w:pPr>
        <w:pStyle w:val="a3"/>
        <w:numPr>
          <w:ilvl w:val="0"/>
          <w:numId w:val="7"/>
        </w:num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закрытие сделки: активное взаимодействие с менеджерами компании, инвесторами, аналитиками и прессой.</w:t>
      </w:r>
    </w:p>
    <w:p w:rsidR="0059775B" w:rsidRPr="00DB5908" w:rsidRDefault="0059775B" w:rsidP="0059775B">
      <w:pPr>
        <w:pStyle w:val="2"/>
        <w:numPr>
          <w:ilvl w:val="1"/>
          <w:numId w:val="2"/>
        </w:numPr>
        <w:spacing w:after="240" w:line="360" w:lineRule="auto"/>
        <w:jc w:val="center"/>
        <w:rPr>
          <w:rFonts w:ascii="Times New Roman" w:hAnsi="Times New Roman" w:cs="Times New Roman"/>
          <w:color w:val="auto"/>
          <w:sz w:val="24"/>
          <w:szCs w:val="24"/>
        </w:rPr>
      </w:pPr>
      <w:bookmarkStart w:id="5" w:name="_Toc469372282"/>
      <w:bookmarkStart w:id="6" w:name="_Toc482547513"/>
      <w:r w:rsidRPr="00DB5908">
        <w:rPr>
          <w:rFonts w:ascii="Times New Roman" w:hAnsi="Times New Roman" w:cs="Times New Roman"/>
          <w:color w:val="auto"/>
          <w:sz w:val="24"/>
          <w:szCs w:val="24"/>
        </w:rPr>
        <w:t xml:space="preserve">Обзор </w:t>
      </w:r>
      <w:bookmarkEnd w:id="5"/>
      <w:r w:rsidRPr="00DB5908">
        <w:rPr>
          <w:rFonts w:ascii="Times New Roman" w:hAnsi="Times New Roman" w:cs="Times New Roman"/>
          <w:color w:val="auto"/>
          <w:sz w:val="24"/>
          <w:szCs w:val="24"/>
        </w:rPr>
        <w:t>рынка слияний и поглощений в нефтегазовой отрасли</w:t>
      </w:r>
      <w:bookmarkEnd w:id="6"/>
    </w:p>
    <w:p w:rsidR="0059775B" w:rsidRPr="00DB5908" w:rsidRDefault="0059775B" w:rsidP="0059775B">
      <w:p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 xml:space="preserve">Согласно исследованиям компании </w:t>
      </w:r>
      <w:r w:rsidRPr="00DB5908">
        <w:rPr>
          <w:rFonts w:ascii="Times New Roman" w:hAnsi="Times New Roman" w:cs="Times New Roman"/>
          <w:sz w:val="24"/>
          <w:szCs w:val="24"/>
          <w:lang w:val="en-US"/>
        </w:rPr>
        <w:t>KPMG</w:t>
      </w:r>
      <w:r w:rsidRPr="00DB5908">
        <w:rPr>
          <w:rFonts w:ascii="Times New Roman" w:hAnsi="Times New Roman" w:cs="Times New Roman"/>
          <w:sz w:val="24"/>
          <w:szCs w:val="24"/>
        </w:rPr>
        <w:t xml:space="preserve"> в 2015 году на российском рынке </w:t>
      </w:r>
      <w:r w:rsidRPr="00DB5908">
        <w:rPr>
          <w:rFonts w:ascii="Times New Roman" w:hAnsi="Times New Roman" w:cs="Times New Roman"/>
          <w:sz w:val="24"/>
          <w:szCs w:val="24"/>
          <w:lang w:val="en-US"/>
        </w:rPr>
        <w:t>M</w:t>
      </w:r>
      <w:r w:rsidRPr="00DB5908">
        <w:rPr>
          <w:rFonts w:ascii="Times New Roman" w:hAnsi="Times New Roman" w:cs="Times New Roman"/>
          <w:sz w:val="24"/>
          <w:szCs w:val="24"/>
        </w:rPr>
        <w:t>&amp;</w:t>
      </w:r>
      <w:r w:rsidRPr="00DB5908">
        <w:rPr>
          <w:rFonts w:ascii="Times New Roman" w:hAnsi="Times New Roman" w:cs="Times New Roman"/>
          <w:sz w:val="24"/>
          <w:szCs w:val="24"/>
          <w:lang w:val="en-US"/>
        </w:rPr>
        <w:t>A</w:t>
      </w:r>
      <w:r w:rsidRPr="00DB5908">
        <w:rPr>
          <w:rFonts w:ascii="Times New Roman" w:hAnsi="Times New Roman" w:cs="Times New Roman"/>
          <w:sz w:val="24"/>
          <w:szCs w:val="24"/>
        </w:rPr>
        <w:t xml:space="preserve"> было объявлено 504 сделки на общую сумму 55,8 </w:t>
      </w:r>
      <w:proofErr w:type="gramStart"/>
      <w:r w:rsidRPr="00DB5908">
        <w:rPr>
          <w:rFonts w:ascii="Times New Roman" w:hAnsi="Times New Roman" w:cs="Times New Roman"/>
          <w:sz w:val="24"/>
          <w:szCs w:val="24"/>
        </w:rPr>
        <w:t>млрд</w:t>
      </w:r>
      <w:proofErr w:type="gramEnd"/>
      <w:r>
        <w:rPr>
          <w:rFonts w:ascii="Times New Roman" w:hAnsi="Times New Roman" w:cs="Times New Roman"/>
          <w:sz w:val="24"/>
          <w:szCs w:val="24"/>
        </w:rPr>
        <w:t xml:space="preserve"> долл. США. Данная цифра</w:t>
      </w:r>
      <w:r w:rsidRPr="00DB5908">
        <w:rPr>
          <w:rFonts w:ascii="Times New Roman" w:hAnsi="Times New Roman" w:cs="Times New Roman"/>
          <w:sz w:val="24"/>
          <w:szCs w:val="24"/>
        </w:rPr>
        <w:t xml:space="preserve"> свидетельствует о сокращении рынка на 29%</w:t>
      </w:r>
      <w:r>
        <w:rPr>
          <w:rFonts w:ascii="Times New Roman" w:hAnsi="Times New Roman" w:cs="Times New Roman"/>
          <w:sz w:val="24"/>
          <w:szCs w:val="24"/>
        </w:rPr>
        <w:t xml:space="preserve"> по сравнению с прошлым годом</w:t>
      </w:r>
      <w:r w:rsidRPr="00DB5908">
        <w:rPr>
          <w:rFonts w:ascii="Times New Roman" w:hAnsi="Times New Roman" w:cs="Times New Roman"/>
          <w:sz w:val="24"/>
          <w:szCs w:val="24"/>
        </w:rPr>
        <w:t xml:space="preserve">, </w:t>
      </w:r>
      <w:r>
        <w:rPr>
          <w:rFonts w:ascii="Times New Roman" w:hAnsi="Times New Roman" w:cs="Times New Roman"/>
          <w:sz w:val="24"/>
          <w:szCs w:val="24"/>
        </w:rPr>
        <w:t>но при этом данный показатель</w:t>
      </w:r>
      <w:r w:rsidRPr="00DB5908">
        <w:rPr>
          <w:rFonts w:ascii="Times New Roman" w:hAnsi="Times New Roman" w:cs="Times New Roman"/>
          <w:sz w:val="24"/>
          <w:szCs w:val="24"/>
        </w:rPr>
        <w:t xml:space="preserve"> тем не менее</w:t>
      </w:r>
      <w:r>
        <w:rPr>
          <w:rFonts w:ascii="Times New Roman" w:hAnsi="Times New Roman" w:cs="Times New Roman"/>
          <w:sz w:val="24"/>
          <w:szCs w:val="24"/>
        </w:rPr>
        <w:t xml:space="preserve"> максимально близок к</w:t>
      </w:r>
      <w:r w:rsidRPr="00DB5908">
        <w:rPr>
          <w:rFonts w:ascii="Times New Roman" w:hAnsi="Times New Roman" w:cs="Times New Roman"/>
          <w:sz w:val="24"/>
          <w:szCs w:val="24"/>
        </w:rPr>
        <w:t xml:space="preserve"> </w:t>
      </w:r>
      <w:r>
        <w:rPr>
          <w:rFonts w:ascii="Times New Roman" w:hAnsi="Times New Roman" w:cs="Times New Roman"/>
          <w:sz w:val="24"/>
          <w:szCs w:val="24"/>
        </w:rPr>
        <w:t>верхней границе</w:t>
      </w:r>
      <w:r w:rsidRPr="00DB5908">
        <w:rPr>
          <w:rFonts w:ascii="Times New Roman" w:hAnsi="Times New Roman" w:cs="Times New Roman"/>
          <w:sz w:val="24"/>
          <w:szCs w:val="24"/>
        </w:rPr>
        <w:t xml:space="preserve"> диапазона, который </w:t>
      </w:r>
      <w:r w:rsidRPr="00DB5908">
        <w:rPr>
          <w:rFonts w:ascii="Times New Roman" w:hAnsi="Times New Roman" w:cs="Times New Roman"/>
          <w:sz w:val="24"/>
          <w:szCs w:val="24"/>
          <w:lang w:val="en-US"/>
        </w:rPr>
        <w:t>KPMG</w:t>
      </w:r>
      <w:r>
        <w:rPr>
          <w:rFonts w:ascii="Times New Roman" w:hAnsi="Times New Roman" w:cs="Times New Roman"/>
          <w:sz w:val="24"/>
          <w:szCs w:val="24"/>
        </w:rPr>
        <w:t xml:space="preserve"> прогнозировал ранее</w:t>
      </w:r>
      <w:r w:rsidRPr="00DB5908">
        <w:rPr>
          <w:rFonts w:ascii="Times New Roman" w:hAnsi="Times New Roman" w:cs="Times New Roman"/>
          <w:sz w:val="24"/>
          <w:szCs w:val="24"/>
        </w:rPr>
        <w:t xml:space="preserve"> на 2015 г. (40-60 </w:t>
      </w:r>
      <w:proofErr w:type="gramStart"/>
      <w:r w:rsidRPr="00DB5908">
        <w:rPr>
          <w:rFonts w:ascii="Times New Roman" w:hAnsi="Times New Roman" w:cs="Times New Roman"/>
          <w:sz w:val="24"/>
          <w:szCs w:val="24"/>
        </w:rPr>
        <w:t>млрд</w:t>
      </w:r>
      <w:proofErr w:type="gramEnd"/>
      <w:r w:rsidRPr="00DB5908">
        <w:rPr>
          <w:rFonts w:ascii="Times New Roman" w:hAnsi="Times New Roman" w:cs="Times New Roman"/>
          <w:sz w:val="24"/>
          <w:szCs w:val="24"/>
        </w:rPr>
        <w:t xml:space="preserve"> долл. США).</w:t>
      </w:r>
      <w:r w:rsidRPr="00DB5908">
        <w:rPr>
          <w:rStyle w:val="a7"/>
          <w:rFonts w:ascii="Times New Roman" w:hAnsi="Times New Roman" w:cs="Times New Roman"/>
          <w:sz w:val="24"/>
          <w:szCs w:val="24"/>
        </w:rPr>
        <w:footnoteReference w:id="7"/>
      </w:r>
    </w:p>
    <w:p w:rsidR="0059775B" w:rsidRPr="00DB5908" w:rsidRDefault="0059775B" w:rsidP="0059775B">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Тяжёлая экономическая ситуация</w:t>
      </w:r>
      <w:r w:rsidRPr="00DB5908">
        <w:rPr>
          <w:rFonts w:ascii="Times New Roman" w:hAnsi="Times New Roman" w:cs="Times New Roman"/>
          <w:sz w:val="24"/>
          <w:szCs w:val="24"/>
        </w:rPr>
        <w:t xml:space="preserve">, падение цен </w:t>
      </w:r>
      <w:r>
        <w:rPr>
          <w:rFonts w:ascii="Times New Roman" w:hAnsi="Times New Roman" w:cs="Times New Roman"/>
          <w:sz w:val="24"/>
          <w:szCs w:val="24"/>
        </w:rPr>
        <w:t>на нефть и трудности с получением финансирования вызвали снижение уверенности и активности</w:t>
      </w:r>
      <w:r w:rsidRPr="00DB5908">
        <w:rPr>
          <w:rFonts w:ascii="Times New Roman" w:hAnsi="Times New Roman" w:cs="Times New Roman"/>
          <w:sz w:val="24"/>
          <w:szCs w:val="24"/>
        </w:rPr>
        <w:t xml:space="preserve"> российских участников рынка </w:t>
      </w:r>
      <w:r w:rsidRPr="00DB5908">
        <w:rPr>
          <w:rFonts w:ascii="Times New Roman" w:hAnsi="Times New Roman" w:cs="Times New Roman"/>
          <w:sz w:val="24"/>
          <w:szCs w:val="24"/>
          <w:lang w:val="en-US"/>
        </w:rPr>
        <w:t>M</w:t>
      </w:r>
      <w:r w:rsidRPr="00DB5908">
        <w:rPr>
          <w:rFonts w:ascii="Times New Roman" w:hAnsi="Times New Roman" w:cs="Times New Roman"/>
          <w:sz w:val="24"/>
          <w:szCs w:val="24"/>
        </w:rPr>
        <w:t>&amp;</w:t>
      </w:r>
      <w:r w:rsidRPr="00DB5908">
        <w:rPr>
          <w:rFonts w:ascii="Times New Roman" w:hAnsi="Times New Roman" w:cs="Times New Roman"/>
          <w:sz w:val="24"/>
          <w:szCs w:val="24"/>
          <w:lang w:val="en-US"/>
        </w:rPr>
        <w:t>A</w:t>
      </w:r>
      <w:r>
        <w:rPr>
          <w:rFonts w:ascii="Times New Roman" w:hAnsi="Times New Roman" w:cs="Times New Roman"/>
          <w:sz w:val="24"/>
          <w:szCs w:val="24"/>
        </w:rPr>
        <w:t>. Вышеупомянутые факторы вместе</w:t>
      </w:r>
      <w:r w:rsidRPr="00DB5908">
        <w:rPr>
          <w:rFonts w:ascii="Times New Roman" w:hAnsi="Times New Roman" w:cs="Times New Roman"/>
          <w:sz w:val="24"/>
          <w:szCs w:val="24"/>
        </w:rPr>
        <w:t xml:space="preserve"> с несбалансированными ценовыми ожиданиями на фоне нестабильн</w:t>
      </w:r>
      <w:r>
        <w:rPr>
          <w:rFonts w:ascii="Times New Roman" w:hAnsi="Times New Roman" w:cs="Times New Roman"/>
          <w:sz w:val="24"/>
          <w:szCs w:val="24"/>
        </w:rPr>
        <w:t>ости национальной валюты стали причиной резкого</w:t>
      </w:r>
      <w:r w:rsidRPr="00DB5908">
        <w:rPr>
          <w:rFonts w:ascii="Times New Roman" w:hAnsi="Times New Roman" w:cs="Times New Roman"/>
          <w:sz w:val="24"/>
          <w:szCs w:val="24"/>
        </w:rPr>
        <w:t xml:space="preserve"> </w:t>
      </w:r>
      <w:r>
        <w:rPr>
          <w:rFonts w:ascii="Times New Roman" w:hAnsi="Times New Roman" w:cs="Times New Roman"/>
          <w:sz w:val="24"/>
          <w:szCs w:val="24"/>
        </w:rPr>
        <w:t>снижения</w:t>
      </w:r>
      <w:r w:rsidRPr="00DB5908">
        <w:rPr>
          <w:rFonts w:ascii="Times New Roman" w:hAnsi="Times New Roman" w:cs="Times New Roman"/>
          <w:sz w:val="24"/>
          <w:szCs w:val="24"/>
        </w:rPr>
        <w:t xml:space="preserve"> рынка </w:t>
      </w:r>
      <w:r w:rsidRPr="00DB5908">
        <w:rPr>
          <w:rFonts w:ascii="Times New Roman" w:hAnsi="Times New Roman" w:cs="Times New Roman"/>
          <w:sz w:val="24"/>
          <w:szCs w:val="24"/>
        </w:rPr>
        <w:lastRenderedPageBreak/>
        <w:t>внутренних сдело</w:t>
      </w:r>
      <w:r>
        <w:rPr>
          <w:rFonts w:ascii="Times New Roman" w:hAnsi="Times New Roman" w:cs="Times New Roman"/>
          <w:sz w:val="24"/>
          <w:szCs w:val="24"/>
        </w:rPr>
        <w:t xml:space="preserve">к на 37% до 36,1 </w:t>
      </w:r>
      <w:proofErr w:type="gramStart"/>
      <w:r>
        <w:rPr>
          <w:rFonts w:ascii="Times New Roman" w:hAnsi="Times New Roman" w:cs="Times New Roman"/>
          <w:sz w:val="24"/>
          <w:szCs w:val="24"/>
        </w:rPr>
        <w:t>млрд</w:t>
      </w:r>
      <w:proofErr w:type="gramEnd"/>
      <w:r>
        <w:rPr>
          <w:rFonts w:ascii="Times New Roman" w:hAnsi="Times New Roman" w:cs="Times New Roman"/>
          <w:sz w:val="24"/>
          <w:szCs w:val="24"/>
        </w:rPr>
        <w:t xml:space="preserve"> долл. США. Данное падение </w:t>
      </w:r>
      <w:r w:rsidRPr="00DB5908">
        <w:rPr>
          <w:rFonts w:ascii="Times New Roman" w:hAnsi="Times New Roman" w:cs="Times New Roman"/>
          <w:sz w:val="24"/>
          <w:szCs w:val="24"/>
        </w:rPr>
        <w:t>с</w:t>
      </w:r>
      <w:r>
        <w:rPr>
          <w:rFonts w:ascii="Times New Roman" w:hAnsi="Times New Roman" w:cs="Times New Roman"/>
          <w:sz w:val="24"/>
          <w:szCs w:val="24"/>
        </w:rPr>
        <w:t>тало рекордно низким</w:t>
      </w:r>
      <w:r w:rsidRPr="00DB5908">
        <w:rPr>
          <w:rFonts w:ascii="Times New Roman" w:hAnsi="Times New Roman" w:cs="Times New Roman"/>
          <w:sz w:val="24"/>
          <w:szCs w:val="24"/>
        </w:rPr>
        <w:t xml:space="preserve"> за более чем 10-летний период</w:t>
      </w:r>
      <w:r>
        <w:rPr>
          <w:rFonts w:ascii="Times New Roman" w:hAnsi="Times New Roman" w:cs="Times New Roman"/>
          <w:sz w:val="24"/>
          <w:szCs w:val="24"/>
        </w:rPr>
        <w:t>, и спаду</w:t>
      </w:r>
      <w:r w:rsidRPr="00DB5908">
        <w:rPr>
          <w:rFonts w:ascii="Times New Roman" w:hAnsi="Times New Roman" w:cs="Times New Roman"/>
          <w:sz w:val="24"/>
          <w:szCs w:val="24"/>
        </w:rPr>
        <w:t xml:space="preserve"> объема инвестиций р</w:t>
      </w:r>
      <w:r>
        <w:rPr>
          <w:rFonts w:ascii="Times New Roman" w:hAnsi="Times New Roman" w:cs="Times New Roman"/>
          <w:sz w:val="24"/>
          <w:szCs w:val="24"/>
        </w:rPr>
        <w:t>оссийских компаний в</w:t>
      </w:r>
      <w:r w:rsidRPr="00DB5908">
        <w:rPr>
          <w:rFonts w:ascii="Times New Roman" w:hAnsi="Times New Roman" w:cs="Times New Roman"/>
          <w:sz w:val="24"/>
          <w:szCs w:val="24"/>
        </w:rPr>
        <w:t xml:space="preserve"> </w:t>
      </w:r>
      <w:r>
        <w:rPr>
          <w:rFonts w:ascii="Times New Roman" w:hAnsi="Times New Roman" w:cs="Times New Roman"/>
          <w:sz w:val="24"/>
          <w:szCs w:val="24"/>
        </w:rPr>
        <w:t xml:space="preserve">зарубежные </w:t>
      </w:r>
      <w:r w:rsidRPr="00DB5908">
        <w:rPr>
          <w:rFonts w:ascii="Times New Roman" w:hAnsi="Times New Roman" w:cs="Times New Roman"/>
          <w:sz w:val="24"/>
          <w:szCs w:val="24"/>
        </w:rPr>
        <w:t xml:space="preserve">активы на 39% до 8,6 </w:t>
      </w:r>
      <w:proofErr w:type="gramStart"/>
      <w:r w:rsidRPr="00DB5908">
        <w:rPr>
          <w:rFonts w:ascii="Times New Roman" w:hAnsi="Times New Roman" w:cs="Times New Roman"/>
          <w:sz w:val="24"/>
          <w:szCs w:val="24"/>
        </w:rPr>
        <w:t>млрд</w:t>
      </w:r>
      <w:proofErr w:type="gramEnd"/>
      <w:r w:rsidRPr="00DB5908">
        <w:rPr>
          <w:rFonts w:ascii="Times New Roman" w:hAnsi="Times New Roman" w:cs="Times New Roman"/>
          <w:sz w:val="24"/>
          <w:szCs w:val="24"/>
        </w:rPr>
        <w:t xml:space="preserve"> до</w:t>
      </w:r>
      <w:r>
        <w:rPr>
          <w:rFonts w:ascii="Times New Roman" w:hAnsi="Times New Roman" w:cs="Times New Roman"/>
          <w:sz w:val="24"/>
          <w:szCs w:val="24"/>
        </w:rPr>
        <w:t>лл. США. В 2015 г. иностранные игроки пытались найти возможности применить</w:t>
      </w:r>
      <w:r w:rsidRPr="00DB5908">
        <w:rPr>
          <w:rFonts w:ascii="Times New Roman" w:hAnsi="Times New Roman" w:cs="Times New Roman"/>
          <w:sz w:val="24"/>
          <w:szCs w:val="24"/>
        </w:rPr>
        <w:t xml:space="preserve"> приобретенные ими российские </w:t>
      </w:r>
      <w:r>
        <w:rPr>
          <w:rFonts w:ascii="Times New Roman" w:hAnsi="Times New Roman" w:cs="Times New Roman"/>
          <w:sz w:val="24"/>
          <w:szCs w:val="24"/>
        </w:rPr>
        <w:t xml:space="preserve">активы с учетом новых условий. В конечном </w:t>
      </w:r>
      <w:proofErr w:type="gramStart"/>
      <w:r>
        <w:rPr>
          <w:rFonts w:ascii="Times New Roman" w:hAnsi="Times New Roman" w:cs="Times New Roman"/>
          <w:sz w:val="24"/>
          <w:szCs w:val="24"/>
        </w:rPr>
        <w:t>счёте</w:t>
      </w:r>
      <w:proofErr w:type="gramEnd"/>
      <w:r w:rsidRPr="00DB5908">
        <w:rPr>
          <w:rFonts w:ascii="Times New Roman" w:hAnsi="Times New Roman" w:cs="Times New Roman"/>
          <w:sz w:val="24"/>
          <w:szCs w:val="24"/>
        </w:rPr>
        <w:t xml:space="preserve"> некоторые из</w:t>
      </w:r>
      <w:r>
        <w:rPr>
          <w:rFonts w:ascii="Times New Roman" w:hAnsi="Times New Roman" w:cs="Times New Roman"/>
          <w:sz w:val="24"/>
          <w:szCs w:val="24"/>
        </w:rPr>
        <w:t xml:space="preserve"> них пересмотрели</w:t>
      </w:r>
      <w:r w:rsidRPr="00DB5908">
        <w:rPr>
          <w:rFonts w:ascii="Times New Roman" w:hAnsi="Times New Roman" w:cs="Times New Roman"/>
          <w:sz w:val="24"/>
          <w:szCs w:val="24"/>
        </w:rPr>
        <w:t xml:space="preserve"> свои позиции на рынке и</w:t>
      </w:r>
      <w:r>
        <w:rPr>
          <w:rFonts w:ascii="Times New Roman" w:hAnsi="Times New Roman" w:cs="Times New Roman"/>
          <w:sz w:val="24"/>
          <w:szCs w:val="24"/>
        </w:rPr>
        <w:t xml:space="preserve"> занялись анализом возможных</w:t>
      </w:r>
      <w:r w:rsidRPr="00DB5908">
        <w:rPr>
          <w:rFonts w:ascii="Times New Roman" w:hAnsi="Times New Roman" w:cs="Times New Roman"/>
          <w:sz w:val="24"/>
          <w:szCs w:val="24"/>
        </w:rPr>
        <w:t xml:space="preserve"> выго</w:t>
      </w:r>
      <w:r>
        <w:rPr>
          <w:rFonts w:ascii="Times New Roman" w:hAnsi="Times New Roman" w:cs="Times New Roman"/>
          <w:sz w:val="24"/>
          <w:szCs w:val="24"/>
        </w:rPr>
        <w:t>д, которые они могли бы приобрести</w:t>
      </w:r>
      <w:r w:rsidRPr="00DB5908">
        <w:rPr>
          <w:rFonts w:ascii="Times New Roman" w:hAnsi="Times New Roman" w:cs="Times New Roman"/>
          <w:sz w:val="24"/>
          <w:szCs w:val="24"/>
        </w:rPr>
        <w:t xml:space="preserve"> в средне- и долгосрочной перспективе при условии сохранения участия в российских компаниях.</w:t>
      </w:r>
      <w:r w:rsidRPr="00DB5908">
        <w:rPr>
          <w:rStyle w:val="a7"/>
          <w:rFonts w:ascii="Times New Roman" w:hAnsi="Times New Roman" w:cs="Times New Roman"/>
          <w:sz w:val="24"/>
          <w:szCs w:val="24"/>
        </w:rPr>
        <w:footnoteReference w:id="8"/>
      </w:r>
    </w:p>
    <w:p w:rsidR="0059775B" w:rsidRPr="00DB5908" w:rsidRDefault="0059775B" w:rsidP="0059775B">
      <w:p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noProof/>
          <w:sz w:val="24"/>
          <w:szCs w:val="24"/>
          <w:lang w:eastAsia="ru-RU"/>
        </w:rPr>
        <w:drawing>
          <wp:inline distT="0" distB="0" distL="0" distR="0" wp14:anchorId="267100E5" wp14:editId="583C1D05">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775B" w:rsidRPr="00DB5908" w:rsidRDefault="0059775B" w:rsidP="0059775B">
      <w:pPr>
        <w:spacing w:after="240" w:line="360" w:lineRule="auto"/>
        <w:ind w:firstLine="709"/>
        <w:jc w:val="center"/>
        <w:rPr>
          <w:rFonts w:ascii="Times New Roman" w:hAnsi="Times New Roman" w:cs="Times New Roman"/>
          <w:sz w:val="24"/>
          <w:szCs w:val="24"/>
        </w:rPr>
      </w:pPr>
      <w:r w:rsidRPr="00DB5908">
        <w:rPr>
          <w:rFonts w:ascii="Times New Roman" w:hAnsi="Times New Roman" w:cs="Times New Roman"/>
          <w:sz w:val="24"/>
          <w:szCs w:val="24"/>
        </w:rPr>
        <w:t>Рисунок 1 Российский рынок сделок M&amp;A (2010-2015 гг.)</w:t>
      </w:r>
    </w:p>
    <w:p w:rsidR="0059775B" w:rsidRPr="00DB5908" w:rsidRDefault="0059775B" w:rsidP="0059775B">
      <w:pPr>
        <w:spacing w:after="240" w:line="360" w:lineRule="auto"/>
        <w:ind w:firstLine="709"/>
        <w:jc w:val="both"/>
        <w:rPr>
          <w:rFonts w:ascii="Times New Roman" w:hAnsi="Times New Roman" w:cs="Times New Roman"/>
          <w:i/>
          <w:sz w:val="24"/>
          <w:szCs w:val="24"/>
        </w:rPr>
      </w:pPr>
      <w:r w:rsidRPr="00DB5908">
        <w:rPr>
          <w:rFonts w:ascii="Times New Roman" w:hAnsi="Times New Roman" w:cs="Times New Roman"/>
          <w:i/>
          <w:sz w:val="24"/>
          <w:szCs w:val="24"/>
        </w:rPr>
        <w:t>Источник:</w:t>
      </w:r>
      <w:r w:rsidRPr="00DB5908">
        <w:rPr>
          <w:rFonts w:ascii="Times New Roman" w:hAnsi="Times New Roman" w:cs="Times New Roman"/>
          <w:sz w:val="24"/>
          <w:szCs w:val="24"/>
        </w:rPr>
        <w:t xml:space="preserve"> Обзор КПМГ – «Рынок слияний и поглощений в России в 2015 году». Февраль 2016. С.5.</w:t>
      </w:r>
    </w:p>
    <w:p w:rsidR="0059775B" w:rsidRPr="00DB5908" w:rsidRDefault="0059775B" w:rsidP="0059775B">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Ситуация на рынке слияний и поглощений в России в значительной степени отличалась</w:t>
      </w:r>
      <w:r w:rsidRPr="00DB5908">
        <w:rPr>
          <w:rFonts w:ascii="Times New Roman" w:hAnsi="Times New Roman" w:cs="Times New Roman"/>
          <w:sz w:val="24"/>
          <w:szCs w:val="24"/>
        </w:rPr>
        <w:t xml:space="preserve"> от ситуации на мировом р</w:t>
      </w:r>
      <w:r>
        <w:rPr>
          <w:rFonts w:ascii="Times New Roman" w:hAnsi="Times New Roman" w:cs="Times New Roman"/>
          <w:sz w:val="24"/>
          <w:szCs w:val="24"/>
        </w:rPr>
        <w:t>ынке – там сумма сделок увеличилась на 30% до внушительных</w:t>
      </w:r>
      <w:r w:rsidRPr="00DB5908">
        <w:rPr>
          <w:rFonts w:ascii="Times New Roman" w:hAnsi="Times New Roman" w:cs="Times New Roman"/>
          <w:sz w:val="24"/>
          <w:szCs w:val="24"/>
        </w:rPr>
        <w:t xml:space="preserve"> 4,3 </w:t>
      </w:r>
      <w:proofErr w:type="gramStart"/>
      <w:r w:rsidRPr="00DB5908">
        <w:rPr>
          <w:rFonts w:ascii="Times New Roman" w:hAnsi="Times New Roman" w:cs="Times New Roman"/>
          <w:sz w:val="24"/>
          <w:szCs w:val="24"/>
        </w:rPr>
        <w:t>трлн</w:t>
      </w:r>
      <w:proofErr w:type="gramEnd"/>
      <w:r w:rsidRPr="00DB5908">
        <w:rPr>
          <w:rFonts w:ascii="Times New Roman" w:hAnsi="Times New Roman" w:cs="Times New Roman"/>
          <w:sz w:val="24"/>
          <w:szCs w:val="24"/>
        </w:rPr>
        <w:t xml:space="preserve"> долл. США при сниже</w:t>
      </w:r>
      <w:r>
        <w:rPr>
          <w:rFonts w:ascii="Times New Roman" w:hAnsi="Times New Roman" w:cs="Times New Roman"/>
          <w:sz w:val="24"/>
          <w:szCs w:val="24"/>
        </w:rPr>
        <w:t>нии сделок на 3%. В связи с этим</w:t>
      </w:r>
      <w:r w:rsidRPr="00DB5908">
        <w:rPr>
          <w:rFonts w:ascii="Times New Roman" w:hAnsi="Times New Roman" w:cs="Times New Roman"/>
          <w:sz w:val="24"/>
          <w:szCs w:val="24"/>
        </w:rPr>
        <w:t xml:space="preserve"> доля России в сумме сделок на мировом рынке </w:t>
      </w:r>
      <w:r w:rsidRPr="00DB5908">
        <w:rPr>
          <w:rFonts w:ascii="Times New Roman" w:hAnsi="Times New Roman" w:cs="Times New Roman"/>
          <w:sz w:val="24"/>
          <w:szCs w:val="24"/>
          <w:lang w:val="en-US"/>
        </w:rPr>
        <w:t>M</w:t>
      </w:r>
      <w:r w:rsidRPr="00DB5908">
        <w:rPr>
          <w:rFonts w:ascii="Times New Roman" w:hAnsi="Times New Roman" w:cs="Times New Roman"/>
          <w:sz w:val="24"/>
          <w:szCs w:val="24"/>
        </w:rPr>
        <w:t>&amp;</w:t>
      </w:r>
      <w:r w:rsidRPr="00DB5908">
        <w:rPr>
          <w:rFonts w:ascii="Times New Roman" w:hAnsi="Times New Roman" w:cs="Times New Roman"/>
          <w:sz w:val="24"/>
          <w:szCs w:val="24"/>
          <w:lang w:val="en-US"/>
        </w:rPr>
        <w:t>A</w:t>
      </w:r>
      <w:r w:rsidRPr="00DB5908">
        <w:rPr>
          <w:rFonts w:ascii="Times New Roman" w:hAnsi="Times New Roman" w:cs="Times New Roman"/>
          <w:sz w:val="24"/>
          <w:szCs w:val="24"/>
        </w:rPr>
        <w:t xml:space="preserve"> сократилась до м</w:t>
      </w:r>
      <w:r>
        <w:rPr>
          <w:rFonts w:ascii="Times New Roman" w:hAnsi="Times New Roman" w:cs="Times New Roman"/>
          <w:sz w:val="24"/>
          <w:szCs w:val="24"/>
        </w:rPr>
        <w:t>инимальных 1,3%, что значительно</w:t>
      </w:r>
      <w:r w:rsidRPr="00DB5908">
        <w:rPr>
          <w:rFonts w:ascii="Times New Roman" w:hAnsi="Times New Roman" w:cs="Times New Roman"/>
          <w:sz w:val="24"/>
          <w:szCs w:val="24"/>
        </w:rPr>
        <w:t xml:space="preserve"> ниже среднего показателя</w:t>
      </w:r>
      <w:r>
        <w:rPr>
          <w:rFonts w:ascii="Times New Roman" w:hAnsi="Times New Roman" w:cs="Times New Roman"/>
          <w:sz w:val="24"/>
          <w:szCs w:val="24"/>
        </w:rPr>
        <w:t xml:space="preserve"> в 4,3% на </w:t>
      </w:r>
      <w:proofErr w:type="gramStart"/>
      <w:r>
        <w:rPr>
          <w:rFonts w:ascii="Times New Roman" w:hAnsi="Times New Roman" w:cs="Times New Roman"/>
          <w:sz w:val="24"/>
          <w:szCs w:val="24"/>
        </w:rPr>
        <w:t>протяжении</w:t>
      </w:r>
      <w:proofErr w:type="gramEnd"/>
      <w:r>
        <w:rPr>
          <w:rFonts w:ascii="Times New Roman" w:hAnsi="Times New Roman" w:cs="Times New Roman"/>
          <w:sz w:val="24"/>
          <w:szCs w:val="24"/>
        </w:rPr>
        <w:t xml:space="preserve"> последних 10 лет. Д</w:t>
      </w:r>
      <w:r w:rsidRPr="00DB5908">
        <w:rPr>
          <w:rFonts w:ascii="Times New Roman" w:hAnsi="Times New Roman" w:cs="Times New Roman"/>
          <w:sz w:val="24"/>
          <w:szCs w:val="24"/>
        </w:rPr>
        <w:t xml:space="preserve">аже </w:t>
      </w:r>
      <w:r>
        <w:rPr>
          <w:rFonts w:ascii="Times New Roman" w:hAnsi="Times New Roman" w:cs="Times New Roman"/>
          <w:sz w:val="24"/>
          <w:szCs w:val="24"/>
        </w:rPr>
        <w:t>приняв во внимание то</w:t>
      </w:r>
      <w:r w:rsidRPr="00DB5908">
        <w:rPr>
          <w:rFonts w:ascii="Times New Roman" w:hAnsi="Times New Roman" w:cs="Times New Roman"/>
          <w:sz w:val="24"/>
          <w:szCs w:val="24"/>
        </w:rPr>
        <w:t xml:space="preserve">,  что российский рынок </w:t>
      </w:r>
      <w:r w:rsidRPr="00DB5908">
        <w:rPr>
          <w:rFonts w:ascii="Times New Roman" w:hAnsi="Times New Roman" w:cs="Times New Roman"/>
          <w:sz w:val="24"/>
          <w:szCs w:val="24"/>
          <w:lang w:val="en-US"/>
        </w:rPr>
        <w:t>M</w:t>
      </w:r>
      <w:r w:rsidRPr="00DB5908">
        <w:rPr>
          <w:rFonts w:ascii="Times New Roman" w:hAnsi="Times New Roman" w:cs="Times New Roman"/>
          <w:sz w:val="24"/>
          <w:szCs w:val="24"/>
        </w:rPr>
        <w:t>&amp;</w:t>
      </w:r>
      <w:r w:rsidRPr="00DB5908">
        <w:rPr>
          <w:rFonts w:ascii="Times New Roman" w:hAnsi="Times New Roman" w:cs="Times New Roman"/>
          <w:sz w:val="24"/>
          <w:szCs w:val="24"/>
          <w:lang w:val="en-US"/>
        </w:rPr>
        <w:t>A</w:t>
      </w:r>
      <w:r w:rsidRPr="00DB5908">
        <w:rPr>
          <w:rFonts w:ascii="Times New Roman" w:hAnsi="Times New Roman" w:cs="Times New Roman"/>
          <w:sz w:val="24"/>
          <w:szCs w:val="24"/>
        </w:rPr>
        <w:t xml:space="preserve"> занял второе место среди стран БРИК по сумме с</w:t>
      </w:r>
      <w:r>
        <w:rPr>
          <w:rFonts w:ascii="Times New Roman" w:hAnsi="Times New Roman" w:cs="Times New Roman"/>
          <w:sz w:val="24"/>
          <w:szCs w:val="24"/>
        </w:rPr>
        <w:t xml:space="preserve">делок, </w:t>
      </w:r>
      <w:r>
        <w:rPr>
          <w:rFonts w:ascii="Times New Roman" w:hAnsi="Times New Roman" w:cs="Times New Roman"/>
          <w:sz w:val="24"/>
          <w:szCs w:val="24"/>
        </w:rPr>
        <w:lastRenderedPageBreak/>
        <w:t xml:space="preserve">показатели российского рынка не шли ни в какое сравнение с </w:t>
      </w:r>
      <w:r w:rsidRPr="00DB5908">
        <w:rPr>
          <w:rFonts w:ascii="Times New Roman" w:hAnsi="Times New Roman" w:cs="Times New Roman"/>
          <w:sz w:val="24"/>
          <w:szCs w:val="24"/>
        </w:rPr>
        <w:t>достижения</w:t>
      </w:r>
      <w:r>
        <w:rPr>
          <w:rFonts w:ascii="Times New Roman" w:hAnsi="Times New Roman" w:cs="Times New Roman"/>
          <w:sz w:val="24"/>
          <w:szCs w:val="24"/>
        </w:rPr>
        <w:t>ми</w:t>
      </w:r>
      <w:r w:rsidRPr="00DB5908">
        <w:rPr>
          <w:rFonts w:ascii="Times New Roman" w:hAnsi="Times New Roman" w:cs="Times New Roman"/>
          <w:sz w:val="24"/>
          <w:szCs w:val="24"/>
        </w:rPr>
        <w:t xml:space="preserve"> компаний</w:t>
      </w:r>
      <w:r>
        <w:rPr>
          <w:rFonts w:ascii="Times New Roman" w:hAnsi="Times New Roman" w:cs="Times New Roman"/>
          <w:sz w:val="24"/>
          <w:szCs w:val="24"/>
        </w:rPr>
        <w:t xml:space="preserve"> Китая, которые провели</w:t>
      </w:r>
      <w:r w:rsidRPr="00DB5908">
        <w:rPr>
          <w:rFonts w:ascii="Times New Roman" w:hAnsi="Times New Roman" w:cs="Times New Roman"/>
          <w:sz w:val="24"/>
          <w:szCs w:val="24"/>
        </w:rPr>
        <w:t xml:space="preserve"> сделки на общую сумму 491,4 </w:t>
      </w:r>
      <w:proofErr w:type="gramStart"/>
      <w:r w:rsidRPr="00DB5908">
        <w:rPr>
          <w:rFonts w:ascii="Times New Roman" w:hAnsi="Times New Roman" w:cs="Times New Roman"/>
          <w:sz w:val="24"/>
          <w:szCs w:val="24"/>
        </w:rPr>
        <w:t>млрд</w:t>
      </w:r>
      <w:proofErr w:type="gramEnd"/>
      <w:r w:rsidRPr="00DB5908">
        <w:rPr>
          <w:rFonts w:ascii="Times New Roman" w:hAnsi="Times New Roman" w:cs="Times New Roman"/>
          <w:sz w:val="24"/>
          <w:szCs w:val="24"/>
        </w:rPr>
        <w:t xml:space="preserve"> долл. США.</w:t>
      </w:r>
      <w:r w:rsidRPr="00DB5908">
        <w:rPr>
          <w:rStyle w:val="a7"/>
          <w:rFonts w:ascii="Times New Roman" w:hAnsi="Times New Roman" w:cs="Times New Roman"/>
          <w:sz w:val="24"/>
          <w:szCs w:val="24"/>
        </w:rPr>
        <w:footnoteReference w:id="9"/>
      </w:r>
    </w:p>
    <w:p w:rsidR="0059775B" w:rsidRPr="00DB5908" w:rsidRDefault="0059775B" w:rsidP="0059775B">
      <w:p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noProof/>
          <w:sz w:val="24"/>
          <w:szCs w:val="24"/>
          <w:lang w:eastAsia="ru-RU"/>
        </w:rPr>
        <w:drawing>
          <wp:inline distT="0" distB="0" distL="0" distR="0" wp14:anchorId="153232C5" wp14:editId="41D25CE6">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775B" w:rsidRPr="00DB5908" w:rsidRDefault="0059775B" w:rsidP="0059775B">
      <w:pPr>
        <w:spacing w:after="240" w:line="360" w:lineRule="auto"/>
        <w:ind w:firstLine="709"/>
        <w:jc w:val="center"/>
        <w:rPr>
          <w:rFonts w:ascii="Times New Roman" w:hAnsi="Times New Roman" w:cs="Times New Roman"/>
          <w:sz w:val="24"/>
          <w:szCs w:val="24"/>
        </w:rPr>
      </w:pPr>
      <w:r w:rsidRPr="00DB5908">
        <w:rPr>
          <w:rFonts w:ascii="Times New Roman" w:hAnsi="Times New Roman" w:cs="Times New Roman"/>
          <w:sz w:val="24"/>
          <w:szCs w:val="24"/>
        </w:rPr>
        <w:t>Рисунок 2 Мировой рынок M&amp;A (2010 – 2015 гг.)</w:t>
      </w:r>
    </w:p>
    <w:p w:rsidR="0059775B" w:rsidRPr="00DB5908" w:rsidRDefault="0059775B" w:rsidP="0059775B">
      <w:pPr>
        <w:spacing w:after="240" w:line="360" w:lineRule="auto"/>
        <w:ind w:firstLine="709"/>
        <w:jc w:val="both"/>
        <w:rPr>
          <w:rFonts w:ascii="Times New Roman" w:hAnsi="Times New Roman" w:cs="Times New Roman"/>
          <w:i/>
          <w:color w:val="FF0000"/>
          <w:sz w:val="24"/>
          <w:szCs w:val="24"/>
        </w:rPr>
      </w:pPr>
      <w:r w:rsidRPr="00DB5908">
        <w:rPr>
          <w:rFonts w:ascii="Times New Roman" w:hAnsi="Times New Roman" w:cs="Times New Roman"/>
          <w:i/>
          <w:sz w:val="24"/>
          <w:szCs w:val="24"/>
        </w:rPr>
        <w:t xml:space="preserve">Источник: </w:t>
      </w:r>
      <w:r w:rsidRPr="00DB5908">
        <w:rPr>
          <w:rFonts w:ascii="Times New Roman" w:hAnsi="Times New Roman" w:cs="Times New Roman"/>
          <w:sz w:val="24"/>
          <w:szCs w:val="24"/>
        </w:rPr>
        <w:t>Обзор КПМГ – «Рынок слияний и поглощений в России в 2015 году». Февраль 2016. С.5.</w:t>
      </w:r>
    </w:p>
    <w:p w:rsidR="0059775B" w:rsidRPr="00DB5908" w:rsidRDefault="0059775B" w:rsidP="0059775B">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2015 г. в нефтегазовой отрасли произошло падение </w:t>
      </w:r>
      <w:r w:rsidRPr="00DB5908">
        <w:rPr>
          <w:rFonts w:ascii="Times New Roman" w:hAnsi="Times New Roman" w:cs="Times New Roman"/>
          <w:sz w:val="24"/>
          <w:szCs w:val="24"/>
        </w:rPr>
        <w:t>суммы сделок на 43%</w:t>
      </w:r>
      <w:r>
        <w:rPr>
          <w:rFonts w:ascii="Times New Roman" w:hAnsi="Times New Roman" w:cs="Times New Roman"/>
          <w:sz w:val="24"/>
          <w:szCs w:val="24"/>
        </w:rPr>
        <w:t xml:space="preserve"> до 15,6 </w:t>
      </w:r>
      <w:proofErr w:type="gramStart"/>
      <w:r>
        <w:rPr>
          <w:rFonts w:ascii="Times New Roman" w:hAnsi="Times New Roman" w:cs="Times New Roman"/>
          <w:sz w:val="24"/>
          <w:szCs w:val="24"/>
        </w:rPr>
        <w:t>млрд</w:t>
      </w:r>
      <w:proofErr w:type="gramEnd"/>
      <w:r>
        <w:rPr>
          <w:rFonts w:ascii="Times New Roman" w:hAnsi="Times New Roman" w:cs="Times New Roman"/>
          <w:sz w:val="24"/>
          <w:szCs w:val="24"/>
        </w:rPr>
        <w:t xml:space="preserve"> долл. США. Это отчасти объяснялось тем, что снизились цены на нефть и санкции негативно сказывались на экономической ситуации. Тем не менее,</w:t>
      </w:r>
      <w:r w:rsidRPr="00DB5908">
        <w:rPr>
          <w:rFonts w:ascii="Times New Roman" w:hAnsi="Times New Roman" w:cs="Times New Roman"/>
          <w:sz w:val="24"/>
          <w:szCs w:val="24"/>
        </w:rPr>
        <w:t xml:space="preserve"> нефтегазовый сектор продолжил доминировать на российском р</w:t>
      </w:r>
      <w:r>
        <w:rPr>
          <w:rFonts w:ascii="Times New Roman" w:hAnsi="Times New Roman" w:cs="Times New Roman"/>
          <w:sz w:val="24"/>
          <w:szCs w:val="24"/>
        </w:rPr>
        <w:t xml:space="preserve">ынке сделок </w:t>
      </w:r>
      <w:r w:rsidRPr="00DB5908">
        <w:rPr>
          <w:rFonts w:ascii="Times New Roman" w:hAnsi="Times New Roman" w:cs="Times New Roman"/>
          <w:sz w:val="24"/>
          <w:szCs w:val="24"/>
          <w:lang w:val="en-US"/>
        </w:rPr>
        <w:t>M</w:t>
      </w:r>
      <w:r w:rsidRPr="00DB5908">
        <w:rPr>
          <w:rFonts w:ascii="Times New Roman" w:hAnsi="Times New Roman" w:cs="Times New Roman"/>
          <w:sz w:val="24"/>
          <w:szCs w:val="24"/>
        </w:rPr>
        <w:t>&amp;</w:t>
      </w:r>
      <w:r w:rsidRPr="00DB5908">
        <w:rPr>
          <w:rFonts w:ascii="Times New Roman" w:hAnsi="Times New Roman" w:cs="Times New Roman"/>
          <w:sz w:val="24"/>
          <w:szCs w:val="24"/>
          <w:lang w:val="en-US"/>
        </w:rPr>
        <w:t>A</w:t>
      </w:r>
      <w:r w:rsidRPr="00DB5908">
        <w:rPr>
          <w:rFonts w:ascii="Times New Roman" w:hAnsi="Times New Roman" w:cs="Times New Roman"/>
          <w:sz w:val="24"/>
          <w:szCs w:val="24"/>
        </w:rPr>
        <w:t xml:space="preserve">. </w:t>
      </w:r>
      <w:r>
        <w:rPr>
          <w:rFonts w:ascii="Times New Roman" w:hAnsi="Times New Roman" w:cs="Times New Roman"/>
          <w:sz w:val="24"/>
          <w:szCs w:val="24"/>
        </w:rPr>
        <w:t xml:space="preserve">Наиболее всего активен по-прежнему был </w:t>
      </w:r>
      <w:r w:rsidRPr="006C57CA">
        <w:rPr>
          <w:rFonts w:ascii="Times New Roman" w:hAnsi="Times New Roman" w:cs="Times New Roman"/>
          <w:sz w:val="24"/>
          <w:szCs w:val="24"/>
        </w:rPr>
        <w:t>сектор недвижимости и строительства</w:t>
      </w:r>
      <w:r>
        <w:rPr>
          <w:rFonts w:ascii="Times New Roman" w:hAnsi="Times New Roman" w:cs="Times New Roman"/>
          <w:sz w:val="24"/>
          <w:szCs w:val="24"/>
        </w:rPr>
        <w:t xml:space="preserve"> – суммарное количество сделок</w:t>
      </w:r>
      <w:r w:rsidRPr="006C57CA">
        <w:rPr>
          <w:rFonts w:ascii="Times New Roman" w:hAnsi="Times New Roman" w:cs="Times New Roman"/>
          <w:sz w:val="24"/>
          <w:szCs w:val="24"/>
        </w:rPr>
        <w:t xml:space="preserve"> составило 88, что на 55% ниже прошлогоднего показателя.</w:t>
      </w:r>
      <w:r w:rsidRPr="006C57CA">
        <w:rPr>
          <w:rStyle w:val="a7"/>
          <w:rFonts w:ascii="Times New Roman" w:hAnsi="Times New Roman" w:cs="Times New Roman"/>
          <w:sz w:val="24"/>
          <w:szCs w:val="24"/>
        </w:rPr>
        <w:footnoteReference w:id="10"/>
      </w:r>
    </w:p>
    <w:p w:rsidR="0059775B" w:rsidRDefault="0059775B" w:rsidP="0059775B">
      <w:pPr>
        <w:spacing w:after="240" w:line="360" w:lineRule="auto"/>
        <w:ind w:firstLine="709"/>
        <w:jc w:val="both"/>
        <w:rPr>
          <w:rFonts w:ascii="Times New Roman" w:hAnsi="Times New Roman" w:cs="Times New Roman"/>
          <w:sz w:val="24"/>
          <w:szCs w:val="24"/>
        </w:rPr>
      </w:pPr>
      <w:r w:rsidRPr="00DB5908">
        <w:rPr>
          <w:rFonts w:ascii="Times New Roman" w:hAnsi="Times New Roman" w:cs="Times New Roman"/>
          <w:sz w:val="24"/>
          <w:szCs w:val="24"/>
        </w:rPr>
        <w:t xml:space="preserve">Таблица – 1 Крупнейшие сделки на российском рынке </w:t>
      </w:r>
      <w:r w:rsidRPr="00DB5908">
        <w:rPr>
          <w:rFonts w:ascii="Times New Roman" w:hAnsi="Times New Roman" w:cs="Times New Roman"/>
          <w:sz w:val="24"/>
          <w:szCs w:val="24"/>
          <w:lang w:val="en-US"/>
        </w:rPr>
        <w:t>M</w:t>
      </w:r>
      <w:r w:rsidRPr="00DB5908">
        <w:rPr>
          <w:rFonts w:ascii="Times New Roman" w:hAnsi="Times New Roman" w:cs="Times New Roman"/>
          <w:sz w:val="24"/>
          <w:szCs w:val="24"/>
        </w:rPr>
        <w:t>&amp;</w:t>
      </w:r>
      <w:r w:rsidRPr="00DB5908">
        <w:rPr>
          <w:rFonts w:ascii="Times New Roman" w:hAnsi="Times New Roman" w:cs="Times New Roman"/>
          <w:sz w:val="24"/>
          <w:szCs w:val="24"/>
          <w:lang w:val="en-US"/>
        </w:rPr>
        <w:t>A</w:t>
      </w:r>
      <w:r w:rsidRPr="00DB5908">
        <w:rPr>
          <w:rFonts w:ascii="Times New Roman" w:hAnsi="Times New Roman" w:cs="Times New Roman"/>
          <w:sz w:val="24"/>
          <w:szCs w:val="24"/>
        </w:rPr>
        <w:t>, 2015 г.</w:t>
      </w:r>
    </w:p>
    <w:tbl>
      <w:tblPr>
        <w:tblStyle w:val="a8"/>
        <w:tblW w:w="0" w:type="auto"/>
        <w:tblLayout w:type="fixed"/>
        <w:tblLook w:val="04A0" w:firstRow="1" w:lastRow="0" w:firstColumn="1" w:lastColumn="0" w:noHBand="0" w:noVBand="1"/>
      </w:tblPr>
      <w:tblGrid>
        <w:gridCol w:w="534"/>
        <w:gridCol w:w="1984"/>
        <w:gridCol w:w="1559"/>
        <w:gridCol w:w="1843"/>
        <w:gridCol w:w="1985"/>
        <w:gridCol w:w="850"/>
        <w:gridCol w:w="816"/>
      </w:tblGrid>
      <w:tr w:rsidR="0059775B" w:rsidRPr="000D056C" w:rsidTr="00E11D2C">
        <w:trPr>
          <w:trHeight w:val="1118"/>
        </w:trPr>
        <w:tc>
          <w:tcPr>
            <w:tcW w:w="534" w:type="dxa"/>
            <w:vAlign w:val="center"/>
          </w:tcPr>
          <w:p w:rsidR="0059775B" w:rsidRPr="000D056C" w:rsidRDefault="0059775B" w:rsidP="00E11D2C">
            <w:pPr>
              <w:jc w:val="center"/>
              <w:rPr>
                <w:rFonts w:ascii="Times New Roman" w:hAnsi="Times New Roman" w:cs="Times New Roman"/>
                <w:sz w:val="18"/>
                <w:szCs w:val="18"/>
              </w:rPr>
            </w:pPr>
          </w:p>
        </w:tc>
        <w:tc>
          <w:tcPr>
            <w:tcW w:w="198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Объект сделки</w:t>
            </w:r>
          </w:p>
        </w:tc>
        <w:tc>
          <w:tcPr>
            <w:tcW w:w="1559"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Сектор</w:t>
            </w:r>
          </w:p>
        </w:tc>
        <w:tc>
          <w:tcPr>
            <w:tcW w:w="1843"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Покупатель</w:t>
            </w:r>
          </w:p>
        </w:tc>
        <w:tc>
          <w:tcPr>
            <w:tcW w:w="1985"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Продавец</w:t>
            </w:r>
          </w:p>
        </w:tc>
        <w:tc>
          <w:tcPr>
            <w:tcW w:w="850"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Приоб</w:t>
            </w:r>
            <w:r>
              <w:rPr>
                <w:rFonts w:ascii="Times New Roman" w:hAnsi="Times New Roman" w:cs="Times New Roman"/>
                <w:sz w:val="18"/>
                <w:szCs w:val="18"/>
              </w:rPr>
              <w:softHyphen/>
            </w:r>
            <w:r w:rsidRPr="00A77984">
              <w:rPr>
                <w:rFonts w:ascii="Times New Roman" w:hAnsi="Times New Roman" w:cs="Times New Roman"/>
                <w:sz w:val="18"/>
                <w:szCs w:val="18"/>
              </w:rPr>
              <w:t>ретен</w:t>
            </w:r>
            <w:r>
              <w:rPr>
                <w:rFonts w:ascii="Times New Roman" w:hAnsi="Times New Roman" w:cs="Times New Roman"/>
                <w:sz w:val="18"/>
                <w:szCs w:val="18"/>
              </w:rPr>
              <w:softHyphen/>
            </w:r>
            <w:r w:rsidRPr="00A77984">
              <w:rPr>
                <w:rFonts w:ascii="Times New Roman" w:hAnsi="Times New Roman" w:cs="Times New Roman"/>
                <w:sz w:val="18"/>
                <w:szCs w:val="18"/>
              </w:rPr>
              <w:t>ная доля, %</w:t>
            </w:r>
          </w:p>
        </w:tc>
        <w:tc>
          <w:tcPr>
            <w:tcW w:w="816"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 xml:space="preserve">Сумма сделки, </w:t>
            </w:r>
            <w:proofErr w:type="gramStart"/>
            <w:r w:rsidRPr="00A77984">
              <w:rPr>
                <w:rFonts w:ascii="Times New Roman" w:hAnsi="Times New Roman" w:cs="Times New Roman"/>
                <w:sz w:val="18"/>
                <w:szCs w:val="18"/>
              </w:rPr>
              <w:t>млн</w:t>
            </w:r>
            <w:proofErr w:type="gramEnd"/>
            <w:r w:rsidRPr="00A77984">
              <w:rPr>
                <w:rFonts w:ascii="Times New Roman" w:hAnsi="Times New Roman" w:cs="Times New Roman"/>
                <w:sz w:val="18"/>
                <w:szCs w:val="18"/>
              </w:rPr>
              <w:t xml:space="preserve"> долл. США</w:t>
            </w:r>
          </w:p>
        </w:tc>
      </w:tr>
      <w:tr w:rsidR="0059775B" w:rsidRPr="00A77984" w:rsidTr="00E11D2C">
        <w:tc>
          <w:tcPr>
            <w:tcW w:w="53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1</w:t>
            </w:r>
          </w:p>
        </w:tc>
        <w:tc>
          <w:tcPr>
            <w:tcW w:w="198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w:t>
            </w:r>
            <w:proofErr w:type="spellStart"/>
            <w:r w:rsidRPr="00A77984">
              <w:rPr>
                <w:rFonts w:ascii="Times New Roman" w:hAnsi="Times New Roman" w:cs="Times New Roman"/>
                <w:sz w:val="18"/>
                <w:szCs w:val="18"/>
              </w:rPr>
              <w:t>Стройгазконсалтинг</w:t>
            </w:r>
            <w:proofErr w:type="spellEnd"/>
            <w:r w:rsidRPr="00A77984">
              <w:rPr>
                <w:rFonts w:ascii="Times New Roman" w:hAnsi="Times New Roman" w:cs="Times New Roman"/>
                <w:sz w:val="18"/>
                <w:szCs w:val="18"/>
              </w:rPr>
              <w:t>»</w:t>
            </w:r>
          </w:p>
        </w:tc>
        <w:tc>
          <w:tcPr>
            <w:tcW w:w="1559"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Транспорт и инфраструктура</w:t>
            </w:r>
          </w:p>
        </w:tc>
        <w:tc>
          <w:tcPr>
            <w:tcW w:w="1843" w:type="dxa"/>
            <w:vAlign w:val="center"/>
          </w:tcPr>
          <w:p w:rsidR="0059775B" w:rsidRPr="00A77984" w:rsidRDefault="0059775B" w:rsidP="00E11D2C">
            <w:pPr>
              <w:jc w:val="center"/>
              <w:rPr>
                <w:rFonts w:ascii="Times New Roman" w:hAnsi="Times New Roman" w:cs="Times New Roman"/>
                <w:sz w:val="18"/>
                <w:szCs w:val="18"/>
                <w:lang w:val="en-US"/>
              </w:rPr>
            </w:pPr>
            <w:r w:rsidRPr="00A77984">
              <w:rPr>
                <w:rFonts w:ascii="Times New Roman" w:hAnsi="Times New Roman" w:cs="Times New Roman"/>
                <w:sz w:val="18"/>
                <w:szCs w:val="18"/>
                <w:lang w:val="en-US"/>
              </w:rPr>
              <w:t>«</w:t>
            </w:r>
            <w:r w:rsidRPr="00A77984">
              <w:rPr>
                <w:rFonts w:ascii="Times New Roman" w:hAnsi="Times New Roman" w:cs="Times New Roman"/>
                <w:sz w:val="18"/>
                <w:szCs w:val="18"/>
              </w:rPr>
              <w:t>Газпромбанк</w:t>
            </w:r>
            <w:r w:rsidRPr="00A77984">
              <w:rPr>
                <w:rFonts w:ascii="Times New Roman" w:hAnsi="Times New Roman" w:cs="Times New Roman"/>
                <w:sz w:val="18"/>
                <w:szCs w:val="18"/>
                <w:lang w:val="en-US"/>
              </w:rPr>
              <w:t>»; United Capital Partners Advisory</w:t>
            </w:r>
          </w:p>
        </w:tc>
        <w:tc>
          <w:tcPr>
            <w:tcW w:w="1985"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 xml:space="preserve">Руслан </w:t>
            </w:r>
            <w:proofErr w:type="spellStart"/>
            <w:r w:rsidRPr="00A77984">
              <w:rPr>
                <w:rFonts w:ascii="Times New Roman" w:hAnsi="Times New Roman" w:cs="Times New Roman"/>
                <w:sz w:val="18"/>
                <w:szCs w:val="18"/>
              </w:rPr>
              <w:t>Байсаров</w:t>
            </w:r>
            <w:proofErr w:type="spellEnd"/>
            <w:r w:rsidRPr="00A77984">
              <w:rPr>
                <w:rFonts w:ascii="Times New Roman" w:hAnsi="Times New Roman" w:cs="Times New Roman"/>
                <w:sz w:val="18"/>
                <w:szCs w:val="18"/>
              </w:rPr>
              <w:t>; миноритарные акционеры</w:t>
            </w:r>
          </w:p>
        </w:tc>
        <w:tc>
          <w:tcPr>
            <w:tcW w:w="850" w:type="dxa"/>
            <w:vAlign w:val="center"/>
          </w:tcPr>
          <w:p w:rsidR="0059775B" w:rsidRPr="00A77984" w:rsidRDefault="0059775B" w:rsidP="00E11D2C">
            <w:pPr>
              <w:jc w:val="center"/>
              <w:rPr>
                <w:rFonts w:ascii="Times New Roman" w:hAnsi="Times New Roman" w:cs="Times New Roman"/>
                <w:sz w:val="18"/>
                <w:szCs w:val="18"/>
                <w:lang w:val="en-US"/>
              </w:rPr>
            </w:pPr>
            <w:r w:rsidRPr="00A77984">
              <w:rPr>
                <w:rFonts w:ascii="Times New Roman" w:hAnsi="Times New Roman" w:cs="Times New Roman"/>
                <w:sz w:val="18"/>
                <w:szCs w:val="18"/>
              </w:rPr>
              <w:t>100,0%</w:t>
            </w:r>
          </w:p>
        </w:tc>
        <w:tc>
          <w:tcPr>
            <w:tcW w:w="816"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7 000</w:t>
            </w:r>
          </w:p>
        </w:tc>
      </w:tr>
      <w:tr w:rsidR="0059775B" w:rsidRPr="00A77984" w:rsidTr="00E11D2C">
        <w:tc>
          <w:tcPr>
            <w:tcW w:w="53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2</w:t>
            </w:r>
          </w:p>
        </w:tc>
        <w:tc>
          <w:tcPr>
            <w:tcW w:w="198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«Полюс Золото»</w:t>
            </w:r>
          </w:p>
        </w:tc>
        <w:tc>
          <w:tcPr>
            <w:tcW w:w="1559"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 xml:space="preserve">Металлургия и </w:t>
            </w:r>
            <w:r w:rsidRPr="00A77984">
              <w:rPr>
                <w:rFonts w:ascii="Times New Roman" w:hAnsi="Times New Roman" w:cs="Times New Roman"/>
                <w:sz w:val="18"/>
                <w:szCs w:val="18"/>
              </w:rPr>
              <w:lastRenderedPageBreak/>
              <w:t>горнодобывающая промышленность</w:t>
            </w:r>
          </w:p>
        </w:tc>
        <w:tc>
          <w:tcPr>
            <w:tcW w:w="1843" w:type="dxa"/>
            <w:vAlign w:val="center"/>
          </w:tcPr>
          <w:p w:rsidR="0059775B" w:rsidRPr="00A77984" w:rsidRDefault="0059775B" w:rsidP="00E11D2C">
            <w:pPr>
              <w:jc w:val="center"/>
              <w:rPr>
                <w:rFonts w:ascii="Times New Roman" w:hAnsi="Times New Roman" w:cs="Times New Roman"/>
                <w:sz w:val="18"/>
                <w:szCs w:val="18"/>
              </w:rPr>
            </w:pPr>
            <w:proofErr w:type="spellStart"/>
            <w:r w:rsidRPr="00A77984">
              <w:rPr>
                <w:rFonts w:ascii="Times New Roman" w:hAnsi="Times New Roman" w:cs="Times New Roman"/>
                <w:sz w:val="18"/>
                <w:szCs w:val="18"/>
                <w:lang w:val="en-US"/>
              </w:rPr>
              <w:lastRenderedPageBreak/>
              <w:t>Wandle</w:t>
            </w:r>
            <w:proofErr w:type="spellEnd"/>
            <w:r w:rsidRPr="00A77984">
              <w:rPr>
                <w:rFonts w:ascii="Times New Roman" w:hAnsi="Times New Roman" w:cs="Times New Roman"/>
                <w:sz w:val="18"/>
                <w:szCs w:val="18"/>
              </w:rPr>
              <w:t xml:space="preserve"> </w:t>
            </w:r>
            <w:r w:rsidRPr="00A77984">
              <w:rPr>
                <w:rFonts w:ascii="Times New Roman" w:hAnsi="Times New Roman" w:cs="Times New Roman"/>
                <w:sz w:val="18"/>
                <w:szCs w:val="18"/>
                <w:lang w:val="en-US"/>
              </w:rPr>
              <w:t>Holdings</w:t>
            </w:r>
            <w:r w:rsidRPr="00A77984">
              <w:rPr>
                <w:rFonts w:ascii="Times New Roman" w:hAnsi="Times New Roman" w:cs="Times New Roman"/>
                <w:sz w:val="18"/>
                <w:szCs w:val="18"/>
              </w:rPr>
              <w:t xml:space="preserve"> </w:t>
            </w:r>
            <w:r w:rsidRPr="00A77984">
              <w:rPr>
                <w:rFonts w:ascii="Times New Roman" w:hAnsi="Times New Roman" w:cs="Times New Roman"/>
                <w:sz w:val="18"/>
                <w:szCs w:val="18"/>
                <w:lang w:val="en-US"/>
              </w:rPr>
              <w:lastRenderedPageBreak/>
              <w:t>Limited</w:t>
            </w:r>
          </w:p>
        </w:tc>
        <w:tc>
          <w:tcPr>
            <w:tcW w:w="1985"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lastRenderedPageBreak/>
              <w:t>н/д</w:t>
            </w:r>
          </w:p>
        </w:tc>
        <w:tc>
          <w:tcPr>
            <w:tcW w:w="850"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59,8%</w:t>
            </w:r>
          </w:p>
        </w:tc>
        <w:tc>
          <w:tcPr>
            <w:tcW w:w="816"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5 694</w:t>
            </w:r>
          </w:p>
        </w:tc>
      </w:tr>
      <w:tr w:rsidR="0059775B" w:rsidRPr="00A77984" w:rsidTr="00E11D2C">
        <w:tc>
          <w:tcPr>
            <w:tcW w:w="53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lastRenderedPageBreak/>
              <w:t>3</w:t>
            </w:r>
          </w:p>
        </w:tc>
        <w:tc>
          <w:tcPr>
            <w:tcW w:w="198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lang w:val="en-US"/>
              </w:rPr>
              <w:t>Essar</w:t>
            </w:r>
            <w:r w:rsidRPr="00A77984">
              <w:rPr>
                <w:rFonts w:ascii="Times New Roman" w:hAnsi="Times New Roman" w:cs="Times New Roman"/>
                <w:sz w:val="18"/>
                <w:szCs w:val="18"/>
              </w:rPr>
              <w:t xml:space="preserve"> </w:t>
            </w:r>
            <w:r w:rsidRPr="00A77984">
              <w:rPr>
                <w:rFonts w:ascii="Times New Roman" w:hAnsi="Times New Roman" w:cs="Times New Roman"/>
                <w:sz w:val="18"/>
                <w:szCs w:val="18"/>
                <w:lang w:val="en-US"/>
              </w:rPr>
              <w:t>Oil</w:t>
            </w:r>
            <w:r w:rsidRPr="00A77984">
              <w:rPr>
                <w:rFonts w:ascii="Times New Roman" w:hAnsi="Times New Roman" w:cs="Times New Roman"/>
                <w:sz w:val="18"/>
                <w:szCs w:val="18"/>
              </w:rPr>
              <w:t xml:space="preserve"> </w:t>
            </w:r>
            <w:r w:rsidRPr="00A77984">
              <w:rPr>
                <w:rFonts w:ascii="Times New Roman" w:hAnsi="Times New Roman" w:cs="Times New Roman"/>
                <w:sz w:val="18"/>
                <w:szCs w:val="18"/>
                <w:lang w:val="en-US"/>
              </w:rPr>
              <w:t>Ltd</w:t>
            </w:r>
          </w:p>
        </w:tc>
        <w:tc>
          <w:tcPr>
            <w:tcW w:w="1559"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Нефтегазовый сектор</w:t>
            </w:r>
          </w:p>
        </w:tc>
        <w:tc>
          <w:tcPr>
            <w:tcW w:w="1843" w:type="dxa"/>
            <w:vAlign w:val="center"/>
          </w:tcPr>
          <w:p w:rsidR="0059775B" w:rsidRPr="00A77984" w:rsidRDefault="0059775B" w:rsidP="00E11D2C">
            <w:pPr>
              <w:jc w:val="center"/>
              <w:rPr>
                <w:rFonts w:ascii="Times New Roman" w:hAnsi="Times New Roman" w:cs="Times New Roman"/>
                <w:sz w:val="18"/>
                <w:szCs w:val="18"/>
                <w:lang w:val="en-US"/>
              </w:rPr>
            </w:pPr>
            <w:r w:rsidRPr="00A77984">
              <w:rPr>
                <w:rFonts w:ascii="Times New Roman" w:hAnsi="Times New Roman" w:cs="Times New Roman"/>
                <w:sz w:val="18"/>
                <w:szCs w:val="18"/>
              </w:rPr>
              <w:t>НК «Роснефть»</w:t>
            </w:r>
          </w:p>
        </w:tc>
        <w:tc>
          <w:tcPr>
            <w:tcW w:w="1985" w:type="dxa"/>
            <w:vAlign w:val="center"/>
          </w:tcPr>
          <w:p w:rsidR="0059775B" w:rsidRPr="00A77984" w:rsidRDefault="0059775B" w:rsidP="00E11D2C">
            <w:pPr>
              <w:jc w:val="center"/>
              <w:rPr>
                <w:rFonts w:ascii="Times New Roman" w:hAnsi="Times New Roman" w:cs="Times New Roman"/>
                <w:sz w:val="18"/>
                <w:szCs w:val="18"/>
                <w:lang w:val="en-US"/>
              </w:rPr>
            </w:pPr>
            <w:r w:rsidRPr="00A77984">
              <w:rPr>
                <w:rFonts w:ascii="Times New Roman" w:hAnsi="Times New Roman" w:cs="Times New Roman"/>
                <w:sz w:val="18"/>
                <w:szCs w:val="18"/>
                <w:lang w:val="en-US"/>
              </w:rPr>
              <w:t>Essar</w:t>
            </w:r>
          </w:p>
        </w:tc>
        <w:tc>
          <w:tcPr>
            <w:tcW w:w="850"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49,0%</w:t>
            </w:r>
          </w:p>
        </w:tc>
        <w:tc>
          <w:tcPr>
            <w:tcW w:w="816"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2 400</w:t>
            </w:r>
          </w:p>
        </w:tc>
      </w:tr>
      <w:tr w:rsidR="0059775B" w:rsidRPr="00A77984" w:rsidTr="00E11D2C">
        <w:tc>
          <w:tcPr>
            <w:tcW w:w="53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4</w:t>
            </w:r>
          </w:p>
        </w:tc>
        <w:tc>
          <w:tcPr>
            <w:tcW w:w="198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w:t>
            </w:r>
            <w:proofErr w:type="spellStart"/>
            <w:r w:rsidRPr="00A77984">
              <w:rPr>
                <w:rFonts w:ascii="Times New Roman" w:hAnsi="Times New Roman" w:cs="Times New Roman"/>
                <w:sz w:val="18"/>
                <w:szCs w:val="18"/>
              </w:rPr>
              <w:t>Уралкалий</w:t>
            </w:r>
            <w:proofErr w:type="spellEnd"/>
            <w:r w:rsidRPr="00A77984">
              <w:rPr>
                <w:rFonts w:ascii="Times New Roman" w:hAnsi="Times New Roman" w:cs="Times New Roman"/>
                <w:sz w:val="18"/>
                <w:szCs w:val="18"/>
              </w:rPr>
              <w:t>»</w:t>
            </w:r>
          </w:p>
        </w:tc>
        <w:tc>
          <w:tcPr>
            <w:tcW w:w="1559"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Химическая промышленность</w:t>
            </w:r>
          </w:p>
        </w:tc>
        <w:tc>
          <w:tcPr>
            <w:tcW w:w="1843"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w:t>
            </w:r>
            <w:proofErr w:type="spellStart"/>
            <w:r w:rsidRPr="00A77984">
              <w:rPr>
                <w:rFonts w:ascii="Times New Roman" w:hAnsi="Times New Roman" w:cs="Times New Roman"/>
                <w:sz w:val="18"/>
                <w:szCs w:val="18"/>
              </w:rPr>
              <w:t>Уралкалий</w:t>
            </w:r>
            <w:proofErr w:type="spellEnd"/>
            <w:r w:rsidRPr="00A77984">
              <w:rPr>
                <w:rFonts w:ascii="Times New Roman" w:hAnsi="Times New Roman" w:cs="Times New Roman"/>
                <w:sz w:val="18"/>
                <w:szCs w:val="18"/>
              </w:rPr>
              <w:t>»</w:t>
            </w:r>
          </w:p>
        </w:tc>
        <w:tc>
          <w:tcPr>
            <w:tcW w:w="1985"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н/д</w:t>
            </w:r>
          </w:p>
        </w:tc>
        <w:tc>
          <w:tcPr>
            <w:tcW w:w="850"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22,0%</w:t>
            </w:r>
          </w:p>
        </w:tc>
        <w:tc>
          <w:tcPr>
            <w:tcW w:w="816"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2 065</w:t>
            </w:r>
          </w:p>
        </w:tc>
      </w:tr>
      <w:tr w:rsidR="0059775B" w:rsidRPr="00A77984" w:rsidTr="00E11D2C">
        <w:tc>
          <w:tcPr>
            <w:tcW w:w="53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5</w:t>
            </w:r>
          </w:p>
        </w:tc>
        <w:tc>
          <w:tcPr>
            <w:tcW w:w="1984" w:type="dxa"/>
            <w:vAlign w:val="center"/>
          </w:tcPr>
          <w:p w:rsidR="0059775B" w:rsidRPr="00A77984" w:rsidRDefault="0059775B" w:rsidP="00E11D2C">
            <w:pPr>
              <w:jc w:val="center"/>
              <w:rPr>
                <w:rFonts w:ascii="Times New Roman" w:hAnsi="Times New Roman" w:cs="Times New Roman"/>
                <w:sz w:val="18"/>
                <w:szCs w:val="18"/>
                <w:lang w:val="en-US"/>
              </w:rPr>
            </w:pPr>
            <w:proofErr w:type="spellStart"/>
            <w:r w:rsidRPr="00A77984">
              <w:rPr>
                <w:rFonts w:ascii="Times New Roman" w:hAnsi="Times New Roman" w:cs="Times New Roman"/>
                <w:sz w:val="18"/>
                <w:szCs w:val="18"/>
                <w:lang w:val="en-US"/>
              </w:rPr>
              <w:t>E.On</w:t>
            </w:r>
            <w:proofErr w:type="spellEnd"/>
            <w:r w:rsidRPr="00A77984">
              <w:rPr>
                <w:rFonts w:ascii="Times New Roman" w:hAnsi="Times New Roman" w:cs="Times New Roman"/>
                <w:sz w:val="18"/>
                <w:szCs w:val="18"/>
                <w:lang w:val="en-US"/>
              </w:rPr>
              <w:t xml:space="preserve"> E&amp;P Norge</w:t>
            </w:r>
          </w:p>
        </w:tc>
        <w:tc>
          <w:tcPr>
            <w:tcW w:w="1559" w:type="dxa"/>
            <w:vAlign w:val="center"/>
          </w:tcPr>
          <w:p w:rsidR="0059775B" w:rsidRPr="00A77984" w:rsidRDefault="0059775B" w:rsidP="00E11D2C">
            <w:pPr>
              <w:jc w:val="center"/>
              <w:rPr>
                <w:rFonts w:ascii="Times New Roman" w:hAnsi="Times New Roman" w:cs="Times New Roman"/>
                <w:sz w:val="18"/>
                <w:szCs w:val="18"/>
                <w:lang w:val="en-US"/>
              </w:rPr>
            </w:pPr>
            <w:r w:rsidRPr="00A77984">
              <w:rPr>
                <w:rFonts w:ascii="Times New Roman" w:hAnsi="Times New Roman" w:cs="Times New Roman"/>
                <w:sz w:val="18"/>
                <w:szCs w:val="18"/>
              </w:rPr>
              <w:t>Нефтегазовый сектор</w:t>
            </w:r>
          </w:p>
        </w:tc>
        <w:tc>
          <w:tcPr>
            <w:tcW w:w="1843" w:type="dxa"/>
            <w:vAlign w:val="center"/>
          </w:tcPr>
          <w:p w:rsidR="0059775B" w:rsidRPr="00A77984" w:rsidRDefault="0059775B" w:rsidP="00E11D2C">
            <w:pPr>
              <w:jc w:val="center"/>
              <w:rPr>
                <w:rFonts w:ascii="Times New Roman" w:hAnsi="Times New Roman" w:cs="Times New Roman"/>
                <w:sz w:val="18"/>
                <w:szCs w:val="18"/>
                <w:lang w:val="en-US"/>
              </w:rPr>
            </w:pPr>
            <w:r w:rsidRPr="00A77984">
              <w:rPr>
                <w:rFonts w:ascii="Times New Roman" w:hAnsi="Times New Roman" w:cs="Times New Roman"/>
                <w:sz w:val="18"/>
                <w:szCs w:val="18"/>
                <w:lang w:val="en-US"/>
              </w:rPr>
              <w:t xml:space="preserve">DEA Deutsche </w:t>
            </w:r>
            <w:proofErr w:type="spellStart"/>
            <w:r w:rsidRPr="00A77984">
              <w:rPr>
                <w:rFonts w:ascii="Times New Roman" w:hAnsi="Times New Roman" w:cs="Times New Roman"/>
                <w:sz w:val="18"/>
                <w:szCs w:val="18"/>
                <w:lang w:val="en-US"/>
              </w:rPr>
              <w:t>Erdoel</w:t>
            </w:r>
            <w:proofErr w:type="spellEnd"/>
            <w:r w:rsidRPr="00A77984">
              <w:rPr>
                <w:rFonts w:ascii="Times New Roman" w:hAnsi="Times New Roman" w:cs="Times New Roman"/>
                <w:sz w:val="18"/>
                <w:szCs w:val="18"/>
                <w:lang w:val="en-US"/>
              </w:rPr>
              <w:t xml:space="preserve"> AG (DEA)</w:t>
            </w:r>
          </w:p>
        </w:tc>
        <w:tc>
          <w:tcPr>
            <w:tcW w:w="1985" w:type="dxa"/>
            <w:vAlign w:val="center"/>
          </w:tcPr>
          <w:p w:rsidR="0059775B" w:rsidRPr="00A77984" w:rsidRDefault="0059775B" w:rsidP="00E11D2C">
            <w:pPr>
              <w:jc w:val="center"/>
              <w:rPr>
                <w:rFonts w:ascii="Times New Roman" w:hAnsi="Times New Roman" w:cs="Times New Roman"/>
                <w:sz w:val="18"/>
                <w:szCs w:val="18"/>
                <w:lang w:val="en-US"/>
              </w:rPr>
            </w:pPr>
            <w:proofErr w:type="spellStart"/>
            <w:r w:rsidRPr="00A77984">
              <w:rPr>
                <w:rFonts w:ascii="Times New Roman" w:hAnsi="Times New Roman" w:cs="Times New Roman"/>
                <w:sz w:val="18"/>
                <w:szCs w:val="18"/>
                <w:lang w:val="en-US"/>
              </w:rPr>
              <w:t>E.On</w:t>
            </w:r>
            <w:proofErr w:type="spellEnd"/>
          </w:p>
        </w:tc>
        <w:tc>
          <w:tcPr>
            <w:tcW w:w="850"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100,0%</w:t>
            </w:r>
          </w:p>
        </w:tc>
        <w:tc>
          <w:tcPr>
            <w:tcW w:w="816"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1 600</w:t>
            </w:r>
          </w:p>
        </w:tc>
      </w:tr>
      <w:tr w:rsidR="0059775B" w:rsidRPr="00A77984" w:rsidTr="00E11D2C">
        <w:tc>
          <w:tcPr>
            <w:tcW w:w="53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6</w:t>
            </w:r>
          </w:p>
        </w:tc>
        <w:tc>
          <w:tcPr>
            <w:tcW w:w="198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«Ямал СПГ»</w:t>
            </w:r>
          </w:p>
        </w:tc>
        <w:tc>
          <w:tcPr>
            <w:tcW w:w="1559" w:type="dxa"/>
            <w:vAlign w:val="center"/>
          </w:tcPr>
          <w:p w:rsidR="0059775B" w:rsidRPr="00A77984" w:rsidRDefault="0059775B" w:rsidP="00E11D2C">
            <w:pPr>
              <w:jc w:val="center"/>
              <w:rPr>
                <w:rFonts w:ascii="Times New Roman" w:hAnsi="Times New Roman" w:cs="Times New Roman"/>
                <w:sz w:val="18"/>
                <w:szCs w:val="18"/>
                <w:lang w:val="en-US"/>
              </w:rPr>
            </w:pPr>
            <w:r w:rsidRPr="00A77984">
              <w:rPr>
                <w:rFonts w:ascii="Times New Roman" w:hAnsi="Times New Roman" w:cs="Times New Roman"/>
                <w:sz w:val="18"/>
                <w:szCs w:val="18"/>
              </w:rPr>
              <w:t>Нефтегазовый сектор</w:t>
            </w:r>
          </w:p>
        </w:tc>
        <w:tc>
          <w:tcPr>
            <w:tcW w:w="1843" w:type="dxa"/>
            <w:vAlign w:val="center"/>
          </w:tcPr>
          <w:p w:rsidR="0059775B" w:rsidRPr="00A77984" w:rsidRDefault="0059775B" w:rsidP="00E11D2C">
            <w:pPr>
              <w:jc w:val="center"/>
              <w:rPr>
                <w:rFonts w:ascii="Times New Roman" w:hAnsi="Times New Roman" w:cs="Times New Roman"/>
                <w:sz w:val="18"/>
                <w:szCs w:val="18"/>
                <w:lang w:val="en-US"/>
              </w:rPr>
            </w:pPr>
            <w:r w:rsidRPr="00A77984">
              <w:rPr>
                <w:rFonts w:ascii="Times New Roman" w:hAnsi="Times New Roman" w:cs="Times New Roman"/>
                <w:sz w:val="18"/>
                <w:szCs w:val="18"/>
                <w:lang w:val="en-US"/>
              </w:rPr>
              <w:t>Silk Road Fund Co Ltd</w:t>
            </w:r>
          </w:p>
        </w:tc>
        <w:tc>
          <w:tcPr>
            <w:tcW w:w="1985"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«НОВАТЭК»</w:t>
            </w:r>
          </w:p>
        </w:tc>
        <w:tc>
          <w:tcPr>
            <w:tcW w:w="850"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9,9%</w:t>
            </w:r>
          </w:p>
        </w:tc>
        <w:tc>
          <w:tcPr>
            <w:tcW w:w="816"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1 400</w:t>
            </w:r>
          </w:p>
        </w:tc>
      </w:tr>
      <w:tr w:rsidR="0059775B" w:rsidRPr="00A77984" w:rsidTr="00E11D2C">
        <w:tc>
          <w:tcPr>
            <w:tcW w:w="53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7</w:t>
            </w:r>
          </w:p>
        </w:tc>
        <w:tc>
          <w:tcPr>
            <w:tcW w:w="198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«СИБУР Холдинг»</w:t>
            </w:r>
          </w:p>
        </w:tc>
        <w:tc>
          <w:tcPr>
            <w:tcW w:w="1559" w:type="dxa"/>
            <w:vAlign w:val="center"/>
          </w:tcPr>
          <w:p w:rsidR="0059775B" w:rsidRPr="00A77984" w:rsidRDefault="0059775B" w:rsidP="00E11D2C">
            <w:pPr>
              <w:jc w:val="center"/>
              <w:rPr>
                <w:rFonts w:ascii="Times New Roman" w:hAnsi="Times New Roman" w:cs="Times New Roman"/>
                <w:sz w:val="18"/>
                <w:szCs w:val="18"/>
                <w:lang w:val="en-US"/>
              </w:rPr>
            </w:pPr>
            <w:r w:rsidRPr="00A77984">
              <w:rPr>
                <w:rFonts w:ascii="Times New Roman" w:hAnsi="Times New Roman" w:cs="Times New Roman"/>
                <w:sz w:val="18"/>
                <w:szCs w:val="18"/>
              </w:rPr>
              <w:t>Нефтегазовый сектор</w:t>
            </w:r>
          </w:p>
        </w:tc>
        <w:tc>
          <w:tcPr>
            <w:tcW w:w="1843" w:type="dxa"/>
            <w:vAlign w:val="center"/>
          </w:tcPr>
          <w:p w:rsidR="0059775B" w:rsidRPr="00A77984" w:rsidRDefault="0059775B" w:rsidP="00E11D2C">
            <w:pPr>
              <w:jc w:val="center"/>
              <w:rPr>
                <w:rFonts w:ascii="Times New Roman" w:hAnsi="Times New Roman" w:cs="Times New Roman"/>
                <w:sz w:val="18"/>
                <w:szCs w:val="18"/>
                <w:lang w:val="en-US"/>
              </w:rPr>
            </w:pPr>
            <w:r w:rsidRPr="00A77984">
              <w:rPr>
                <w:rFonts w:ascii="Times New Roman" w:hAnsi="Times New Roman" w:cs="Times New Roman"/>
                <w:sz w:val="18"/>
                <w:szCs w:val="18"/>
                <w:lang w:val="en-US"/>
              </w:rPr>
              <w:t xml:space="preserve">China </w:t>
            </w:r>
            <w:proofErr w:type="spellStart"/>
            <w:r w:rsidRPr="00A77984">
              <w:rPr>
                <w:rFonts w:ascii="Times New Roman" w:hAnsi="Times New Roman" w:cs="Times New Roman"/>
                <w:sz w:val="18"/>
                <w:szCs w:val="18"/>
                <w:lang w:val="en-US"/>
              </w:rPr>
              <w:t>Petrochemocal</w:t>
            </w:r>
            <w:proofErr w:type="spellEnd"/>
            <w:r w:rsidRPr="00A77984">
              <w:rPr>
                <w:rFonts w:ascii="Times New Roman" w:hAnsi="Times New Roman" w:cs="Times New Roman"/>
                <w:sz w:val="18"/>
                <w:szCs w:val="18"/>
                <w:lang w:val="en-US"/>
              </w:rPr>
              <w:t xml:space="preserve"> Corporation (Sinopec Group)</w:t>
            </w:r>
          </w:p>
        </w:tc>
        <w:tc>
          <w:tcPr>
            <w:tcW w:w="1985"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 xml:space="preserve">Леонид Михельсон; Кирилл </w:t>
            </w:r>
            <w:proofErr w:type="spellStart"/>
            <w:r w:rsidRPr="00A77984">
              <w:rPr>
                <w:rFonts w:ascii="Times New Roman" w:hAnsi="Times New Roman" w:cs="Times New Roman"/>
                <w:sz w:val="18"/>
                <w:szCs w:val="18"/>
              </w:rPr>
              <w:t>Шамалов</w:t>
            </w:r>
            <w:proofErr w:type="spellEnd"/>
            <w:r w:rsidRPr="00A77984">
              <w:rPr>
                <w:rFonts w:ascii="Times New Roman" w:hAnsi="Times New Roman" w:cs="Times New Roman"/>
                <w:sz w:val="18"/>
                <w:szCs w:val="18"/>
              </w:rPr>
              <w:t>; Геннадий Тимченко; бывший и нынешний менеджмент</w:t>
            </w:r>
          </w:p>
        </w:tc>
        <w:tc>
          <w:tcPr>
            <w:tcW w:w="850"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10,0%</w:t>
            </w:r>
          </w:p>
        </w:tc>
        <w:tc>
          <w:tcPr>
            <w:tcW w:w="816"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1 340</w:t>
            </w:r>
          </w:p>
        </w:tc>
      </w:tr>
      <w:tr w:rsidR="0059775B" w:rsidRPr="00A77984" w:rsidTr="00E11D2C">
        <w:tc>
          <w:tcPr>
            <w:tcW w:w="53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8</w:t>
            </w:r>
          </w:p>
        </w:tc>
        <w:tc>
          <w:tcPr>
            <w:tcW w:w="198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w:t>
            </w:r>
            <w:proofErr w:type="spellStart"/>
            <w:r w:rsidRPr="00A77984">
              <w:rPr>
                <w:rFonts w:ascii="Times New Roman" w:hAnsi="Times New Roman" w:cs="Times New Roman"/>
                <w:sz w:val="18"/>
                <w:szCs w:val="18"/>
              </w:rPr>
              <w:t>Ванкорнефть</w:t>
            </w:r>
            <w:proofErr w:type="spellEnd"/>
            <w:r w:rsidRPr="00A77984">
              <w:rPr>
                <w:rFonts w:ascii="Times New Roman" w:hAnsi="Times New Roman" w:cs="Times New Roman"/>
                <w:sz w:val="18"/>
                <w:szCs w:val="18"/>
              </w:rPr>
              <w:t>»</w:t>
            </w:r>
          </w:p>
        </w:tc>
        <w:tc>
          <w:tcPr>
            <w:tcW w:w="1559" w:type="dxa"/>
            <w:vAlign w:val="center"/>
          </w:tcPr>
          <w:p w:rsidR="0059775B" w:rsidRPr="00A77984" w:rsidRDefault="0059775B" w:rsidP="00E11D2C">
            <w:pPr>
              <w:jc w:val="center"/>
              <w:rPr>
                <w:rFonts w:ascii="Times New Roman" w:hAnsi="Times New Roman" w:cs="Times New Roman"/>
                <w:sz w:val="18"/>
                <w:szCs w:val="18"/>
                <w:lang w:val="en-US"/>
              </w:rPr>
            </w:pPr>
            <w:r w:rsidRPr="00A77984">
              <w:rPr>
                <w:rFonts w:ascii="Times New Roman" w:hAnsi="Times New Roman" w:cs="Times New Roman"/>
                <w:sz w:val="18"/>
                <w:szCs w:val="18"/>
              </w:rPr>
              <w:t>Нефтегазовый сектор</w:t>
            </w:r>
          </w:p>
        </w:tc>
        <w:tc>
          <w:tcPr>
            <w:tcW w:w="1843" w:type="dxa"/>
            <w:vAlign w:val="center"/>
          </w:tcPr>
          <w:p w:rsidR="0059775B" w:rsidRPr="00A77984" w:rsidRDefault="0059775B" w:rsidP="00E11D2C">
            <w:pPr>
              <w:jc w:val="center"/>
              <w:rPr>
                <w:rFonts w:ascii="Times New Roman" w:hAnsi="Times New Roman" w:cs="Times New Roman"/>
                <w:sz w:val="18"/>
                <w:szCs w:val="18"/>
                <w:lang w:val="en-US"/>
              </w:rPr>
            </w:pPr>
            <w:r w:rsidRPr="00A77984">
              <w:rPr>
                <w:rFonts w:ascii="Times New Roman" w:hAnsi="Times New Roman" w:cs="Times New Roman"/>
                <w:sz w:val="18"/>
                <w:szCs w:val="18"/>
                <w:lang w:val="en-US"/>
              </w:rPr>
              <w:t xml:space="preserve">ONGC </w:t>
            </w:r>
            <w:proofErr w:type="spellStart"/>
            <w:r w:rsidRPr="00A77984">
              <w:rPr>
                <w:rFonts w:ascii="Times New Roman" w:hAnsi="Times New Roman" w:cs="Times New Roman"/>
                <w:sz w:val="18"/>
                <w:szCs w:val="18"/>
                <w:lang w:val="en-US"/>
              </w:rPr>
              <w:t>Videsh</w:t>
            </w:r>
            <w:proofErr w:type="spellEnd"/>
            <w:r w:rsidRPr="00A77984">
              <w:rPr>
                <w:rFonts w:ascii="Times New Roman" w:hAnsi="Times New Roman" w:cs="Times New Roman"/>
                <w:sz w:val="18"/>
                <w:szCs w:val="18"/>
                <w:lang w:val="en-US"/>
              </w:rPr>
              <w:t xml:space="preserve"> Limited</w:t>
            </w:r>
          </w:p>
        </w:tc>
        <w:tc>
          <w:tcPr>
            <w:tcW w:w="1985"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НК «Роснефть»</w:t>
            </w:r>
          </w:p>
        </w:tc>
        <w:tc>
          <w:tcPr>
            <w:tcW w:w="850"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15,0%</w:t>
            </w:r>
          </w:p>
        </w:tc>
        <w:tc>
          <w:tcPr>
            <w:tcW w:w="816"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1 300</w:t>
            </w:r>
          </w:p>
        </w:tc>
      </w:tr>
      <w:tr w:rsidR="0059775B" w:rsidRPr="00A77984" w:rsidTr="00E11D2C">
        <w:tc>
          <w:tcPr>
            <w:tcW w:w="53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9</w:t>
            </w:r>
          </w:p>
        </w:tc>
        <w:tc>
          <w:tcPr>
            <w:tcW w:w="1984" w:type="dxa"/>
            <w:vAlign w:val="center"/>
          </w:tcPr>
          <w:p w:rsidR="0059775B" w:rsidRPr="00A77984" w:rsidRDefault="0059775B" w:rsidP="00E11D2C">
            <w:pPr>
              <w:jc w:val="center"/>
              <w:rPr>
                <w:rFonts w:ascii="Times New Roman" w:hAnsi="Times New Roman" w:cs="Times New Roman"/>
                <w:sz w:val="18"/>
                <w:szCs w:val="18"/>
                <w:lang w:val="en-US"/>
              </w:rPr>
            </w:pPr>
            <w:proofErr w:type="spellStart"/>
            <w:r w:rsidRPr="00A77984">
              <w:rPr>
                <w:rFonts w:ascii="Times New Roman" w:hAnsi="Times New Roman" w:cs="Times New Roman"/>
                <w:sz w:val="18"/>
                <w:szCs w:val="18"/>
                <w:lang w:val="en-US"/>
              </w:rPr>
              <w:t>Avito</w:t>
            </w:r>
            <w:proofErr w:type="spellEnd"/>
            <w:r w:rsidRPr="00A77984">
              <w:rPr>
                <w:rFonts w:ascii="Times New Roman" w:hAnsi="Times New Roman" w:cs="Times New Roman"/>
                <w:sz w:val="18"/>
                <w:szCs w:val="18"/>
                <w:lang w:val="en-US"/>
              </w:rPr>
              <w:t xml:space="preserve"> Holding AB</w:t>
            </w:r>
          </w:p>
        </w:tc>
        <w:tc>
          <w:tcPr>
            <w:tcW w:w="1559"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Телекоммуникации и медиа</w:t>
            </w:r>
          </w:p>
        </w:tc>
        <w:tc>
          <w:tcPr>
            <w:tcW w:w="1843" w:type="dxa"/>
            <w:vAlign w:val="center"/>
          </w:tcPr>
          <w:p w:rsidR="0059775B" w:rsidRPr="00A77984" w:rsidRDefault="0059775B" w:rsidP="00E11D2C">
            <w:pPr>
              <w:jc w:val="center"/>
              <w:rPr>
                <w:rFonts w:ascii="Times New Roman" w:hAnsi="Times New Roman" w:cs="Times New Roman"/>
                <w:sz w:val="18"/>
                <w:szCs w:val="18"/>
                <w:lang w:val="en-US"/>
              </w:rPr>
            </w:pPr>
            <w:r w:rsidRPr="00A77984">
              <w:rPr>
                <w:rFonts w:ascii="Times New Roman" w:hAnsi="Times New Roman" w:cs="Times New Roman"/>
                <w:sz w:val="18"/>
                <w:szCs w:val="18"/>
                <w:lang w:val="en-US"/>
              </w:rPr>
              <w:t>Naspers Limited</w:t>
            </w:r>
          </w:p>
        </w:tc>
        <w:tc>
          <w:tcPr>
            <w:tcW w:w="1985" w:type="dxa"/>
            <w:vAlign w:val="center"/>
          </w:tcPr>
          <w:p w:rsidR="0059775B" w:rsidRPr="00A77984" w:rsidRDefault="0059775B" w:rsidP="00E11D2C">
            <w:pPr>
              <w:jc w:val="center"/>
              <w:rPr>
                <w:rFonts w:ascii="Times New Roman" w:hAnsi="Times New Roman" w:cs="Times New Roman"/>
                <w:sz w:val="18"/>
                <w:szCs w:val="18"/>
                <w:lang w:val="en-US"/>
              </w:rPr>
            </w:pPr>
            <w:r w:rsidRPr="00A77984">
              <w:rPr>
                <w:rFonts w:ascii="Times New Roman" w:hAnsi="Times New Roman" w:cs="Times New Roman"/>
                <w:sz w:val="18"/>
                <w:szCs w:val="18"/>
                <w:lang w:val="en-US"/>
              </w:rPr>
              <w:t xml:space="preserve">Investment AB </w:t>
            </w:r>
            <w:proofErr w:type="spellStart"/>
            <w:r w:rsidRPr="00A77984">
              <w:rPr>
                <w:rFonts w:ascii="Times New Roman" w:hAnsi="Times New Roman" w:cs="Times New Roman"/>
                <w:sz w:val="18"/>
                <w:szCs w:val="18"/>
                <w:lang w:val="en-US"/>
              </w:rPr>
              <w:t>Kinnevik</w:t>
            </w:r>
            <w:proofErr w:type="spellEnd"/>
            <w:r w:rsidRPr="00A77984">
              <w:rPr>
                <w:rFonts w:ascii="Times New Roman" w:hAnsi="Times New Roman" w:cs="Times New Roman"/>
                <w:sz w:val="18"/>
                <w:szCs w:val="18"/>
                <w:lang w:val="en-US"/>
              </w:rPr>
              <w:t xml:space="preserve">; </w:t>
            </w:r>
            <w:proofErr w:type="spellStart"/>
            <w:r w:rsidRPr="00A77984">
              <w:rPr>
                <w:rFonts w:ascii="Times New Roman" w:hAnsi="Times New Roman" w:cs="Times New Roman"/>
                <w:sz w:val="18"/>
                <w:szCs w:val="18"/>
                <w:lang w:val="en-US"/>
              </w:rPr>
              <w:t>Accel</w:t>
            </w:r>
            <w:proofErr w:type="spellEnd"/>
            <w:r w:rsidRPr="00A77984">
              <w:rPr>
                <w:rFonts w:ascii="Times New Roman" w:hAnsi="Times New Roman" w:cs="Times New Roman"/>
                <w:sz w:val="18"/>
                <w:szCs w:val="18"/>
                <w:lang w:val="en-US"/>
              </w:rPr>
              <w:t xml:space="preserve"> Partners; Baring </w:t>
            </w:r>
            <w:proofErr w:type="spellStart"/>
            <w:r w:rsidRPr="00A77984">
              <w:rPr>
                <w:rFonts w:ascii="Times New Roman" w:hAnsi="Times New Roman" w:cs="Times New Roman"/>
                <w:sz w:val="18"/>
                <w:szCs w:val="18"/>
                <w:lang w:val="en-US"/>
              </w:rPr>
              <w:t>Vostok</w:t>
            </w:r>
            <w:proofErr w:type="spellEnd"/>
            <w:r w:rsidRPr="00A77984">
              <w:rPr>
                <w:rFonts w:ascii="Times New Roman" w:hAnsi="Times New Roman" w:cs="Times New Roman"/>
                <w:sz w:val="18"/>
                <w:szCs w:val="18"/>
                <w:lang w:val="en-US"/>
              </w:rPr>
              <w:t xml:space="preserve"> Capital Partners Limited; </w:t>
            </w:r>
            <w:proofErr w:type="spellStart"/>
            <w:r w:rsidRPr="00A77984">
              <w:rPr>
                <w:rFonts w:ascii="Times New Roman" w:hAnsi="Times New Roman" w:cs="Times New Roman"/>
                <w:sz w:val="18"/>
                <w:szCs w:val="18"/>
                <w:lang w:val="en-US"/>
              </w:rPr>
              <w:t>Northzone</w:t>
            </w:r>
            <w:proofErr w:type="spellEnd"/>
            <w:r w:rsidRPr="00A77984">
              <w:rPr>
                <w:rFonts w:ascii="Times New Roman" w:hAnsi="Times New Roman" w:cs="Times New Roman"/>
                <w:sz w:val="18"/>
                <w:szCs w:val="18"/>
                <w:lang w:val="en-US"/>
              </w:rPr>
              <w:t xml:space="preserve"> Ventures AS; East Capital; Filip </w:t>
            </w:r>
            <w:proofErr w:type="spellStart"/>
            <w:r w:rsidRPr="00A77984">
              <w:rPr>
                <w:rFonts w:ascii="Times New Roman" w:hAnsi="Times New Roman" w:cs="Times New Roman"/>
                <w:sz w:val="18"/>
                <w:szCs w:val="18"/>
                <w:lang w:val="en-US"/>
              </w:rPr>
              <w:t>Stig</w:t>
            </w:r>
            <w:proofErr w:type="spellEnd"/>
            <w:r w:rsidRPr="00A77984">
              <w:rPr>
                <w:rFonts w:ascii="Times New Roman" w:hAnsi="Times New Roman" w:cs="Times New Roman"/>
                <w:sz w:val="18"/>
                <w:szCs w:val="18"/>
                <w:lang w:val="en-US"/>
              </w:rPr>
              <w:t xml:space="preserve"> George </w:t>
            </w:r>
            <w:proofErr w:type="spellStart"/>
            <w:r w:rsidRPr="00A77984">
              <w:rPr>
                <w:rFonts w:ascii="Times New Roman" w:hAnsi="Times New Roman" w:cs="Times New Roman"/>
                <w:sz w:val="18"/>
                <w:szCs w:val="18"/>
                <w:lang w:val="en-US"/>
              </w:rPr>
              <w:t>Engelbert</w:t>
            </w:r>
            <w:proofErr w:type="spellEnd"/>
            <w:r w:rsidRPr="00A77984">
              <w:rPr>
                <w:rFonts w:ascii="Times New Roman" w:hAnsi="Times New Roman" w:cs="Times New Roman"/>
                <w:sz w:val="18"/>
                <w:szCs w:val="18"/>
                <w:lang w:val="en-US"/>
              </w:rPr>
              <w:t xml:space="preserve">; Jonas Rolf </w:t>
            </w:r>
            <w:proofErr w:type="spellStart"/>
            <w:r w:rsidRPr="00A77984">
              <w:rPr>
                <w:rFonts w:ascii="Times New Roman" w:hAnsi="Times New Roman" w:cs="Times New Roman"/>
                <w:sz w:val="18"/>
                <w:szCs w:val="18"/>
                <w:lang w:val="en-US"/>
              </w:rPr>
              <w:t>Nordlander</w:t>
            </w:r>
            <w:proofErr w:type="spellEnd"/>
          </w:p>
        </w:tc>
        <w:tc>
          <w:tcPr>
            <w:tcW w:w="850"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50,5%</w:t>
            </w:r>
          </w:p>
        </w:tc>
        <w:tc>
          <w:tcPr>
            <w:tcW w:w="816"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1 200</w:t>
            </w:r>
          </w:p>
        </w:tc>
      </w:tr>
      <w:tr w:rsidR="0059775B" w:rsidRPr="00A77984" w:rsidTr="00E11D2C">
        <w:tc>
          <w:tcPr>
            <w:tcW w:w="53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10</w:t>
            </w:r>
          </w:p>
        </w:tc>
        <w:tc>
          <w:tcPr>
            <w:tcW w:w="1984"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w:t>
            </w:r>
            <w:proofErr w:type="spellStart"/>
            <w:r w:rsidRPr="00A77984">
              <w:rPr>
                <w:rFonts w:ascii="Times New Roman" w:hAnsi="Times New Roman" w:cs="Times New Roman"/>
                <w:sz w:val="18"/>
                <w:szCs w:val="18"/>
              </w:rPr>
              <w:t>Уралкалий</w:t>
            </w:r>
            <w:proofErr w:type="spellEnd"/>
            <w:r w:rsidRPr="00A77984">
              <w:rPr>
                <w:rFonts w:ascii="Times New Roman" w:hAnsi="Times New Roman" w:cs="Times New Roman"/>
                <w:sz w:val="18"/>
                <w:szCs w:val="18"/>
              </w:rPr>
              <w:t>»</w:t>
            </w:r>
          </w:p>
        </w:tc>
        <w:tc>
          <w:tcPr>
            <w:tcW w:w="1559"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Химическая промышленность</w:t>
            </w:r>
          </w:p>
        </w:tc>
        <w:tc>
          <w:tcPr>
            <w:tcW w:w="1843"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w:t>
            </w:r>
            <w:proofErr w:type="spellStart"/>
            <w:r w:rsidRPr="00A77984">
              <w:rPr>
                <w:rFonts w:ascii="Times New Roman" w:hAnsi="Times New Roman" w:cs="Times New Roman"/>
                <w:sz w:val="18"/>
                <w:szCs w:val="18"/>
              </w:rPr>
              <w:t>Уралкалий</w:t>
            </w:r>
            <w:proofErr w:type="spellEnd"/>
            <w:r w:rsidRPr="00A77984">
              <w:rPr>
                <w:rFonts w:ascii="Times New Roman" w:hAnsi="Times New Roman" w:cs="Times New Roman"/>
                <w:sz w:val="18"/>
                <w:szCs w:val="18"/>
              </w:rPr>
              <w:t>»</w:t>
            </w:r>
          </w:p>
        </w:tc>
        <w:tc>
          <w:tcPr>
            <w:tcW w:w="1985"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н/д</w:t>
            </w:r>
          </w:p>
        </w:tc>
        <w:tc>
          <w:tcPr>
            <w:tcW w:w="850"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11,6%</w:t>
            </w:r>
          </w:p>
        </w:tc>
        <w:tc>
          <w:tcPr>
            <w:tcW w:w="816"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1 086</w:t>
            </w:r>
          </w:p>
        </w:tc>
      </w:tr>
      <w:tr w:rsidR="0059775B" w:rsidRPr="00A77984" w:rsidTr="00E11D2C">
        <w:tc>
          <w:tcPr>
            <w:tcW w:w="8755" w:type="dxa"/>
            <w:gridSpan w:val="6"/>
            <w:vAlign w:val="center"/>
          </w:tcPr>
          <w:p w:rsidR="0059775B" w:rsidRPr="00A77984" w:rsidRDefault="0059775B" w:rsidP="00E11D2C">
            <w:pPr>
              <w:jc w:val="both"/>
              <w:rPr>
                <w:rFonts w:ascii="Times New Roman" w:hAnsi="Times New Roman" w:cs="Times New Roman"/>
                <w:sz w:val="18"/>
                <w:szCs w:val="18"/>
                <w:lang w:val="en-US"/>
              </w:rPr>
            </w:pPr>
            <w:r w:rsidRPr="00A77984">
              <w:rPr>
                <w:rFonts w:ascii="Times New Roman" w:hAnsi="Times New Roman" w:cs="Times New Roman"/>
                <w:sz w:val="18"/>
                <w:szCs w:val="18"/>
              </w:rPr>
              <w:t>Общая сумма 10 крупнейших сделок</w:t>
            </w:r>
          </w:p>
        </w:tc>
        <w:tc>
          <w:tcPr>
            <w:tcW w:w="816"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25 085</w:t>
            </w:r>
          </w:p>
        </w:tc>
      </w:tr>
      <w:tr w:rsidR="0059775B" w:rsidRPr="00A77984" w:rsidTr="00E11D2C">
        <w:tc>
          <w:tcPr>
            <w:tcW w:w="8755" w:type="dxa"/>
            <w:gridSpan w:val="6"/>
            <w:vAlign w:val="center"/>
          </w:tcPr>
          <w:p w:rsidR="0059775B" w:rsidRPr="00A77984" w:rsidRDefault="0059775B" w:rsidP="00E11D2C">
            <w:pPr>
              <w:jc w:val="both"/>
              <w:rPr>
                <w:rFonts w:ascii="Times New Roman" w:hAnsi="Times New Roman" w:cs="Times New Roman"/>
                <w:sz w:val="18"/>
                <w:szCs w:val="18"/>
              </w:rPr>
            </w:pPr>
            <w:r w:rsidRPr="00A77984">
              <w:rPr>
                <w:rFonts w:ascii="Times New Roman" w:hAnsi="Times New Roman" w:cs="Times New Roman"/>
                <w:sz w:val="18"/>
                <w:szCs w:val="18"/>
              </w:rPr>
              <w:t xml:space="preserve">% от общей суммы сделок на российском рынке </w:t>
            </w:r>
            <w:r w:rsidRPr="00A77984">
              <w:rPr>
                <w:rFonts w:ascii="Times New Roman" w:hAnsi="Times New Roman" w:cs="Times New Roman"/>
                <w:sz w:val="18"/>
                <w:szCs w:val="18"/>
                <w:lang w:val="en-US"/>
              </w:rPr>
              <w:t>M</w:t>
            </w:r>
            <w:r w:rsidRPr="00A77984">
              <w:rPr>
                <w:rFonts w:ascii="Times New Roman" w:hAnsi="Times New Roman" w:cs="Times New Roman"/>
                <w:sz w:val="18"/>
                <w:szCs w:val="18"/>
              </w:rPr>
              <w:t>&amp;</w:t>
            </w:r>
            <w:r w:rsidRPr="00A77984">
              <w:rPr>
                <w:rFonts w:ascii="Times New Roman" w:hAnsi="Times New Roman" w:cs="Times New Roman"/>
                <w:sz w:val="18"/>
                <w:szCs w:val="18"/>
                <w:lang w:val="en-US"/>
              </w:rPr>
              <w:t>A</w:t>
            </w:r>
          </w:p>
        </w:tc>
        <w:tc>
          <w:tcPr>
            <w:tcW w:w="816" w:type="dxa"/>
            <w:vAlign w:val="center"/>
          </w:tcPr>
          <w:p w:rsidR="0059775B" w:rsidRPr="00A77984" w:rsidRDefault="0059775B" w:rsidP="00E11D2C">
            <w:pPr>
              <w:jc w:val="center"/>
              <w:rPr>
                <w:rFonts w:ascii="Times New Roman" w:hAnsi="Times New Roman" w:cs="Times New Roman"/>
                <w:sz w:val="18"/>
                <w:szCs w:val="18"/>
              </w:rPr>
            </w:pPr>
            <w:r w:rsidRPr="00A77984">
              <w:rPr>
                <w:rFonts w:ascii="Times New Roman" w:hAnsi="Times New Roman" w:cs="Times New Roman"/>
                <w:sz w:val="18"/>
                <w:szCs w:val="18"/>
              </w:rPr>
              <w:t>44,9%</w:t>
            </w:r>
          </w:p>
        </w:tc>
      </w:tr>
    </w:tbl>
    <w:p w:rsidR="0059775B" w:rsidRPr="00845E10" w:rsidRDefault="0059775B" w:rsidP="0059775B">
      <w:pPr>
        <w:spacing w:before="240" w:after="240" w:line="360" w:lineRule="auto"/>
        <w:ind w:firstLine="709"/>
        <w:jc w:val="both"/>
        <w:rPr>
          <w:rFonts w:ascii="Times New Roman" w:hAnsi="Times New Roman" w:cs="Times New Roman"/>
          <w:sz w:val="24"/>
          <w:szCs w:val="24"/>
        </w:rPr>
      </w:pPr>
      <w:r w:rsidRPr="005D7A51">
        <w:rPr>
          <w:rFonts w:ascii="Times New Roman" w:hAnsi="Times New Roman" w:cs="Times New Roman"/>
          <w:sz w:val="24"/>
          <w:szCs w:val="24"/>
        </w:rPr>
        <w:t xml:space="preserve">Источник: </w:t>
      </w:r>
      <w:r w:rsidRPr="00DB5908">
        <w:rPr>
          <w:rFonts w:ascii="Times New Roman" w:hAnsi="Times New Roman" w:cs="Times New Roman"/>
          <w:sz w:val="24"/>
          <w:szCs w:val="24"/>
        </w:rPr>
        <w:t>Обзор КПМГ – «Рынок слияний и поглощений в России в 2015 году». Февраль 2016. С.7.</w:t>
      </w:r>
    </w:p>
    <w:p w:rsidR="0059775B" w:rsidRPr="00DB5908" w:rsidRDefault="0059775B" w:rsidP="0059775B">
      <w:pPr>
        <w:pStyle w:val="a9"/>
        <w:shd w:val="clear" w:color="auto" w:fill="FFFFFF"/>
        <w:spacing w:before="0" w:beforeAutospacing="0" w:after="240" w:afterAutospacing="0" w:line="360" w:lineRule="auto"/>
        <w:ind w:firstLine="709"/>
        <w:jc w:val="both"/>
        <w:rPr>
          <w:color w:val="000000"/>
        </w:rPr>
      </w:pPr>
      <w:r w:rsidRPr="00DB5908">
        <w:rPr>
          <w:color w:val="000000"/>
        </w:rPr>
        <w:t xml:space="preserve">По данным статистики бюллетеня «Рынок слияний и поглощений» Информационного агентства AK&amp;M, </w:t>
      </w:r>
      <w:r>
        <w:rPr>
          <w:color w:val="000000"/>
        </w:rPr>
        <w:t>в</w:t>
      </w:r>
      <w:r w:rsidRPr="00DB5908">
        <w:rPr>
          <w:color w:val="000000"/>
        </w:rPr>
        <w:t xml:space="preserve"> 2016 году количество сделок M&amp;</w:t>
      </w:r>
      <w:r>
        <w:rPr>
          <w:color w:val="000000"/>
        </w:rPr>
        <w:t xml:space="preserve">A с российскими игроками пусть немного, но увеличилась – </w:t>
      </w:r>
      <w:r w:rsidRPr="00DB5908">
        <w:rPr>
          <w:color w:val="000000"/>
        </w:rPr>
        <w:t>на 1,1%</w:t>
      </w:r>
      <w:r>
        <w:rPr>
          <w:color w:val="000000"/>
        </w:rPr>
        <w:t xml:space="preserve">. </w:t>
      </w:r>
    </w:p>
    <w:p w:rsidR="0059775B" w:rsidRPr="00DB5908" w:rsidRDefault="0059775B" w:rsidP="0059775B">
      <w:pPr>
        <w:pStyle w:val="a9"/>
        <w:shd w:val="clear" w:color="auto" w:fill="FFFFFF"/>
        <w:spacing w:before="0" w:beforeAutospacing="0" w:after="240" w:afterAutospacing="0" w:line="360" w:lineRule="auto"/>
        <w:ind w:firstLine="709"/>
        <w:jc w:val="both"/>
        <w:rPr>
          <w:color w:val="000000"/>
        </w:rPr>
      </w:pPr>
      <w:r w:rsidRPr="00DB5908">
        <w:rPr>
          <w:color w:val="000000"/>
        </w:rPr>
        <w:t>Тем не менее, суммарная стоимость сделок в 2016 году ок</w:t>
      </w:r>
      <w:r>
        <w:rPr>
          <w:color w:val="000000"/>
        </w:rPr>
        <w:t xml:space="preserve">азалась самой низкой за последние 7 лет — </w:t>
      </w:r>
      <w:r w:rsidRPr="00DB5908">
        <w:rPr>
          <w:rStyle w:val="apple-converted-space"/>
          <w:color w:val="000000"/>
        </w:rPr>
        <w:t> </w:t>
      </w:r>
      <w:r w:rsidRPr="00580408">
        <w:rPr>
          <w:rStyle w:val="aa"/>
          <w:b w:val="0"/>
          <w:color w:val="000000"/>
        </w:rPr>
        <w:t>$41,76 млрд</w:t>
      </w:r>
      <w:r w:rsidRPr="00625B4D">
        <w:rPr>
          <w:color w:val="000000"/>
        </w:rPr>
        <w:t>.</w:t>
      </w:r>
      <w:r w:rsidRPr="00DB5908">
        <w:rPr>
          <w:color w:val="000000"/>
        </w:rPr>
        <w:t xml:space="preserve"> </w:t>
      </w:r>
      <w:r>
        <w:rPr>
          <w:color w:val="000000"/>
        </w:rPr>
        <w:t xml:space="preserve">В первую очередь это объясняется </w:t>
      </w:r>
      <w:r w:rsidRPr="00DB5908">
        <w:rPr>
          <w:color w:val="000000"/>
        </w:rPr>
        <w:t xml:space="preserve">недостатком </w:t>
      </w:r>
      <w:proofErr w:type="spellStart"/>
      <w:r w:rsidRPr="00DB5908">
        <w:rPr>
          <w:color w:val="000000"/>
        </w:rPr>
        <w:t>мегасделок</w:t>
      </w:r>
      <w:proofErr w:type="spellEnd"/>
      <w:r w:rsidRPr="00DB5908">
        <w:rPr>
          <w:color w:val="000000"/>
        </w:rPr>
        <w:t xml:space="preserve"> стоимостью от $1 млрд. В 2016 году их было всего семь, </w:t>
      </w:r>
      <w:r>
        <w:rPr>
          <w:color w:val="000000"/>
        </w:rPr>
        <w:t>в то время как в 2015 году</w:t>
      </w:r>
      <w:r w:rsidRPr="00DB5908">
        <w:rPr>
          <w:color w:val="000000"/>
        </w:rPr>
        <w:t xml:space="preserve"> — десять.</w:t>
      </w:r>
    </w:p>
    <w:p w:rsidR="0059775B" w:rsidRPr="00DB5908" w:rsidRDefault="0059775B" w:rsidP="0059775B">
      <w:pPr>
        <w:pStyle w:val="a9"/>
        <w:shd w:val="clear" w:color="auto" w:fill="FFFFFF"/>
        <w:spacing w:before="0" w:beforeAutospacing="0" w:after="240" w:afterAutospacing="0" w:line="360" w:lineRule="auto"/>
        <w:ind w:firstLine="709"/>
        <w:jc w:val="both"/>
        <w:rPr>
          <w:color w:val="000000"/>
        </w:rPr>
      </w:pPr>
      <w:r>
        <w:rPr>
          <w:color w:val="000000"/>
        </w:rPr>
        <w:t>Ситуация с рублевым выражением рынка сделок слияний и поглощений</w:t>
      </w:r>
      <w:r w:rsidRPr="00DB5908">
        <w:rPr>
          <w:color w:val="000000"/>
        </w:rPr>
        <w:t xml:space="preserve"> </w:t>
      </w:r>
      <w:r>
        <w:rPr>
          <w:color w:val="000000"/>
        </w:rPr>
        <w:t>была значительно лучше. Он снизился</w:t>
      </w:r>
      <w:r w:rsidRPr="00DB5908">
        <w:rPr>
          <w:color w:val="000000"/>
        </w:rPr>
        <w:t xml:space="preserve"> </w:t>
      </w:r>
      <w:r>
        <w:rPr>
          <w:color w:val="000000"/>
        </w:rPr>
        <w:t>всего на 6,3% по сравнению с 2015</w:t>
      </w:r>
      <w:r w:rsidRPr="00DB5908">
        <w:rPr>
          <w:color w:val="000000"/>
        </w:rPr>
        <w:t xml:space="preserve">, </w:t>
      </w:r>
      <w:r>
        <w:rPr>
          <w:color w:val="000000"/>
        </w:rPr>
        <w:t xml:space="preserve">а именно </w:t>
      </w:r>
      <w:r w:rsidRPr="00DB5908">
        <w:rPr>
          <w:color w:val="000000"/>
        </w:rPr>
        <w:t>до</w:t>
      </w:r>
      <w:r w:rsidRPr="00DB5908">
        <w:rPr>
          <w:rStyle w:val="apple-converted-space"/>
          <w:color w:val="000000"/>
        </w:rPr>
        <w:t> </w:t>
      </w:r>
      <w:r w:rsidRPr="00331F03">
        <w:rPr>
          <w:rStyle w:val="aa"/>
          <w:b w:val="0"/>
          <w:color w:val="000000"/>
        </w:rPr>
        <w:t>2,7 трлн. руб</w:t>
      </w:r>
      <w:r w:rsidRPr="00331F03">
        <w:rPr>
          <w:b/>
          <w:color w:val="000000"/>
        </w:rPr>
        <w:t>.</w:t>
      </w:r>
      <w:r>
        <w:rPr>
          <w:color w:val="000000"/>
        </w:rPr>
        <w:t xml:space="preserve"> С</w:t>
      </w:r>
      <w:r w:rsidRPr="00DB5908">
        <w:rPr>
          <w:color w:val="000000"/>
        </w:rPr>
        <w:t>редняя стои</w:t>
      </w:r>
      <w:r>
        <w:rPr>
          <w:color w:val="000000"/>
        </w:rPr>
        <w:t>мость сделки осталась</w:t>
      </w:r>
      <w:r w:rsidRPr="00DB5908">
        <w:rPr>
          <w:color w:val="000000"/>
        </w:rPr>
        <w:t xml:space="preserve"> на уровне про</w:t>
      </w:r>
      <w:r>
        <w:rPr>
          <w:color w:val="000000"/>
        </w:rPr>
        <w:t>шлого года — 3 млрд. руб. В большой степени такой исход был</w:t>
      </w:r>
      <w:r w:rsidRPr="00DB5908">
        <w:rPr>
          <w:color w:val="000000"/>
        </w:rPr>
        <w:t xml:space="preserve"> обусловлен сохраняющейся девальвацией рубля.</w:t>
      </w:r>
      <w:r>
        <w:rPr>
          <w:rStyle w:val="a7"/>
          <w:color w:val="000000"/>
        </w:rPr>
        <w:footnoteReference w:id="11"/>
      </w:r>
    </w:p>
    <w:p w:rsidR="0059775B" w:rsidRPr="00DB5908" w:rsidRDefault="0059775B" w:rsidP="0059775B">
      <w:pPr>
        <w:pStyle w:val="a9"/>
        <w:shd w:val="clear" w:color="auto" w:fill="FFFFFF"/>
        <w:spacing w:before="0" w:beforeAutospacing="0" w:after="240" w:afterAutospacing="0" w:line="360" w:lineRule="auto"/>
        <w:ind w:firstLine="709"/>
        <w:jc w:val="both"/>
        <w:rPr>
          <w:color w:val="000000"/>
        </w:rPr>
      </w:pPr>
      <w:r>
        <w:rPr>
          <w:color w:val="000000"/>
        </w:rPr>
        <w:lastRenderedPageBreak/>
        <w:t>П</w:t>
      </w:r>
      <w:r w:rsidRPr="00DB5908">
        <w:rPr>
          <w:color w:val="000000"/>
        </w:rPr>
        <w:t>риро</w:t>
      </w:r>
      <w:r>
        <w:rPr>
          <w:color w:val="000000"/>
        </w:rPr>
        <w:t>ст количества сделок и увеличение активности рынка в конце 2016 года позволяли</w:t>
      </w:r>
      <w:r w:rsidRPr="00DB5908">
        <w:rPr>
          <w:color w:val="000000"/>
        </w:rPr>
        <w:t xml:space="preserve"> р</w:t>
      </w:r>
      <w:r>
        <w:rPr>
          <w:color w:val="000000"/>
        </w:rPr>
        <w:t>ассчитывать на оживление рынка</w:t>
      </w:r>
      <w:r w:rsidRPr="00DB5908">
        <w:rPr>
          <w:color w:val="000000"/>
        </w:rPr>
        <w:t xml:space="preserve"> в 2017 году. </w:t>
      </w:r>
      <w:r>
        <w:rPr>
          <w:color w:val="000000"/>
        </w:rPr>
        <w:t>Прежде всего, этому способствовало</w:t>
      </w:r>
      <w:r w:rsidRPr="00DB5908">
        <w:rPr>
          <w:color w:val="000000"/>
        </w:rPr>
        <w:t xml:space="preserve"> наметившееся улучш</w:t>
      </w:r>
      <w:r>
        <w:rPr>
          <w:color w:val="000000"/>
        </w:rPr>
        <w:t>ение макроэкономических условий</w:t>
      </w:r>
      <w:r w:rsidRPr="00DB5908">
        <w:rPr>
          <w:color w:val="000000"/>
        </w:rPr>
        <w:t>.</w:t>
      </w:r>
    </w:p>
    <w:p w:rsidR="0059775B" w:rsidRPr="00DB5908" w:rsidRDefault="0059775B" w:rsidP="0059775B">
      <w:pPr>
        <w:pStyle w:val="a9"/>
        <w:shd w:val="clear" w:color="auto" w:fill="FFFFFF"/>
        <w:spacing w:before="0" w:beforeAutospacing="0" w:after="240" w:afterAutospacing="0" w:line="360" w:lineRule="auto"/>
        <w:ind w:firstLine="709"/>
        <w:jc w:val="both"/>
        <w:rPr>
          <w:color w:val="000000"/>
        </w:rPr>
      </w:pPr>
      <w:r w:rsidRPr="00B81EF3">
        <w:rPr>
          <w:rStyle w:val="aa"/>
          <w:b w:val="0"/>
          <w:color w:val="000000"/>
        </w:rPr>
        <w:t xml:space="preserve">Строительство и </w:t>
      </w:r>
      <w:proofErr w:type="spellStart"/>
      <w:r w:rsidRPr="00B81EF3">
        <w:rPr>
          <w:rStyle w:val="aa"/>
          <w:b w:val="0"/>
          <w:color w:val="000000"/>
        </w:rPr>
        <w:t>девелопмент</w:t>
      </w:r>
      <w:proofErr w:type="spellEnd"/>
      <w:r w:rsidRPr="00B81EF3">
        <w:rPr>
          <w:rStyle w:val="aa"/>
          <w:b w:val="0"/>
          <w:color w:val="000000"/>
        </w:rPr>
        <w:t xml:space="preserve"> в 2016 году сохранили лидерство на российском рынке M&amp;A</w:t>
      </w:r>
      <w:r w:rsidRPr="00DB5908">
        <w:rPr>
          <w:rStyle w:val="apple-converted-space"/>
          <w:color w:val="000000"/>
        </w:rPr>
        <w:t> </w:t>
      </w:r>
      <w:r>
        <w:rPr>
          <w:rStyle w:val="apple-converted-space"/>
          <w:color w:val="000000"/>
        </w:rPr>
        <w:t xml:space="preserve">и </w:t>
      </w:r>
      <w:r>
        <w:rPr>
          <w:color w:val="000000"/>
        </w:rPr>
        <w:t xml:space="preserve">по числу, и по объему </w:t>
      </w:r>
      <w:r w:rsidRPr="00DB5908">
        <w:rPr>
          <w:color w:val="000000"/>
        </w:rPr>
        <w:t xml:space="preserve">сделок. В отрасли </w:t>
      </w:r>
      <w:r>
        <w:rPr>
          <w:color w:val="000000"/>
        </w:rPr>
        <w:t xml:space="preserve">было </w:t>
      </w:r>
      <w:r w:rsidRPr="00DB5908">
        <w:rPr>
          <w:color w:val="000000"/>
        </w:rPr>
        <w:t xml:space="preserve">отмечено 68 транзакций на </w:t>
      </w:r>
      <w:r>
        <w:rPr>
          <w:color w:val="000000"/>
        </w:rPr>
        <w:t xml:space="preserve">сумму </w:t>
      </w:r>
      <w:r w:rsidRPr="00DB5908">
        <w:rPr>
          <w:color w:val="000000"/>
        </w:rPr>
        <w:t>$11,1 млрд. (что составляет 26,6% объема рынка). Но к концу года M&amp;A-акти</w:t>
      </w:r>
      <w:r>
        <w:rPr>
          <w:color w:val="000000"/>
        </w:rPr>
        <w:t>вность в данном секторе стала падать</w:t>
      </w:r>
      <w:r w:rsidRPr="00DB5908">
        <w:rPr>
          <w:color w:val="000000"/>
        </w:rPr>
        <w:t>.</w:t>
      </w:r>
    </w:p>
    <w:p w:rsidR="0059775B" w:rsidRPr="00DB5908" w:rsidRDefault="0059775B" w:rsidP="0059775B">
      <w:pPr>
        <w:pStyle w:val="a9"/>
        <w:shd w:val="clear" w:color="auto" w:fill="FFFFFF"/>
        <w:spacing w:before="0" w:beforeAutospacing="0" w:after="240" w:afterAutospacing="0" w:line="360" w:lineRule="auto"/>
        <w:ind w:firstLine="709"/>
        <w:jc w:val="both"/>
        <w:rPr>
          <w:color w:val="000000"/>
        </w:rPr>
      </w:pPr>
      <w:r>
        <w:rPr>
          <w:rStyle w:val="aa"/>
          <w:b w:val="0"/>
          <w:color w:val="000000"/>
        </w:rPr>
        <w:t xml:space="preserve"> В 2016 году в торговой отрасли</w:t>
      </w:r>
      <w:r w:rsidRPr="00B81EF3">
        <w:rPr>
          <w:rStyle w:val="aa"/>
          <w:b w:val="0"/>
          <w:color w:val="000000"/>
        </w:rPr>
        <w:t xml:space="preserve"> </w:t>
      </w:r>
      <w:r>
        <w:rPr>
          <w:rStyle w:val="aa"/>
          <w:b w:val="0"/>
          <w:color w:val="000000"/>
        </w:rPr>
        <w:t>рынок M&amp;A</w:t>
      </w:r>
      <w:r w:rsidRPr="00B81EF3">
        <w:rPr>
          <w:rStyle w:val="aa"/>
          <w:b w:val="0"/>
          <w:color w:val="000000"/>
        </w:rPr>
        <w:t xml:space="preserve"> продемонстрировала взрывной рост</w:t>
      </w:r>
      <w:r w:rsidRPr="00CF0C1C">
        <w:rPr>
          <w:color w:val="000000"/>
        </w:rPr>
        <w:t>.</w:t>
      </w:r>
      <w:r>
        <w:rPr>
          <w:b/>
          <w:color w:val="000000"/>
        </w:rPr>
        <w:t xml:space="preserve"> </w:t>
      </w:r>
      <w:r>
        <w:rPr>
          <w:color w:val="000000"/>
        </w:rPr>
        <w:t>К концу года число сделок</w:t>
      </w:r>
      <w:r w:rsidRPr="00DB5908">
        <w:rPr>
          <w:color w:val="000000"/>
        </w:rPr>
        <w:t xml:space="preserve"> увеличилось на 40%, до 63 сделок, а их суммарная стоимость выросла в 2,5 раза, до $4,5 млрд.</w:t>
      </w:r>
    </w:p>
    <w:p w:rsidR="0059775B" w:rsidRPr="00331F03" w:rsidRDefault="0059775B" w:rsidP="0059775B">
      <w:pPr>
        <w:pStyle w:val="a9"/>
        <w:shd w:val="clear" w:color="auto" w:fill="FFFFFF"/>
        <w:spacing w:before="0" w:beforeAutospacing="0" w:after="240" w:afterAutospacing="0" w:line="360" w:lineRule="auto"/>
        <w:ind w:firstLine="709"/>
        <w:jc w:val="both"/>
      </w:pPr>
      <w:proofErr w:type="gramStart"/>
      <w:r w:rsidRPr="0012214C">
        <w:rPr>
          <w:rStyle w:val="aa"/>
          <w:b w:val="0"/>
        </w:rPr>
        <w:t>Сделки иностранных инвесторов с российскими активами (</w:t>
      </w:r>
      <w:proofErr w:type="spellStart"/>
      <w:r w:rsidRPr="0012214C">
        <w:rPr>
          <w:rStyle w:val="aa"/>
          <w:b w:val="0"/>
        </w:rPr>
        <w:t>out-in</w:t>
      </w:r>
      <w:proofErr w:type="spellEnd"/>
      <w:r w:rsidRPr="0012214C">
        <w:rPr>
          <w:rStyle w:val="aa"/>
          <w:b w:val="0"/>
        </w:rPr>
        <w:t>) в 2016 году достигли своего максимума</w:t>
      </w:r>
      <w:r w:rsidRPr="0012214C">
        <w:rPr>
          <w:rStyle w:val="apple-converted-space"/>
        </w:rPr>
        <w:t> </w:t>
      </w:r>
      <w:r w:rsidRPr="0012214C">
        <w:t xml:space="preserve">за последние 7 лет — $14,54 млрд. В первую очередь это обусловлено крупнейшим слиянием итальянских телеком-операторов </w:t>
      </w:r>
      <w:proofErr w:type="spellStart"/>
      <w:r w:rsidRPr="0012214C">
        <w:t>Wind</w:t>
      </w:r>
      <w:proofErr w:type="spellEnd"/>
      <w:r w:rsidRPr="0012214C">
        <w:t xml:space="preserve"> и 3 </w:t>
      </w:r>
      <w:proofErr w:type="spellStart"/>
      <w:r w:rsidRPr="0012214C">
        <w:t>Italia</w:t>
      </w:r>
      <w:proofErr w:type="spellEnd"/>
      <w:r w:rsidRPr="0012214C">
        <w:t>.</w:t>
      </w:r>
      <w:proofErr w:type="gramEnd"/>
      <w:r>
        <w:t xml:space="preserve"> </w:t>
      </w:r>
      <w:r>
        <w:rPr>
          <w:color w:val="000000"/>
        </w:rPr>
        <w:t xml:space="preserve">Стоит отметить, что значительная доля </w:t>
      </w:r>
      <w:proofErr w:type="spellStart"/>
      <w:r w:rsidRPr="0012214C">
        <w:rPr>
          <w:rStyle w:val="aa"/>
          <w:b w:val="0"/>
        </w:rPr>
        <w:t>out-in</w:t>
      </w:r>
      <w:proofErr w:type="spellEnd"/>
      <w:r w:rsidRPr="00DB5908">
        <w:rPr>
          <w:color w:val="000000"/>
        </w:rPr>
        <w:t xml:space="preserve"> сделок (</w:t>
      </w:r>
      <w:r>
        <w:rPr>
          <w:color w:val="000000"/>
        </w:rPr>
        <w:t>$13 млрд. или 90% суммы и 43% количества) пришлась</w:t>
      </w:r>
      <w:r w:rsidRPr="00DB5908">
        <w:rPr>
          <w:color w:val="000000"/>
        </w:rPr>
        <w:t xml:space="preserve"> на активы, которые физичес</w:t>
      </w:r>
      <w:r>
        <w:rPr>
          <w:color w:val="000000"/>
        </w:rPr>
        <w:t>ки находятся вне России. Можно сказать</w:t>
      </w:r>
      <w:r w:rsidRPr="00DB5908">
        <w:rPr>
          <w:color w:val="000000"/>
        </w:rPr>
        <w:t xml:space="preserve">, </w:t>
      </w:r>
      <w:r>
        <w:rPr>
          <w:color w:val="000000"/>
        </w:rPr>
        <w:t xml:space="preserve">что </w:t>
      </w:r>
      <w:r w:rsidRPr="00DB5908">
        <w:rPr>
          <w:color w:val="000000"/>
        </w:rPr>
        <w:t>это распродажа собственност</w:t>
      </w:r>
      <w:r>
        <w:rPr>
          <w:color w:val="000000"/>
        </w:rPr>
        <w:t>и российских компаний за границей. Если говорить об активах</w:t>
      </w:r>
      <w:r w:rsidRPr="00DB5908">
        <w:rPr>
          <w:color w:val="000000"/>
        </w:rPr>
        <w:t xml:space="preserve"> на территории Росс</w:t>
      </w:r>
      <w:r>
        <w:rPr>
          <w:color w:val="000000"/>
        </w:rPr>
        <w:t>ии, то здесь крупнейшие сделки были заключены в нефтегазовой отрасли,</w:t>
      </w:r>
      <w:r w:rsidRPr="00DB5908">
        <w:rPr>
          <w:color w:val="000000"/>
        </w:rPr>
        <w:t xml:space="preserve"> </w:t>
      </w:r>
      <w:r>
        <w:rPr>
          <w:color w:val="000000"/>
        </w:rPr>
        <w:t xml:space="preserve">а именно </w:t>
      </w:r>
      <w:r w:rsidRPr="00DB5908">
        <w:rPr>
          <w:color w:val="000000"/>
        </w:rPr>
        <w:t>в добыче нефти и газа</w:t>
      </w:r>
      <w:r>
        <w:rPr>
          <w:color w:val="000000"/>
        </w:rPr>
        <w:t>. Однако</w:t>
      </w:r>
      <w:r w:rsidRPr="00DB5908">
        <w:rPr>
          <w:color w:val="000000"/>
        </w:rPr>
        <w:t xml:space="preserve"> здесь р</w:t>
      </w:r>
      <w:r>
        <w:rPr>
          <w:color w:val="000000"/>
        </w:rPr>
        <w:t>ечь идет исключительно о приобретении</w:t>
      </w:r>
      <w:r w:rsidRPr="00DB5908">
        <w:rPr>
          <w:color w:val="000000"/>
        </w:rPr>
        <w:t xml:space="preserve"> миноритарных пакетов.</w:t>
      </w:r>
      <w:r>
        <w:rPr>
          <w:rStyle w:val="a7"/>
          <w:color w:val="000000"/>
        </w:rPr>
        <w:footnoteReference w:id="12"/>
      </w:r>
      <w:r w:rsidRPr="00DB5908">
        <w:rPr>
          <w:color w:val="000000"/>
        </w:rPr>
        <w:t xml:space="preserve"> </w:t>
      </w:r>
    </w:p>
    <w:p w:rsidR="0059775B" w:rsidRPr="00DB5908" w:rsidRDefault="0059775B" w:rsidP="0059775B">
      <w:pPr>
        <w:pStyle w:val="a9"/>
        <w:shd w:val="clear" w:color="auto" w:fill="FFFFFF"/>
        <w:spacing w:before="0" w:beforeAutospacing="0" w:after="240" w:afterAutospacing="0" w:line="360" w:lineRule="auto"/>
        <w:ind w:firstLine="709"/>
        <w:jc w:val="both"/>
        <w:rPr>
          <w:color w:val="000000"/>
        </w:rPr>
      </w:pPr>
      <w:r w:rsidRPr="00DB5908">
        <w:rPr>
          <w:color w:val="000000"/>
        </w:rPr>
        <w:t>По данным статистики бюллетеня «Рынок</w:t>
      </w:r>
      <w:r>
        <w:rPr>
          <w:color w:val="000000"/>
        </w:rPr>
        <w:t xml:space="preserve"> слияний и поглощений», в первые месяцы</w:t>
      </w:r>
      <w:r w:rsidRPr="00DB5908">
        <w:rPr>
          <w:color w:val="000000"/>
        </w:rPr>
        <w:t xml:space="preserve"> 2017</w:t>
      </w:r>
      <w:r>
        <w:rPr>
          <w:color w:val="000000"/>
        </w:rPr>
        <w:t xml:space="preserve"> года рынок</w:t>
      </w:r>
      <w:r w:rsidRPr="00331F03">
        <w:rPr>
          <w:color w:val="000000"/>
        </w:rPr>
        <w:t xml:space="preserve"> </w:t>
      </w:r>
      <w:r>
        <w:rPr>
          <w:color w:val="000000"/>
          <w:lang w:val="en-US"/>
        </w:rPr>
        <w:t>M</w:t>
      </w:r>
      <w:r w:rsidRPr="00331F03">
        <w:rPr>
          <w:color w:val="000000"/>
        </w:rPr>
        <w:t>&amp;</w:t>
      </w:r>
      <w:r>
        <w:rPr>
          <w:color w:val="000000"/>
          <w:lang w:val="en-US"/>
        </w:rPr>
        <w:t>A</w:t>
      </w:r>
      <w:r w:rsidRPr="00DB5908">
        <w:rPr>
          <w:color w:val="000000"/>
        </w:rPr>
        <w:t xml:space="preserve"> с участием российских ком</w:t>
      </w:r>
      <w:r>
        <w:rPr>
          <w:color w:val="000000"/>
        </w:rPr>
        <w:t>паний продемонстрировал существенный</w:t>
      </w:r>
      <w:r w:rsidRPr="00DB5908">
        <w:rPr>
          <w:color w:val="000000"/>
        </w:rPr>
        <w:t xml:space="preserve"> рост.</w:t>
      </w:r>
      <w:r w:rsidRPr="00DB5908">
        <w:rPr>
          <w:rStyle w:val="apple-converted-space"/>
          <w:color w:val="000000"/>
        </w:rPr>
        <w:t> </w:t>
      </w:r>
      <w:r>
        <w:rPr>
          <w:rStyle w:val="aa"/>
          <w:b w:val="0"/>
          <w:color w:val="000000"/>
        </w:rPr>
        <w:t>Общая</w:t>
      </w:r>
      <w:r w:rsidRPr="00EF3316">
        <w:rPr>
          <w:rStyle w:val="aa"/>
          <w:b w:val="0"/>
          <w:color w:val="000000"/>
        </w:rPr>
        <w:t xml:space="preserve"> стои</w:t>
      </w:r>
      <w:r>
        <w:rPr>
          <w:rStyle w:val="aa"/>
          <w:b w:val="0"/>
          <w:color w:val="000000"/>
        </w:rPr>
        <w:t>мость сделок за первые два месяца</w:t>
      </w:r>
      <w:r w:rsidRPr="00EF3316">
        <w:rPr>
          <w:rStyle w:val="aa"/>
          <w:b w:val="0"/>
          <w:color w:val="000000"/>
        </w:rPr>
        <w:t xml:space="preserve"> достигла почти $7 млрд. — </w:t>
      </w:r>
      <w:r>
        <w:rPr>
          <w:rStyle w:val="aa"/>
          <w:b w:val="0"/>
          <w:color w:val="000000"/>
        </w:rPr>
        <w:t xml:space="preserve">данный показатель </w:t>
      </w:r>
      <w:r w:rsidRPr="00EF3316">
        <w:rPr>
          <w:rStyle w:val="aa"/>
          <w:b w:val="0"/>
          <w:color w:val="000000"/>
        </w:rPr>
        <w:t>в 2,5 раза больше</w:t>
      </w:r>
      <w:r w:rsidRPr="00EF3316">
        <w:rPr>
          <w:b/>
          <w:color w:val="000000"/>
        </w:rPr>
        <w:t>,</w:t>
      </w:r>
      <w:r>
        <w:rPr>
          <w:color w:val="000000"/>
        </w:rPr>
        <w:t xml:space="preserve"> чем за тот же период 2016</w:t>
      </w:r>
      <w:r w:rsidRPr="00DB5908">
        <w:rPr>
          <w:color w:val="000000"/>
        </w:rPr>
        <w:t xml:space="preserve"> года.</w:t>
      </w:r>
    </w:p>
    <w:p w:rsidR="0059775B" w:rsidRPr="00DB5908" w:rsidRDefault="0059775B" w:rsidP="0059775B">
      <w:pPr>
        <w:pStyle w:val="a9"/>
        <w:shd w:val="clear" w:color="auto" w:fill="FFFFFF"/>
        <w:spacing w:before="0" w:beforeAutospacing="0" w:after="240" w:afterAutospacing="0" w:line="360" w:lineRule="auto"/>
        <w:ind w:firstLine="709"/>
        <w:jc w:val="both"/>
        <w:rPr>
          <w:color w:val="000000"/>
        </w:rPr>
      </w:pPr>
      <w:proofErr w:type="gramStart"/>
      <w:r>
        <w:rPr>
          <w:color w:val="000000"/>
        </w:rPr>
        <w:t>Такое увеличение объясняется завершением в январе-феврале</w:t>
      </w:r>
      <w:r w:rsidRPr="00DB5908">
        <w:rPr>
          <w:color w:val="000000"/>
        </w:rPr>
        <w:t xml:space="preserve"> дву</w:t>
      </w:r>
      <w:r>
        <w:rPr>
          <w:color w:val="000000"/>
        </w:rPr>
        <w:t>х крупнейших сделок: переход</w:t>
      </w:r>
      <w:r w:rsidRPr="00DB5908">
        <w:rPr>
          <w:color w:val="000000"/>
        </w:rPr>
        <w:t xml:space="preserve"> железнодорожного оператора «УВЗ Логистик» под контроль «</w:t>
      </w:r>
      <w:proofErr w:type="spellStart"/>
      <w:r w:rsidRPr="00DB5908">
        <w:rPr>
          <w:color w:val="000000"/>
        </w:rPr>
        <w:t>Тринфик</w:t>
      </w:r>
      <w:r>
        <w:rPr>
          <w:color w:val="000000"/>
        </w:rPr>
        <w:t>о</w:t>
      </w:r>
      <w:proofErr w:type="spellEnd"/>
      <w:r>
        <w:rPr>
          <w:color w:val="000000"/>
        </w:rPr>
        <w:t xml:space="preserve"> </w:t>
      </w:r>
      <w:proofErr w:type="spellStart"/>
      <w:r>
        <w:rPr>
          <w:color w:val="000000"/>
        </w:rPr>
        <w:t>пропети</w:t>
      </w:r>
      <w:proofErr w:type="spellEnd"/>
      <w:r>
        <w:rPr>
          <w:color w:val="000000"/>
        </w:rPr>
        <w:t xml:space="preserve"> менеджмент», который был оценен</w:t>
      </w:r>
      <w:r w:rsidRPr="00DB5908">
        <w:rPr>
          <w:color w:val="000000"/>
        </w:rPr>
        <w:t xml:space="preserve"> по размеру обязательств в $2,5 млрд., и консолидации «Роснефтью» долей в нескольких </w:t>
      </w:r>
      <w:proofErr w:type="spellStart"/>
      <w:r w:rsidRPr="00DB5908">
        <w:rPr>
          <w:color w:val="000000"/>
        </w:rPr>
        <w:t>нефтеперарабатывающих</w:t>
      </w:r>
      <w:proofErr w:type="spellEnd"/>
      <w:r w:rsidRPr="00DB5908">
        <w:rPr>
          <w:color w:val="000000"/>
        </w:rPr>
        <w:t xml:space="preserve"> заводах в Герма</w:t>
      </w:r>
      <w:r>
        <w:rPr>
          <w:color w:val="000000"/>
        </w:rPr>
        <w:t>нии на $1,52 млрд. При этом стоит отметить, что даже без учета данных</w:t>
      </w:r>
      <w:r w:rsidRPr="00DB5908">
        <w:rPr>
          <w:color w:val="000000"/>
        </w:rPr>
        <w:t xml:space="preserve"> сделок </w:t>
      </w:r>
      <w:r>
        <w:rPr>
          <w:color w:val="000000"/>
        </w:rPr>
        <w:t xml:space="preserve">объем рынка </w:t>
      </w:r>
      <w:r>
        <w:rPr>
          <w:color w:val="000000"/>
          <w:lang w:val="en-US"/>
        </w:rPr>
        <w:t>M</w:t>
      </w:r>
      <w:r w:rsidRPr="00331F03">
        <w:rPr>
          <w:color w:val="000000"/>
        </w:rPr>
        <w:t>&amp;</w:t>
      </w:r>
      <w:r>
        <w:rPr>
          <w:color w:val="000000"/>
          <w:lang w:val="en-US"/>
        </w:rPr>
        <w:t>A</w:t>
      </w:r>
      <w:r>
        <w:rPr>
          <w:color w:val="000000"/>
        </w:rPr>
        <w:t xml:space="preserve"> по отношению к началу 2016</w:t>
      </w:r>
      <w:proofErr w:type="gramEnd"/>
      <w:r>
        <w:rPr>
          <w:color w:val="000000"/>
        </w:rPr>
        <w:t xml:space="preserve"> года увеличился</w:t>
      </w:r>
      <w:r w:rsidRPr="00DB5908">
        <w:rPr>
          <w:color w:val="000000"/>
        </w:rPr>
        <w:t xml:space="preserve"> на 8%.</w:t>
      </w:r>
    </w:p>
    <w:p w:rsidR="0059775B" w:rsidRPr="00DB5908" w:rsidRDefault="0059775B" w:rsidP="0059775B">
      <w:pPr>
        <w:pStyle w:val="a9"/>
        <w:shd w:val="clear" w:color="auto" w:fill="FFFFFF"/>
        <w:spacing w:before="0" w:beforeAutospacing="0" w:after="240" w:afterAutospacing="0" w:line="360" w:lineRule="auto"/>
        <w:ind w:firstLine="709"/>
        <w:jc w:val="both"/>
        <w:rPr>
          <w:color w:val="000000"/>
        </w:rPr>
      </w:pPr>
      <w:r>
        <w:rPr>
          <w:color w:val="000000"/>
        </w:rPr>
        <w:lastRenderedPageBreak/>
        <w:t xml:space="preserve">Что касается количества сделок — это значение выросло </w:t>
      </w:r>
      <w:r w:rsidRPr="00DB5908">
        <w:rPr>
          <w:color w:val="000000"/>
        </w:rPr>
        <w:t xml:space="preserve">на 16,4%, до 78 транзакций против 67 </w:t>
      </w:r>
      <w:r>
        <w:rPr>
          <w:color w:val="000000"/>
        </w:rPr>
        <w:t>в первых двух месяцах 2016 года. В свою очередь</w:t>
      </w:r>
      <w:r w:rsidRPr="00DB5908">
        <w:rPr>
          <w:color w:val="000000"/>
        </w:rPr>
        <w:t xml:space="preserve"> средняя стоимост</w:t>
      </w:r>
      <w:r>
        <w:rPr>
          <w:color w:val="000000"/>
        </w:rPr>
        <w:t>ь сделки (без учета</w:t>
      </w:r>
      <w:r w:rsidRPr="00DB5908">
        <w:rPr>
          <w:color w:val="000000"/>
        </w:rPr>
        <w:t xml:space="preserve"> </w:t>
      </w:r>
      <w:proofErr w:type="gramStart"/>
      <w:r w:rsidRPr="00DB5908">
        <w:rPr>
          <w:color w:val="000000"/>
        </w:rPr>
        <w:t>к</w:t>
      </w:r>
      <w:r>
        <w:rPr>
          <w:color w:val="000000"/>
        </w:rPr>
        <w:t>рупнейших</w:t>
      </w:r>
      <w:proofErr w:type="gramEnd"/>
      <w:r>
        <w:rPr>
          <w:color w:val="000000"/>
        </w:rPr>
        <w:t xml:space="preserve"> от $1 млрд.) в некоторой степени</w:t>
      </w:r>
      <w:r w:rsidRPr="00DB5908">
        <w:rPr>
          <w:color w:val="000000"/>
        </w:rPr>
        <w:t xml:space="preserve"> снизилась — на 5%, до $39 млн. с $40,9 мл</w:t>
      </w:r>
      <w:r>
        <w:rPr>
          <w:color w:val="000000"/>
        </w:rPr>
        <w:t>н. за январь и февраль 2016</w:t>
      </w:r>
      <w:r w:rsidRPr="00DB5908">
        <w:rPr>
          <w:color w:val="000000"/>
        </w:rPr>
        <w:t xml:space="preserve"> года.</w:t>
      </w:r>
      <w:r>
        <w:rPr>
          <w:rStyle w:val="a7"/>
          <w:color w:val="000000"/>
        </w:rPr>
        <w:footnoteReference w:id="13"/>
      </w:r>
    </w:p>
    <w:p w:rsidR="0059775B" w:rsidRPr="00DB5908" w:rsidRDefault="0059775B" w:rsidP="0059775B">
      <w:pPr>
        <w:pStyle w:val="a9"/>
        <w:shd w:val="clear" w:color="auto" w:fill="FFFFFF"/>
        <w:spacing w:before="0" w:beforeAutospacing="0" w:after="240" w:afterAutospacing="0" w:line="360" w:lineRule="auto"/>
        <w:ind w:firstLine="709"/>
        <w:jc w:val="both"/>
        <w:rPr>
          <w:color w:val="000000"/>
        </w:rPr>
      </w:pPr>
      <w:r w:rsidRPr="00EF3316">
        <w:rPr>
          <w:rStyle w:val="aa"/>
          <w:b w:val="0"/>
          <w:color w:val="000000"/>
        </w:rPr>
        <w:t xml:space="preserve">В рублевом </w:t>
      </w:r>
      <w:r>
        <w:rPr>
          <w:rStyle w:val="aa"/>
          <w:b w:val="0"/>
          <w:color w:val="000000"/>
        </w:rPr>
        <w:t xml:space="preserve">выражении рынок сделок слияний и поглощений в начале 2017 года вырос </w:t>
      </w:r>
      <w:r w:rsidRPr="00EF3316">
        <w:rPr>
          <w:rStyle w:val="aa"/>
          <w:b w:val="0"/>
          <w:color w:val="000000"/>
        </w:rPr>
        <w:t>в 2 раза</w:t>
      </w:r>
      <w:r w:rsidRPr="00EF3316">
        <w:rPr>
          <w:color w:val="000000"/>
        </w:rPr>
        <w:t>,</w:t>
      </w:r>
      <w:r w:rsidRPr="00DB5908">
        <w:rPr>
          <w:color w:val="000000"/>
        </w:rPr>
        <w:t xml:space="preserve"> до 412 млрд. руб. с 206</w:t>
      </w:r>
      <w:r>
        <w:rPr>
          <w:color w:val="000000"/>
        </w:rPr>
        <w:t xml:space="preserve"> млрд. руб. за январь-февраль</w:t>
      </w:r>
      <w:r w:rsidRPr="00DB5908">
        <w:rPr>
          <w:color w:val="000000"/>
        </w:rPr>
        <w:t xml:space="preserve"> прошлого года. </w:t>
      </w:r>
    </w:p>
    <w:p w:rsidR="0059775B" w:rsidRPr="00351574" w:rsidRDefault="0059775B" w:rsidP="0059775B">
      <w:pPr>
        <w:pStyle w:val="a9"/>
        <w:shd w:val="clear" w:color="auto" w:fill="FFFFFF"/>
        <w:spacing w:before="0" w:beforeAutospacing="0" w:after="240" w:afterAutospacing="0" w:line="360" w:lineRule="auto"/>
        <w:ind w:firstLine="709"/>
        <w:jc w:val="both"/>
        <w:rPr>
          <w:color w:val="000000"/>
        </w:rPr>
      </w:pPr>
      <w:r w:rsidRPr="00DB5908">
        <w:rPr>
          <w:color w:val="000000"/>
        </w:rPr>
        <w:t>Первое место в ре</w:t>
      </w:r>
      <w:r>
        <w:rPr>
          <w:color w:val="000000"/>
        </w:rPr>
        <w:t>йтинге отраслей в начале</w:t>
      </w:r>
      <w:r w:rsidRPr="00DB5908">
        <w:rPr>
          <w:color w:val="000000"/>
        </w:rPr>
        <w:t xml:space="preserve"> 2017 года занял</w:t>
      </w:r>
      <w:r w:rsidRPr="00DB5908">
        <w:rPr>
          <w:rStyle w:val="apple-converted-space"/>
          <w:color w:val="000000"/>
        </w:rPr>
        <w:t> </w:t>
      </w:r>
      <w:r w:rsidRPr="00351574">
        <w:rPr>
          <w:rStyle w:val="aa"/>
          <w:b w:val="0"/>
          <w:color w:val="000000"/>
        </w:rPr>
        <w:t>транспо</w:t>
      </w:r>
      <w:proofErr w:type="gramStart"/>
      <w:r w:rsidRPr="00351574">
        <w:rPr>
          <w:rStyle w:val="aa"/>
          <w:b w:val="0"/>
          <w:color w:val="000000"/>
        </w:rPr>
        <w:t>рт</w:t>
      </w:r>
      <w:r w:rsidRPr="00DB5908">
        <w:rPr>
          <w:rStyle w:val="apple-converted-space"/>
          <w:color w:val="000000"/>
        </w:rPr>
        <w:t> </w:t>
      </w:r>
      <w:r w:rsidRPr="00DB5908">
        <w:rPr>
          <w:color w:val="000000"/>
        </w:rPr>
        <w:t>с тр</w:t>
      </w:r>
      <w:proofErr w:type="gramEnd"/>
      <w:r w:rsidRPr="00DB5908">
        <w:rPr>
          <w:color w:val="000000"/>
        </w:rPr>
        <w:t xml:space="preserve">емя сделками на </w:t>
      </w:r>
      <w:r>
        <w:rPr>
          <w:color w:val="000000"/>
        </w:rPr>
        <w:t xml:space="preserve">общую сумму в </w:t>
      </w:r>
      <w:r w:rsidRPr="00DB5908">
        <w:rPr>
          <w:color w:val="000000"/>
        </w:rPr>
        <w:t>$2,61 млрд. (37,4% объема рынка). M&amp;A-активность в</w:t>
      </w:r>
      <w:r w:rsidRPr="00DB5908">
        <w:rPr>
          <w:rStyle w:val="apple-converted-space"/>
          <w:color w:val="000000"/>
        </w:rPr>
        <w:t> </w:t>
      </w:r>
      <w:r w:rsidRPr="00351574">
        <w:rPr>
          <w:rStyle w:val="aa"/>
          <w:b w:val="0"/>
          <w:color w:val="000000"/>
        </w:rPr>
        <w:t>топливно-энергетическом комплексе</w:t>
      </w:r>
      <w:r w:rsidRPr="00351574">
        <w:rPr>
          <w:rStyle w:val="apple-converted-space"/>
          <w:b/>
          <w:color w:val="000000"/>
        </w:rPr>
        <w:t> </w:t>
      </w:r>
      <w:r>
        <w:rPr>
          <w:color w:val="000000"/>
        </w:rPr>
        <w:t>в первые месяцы 2017 года резко увеличилась</w:t>
      </w:r>
      <w:r w:rsidRPr="00DB5908">
        <w:rPr>
          <w:color w:val="000000"/>
        </w:rPr>
        <w:t>. Суммарная стоимость трех сделок</w:t>
      </w:r>
      <w:r>
        <w:rPr>
          <w:color w:val="000000"/>
        </w:rPr>
        <w:t xml:space="preserve"> в данном секторе</w:t>
      </w:r>
      <w:r w:rsidRPr="00DB5908">
        <w:rPr>
          <w:color w:val="000000"/>
        </w:rPr>
        <w:t xml:space="preserve"> составила $1,71 млрд. (24,5% </w:t>
      </w:r>
      <w:r>
        <w:rPr>
          <w:color w:val="000000"/>
        </w:rPr>
        <w:t xml:space="preserve">от всего </w:t>
      </w:r>
      <w:r w:rsidRPr="00DB5908">
        <w:rPr>
          <w:color w:val="000000"/>
        </w:rPr>
        <w:t xml:space="preserve">объема рынка), что </w:t>
      </w:r>
      <w:r>
        <w:rPr>
          <w:color w:val="000000"/>
        </w:rPr>
        <w:t>в 2,3 раза больше, чем за весь 2016 год</w:t>
      </w:r>
      <w:r w:rsidRPr="00DB5908">
        <w:rPr>
          <w:color w:val="000000"/>
        </w:rPr>
        <w:t>.</w:t>
      </w:r>
      <w:r>
        <w:rPr>
          <w:color w:val="000000"/>
        </w:rPr>
        <w:t xml:space="preserve"> В</w:t>
      </w:r>
      <w:r w:rsidRPr="00DB5908">
        <w:rPr>
          <w:rStyle w:val="apple-converted-space"/>
          <w:color w:val="000000"/>
        </w:rPr>
        <w:t> </w:t>
      </w:r>
      <w:r w:rsidRPr="00351574">
        <w:rPr>
          <w:rStyle w:val="aa"/>
          <w:b w:val="0"/>
          <w:color w:val="000000"/>
        </w:rPr>
        <w:t>сельском хозяйстве</w:t>
      </w:r>
      <w:r w:rsidRPr="00DB5908">
        <w:rPr>
          <w:rStyle w:val="apple-converted-space"/>
          <w:color w:val="000000"/>
        </w:rPr>
        <w:t> </w:t>
      </w:r>
      <w:r>
        <w:rPr>
          <w:color w:val="000000"/>
        </w:rPr>
        <w:t>в начале 2017 года</w:t>
      </w:r>
      <w:r w:rsidRPr="00DB5908">
        <w:rPr>
          <w:color w:val="000000"/>
        </w:rPr>
        <w:t xml:space="preserve"> </w:t>
      </w:r>
      <w:r>
        <w:rPr>
          <w:color w:val="000000"/>
        </w:rPr>
        <w:t xml:space="preserve">было </w:t>
      </w:r>
      <w:r w:rsidRPr="00DB5908">
        <w:rPr>
          <w:color w:val="000000"/>
        </w:rPr>
        <w:t>завершено столько же</w:t>
      </w:r>
      <w:r>
        <w:rPr>
          <w:color w:val="000000"/>
        </w:rPr>
        <w:t xml:space="preserve"> сделок, сколько и годом ранее (6 сделок), но их</w:t>
      </w:r>
      <w:r w:rsidRPr="00DB5908">
        <w:rPr>
          <w:color w:val="000000"/>
        </w:rPr>
        <w:t xml:space="preserve"> стоимость увеличилась в 5 раз в годовом сравнении, до $684,3 мл</w:t>
      </w:r>
      <w:r>
        <w:rPr>
          <w:color w:val="000000"/>
        </w:rPr>
        <w:t>н. (9,7% объема рынка). Таким образом, данный сектор</w:t>
      </w:r>
      <w:r w:rsidRPr="00DB5908">
        <w:rPr>
          <w:color w:val="000000"/>
        </w:rPr>
        <w:t xml:space="preserve"> </w:t>
      </w:r>
      <w:r>
        <w:rPr>
          <w:color w:val="000000"/>
        </w:rPr>
        <w:t>занял</w:t>
      </w:r>
      <w:r w:rsidRPr="00DB5908">
        <w:rPr>
          <w:color w:val="000000"/>
        </w:rPr>
        <w:t xml:space="preserve"> третье место в рейтинге.</w:t>
      </w:r>
    </w:p>
    <w:p w:rsidR="0059775B" w:rsidRDefault="0059775B" w:rsidP="0059775B">
      <w:pPr>
        <w:pStyle w:val="a9"/>
        <w:shd w:val="clear" w:color="auto" w:fill="FFFFFF"/>
        <w:spacing w:before="0" w:beforeAutospacing="0" w:after="240" w:afterAutospacing="0" w:line="360" w:lineRule="auto"/>
        <w:ind w:firstLine="709"/>
        <w:jc w:val="both"/>
        <w:rPr>
          <w:color w:val="000000"/>
        </w:rPr>
      </w:pPr>
      <w:r w:rsidRPr="00351574">
        <w:rPr>
          <w:rStyle w:val="aa"/>
          <w:b w:val="0"/>
          <w:color w:val="000000"/>
        </w:rPr>
        <w:t xml:space="preserve">Строительство и </w:t>
      </w:r>
      <w:proofErr w:type="spellStart"/>
      <w:r w:rsidRPr="00351574">
        <w:rPr>
          <w:rStyle w:val="aa"/>
          <w:b w:val="0"/>
          <w:color w:val="000000"/>
        </w:rPr>
        <w:t>девелопмент</w:t>
      </w:r>
      <w:proofErr w:type="spellEnd"/>
      <w:r w:rsidRPr="00DB5908">
        <w:rPr>
          <w:rStyle w:val="apple-converted-space"/>
          <w:color w:val="000000"/>
        </w:rPr>
        <w:t> </w:t>
      </w:r>
      <w:r w:rsidRPr="00DB5908">
        <w:rPr>
          <w:color w:val="000000"/>
        </w:rPr>
        <w:t>в начале 2017 года также продем</w:t>
      </w:r>
      <w:r>
        <w:rPr>
          <w:color w:val="000000"/>
        </w:rPr>
        <w:t>онстрировали значительный рост</w:t>
      </w:r>
      <w:r w:rsidRPr="00DB5908">
        <w:rPr>
          <w:color w:val="000000"/>
        </w:rPr>
        <w:t>. Количес</w:t>
      </w:r>
      <w:r>
        <w:rPr>
          <w:color w:val="000000"/>
        </w:rPr>
        <w:t>тво сделок в отрасли выросло на 45%</w:t>
      </w:r>
      <w:r w:rsidRPr="00DB5908">
        <w:rPr>
          <w:color w:val="000000"/>
        </w:rPr>
        <w:t xml:space="preserve"> </w:t>
      </w:r>
      <w:r>
        <w:rPr>
          <w:color w:val="000000"/>
        </w:rPr>
        <w:t>по сравнению с началом</w:t>
      </w:r>
      <w:r w:rsidRPr="00DB5908">
        <w:rPr>
          <w:color w:val="000000"/>
        </w:rPr>
        <w:t xml:space="preserve"> 2016 года</w:t>
      </w:r>
      <w:r>
        <w:rPr>
          <w:color w:val="000000"/>
        </w:rPr>
        <w:t xml:space="preserve"> (до 16 сделок),</w:t>
      </w:r>
      <w:r w:rsidRPr="00DB5908">
        <w:rPr>
          <w:color w:val="000000"/>
        </w:rPr>
        <w:t xml:space="preserve"> а их суммарная стои</w:t>
      </w:r>
      <w:r>
        <w:rPr>
          <w:color w:val="000000"/>
        </w:rPr>
        <w:t>мость — на 64%, до $555,7 млн. </w:t>
      </w:r>
      <w:r w:rsidRPr="00DB5908">
        <w:rPr>
          <w:color w:val="000000"/>
        </w:rPr>
        <w:t> </w:t>
      </w:r>
    </w:p>
    <w:p w:rsidR="00234464" w:rsidRDefault="0059775B" w:rsidP="00234464">
      <w:pPr>
        <w:pStyle w:val="a9"/>
        <w:shd w:val="clear" w:color="auto" w:fill="FFFFFF"/>
        <w:spacing w:before="0" w:beforeAutospacing="0" w:after="240" w:afterAutospacing="0" w:line="360" w:lineRule="auto"/>
        <w:ind w:firstLine="709"/>
        <w:jc w:val="both"/>
        <w:rPr>
          <w:color w:val="000000"/>
          <w:shd w:val="clear" w:color="auto" w:fill="FFFFFF"/>
        </w:rPr>
      </w:pPr>
      <w:r>
        <w:rPr>
          <w:color w:val="000000"/>
          <w:shd w:val="clear" w:color="auto" w:fill="FFFFFF"/>
        </w:rPr>
        <w:t>Пятую позицию в начале</w:t>
      </w:r>
      <w:r w:rsidRPr="005D7A51">
        <w:rPr>
          <w:color w:val="000000"/>
          <w:shd w:val="clear" w:color="auto" w:fill="FFFFFF"/>
        </w:rPr>
        <w:t xml:space="preserve"> 2017</w:t>
      </w:r>
      <w:r>
        <w:rPr>
          <w:color w:val="000000"/>
          <w:shd w:val="clear" w:color="auto" w:fill="FFFFFF"/>
        </w:rPr>
        <w:t xml:space="preserve"> года занимали</w:t>
      </w:r>
      <w:r w:rsidRPr="005D7A51">
        <w:rPr>
          <w:rStyle w:val="apple-converted-space"/>
          <w:rFonts w:eastAsiaTheme="majorEastAsia"/>
          <w:color w:val="000000"/>
          <w:shd w:val="clear" w:color="auto" w:fill="FFFFFF"/>
        </w:rPr>
        <w:t> </w:t>
      </w:r>
      <w:r w:rsidRPr="005D7A51">
        <w:rPr>
          <w:rStyle w:val="aa"/>
          <w:b w:val="0"/>
          <w:color w:val="000000"/>
          <w:shd w:val="clear" w:color="auto" w:fill="FFFFFF"/>
        </w:rPr>
        <w:t>средства массовой информации</w:t>
      </w:r>
      <w:r>
        <w:rPr>
          <w:color w:val="000000"/>
          <w:shd w:val="clear" w:color="auto" w:fill="FFFFFF"/>
        </w:rPr>
        <w:t>. Общая</w:t>
      </w:r>
      <w:r w:rsidRPr="005D7A51">
        <w:rPr>
          <w:color w:val="000000"/>
          <w:shd w:val="clear" w:color="auto" w:fill="FFFFFF"/>
        </w:rPr>
        <w:t xml:space="preserve"> стоимость сделок</w:t>
      </w:r>
      <w:r>
        <w:rPr>
          <w:color w:val="000000"/>
          <w:shd w:val="clear" w:color="auto" w:fill="FFFFFF"/>
        </w:rPr>
        <w:t xml:space="preserve"> в этом секторе</w:t>
      </w:r>
      <w:r w:rsidRPr="005D7A51">
        <w:rPr>
          <w:color w:val="000000"/>
          <w:shd w:val="clear" w:color="auto" w:fill="FFFFFF"/>
        </w:rPr>
        <w:t xml:space="preserve"> по сравнению с </w:t>
      </w:r>
      <w:r>
        <w:rPr>
          <w:color w:val="000000"/>
          <w:shd w:val="clear" w:color="auto" w:fill="FFFFFF"/>
        </w:rPr>
        <w:t>2016 выросла в три раза и составила</w:t>
      </w:r>
      <w:r w:rsidRPr="005D7A51">
        <w:rPr>
          <w:color w:val="000000"/>
          <w:shd w:val="clear" w:color="auto" w:fill="FFFFFF"/>
        </w:rPr>
        <w:t xml:space="preserve"> $313,3 млн. (4,5% </w:t>
      </w:r>
      <w:r>
        <w:rPr>
          <w:color w:val="000000"/>
          <w:shd w:val="clear" w:color="auto" w:fill="FFFFFF"/>
        </w:rPr>
        <w:t xml:space="preserve">от </w:t>
      </w:r>
      <w:r w:rsidRPr="005D7A51">
        <w:rPr>
          <w:color w:val="000000"/>
          <w:shd w:val="clear" w:color="auto" w:fill="FFFFFF"/>
        </w:rPr>
        <w:t>объема рынка).</w:t>
      </w:r>
      <w:r>
        <w:rPr>
          <w:rStyle w:val="a7"/>
          <w:color w:val="000000"/>
          <w:shd w:val="clear" w:color="auto" w:fill="FFFFFF"/>
        </w:rPr>
        <w:footnoteReference w:id="14"/>
      </w:r>
    </w:p>
    <w:p w:rsidR="00234464" w:rsidRPr="00234464" w:rsidRDefault="00234464" w:rsidP="00234464">
      <w:pPr>
        <w:pStyle w:val="a9"/>
        <w:shd w:val="clear" w:color="auto" w:fill="FFFFFF"/>
        <w:spacing w:before="0" w:beforeAutospacing="0" w:after="240" w:afterAutospacing="0" w:line="360" w:lineRule="auto"/>
        <w:ind w:firstLine="709"/>
        <w:jc w:val="both"/>
        <w:rPr>
          <w:color w:val="000000"/>
          <w:shd w:val="clear" w:color="auto" w:fill="FFFFFF"/>
        </w:rPr>
      </w:pPr>
    </w:p>
    <w:p w:rsidR="0059775B" w:rsidRDefault="0059775B" w:rsidP="0059775B">
      <w:pPr>
        <w:pStyle w:val="a9"/>
        <w:shd w:val="clear" w:color="auto" w:fill="FFFFFF"/>
        <w:spacing w:before="0" w:beforeAutospacing="0" w:after="240" w:afterAutospacing="0"/>
        <w:ind w:firstLine="709"/>
        <w:jc w:val="center"/>
        <w:rPr>
          <w:color w:val="000000"/>
        </w:rPr>
      </w:pPr>
      <w:r>
        <w:rPr>
          <w:noProof/>
          <w:color w:val="000000"/>
        </w:rPr>
        <w:lastRenderedPageBreak/>
        <w:drawing>
          <wp:inline distT="0" distB="0" distL="0" distR="0" wp14:anchorId="3E42B946" wp14:editId="20CA847A">
            <wp:extent cx="4433978" cy="2372265"/>
            <wp:effectExtent l="0" t="0" r="2413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775B" w:rsidRDefault="0059775B" w:rsidP="0059775B">
      <w:pPr>
        <w:pStyle w:val="a9"/>
        <w:shd w:val="clear" w:color="auto" w:fill="FFFFFF"/>
        <w:spacing w:before="0" w:beforeAutospacing="0" w:after="240" w:afterAutospacing="0" w:line="360" w:lineRule="auto"/>
        <w:ind w:firstLine="709"/>
        <w:jc w:val="both"/>
        <w:rPr>
          <w:rStyle w:val="aa"/>
          <w:b w:val="0"/>
          <w:color w:val="000000"/>
        </w:rPr>
      </w:pPr>
      <w:r w:rsidRPr="00A02754">
        <w:rPr>
          <w:b/>
          <w:color w:val="000000"/>
        </w:rPr>
        <w:t> </w:t>
      </w:r>
      <w:r w:rsidR="007C1744">
        <w:rPr>
          <w:color w:val="000000"/>
        </w:rPr>
        <w:t xml:space="preserve">Рисунок </w:t>
      </w:r>
      <w:r w:rsidR="007C1744" w:rsidRPr="007C1744">
        <w:rPr>
          <w:color w:val="000000"/>
        </w:rPr>
        <w:t>3</w:t>
      </w:r>
      <w:r w:rsidRPr="00A02754">
        <w:rPr>
          <w:color w:val="000000"/>
        </w:rPr>
        <w:t xml:space="preserve"> </w:t>
      </w:r>
      <w:r w:rsidRPr="00A02754">
        <w:rPr>
          <w:rStyle w:val="aa"/>
          <w:b w:val="0"/>
          <w:color w:val="000000"/>
        </w:rPr>
        <w:t>Удельный вес отраслей на российском рынке M&amp;A в январе-феврале 2017 года</w:t>
      </w:r>
      <w:r>
        <w:rPr>
          <w:rStyle w:val="aa"/>
          <w:b w:val="0"/>
          <w:color w:val="000000"/>
        </w:rPr>
        <w:t xml:space="preserve"> по сумме сделок</w:t>
      </w:r>
    </w:p>
    <w:p w:rsidR="0059775B" w:rsidRDefault="0059775B" w:rsidP="00234464">
      <w:pPr>
        <w:pStyle w:val="a9"/>
        <w:shd w:val="clear" w:color="auto" w:fill="FFFFFF"/>
        <w:spacing w:before="0" w:beforeAutospacing="0" w:after="240" w:afterAutospacing="0" w:line="360" w:lineRule="auto"/>
        <w:ind w:firstLine="709"/>
        <w:jc w:val="both"/>
        <w:rPr>
          <w:rStyle w:val="aa"/>
          <w:b w:val="0"/>
          <w:color w:val="000000"/>
        </w:rPr>
      </w:pPr>
      <w:r>
        <w:rPr>
          <w:rStyle w:val="aa"/>
          <w:b w:val="0"/>
          <w:color w:val="000000"/>
        </w:rPr>
        <w:t xml:space="preserve">Источник: </w:t>
      </w:r>
      <w:r w:rsidRPr="0040300F">
        <w:rPr>
          <w:rStyle w:val="aa"/>
          <w:b w:val="0"/>
          <w:color w:val="000000"/>
        </w:rPr>
        <w:t>Информационное агентство AK&amp;M. Рынок слияний и поглощений.</w:t>
      </w:r>
      <w:r>
        <w:rPr>
          <w:rStyle w:val="aa"/>
          <w:b w:val="0"/>
          <w:color w:val="000000"/>
        </w:rPr>
        <w:t xml:space="preserve"> </w:t>
      </w:r>
      <w:r w:rsidRPr="0040300F">
        <w:rPr>
          <w:rStyle w:val="aa"/>
          <w:b w:val="0"/>
          <w:color w:val="000000"/>
        </w:rPr>
        <w:t>Январь - февраль 2017 года</w:t>
      </w:r>
      <w:r w:rsidR="00234464">
        <w:rPr>
          <w:rStyle w:val="aa"/>
          <w:b w:val="0"/>
          <w:color w:val="000000"/>
        </w:rPr>
        <w:t>.</w:t>
      </w:r>
    </w:p>
    <w:p w:rsidR="00234464" w:rsidRPr="00EF05CB" w:rsidRDefault="00234464" w:rsidP="00234464">
      <w:pPr>
        <w:pStyle w:val="a9"/>
        <w:shd w:val="clear" w:color="auto" w:fill="FFFFFF"/>
        <w:spacing w:before="0" w:beforeAutospacing="0" w:after="240" w:afterAutospacing="0" w:line="360" w:lineRule="auto"/>
        <w:ind w:firstLine="709"/>
        <w:jc w:val="both"/>
        <w:rPr>
          <w:bCs/>
          <w:color w:val="000000"/>
        </w:rPr>
      </w:pPr>
    </w:p>
    <w:p w:rsidR="0059775B" w:rsidRPr="00A02754" w:rsidRDefault="0059775B" w:rsidP="0059775B">
      <w:pPr>
        <w:pStyle w:val="a9"/>
        <w:shd w:val="clear" w:color="auto" w:fill="FFFFFF"/>
        <w:spacing w:before="0" w:beforeAutospacing="0" w:after="240" w:afterAutospacing="0" w:line="360" w:lineRule="auto"/>
        <w:ind w:firstLine="709"/>
        <w:jc w:val="center"/>
        <w:rPr>
          <w:color w:val="000000"/>
        </w:rPr>
      </w:pPr>
      <w:r>
        <w:rPr>
          <w:noProof/>
          <w:color w:val="000000"/>
        </w:rPr>
        <w:drawing>
          <wp:inline distT="0" distB="0" distL="0" distR="0" wp14:anchorId="14491231" wp14:editId="524B9B6B">
            <wp:extent cx="4688958" cy="2753833"/>
            <wp:effectExtent l="0" t="0" r="16510" b="2794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775B" w:rsidRPr="00A02754" w:rsidRDefault="0059775B" w:rsidP="0059775B">
      <w:pPr>
        <w:pStyle w:val="a9"/>
        <w:shd w:val="clear" w:color="auto" w:fill="FFFFFF"/>
        <w:spacing w:before="0" w:beforeAutospacing="0" w:after="240" w:afterAutospacing="0" w:line="360" w:lineRule="auto"/>
        <w:ind w:firstLine="709"/>
        <w:jc w:val="center"/>
        <w:rPr>
          <w:rStyle w:val="aa"/>
          <w:b w:val="0"/>
          <w:color w:val="000000"/>
        </w:rPr>
      </w:pPr>
      <w:r w:rsidRPr="00A02754">
        <w:rPr>
          <w:b/>
          <w:color w:val="000000"/>
        </w:rPr>
        <w:t> </w:t>
      </w:r>
      <w:r w:rsidR="007C1744">
        <w:rPr>
          <w:color w:val="000000"/>
        </w:rPr>
        <w:t xml:space="preserve">Рисунок </w:t>
      </w:r>
      <w:r w:rsidR="007C1744" w:rsidRPr="007C1744">
        <w:rPr>
          <w:color w:val="000000"/>
        </w:rPr>
        <w:t>4</w:t>
      </w:r>
      <w:r w:rsidRPr="00A02754">
        <w:rPr>
          <w:color w:val="000000"/>
        </w:rPr>
        <w:t xml:space="preserve"> </w:t>
      </w:r>
      <w:r w:rsidRPr="00A02754">
        <w:rPr>
          <w:rStyle w:val="aa"/>
          <w:b w:val="0"/>
          <w:color w:val="000000"/>
        </w:rPr>
        <w:t>Удельный вес отраслей на российском рынке M&amp;A в январе-феврале 2017 года</w:t>
      </w:r>
      <w:r>
        <w:rPr>
          <w:rStyle w:val="aa"/>
          <w:b w:val="0"/>
          <w:color w:val="000000"/>
        </w:rPr>
        <w:t xml:space="preserve"> по числу сделок</w:t>
      </w:r>
    </w:p>
    <w:p w:rsidR="0059775B" w:rsidRDefault="0059775B" w:rsidP="0059775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Источник: </w:t>
      </w:r>
      <w:r w:rsidRPr="0040300F">
        <w:rPr>
          <w:rFonts w:ascii="Times New Roman" w:hAnsi="Times New Roman" w:cs="Times New Roman"/>
          <w:sz w:val="24"/>
          <w:szCs w:val="24"/>
        </w:rPr>
        <w:t>Информационное агентство AK&amp;M. Рынок слияний и поглощений. Январь - февраль 2017 года.</w:t>
      </w:r>
    </w:p>
    <w:p w:rsidR="00234464" w:rsidRDefault="00234464" w:rsidP="0059775B">
      <w:pPr>
        <w:spacing w:after="240" w:line="360" w:lineRule="auto"/>
        <w:jc w:val="both"/>
        <w:rPr>
          <w:rFonts w:ascii="Times New Roman" w:hAnsi="Times New Roman" w:cs="Times New Roman"/>
          <w:sz w:val="24"/>
          <w:szCs w:val="24"/>
        </w:rPr>
      </w:pPr>
    </w:p>
    <w:p w:rsidR="0059775B" w:rsidRPr="008B437C" w:rsidRDefault="0059775B" w:rsidP="0059775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Таблица </w:t>
      </w:r>
      <w:r w:rsidR="007C1744" w:rsidRPr="007C1744">
        <w:rPr>
          <w:rFonts w:ascii="Times New Roman" w:hAnsi="Times New Roman" w:cs="Times New Roman"/>
          <w:sz w:val="24"/>
          <w:szCs w:val="24"/>
        </w:rPr>
        <w:t>2</w:t>
      </w:r>
      <w:r w:rsidRPr="008B437C">
        <w:rPr>
          <w:rFonts w:ascii="Times New Roman" w:hAnsi="Times New Roman" w:cs="Times New Roman"/>
          <w:sz w:val="24"/>
          <w:szCs w:val="24"/>
        </w:rPr>
        <w:t xml:space="preserve"> - Топ-5 сделок с участием российских компаний в январе-феврале 2017 года</w:t>
      </w:r>
    </w:p>
    <w:tbl>
      <w:tblPr>
        <w:tblW w:w="9600" w:type="dxa"/>
        <w:tblInd w:w="93" w:type="dxa"/>
        <w:tblLook w:val="04A0" w:firstRow="1" w:lastRow="0" w:firstColumn="1" w:lastColumn="0" w:noHBand="0" w:noVBand="1"/>
      </w:tblPr>
      <w:tblGrid>
        <w:gridCol w:w="328"/>
        <w:gridCol w:w="1040"/>
        <w:gridCol w:w="2034"/>
        <w:gridCol w:w="1731"/>
        <w:gridCol w:w="2399"/>
        <w:gridCol w:w="748"/>
        <w:gridCol w:w="1320"/>
      </w:tblGrid>
      <w:tr w:rsidR="0059775B" w:rsidRPr="008B437C" w:rsidTr="00E11D2C">
        <w:trPr>
          <w:trHeight w:val="255"/>
        </w:trPr>
        <w:tc>
          <w:tcPr>
            <w:tcW w:w="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Arial" w:eastAsia="Times New Roman" w:hAnsi="Arial" w:cs="Arial"/>
                <w:color w:val="000000"/>
                <w:sz w:val="20"/>
                <w:szCs w:val="20"/>
                <w:lang w:eastAsia="ru-RU"/>
              </w:rPr>
            </w:pPr>
            <w:r w:rsidRPr="008B437C">
              <w:rPr>
                <w:rFonts w:ascii="Arial" w:eastAsia="Times New Roman" w:hAnsi="Arial" w:cs="Arial"/>
                <w:color w:val="000000"/>
                <w:sz w:val="20"/>
                <w:szCs w:val="20"/>
                <w:lang w:eastAsia="ru-RU"/>
              </w:rPr>
              <w:t> </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Отрасль</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Объект сделки</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Продавцы</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Покупатели</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Пакет</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Стоимость, $ млн.</w:t>
            </w:r>
          </w:p>
        </w:tc>
      </w:tr>
      <w:tr w:rsidR="0059775B" w:rsidRPr="008B437C" w:rsidTr="00E11D2C">
        <w:trPr>
          <w:trHeight w:val="1020"/>
        </w:trPr>
        <w:tc>
          <w:tcPr>
            <w:tcW w:w="231" w:type="dxa"/>
            <w:tcBorders>
              <w:top w:val="nil"/>
              <w:left w:val="single" w:sz="4" w:space="0" w:color="auto"/>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Arial" w:eastAsia="Times New Roman" w:hAnsi="Arial" w:cs="Arial"/>
                <w:color w:val="000000"/>
                <w:sz w:val="20"/>
                <w:szCs w:val="20"/>
                <w:lang w:eastAsia="ru-RU"/>
              </w:rPr>
            </w:pPr>
            <w:r w:rsidRPr="008B437C">
              <w:rPr>
                <w:rFonts w:ascii="Arial" w:eastAsia="Times New Roman" w:hAnsi="Arial" w:cs="Arial"/>
                <w:color w:val="000000"/>
                <w:sz w:val="20"/>
                <w:szCs w:val="20"/>
                <w:lang w:eastAsia="ru-RU"/>
              </w:rPr>
              <w:t>1</w:t>
            </w:r>
          </w:p>
        </w:tc>
        <w:tc>
          <w:tcPr>
            <w:tcW w:w="1042"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Транспорт</w:t>
            </w:r>
          </w:p>
        </w:tc>
        <w:tc>
          <w:tcPr>
            <w:tcW w:w="2057"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ООО "УВЗ-Логистик"</w:t>
            </w:r>
          </w:p>
        </w:tc>
        <w:tc>
          <w:tcPr>
            <w:tcW w:w="1743"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ОАО "НПК "Уралвагонзавод", частные собственники</w:t>
            </w:r>
          </w:p>
        </w:tc>
        <w:tc>
          <w:tcPr>
            <w:tcW w:w="2423"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ООО "</w:t>
            </w:r>
            <w:proofErr w:type="spellStart"/>
            <w:r w:rsidRPr="008B437C">
              <w:rPr>
                <w:rFonts w:ascii="Times New Roman" w:eastAsia="Times New Roman" w:hAnsi="Times New Roman" w:cs="Times New Roman"/>
                <w:color w:val="000000"/>
                <w:sz w:val="18"/>
                <w:szCs w:val="20"/>
                <w:lang w:eastAsia="ru-RU"/>
              </w:rPr>
              <w:t>Тринфико</w:t>
            </w:r>
            <w:proofErr w:type="spellEnd"/>
            <w:r w:rsidRPr="008B437C">
              <w:rPr>
                <w:rFonts w:ascii="Times New Roman" w:eastAsia="Times New Roman" w:hAnsi="Times New Roman" w:cs="Times New Roman"/>
                <w:color w:val="000000"/>
                <w:sz w:val="18"/>
                <w:szCs w:val="20"/>
                <w:lang w:eastAsia="ru-RU"/>
              </w:rPr>
              <w:t xml:space="preserve"> </w:t>
            </w:r>
            <w:proofErr w:type="spellStart"/>
            <w:r w:rsidRPr="008B437C">
              <w:rPr>
                <w:rFonts w:ascii="Times New Roman" w:eastAsia="Times New Roman" w:hAnsi="Times New Roman" w:cs="Times New Roman"/>
                <w:color w:val="000000"/>
                <w:sz w:val="18"/>
                <w:szCs w:val="20"/>
                <w:lang w:eastAsia="ru-RU"/>
              </w:rPr>
              <w:t>Пропети</w:t>
            </w:r>
            <w:proofErr w:type="spellEnd"/>
            <w:r w:rsidRPr="008B437C">
              <w:rPr>
                <w:rFonts w:ascii="Times New Roman" w:eastAsia="Times New Roman" w:hAnsi="Times New Roman" w:cs="Times New Roman"/>
                <w:color w:val="000000"/>
                <w:sz w:val="18"/>
                <w:szCs w:val="20"/>
                <w:lang w:eastAsia="ru-RU"/>
              </w:rPr>
              <w:t xml:space="preserve"> Менеджмент"</w:t>
            </w:r>
          </w:p>
        </w:tc>
        <w:tc>
          <w:tcPr>
            <w:tcW w:w="756"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100%</w:t>
            </w:r>
          </w:p>
        </w:tc>
        <w:tc>
          <w:tcPr>
            <w:tcW w:w="1348"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2501,6</w:t>
            </w:r>
          </w:p>
        </w:tc>
      </w:tr>
      <w:tr w:rsidR="0059775B" w:rsidRPr="008B437C" w:rsidTr="00E11D2C">
        <w:trPr>
          <w:trHeight w:val="1020"/>
        </w:trPr>
        <w:tc>
          <w:tcPr>
            <w:tcW w:w="231" w:type="dxa"/>
            <w:tcBorders>
              <w:top w:val="nil"/>
              <w:left w:val="single" w:sz="4" w:space="0" w:color="auto"/>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Arial" w:eastAsia="Times New Roman" w:hAnsi="Arial" w:cs="Arial"/>
                <w:color w:val="000000"/>
                <w:sz w:val="20"/>
                <w:szCs w:val="20"/>
                <w:lang w:eastAsia="ru-RU"/>
              </w:rPr>
            </w:pPr>
            <w:r w:rsidRPr="008B437C">
              <w:rPr>
                <w:rFonts w:ascii="Arial" w:eastAsia="Times New Roman" w:hAnsi="Arial" w:cs="Arial"/>
                <w:color w:val="000000"/>
                <w:sz w:val="20"/>
                <w:szCs w:val="20"/>
                <w:lang w:eastAsia="ru-RU"/>
              </w:rPr>
              <w:t>2</w:t>
            </w:r>
          </w:p>
        </w:tc>
        <w:tc>
          <w:tcPr>
            <w:tcW w:w="1042"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ТЭК</w:t>
            </w:r>
          </w:p>
        </w:tc>
        <w:tc>
          <w:tcPr>
            <w:tcW w:w="2057"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 xml:space="preserve">Доли в НПЗ </w:t>
            </w:r>
            <w:proofErr w:type="spellStart"/>
            <w:r w:rsidRPr="008B437C">
              <w:rPr>
                <w:rFonts w:ascii="Times New Roman" w:eastAsia="Times New Roman" w:hAnsi="Times New Roman" w:cs="Times New Roman"/>
                <w:color w:val="000000"/>
                <w:sz w:val="18"/>
                <w:szCs w:val="20"/>
                <w:lang w:eastAsia="ru-RU"/>
              </w:rPr>
              <w:t>Bayernoil</w:t>
            </w:r>
            <w:proofErr w:type="spellEnd"/>
            <w:r w:rsidRPr="008B437C">
              <w:rPr>
                <w:rFonts w:ascii="Times New Roman" w:eastAsia="Times New Roman" w:hAnsi="Times New Roman" w:cs="Times New Roman"/>
                <w:color w:val="000000"/>
                <w:sz w:val="18"/>
                <w:szCs w:val="20"/>
                <w:lang w:eastAsia="ru-RU"/>
              </w:rPr>
              <w:t xml:space="preserve"> </w:t>
            </w:r>
            <w:proofErr w:type="spellStart"/>
            <w:r w:rsidRPr="008B437C">
              <w:rPr>
                <w:rFonts w:ascii="Times New Roman" w:eastAsia="Times New Roman" w:hAnsi="Times New Roman" w:cs="Times New Roman"/>
                <w:color w:val="000000"/>
                <w:sz w:val="18"/>
                <w:szCs w:val="20"/>
                <w:lang w:eastAsia="ru-RU"/>
              </w:rPr>
              <w:t>Rafineriegesellsschaft</w:t>
            </w:r>
            <w:proofErr w:type="spellEnd"/>
            <w:r w:rsidRPr="008B437C">
              <w:rPr>
                <w:rFonts w:ascii="Times New Roman" w:eastAsia="Times New Roman" w:hAnsi="Times New Roman" w:cs="Times New Roman"/>
                <w:color w:val="000000"/>
                <w:sz w:val="18"/>
                <w:szCs w:val="20"/>
                <w:lang w:eastAsia="ru-RU"/>
              </w:rPr>
              <w:t xml:space="preserve">, </w:t>
            </w:r>
            <w:proofErr w:type="spellStart"/>
            <w:r w:rsidRPr="008B437C">
              <w:rPr>
                <w:rFonts w:ascii="Times New Roman" w:eastAsia="Times New Roman" w:hAnsi="Times New Roman" w:cs="Times New Roman"/>
                <w:color w:val="000000"/>
                <w:sz w:val="18"/>
                <w:szCs w:val="20"/>
                <w:lang w:eastAsia="ru-RU"/>
              </w:rPr>
              <w:t>Mineraloelraffinerie</w:t>
            </w:r>
            <w:proofErr w:type="spellEnd"/>
            <w:r w:rsidRPr="008B437C">
              <w:rPr>
                <w:rFonts w:ascii="Times New Roman" w:eastAsia="Times New Roman" w:hAnsi="Times New Roman" w:cs="Times New Roman"/>
                <w:color w:val="000000"/>
                <w:sz w:val="18"/>
                <w:szCs w:val="20"/>
                <w:lang w:eastAsia="ru-RU"/>
              </w:rPr>
              <w:t xml:space="preserve"> </w:t>
            </w:r>
            <w:proofErr w:type="spellStart"/>
            <w:r w:rsidRPr="008B437C">
              <w:rPr>
                <w:rFonts w:ascii="Times New Roman" w:eastAsia="Times New Roman" w:hAnsi="Times New Roman" w:cs="Times New Roman"/>
                <w:color w:val="000000"/>
                <w:sz w:val="18"/>
                <w:szCs w:val="20"/>
                <w:lang w:eastAsia="ru-RU"/>
              </w:rPr>
              <w:t>Obberhein</w:t>
            </w:r>
            <w:proofErr w:type="spellEnd"/>
            <w:r w:rsidRPr="008B437C">
              <w:rPr>
                <w:rFonts w:ascii="Times New Roman" w:eastAsia="Times New Roman" w:hAnsi="Times New Roman" w:cs="Times New Roman"/>
                <w:color w:val="000000"/>
                <w:sz w:val="18"/>
                <w:szCs w:val="20"/>
                <w:lang w:eastAsia="ru-RU"/>
              </w:rPr>
              <w:t xml:space="preserve">, PCK </w:t>
            </w:r>
            <w:proofErr w:type="spellStart"/>
            <w:r w:rsidRPr="008B437C">
              <w:rPr>
                <w:rFonts w:ascii="Times New Roman" w:eastAsia="Times New Roman" w:hAnsi="Times New Roman" w:cs="Times New Roman"/>
                <w:color w:val="000000"/>
                <w:sz w:val="18"/>
                <w:szCs w:val="20"/>
                <w:lang w:eastAsia="ru-RU"/>
              </w:rPr>
              <w:t>Raffinerie</w:t>
            </w:r>
            <w:proofErr w:type="spellEnd"/>
            <w:r w:rsidRPr="008B437C">
              <w:rPr>
                <w:rFonts w:ascii="Times New Roman" w:eastAsia="Times New Roman" w:hAnsi="Times New Roman" w:cs="Times New Roman"/>
                <w:color w:val="000000"/>
                <w:sz w:val="18"/>
                <w:szCs w:val="20"/>
                <w:lang w:eastAsia="ru-RU"/>
              </w:rPr>
              <w:t xml:space="preserve"> (Германия)</w:t>
            </w:r>
          </w:p>
        </w:tc>
        <w:tc>
          <w:tcPr>
            <w:tcW w:w="1743"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 xml:space="preserve">BP </w:t>
            </w:r>
            <w:proofErr w:type="spellStart"/>
            <w:r w:rsidRPr="008B437C">
              <w:rPr>
                <w:rFonts w:ascii="Times New Roman" w:eastAsia="Times New Roman" w:hAnsi="Times New Roman" w:cs="Times New Roman"/>
                <w:color w:val="000000"/>
                <w:sz w:val="18"/>
                <w:szCs w:val="20"/>
                <w:lang w:eastAsia="ru-RU"/>
              </w:rPr>
              <w:t>Plc</w:t>
            </w:r>
            <w:proofErr w:type="spellEnd"/>
          </w:p>
        </w:tc>
        <w:tc>
          <w:tcPr>
            <w:tcW w:w="2423"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ПАО "НК "</w:t>
            </w:r>
            <w:proofErr w:type="spellStart"/>
            <w:r w:rsidRPr="008B437C">
              <w:rPr>
                <w:rFonts w:ascii="Times New Roman" w:eastAsia="Times New Roman" w:hAnsi="Times New Roman" w:cs="Times New Roman"/>
                <w:color w:val="000000"/>
                <w:sz w:val="18"/>
                <w:szCs w:val="20"/>
                <w:lang w:eastAsia="ru-RU"/>
              </w:rPr>
              <w:t>Росефть</w:t>
            </w:r>
            <w:proofErr w:type="spellEnd"/>
            <w:r w:rsidRPr="008B437C">
              <w:rPr>
                <w:rFonts w:ascii="Times New Roman" w:eastAsia="Times New Roman" w:hAnsi="Times New Roman" w:cs="Times New Roman"/>
                <w:color w:val="000000"/>
                <w:sz w:val="18"/>
                <w:szCs w:val="20"/>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12,5% 12% 18,7%</w:t>
            </w:r>
          </w:p>
        </w:tc>
        <w:tc>
          <w:tcPr>
            <w:tcW w:w="1348"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1522</w:t>
            </w:r>
          </w:p>
        </w:tc>
      </w:tr>
      <w:tr w:rsidR="0059775B" w:rsidRPr="008B437C" w:rsidTr="00E11D2C">
        <w:trPr>
          <w:trHeight w:val="797"/>
        </w:trPr>
        <w:tc>
          <w:tcPr>
            <w:tcW w:w="231" w:type="dxa"/>
            <w:tcBorders>
              <w:top w:val="nil"/>
              <w:left w:val="single" w:sz="4" w:space="0" w:color="auto"/>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Arial" w:eastAsia="Times New Roman" w:hAnsi="Arial" w:cs="Arial"/>
                <w:color w:val="000000"/>
                <w:sz w:val="20"/>
                <w:szCs w:val="20"/>
                <w:lang w:eastAsia="ru-RU"/>
              </w:rPr>
            </w:pPr>
            <w:r w:rsidRPr="008B437C">
              <w:rPr>
                <w:rFonts w:ascii="Arial" w:eastAsia="Times New Roman" w:hAnsi="Arial" w:cs="Arial"/>
                <w:color w:val="000000"/>
                <w:sz w:val="20"/>
                <w:szCs w:val="20"/>
                <w:lang w:eastAsia="ru-RU"/>
              </w:rPr>
              <w:t>3</w:t>
            </w:r>
          </w:p>
        </w:tc>
        <w:tc>
          <w:tcPr>
            <w:tcW w:w="1042"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Сельское хозяйство</w:t>
            </w:r>
          </w:p>
        </w:tc>
        <w:tc>
          <w:tcPr>
            <w:tcW w:w="2057"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 xml:space="preserve">ООО "Парус Агро </w:t>
            </w:r>
            <w:proofErr w:type="spellStart"/>
            <w:r w:rsidRPr="008B437C">
              <w:rPr>
                <w:rFonts w:ascii="Times New Roman" w:eastAsia="Times New Roman" w:hAnsi="Times New Roman" w:cs="Times New Roman"/>
                <w:color w:val="000000"/>
                <w:sz w:val="18"/>
                <w:szCs w:val="20"/>
                <w:lang w:eastAsia="ru-RU"/>
              </w:rPr>
              <w:t>Груп</w:t>
            </w:r>
            <w:proofErr w:type="spellEnd"/>
            <w:r w:rsidRPr="008B437C">
              <w:rPr>
                <w:rFonts w:ascii="Times New Roman" w:eastAsia="Times New Roman" w:hAnsi="Times New Roman" w:cs="Times New Roman"/>
                <w:color w:val="000000"/>
                <w:sz w:val="18"/>
                <w:szCs w:val="20"/>
                <w:lang w:eastAsia="ru-RU"/>
              </w:rPr>
              <w:t>" (</w:t>
            </w:r>
            <w:proofErr w:type="spellStart"/>
            <w:r w:rsidRPr="008B437C">
              <w:rPr>
                <w:rFonts w:ascii="Times New Roman" w:eastAsia="Times New Roman" w:hAnsi="Times New Roman" w:cs="Times New Roman"/>
                <w:color w:val="000000"/>
                <w:sz w:val="18"/>
                <w:szCs w:val="20"/>
                <w:lang w:eastAsia="ru-RU"/>
              </w:rPr>
              <w:t>Parus</w:t>
            </w:r>
            <w:proofErr w:type="spellEnd"/>
            <w:r w:rsidRPr="008B437C">
              <w:rPr>
                <w:rFonts w:ascii="Times New Roman" w:eastAsia="Times New Roman" w:hAnsi="Times New Roman" w:cs="Times New Roman"/>
                <w:color w:val="000000"/>
                <w:sz w:val="18"/>
                <w:szCs w:val="20"/>
                <w:lang w:eastAsia="ru-RU"/>
              </w:rPr>
              <w:t xml:space="preserve"> </w:t>
            </w:r>
            <w:proofErr w:type="spellStart"/>
            <w:r w:rsidRPr="008B437C">
              <w:rPr>
                <w:rFonts w:ascii="Times New Roman" w:eastAsia="Times New Roman" w:hAnsi="Times New Roman" w:cs="Times New Roman"/>
                <w:color w:val="000000"/>
                <w:sz w:val="18"/>
                <w:szCs w:val="20"/>
                <w:lang w:eastAsia="ru-RU"/>
              </w:rPr>
              <w:t>Agro</w:t>
            </w:r>
            <w:proofErr w:type="spellEnd"/>
            <w:r w:rsidRPr="008B437C">
              <w:rPr>
                <w:rFonts w:ascii="Times New Roman" w:eastAsia="Times New Roman" w:hAnsi="Times New Roman" w:cs="Times New Roman"/>
                <w:color w:val="000000"/>
                <w:sz w:val="18"/>
                <w:szCs w:val="20"/>
                <w:lang w:eastAsia="ru-RU"/>
              </w:rPr>
              <w:t>)</w:t>
            </w:r>
          </w:p>
        </w:tc>
        <w:tc>
          <w:tcPr>
            <w:tcW w:w="1743"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Структуры Андрея Муравьева, Николая Долгих</w:t>
            </w:r>
          </w:p>
        </w:tc>
        <w:tc>
          <w:tcPr>
            <w:tcW w:w="2423"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ЗАО "Фирма "Агрокомплекс им. Н.И. Ткачева"</w:t>
            </w:r>
          </w:p>
        </w:tc>
        <w:tc>
          <w:tcPr>
            <w:tcW w:w="756"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100%</w:t>
            </w:r>
          </w:p>
        </w:tc>
        <w:tc>
          <w:tcPr>
            <w:tcW w:w="1348"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345</w:t>
            </w:r>
          </w:p>
        </w:tc>
      </w:tr>
      <w:tr w:rsidR="0059775B" w:rsidRPr="008B437C" w:rsidTr="00E11D2C">
        <w:trPr>
          <w:trHeight w:val="837"/>
        </w:trPr>
        <w:tc>
          <w:tcPr>
            <w:tcW w:w="231" w:type="dxa"/>
            <w:tcBorders>
              <w:top w:val="nil"/>
              <w:left w:val="single" w:sz="4" w:space="0" w:color="auto"/>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Arial" w:eastAsia="Times New Roman" w:hAnsi="Arial" w:cs="Arial"/>
                <w:color w:val="000000"/>
                <w:sz w:val="20"/>
                <w:szCs w:val="20"/>
                <w:lang w:eastAsia="ru-RU"/>
              </w:rPr>
            </w:pPr>
            <w:r w:rsidRPr="008B437C">
              <w:rPr>
                <w:rFonts w:ascii="Arial" w:eastAsia="Times New Roman" w:hAnsi="Arial" w:cs="Arial"/>
                <w:color w:val="000000"/>
                <w:sz w:val="20"/>
                <w:szCs w:val="20"/>
                <w:lang w:eastAsia="ru-RU"/>
              </w:rPr>
              <w:t>4</w:t>
            </w:r>
          </w:p>
        </w:tc>
        <w:tc>
          <w:tcPr>
            <w:tcW w:w="1042"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СМИ</w:t>
            </w:r>
          </w:p>
        </w:tc>
        <w:tc>
          <w:tcPr>
            <w:tcW w:w="2057"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 xml:space="preserve">Группа компаний </w:t>
            </w:r>
            <w:proofErr w:type="spellStart"/>
            <w:r w:rsidRPr="008B437C">
              <w:rPr>
                <w:rFonts w:ascii="Times New Roman" w:eastAsia="Times New Roman" w:hAnsi="Times New Roman" w:cs="Times New Roman"/>
                <w:color w:val="000000"/>
                <w:sz w:val="18"/>
                <w:szCs w:val="20"/>
                <w:lang w:eastAsia="ru-RU"/>
              </w:rPr>
              <w:t>Rambler</w:t>
            </w:r>
            <w:proofErr w:type="spellEnd"/>
            <w:r w:rsidRPr="008B437C">
              <w:rPr>
                <w:rFonts w:ascii="Times New Roman" w:eastAsia="Times New Roman" w:hAnsi="Times New Roman" w:cs="Times New Roman"/>
                <w:color w:val="000000"/>
                <w:sz w:val="18"/>
                <w:szCs w:val="20"/>
                <w:lang w:eastAsia="ru-RU"/>
              </w:rPr>
              <w:t xml:space="preserve"> &amp; </w:t>
            </w:r>
            <w:proofErr w:type="spellStart"/>
            <w:r w:rsidRPr="008B437C">
              <w:rPr>
                <w:rFonts w:ascii="Times New Roman" w:eastAsia="Times New Roman" w:hAnsi="Times New Roman" w:cs="Times New Roman"/>
                <w:color w:val="000000"/>
                <w:sz w:val="18"/>
                <w:szCs w:val="20"/>
                <w:lang w:eastAsia="ru-RU"/>
              </w:rPr>
              <w:t>Co</w:t>
            </w:r>
            <w:proofErr w:type="spellEnd"/>
          </w:p>
        </w:tc>
        <w:tc>
          <w:tcPr>
            <w:tcW w:w="1743"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Группа "</w:t>
            </w:r>
            <w:proofErr w:type="spellStart"/>
            <w:r w:rsidRPr="008B437C">
              <w:rPr>
                <w:rFonts w:ascii="Times New Roman" w:eastAsia="Times New Roman" w:hAnsi="Times New Roman" w:cs="Times New Roman"/>
                <w:color w:val="000000"/>
                <w:sz w:val="18"/>
                <w:szCs w:val="20"/>
                <w:lang w:eastAsia="ru-RU"/>
              </w:rPr>
              <w:t>Интеррос</w:t>
            </w:r>
            <w:proofErr w:type="spellEnd"/>
            <w:r w:rsidRPr="008B437C">
              <w:rPr>
                <w:rFonts w:ascii="Times New Roman" w:eastAsia="Times New Roman" w:hAnsi="Times New Roman" w:cs="Times New Roman"/>
                <w:color w:val="000000"/>
                <w:sz w:val="18"/>
                <w:szCs w:val="20"/>
                <w:lang w:eastAsia="ru-RU"/>
              </w:rPr>
              <w:t>" (Владимир Потанин)</w:t>
            </w:r>
          </w:p>
        </w:tc>
        <w:tc>
          <w:tcPr>
            <w:tcW w:w="2423"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val="en-US" w:eastAsia="ru-RU"/>
              </w:rPr>
            </w:pPr>
            <w:r w:rsidRPr="008B437C">
              <w:rPr>
                <w:rFonts w:ascii="Times New Roman" w:eastAsia="Times New Roman" w:hAnsi="Times New Roman" w:cs="Times New Roman"/>
                <w:color w:val="000000"/>
                <w:sz w:val="18"/>
                <w:szCs w:val="20"/>
                <w:lang w:val="en-US" w:eastAsia="ru-RU"/>
              </w:rPr>
              <w:t>A&amp;NN Investments (</w:t>
            </w:r>
            <w:r w:rsidRPr="008B437C">
              <w:rPr>
                <w:rFonts w:ascii="Times New Roman" w:eastAsia="Times New Roman" w:hAnsi="Times New Roman" w:cs="Times New Roman"/>
                <w:color w:val="000000"/>
                <w:sz w:val="18"/>
                <w:szCs w:val="20"/>
                <w:lang w:eastAsia="ru-RU"/>
              </w:rPr>
              <w:t>Александр</w:t>
            </w:r>
            <w:r w:rsidRPr="008B437C">
              <w:rPr>
                <w:rFonts w:ascii="Times New Roman" w:eastAsia="Times New Roman" w:hAnsi="Times New Roman" w:cs="Times New Roman"/>
                <w:color w:val="000000"/>
                <w:sz w:val="18"/>
                <w:szCs w:val="20"/>
                <w:lang w:val="en-US" w:eastAsia="ru-RU"/>
              </w:rPr>
              <w:t xml:space="preserve"> </w:t>
            </w:r>
            <w:proofErr w:type="spellStart"/>
            <w:r w:rsidRPr="008B437C">
              <w:rPr>
                <w:rFonts w:ascii="Times New Roman" w:eastAsia="Times New Roman" w:hAnsi="Times New Roman" w:cs="Times New Roman"/>
                <w:color w:val="000000"/>
                <w:sz w:val="18"/>
                <w:szCs w:val="20"/>
                <w:lang w:eastAsia="ru-RU"/>
              </w:rPr>
              <w:t>Мамут</w:t>
            </w:r>
            <w:proofErr w:type="spellEnd"/>
            <w:r w:rsidRPr="008B437C">
              <w:rPr>
                <w:rFonts w:ascii="Times New Roman" w:eastAsia="Times New Roman" w:hAnsi="Times New Roman" w:cs="Times New Roman"/>
                <w:color w:val="000000"/>
                <w:sz w:val="18"/>
                <w:szCs w:val="20"/>
                <w:lang w:val="en-US"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50%</w:t>
            </w:r>
          </w:p>
        </w:tc>
        <w:tc>
          <w:tcPr>
            <w:tcW w:w="1348"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295</w:t>
            </w:r>
          </w:p>
        </w:tc>
      </w:tr>
      <w:tr w:rsidR="0059775B" w:rsidRPr="008B437C" w:rsidTr="00E11D2C">
        <w:trPr>
          <w:trHeight w:val="848"/>
        </w:trPr>
        <w:tc>
          <w:tcPr>
            <w:tcW w:w="231" w:type="dxa"/>
            <w:tcBorders>
              <w:top w:val="nil"/>
              <w:left w:val="single" w:sz="4" w:space="0" w:color="auto"/>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Arial" w:eastAsia="Times New Roman" w:hAnsi="Arial" w:cs="Arial"/>
                <w:color w:val="000000"/>
                <w:sz w:val="20"/>
                <w:szCs w:val="20"/>
                <w:lang w:eastAsia="ru-RU"/>
              </w:rPr>
            </w:pPr>
            <w:r w:rsidRPr="008B437C">
              <w:rPr>
                <w:rFonts w:ascii="Arial" w:eastAsia="Times New Roman" w:hAnsi="Arial" w:cs="Arial"/>
                <w:color w:val="000000"/>
                <w:sz w:val="20"/>
                <w:szCs w:val="20"/>
                <w:lang w:eastAsia="ru-RU"/>
              </w:rPr>
              <w:t>5</w:t>
            </w:r>
          </w:p>
        </w:tc>
        <w:tc>
          <w:tcPr>
            <w:tcW w:w="1042"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Сельское хозяйство</w:t>
            </w:r>
          </w:p>
        </w:tc>
        <w:tc>
          <w:tcPr>
            <w:tcW w:w="2057"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ГК "</w:t>
            </w:r>
            <w:r>
              <w:rPr>
                <w:rFonts w:ascii="Times New Roman" w:eastAsia="Times New Roman" w:hAnsi="Times New Roman" w:cs="Times New Roman"/>
                <w:color w:val="000000"/>
                <w:sz w:val="18"/>
                <w:szCs w:val="20"/>
                <w:lang w:eastAsia="ru-RU"/>
              </w:rPr>
              <w:t>Агро-</w:t>
            </w:r>
            <w:proofErr w:type="spellStart"/>
            <w:r>
              <w:rPr>
                <w:rFonts w:ascii="Times New Roman" w:eastAsia="Times New Roman" w:hAnsi="Times New Roman" w:cs="Times New Roman"/>
                <w:color w:val="000000"/>
                <w:sz w:val="18"/>
                <w:szCs w:val="20"/>
                <w:lang w:eastAsia="ru-RU"/>
              </w:rPr>
              <w:t>инвест</w:t>
            </w:r>
            <w:proofErr w:type="spellEnd"/>
            <w:r>
              <w:rPr>
                <w:rFonts w:ascii="Times New Roman" w:eastAsia="Times New Roman" w:hAnsi="Times New Roman" w:cs="Times New Roman"/>
                <w:color w:val="000000"/>
                <w:sz w:val="18"/>
                <w:szCs w:val="20"/>
                <w:lang w:eastAsia="ru-RU"/>
              </w:rPr>
              <w:t>»</w:t>
            </w:r>
          </w:p>
        </w:tc>
        <w:tc>
          <w:tcPr>
            <w:tcW w:w="1743"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proofErr w:type="spellStart"/>
            <w:r w:rsidRPr="008B437C">
              <w:rPr>
                <w:rFonts w:ascii="Times New Roman" w:eastAsia="Times New Roman" w:hAnsi="Times New Roman" w:cs="Times New Roman"/>
                <w:color w:val="000000"/>
                <w:sz w:val="18"/>
                <w:szCs w:val="20"/>
                <w:lang w:eastAsia="ru-RU"/>
              </w:rPr>
              <w:t>Black</w:t>
            </w:r>
            <w:proofErr w:type="spellEnd"/>
            <w:r w:rsidRPr="008B437C">
              <w:rPr>
                <w:rFonts w:ascii="Times New Roman" w:eastAsia="Times New Roman" w:hAnsi="Times New Roman" w:cs="Times New Roman"/>
                <w:color w:val="000000"/>
                <w:sz w:val="18"/>
                <w:szCs w:val="20"/>
                <w:lang w:eastAsia="ru-RU"/>
              </w:rPr>
              <w:t xml:space="preserve"> </w:t>
            </w:r>
            <w:proofErr w:type="spellStart"/>
            <w:r w:rsidRPr="008B437C">
              <w:rPr>
                <w:rFonts w:ascii="Times New Roman" w:eastAsia="Times New Roman" w:hAnsi="Times New Roman" w:cs="Times New Roman"/>
                <w:color w:val="000000"/>
                <w:sz w:val="18"/>
                <w:szCs w:val="20"/>
                <w:lang w:eastAsia="ru-RU"/>
              </w:rPr>
              <w:t>Earth</w:t>
            </w:r>
            <w:proofErr w:type="spellEnd"/>
            <w:r w:rsidRPr="008B437C">
              <w:rPr>
                <w:rFonts w:ascii="Times New Roman" w:eastAsia="Times New Roman" w:hAnsi="Times New Roman" w:cs="Times New Roman"/>
                <w:color w:val="000000"/>
                <w:sz w:val="18"/>
                <w:szCs w:val="20"/>
                <w:lang w:eastAsia="ru-RU"/>
              </w:rPr>
              <w:t xml:space="preserve"> </w:t>
            </w:r>
            <w:proofErr w:type="spellStart"/>
            <w:r w:rsidRPr="008B437C">
              <w:rPr>
                <w:rFonts w:ascii="Times New Roman" w:eastAsia="Times New Roman" w:hAnsi="Times New Roman" w:cs="Times New Roman"/>
                <w:color w:val="000000"/>
                <w:sz w:val="18"/>
                <w:szCs w:val="20"/>
                <w:lang w:eastAsia="ru-RU"/>
              </w:rPr>
              <w:t>Farming</w:t>
            </w:r>
            <w:proofErr w:type="spellEnd"/>
            <w:r w:rsidRPr="008B437C">
              <w:rPr>
                <w:rFonts w:ascii="Times New Roman" w:eastAsia="Times New Roman" w:hAnsi="Times New Roman" w:cs="Times New Roman"/>
                <w:color w:val="000000"/>
                <w:sz w:val="18"/>
                <w:szCs w:val="20"/>
                <w:lang w:eastAsia="ru-RU"/>
              </w:rPr>
              <w:t xml:space="preserve"> </w:t>
            </w:r>
            <w:proofErr w:type="spellStart"/>
            <w:r w:rsidRPr="008B437C">
              <w:rPr>
                <w:rFonts w:ascii="Times New Roman" w:eastAsia="Times New Roman" w:hAnsi="Times New Roman" w:cs="Times New Roman"/>
                <w:color w:val="000000"/>
                <w:sz w:val="18"/>
                <w:szCs w:val="20"/>
                <w:lang w:eastAsia="ru-RU"/>
              </w:rPr>
              <w:t>Ltd</w:t>
            </w:r>
            <w:proofErr w:type="spellEnd"/>
          </w:p>
        </w:tc>
        <w:tc>
          <w:tcPr>
            <w:tcW w:w="2423"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proofErr w:type="gramStart"/>
            <w:r w:rsidRPr="008B437C">
              <w:rPr>
                <w:rFonts w:ascii="Times New Roman" w:eastAsia="Times New Roman" w:hAnsi="Times New Roman" w:cs="Times New Roman"/>
                <w:color w:val="000000"/>
                <w:sz w:val="18"/>
                <w:szCs w:val="20"/>
                <w:lang w:eastAsia="ru-RU"/>
              </w:rPr>
              <w:t>ООО "</w:t>
            </w:r>
            <w:proofErr w:type="spellStart"/>
            <w:r w:rsidRPr="008B437C">
              <w:rPr>
                <w:rFonts w:ascii="Times New Roman" w:eastAsia="Times New Roman" w:hAnsi="Times New Roman" w:cs="Times New Roman"/>
                <w:color w:val="000000"/>
                <w:sz w:val="18"/>
                <w:szCs w:val="20"/>
                <w:lang w:eastAsia="ru-RU"/>
              </w:rPr>
              <w:t>Волгодонсельхозинвест</w:t>
            </w:r>
            <w:proofErr w:type="spellEnd"/>
            <w:r w:rsidRPr="008B437C">
              <w:rPr>
                <w:rFonts w:ascii="Times New Roman" w:eastAsia="Times New Roman" w:hAnsi="Times New Roman" w:cs="Times New Roman"/>
                <w:color w:val="000000"/>
                <w:sz w:val="18"/>
                <w:szCs w:val="20"/>
                <w:lang w:eastAsia="ru-RU"/>
              </w:rPr>
              <w:t xml:space="preserve">" (Сергей </w:t>
            </w:r>
            <w:proofErr w:type="spellStart"/>
            <w:r w:rsidRPr="008B437C">
              <w:rPr>
                <w:rFonts w:ascii="Times New Roman" w:eastAsia="Times New Roman" w:hAnsi="Times New Roman" w:cs="Times New Roman"/>
                <w:color w:val="000000"/>
                <w:sz w:val="18"/>
                <w:szCs w:val="20"/>
                <w:lang w:eastAsia="ru-RU"/>
              </w:rPr>
              <w:t>Кукура</w:t>
            </w:r>
            <w:proofErr w:type="spellEnd"/>
            <w:r w:rsidRPr="008B437C">
              <w:rPr>
                <w:rFonts w:ascii="Times New Roman" w:eastAsia="Times New Roman" w:hAnsi="Times New Roman" w:cs="Times New Roman"/>
                <w:color w:val="000000"/>
                <w:sz w:val="18"/>
                <w:szCs w:val="20"/>
                <w:lang w:eastAsia="ru-RU"/>
              </w:rPr>
              <w:t>"</w:t>
            </w:r>
            <w:proofErr w:type="gramEnd"/>
          </w:p>
        </w:tc>
        <w:tc>
          <w:tcPr>
            <w:tcW w:w="756"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100%</w:t>
            </w:r>
          </w:p>
        </w:tc>
        <w:tc>
          <w:tcPr>
            <w:tcW w:w="1348" w:type="dxa"/>
            <w:tcBorders>
              <w:top w:val="nil"/>
              <w:left w:val="nil"/>
              <w:bottom w:val="single" w:sz="4" w:space="0" w:color="auto"/>
              <w:right w:val="single" w:sz="4" w:space="0" w:color="auto"/>
            </w:tcBorders>
            <w:shd w:val="clear" w:color="auto" w:fill="auto"/>
            <w:vAlign w:val="center"/>
            <w:hideMark/>
          </w:tcPr>
          <w:p w:rsidR="0059775B" w:rsidRPr="008B437C" w:rsidRDefault="0059775B" w:rsidP="00E11D2C">
            <w:pPr>
              <w:spacing w:after="0" w:line="240" w:lineRule="auto"/>
              <w:jc w:val="center"/>
              <w:rPr>
                <w:rFonts w:ascii="Times New Roman" w:eastAsia="Times New Roman" w:hAnsi="Times New Roman" w:cs="Times New Roman"/>
                <w:color w:val="000000"/>
                <w:sz w:val="18"/>
                <w:szCs w:val="20"/>
                <w:lang w:eastAsia="ru-RU"/>
              </w:rPr>
            </w:pPr>
            <w:r w:rsidRPr="008B437C">
              <w:rPr>
                <w:rFonts w:ascii="Times New Roman" w:eastAsia="Times New Roman" w:hAnsi="Times New Roman" w:cs="Times New Roman"/>
                <w:color w:val="000000"/>
                <w:sz w:val="18"/>
                <w:szCs w:val="20"/>
                <w:lang w:eastAsia="ru-RU"/>
              </w:rPr>
              <w:t>184</w:t>
            </w:r>
          </w:p>
        </w:tc>
      </w:tr>
    </w:tbl>
    <w:p w:rsidR="0059775B" w:rsidRDefault="0059775B" w:rsidP="0059775B">
      <w:pPr>
        <w:spacing w:after="240" w:line="360" w:lineRule="auto"/>
        <w:jc w:val="both"/>
        <w:rPr>
          <w:rFonts w:ascii="Times New Roman" w:hAnsi="Times New Roman" w:cs="Times New Roman"/>
          <w:sz w:val="24"/>
          <w:szCs w:val="24"/>
        </w:rPr>
      </w:pPr>
    </w:p>
    <w:p w:rsidR="0059775B" w:rsidRDefault="0059775B" w:rsidP="0059775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Источник: </w:t>
      </w:r>
      <w:r w:rsidRPr="0040300F">
        <w:rPr>
          <w:rFonts w:ascii="Times New Roman" w:hAnsi="Times New Roman" w:cs="Times New Roman"/>
          <w:sz w:val="24"/>
          <w:szCs w:val="24"/>
        </w:rPr>
        <w:t>Информационное агентство AK&amp;M. Рынок слияний и поглощений. Январь - февраль 2017 года.</w:t>
      </w:r>
    </w:p>
    <w:p w:rsidR="0059775B" w:rsidRPr="005F1A75" w:rsidRDefault="0059775B" w:rsidP="0059775B">
      <w:pPr>
        <w:spacing w:after="240" w:line="360" w:lineRule="auto"/>
        <w:ind w:firstLine="709"/>
        <w:jc w:val="both"/>
        <w:rPr>
          <w:rFonts w:ascii="Times New Roman" w:hAnsi="Times New Roman" w:cs="Times New Roman"/>
          <w:sz w:val="24"/>
          <w:szCs w:val="24"/>
        </w:rPr>
      </w:pPr>
      <w:r w:rsidRPr="005F1A75">
        <w:rPr>
          <w:rFonts w:ascii="Times New Roman" w:hAnsi="Times New Roman" w:cs="Times New Roman"/>
          <w:sz w:val="24"/>
          <w:szCs w:val="24"/>
        </w:rPr>
        <w:t xml:space="preserve">В соответствии с аналитическим отчетом международной консалтинговой компании </w:t>
      </w:r>
      <w:proofErr w:type="spellStart"/>
      <w:r w:rsidRPr="005F1A75">
        <w:rPr>
          <w:rFonts w:ascii="Times New Roman" w:hAnsi="Times New Roman" w:cs="Times New Roman"/>
          <w:sz w:val="24"/>
          <w:szCs w:val="24"/>
        </w:rPr>
        <w:t>Deloitte</w:t>
      </w:r>
      <w:proofErr w:type="spellEnd"/>
      <w:r w:rsidRPr="005F1A75">
        <w:rPr>
          <w:rFonts w:ascii="Times New Roman" w:hAnsi="Times New Roman" w:cs="Times New Roman"/>
          <w:sz w:val="24"/>
          <w:szCs w:val="24"/>
        </w:rPr>
        <w:t xml:space="preserve"> о рынке M&amp;A в нефтегазовой отрасли, в 2016 году объем </w:t>
      </w:r>
      <w:proofErr w:type="gramStart"/>
      <w:r w:rsidRPr="005F1A75">
        <w:rPr>
          <w:rFonts w:ascii="Times New Roman" w:hAnsi="Times New Roman" w:cs="Times New Roman"/>
          <w:sz w:val="24"/>
          <w:szCs w:val="24"/>
        </w:rPr>
        <w:t>сделок</w:t>
      </w:r>
      <w:proofErr w:type="gramEnd"/>
      <w:r w:rsidRPr="005F1A75">
        <w:rPr>
          <w:rFonts w:ascii="Times New Roman" w:hAnsi="Times New Roman" w:cs="Times New Roman"/>
          <w:sz w:val="24"/>
          <w:szCs w:val="24"/>
        </w:rPr>
        <w:t xml:space="preserve"> как по количеству, так и по объему по сравнению с 2015 годом значительно вырос, несмотря на низкие цены на углеводородное сырье. Это обусловлено изменениями конъюнктуры рынка и большим количеством крупных финансовых контрактов.</w:t>
      </w:r>
      <w:r>
        <w:rPr>
          <w:rStyle w:val="a7"/>
          <w:rFonts w:ascii="Times New Roman" w:hAnsi="Times New Roman" w:cs="Times New Roman"/>
          <w:sz w:val="24"/>
          <w:szCs w:val="24"/>
        </w:rPr>
        <w:footnoteReference w:id="15"/>
      </w:r>
    </w:p>
    <w:p w:rsidR="0059775B" w:rsidRPr="00486E04" w:rsidRDefault="0059775B" w:rsidP="0059775B">
      <w:pPr>
        <w:spacing w:after="240" w:line="360" w:lineRule="auto"/>
        <w:ind w:firstLine="709"/>
        <w:jc w:val="both"/>
        <w:rPr>
          <w:rFonts w:ascii="Times New Roman" w:hAnsi="Times New Roman" w:cs="Times New Roman"/>
          <w:sz w:val="24"/>
          <w:szCs w:val="24"/>
        </w:rPr>
      </w:pPr>
      <w:r w:rsidRPr="00486E04">
        <w:rPr>
          <w:rFonts w:ascii="Times New Roman" w:hAnsi="Times New Roman" w:cs="Times New Roman"/>
          <w:sz w:val="24"/>
          <w:szCs w:val="24"/>
        </w:rPr>
        <w:t>В нефтегазовой отрасли в прошлом году было осуществлено семь транзакций на рекордную сумму, которая превышала $10 млрд. Впервые транспортные операции в нефтегазовой отрасли (</w:t>
      </w:r>
      <w:proofErr w:type="spellStart"/>
      <w:r w:rsidRPr="00486E04">
        <w:rPr>
          <w:rFonts w:ascii="Times New Roman" w:hAnsi="Times New Roman" w:cs="Times New Roman"/>
          <w:sz w:val="24"/>
          <w:szCs w:val="24"/>
        </w:rPr>
        <w:t>midstream</w:t>
      </w:r>
      <w:proofErr w:type="spellEnd"/>
      <w:r w:rsidRPr="00486E04">
        <w:rPr>
          <w:rFonts w:ascii="Times New Roman" w:hAnsi="Times New Roman" w:cs="Times New Roman"/>
          <w:sz w:val="24"/>
          <w:szCs w:val="24"/>
        </w:rPr>
        <w:t xml:space="preserve">) обогнали сектор </w:t>
      </w:r>
      <w:proofErr w:type="spellStart"/>
      <w:r w:rsidRPr="00486E04">
        <w:rPr>
          <w:rFonts w:ascii="Times New Roman" w:hAnsi="Times New Roman" w:cs="Times New Roman"/>
          <w:sz w:val="24"/>
          <w:szCs w:val="24"/>
        </w:rPr>
        <w:t>upstream</w:t>
      </w:r>
      <w:proofErr w:type="spellEnd"/>
      <w:r w:rsidRPr="00486E04">
        <w:rPr>
          <w:rFonts w:ascii="Times New Roman" w:hAnsi="Times New Roman" w:cs="Times New Roman"/>
          <w:sz w:val="24"/>
          <w:szCs w:val="24"/>
        </w:rPr>
        <w:t xml:space="preserve">, который включает в себя геологоразведочные работы нефти и газа и весь производственный процесс по добыче нефти и попутного газа, по общим объемам сделок, несмотря на </w:t>
      </w:r>
      <w:proofErr w:type="gramStart"/>
      <w:r w:rsidRPr="00486E04">
        <w:rPr>
          <w:rFonts w:ascii="Times New Roman" w:hAnsi="Times New Roman" w:cs="Times New Roman"/>
          <w:sz w:val="24"/>
          <w:szCs w:val="24"/>
        </w:rPr>
        <w:t>то</w:t>
      </w:r>
      <w:proofErr w:type="gramEnd"/>
      <w:r w:rsidRPr="00486E04">
        <w:rPr>
          <w:rFonts w:ascii="Times New Roman" w:hAnsi="Times New Roman" w:cs="Times New Roman"/>
          <w:sz w:val="24"/>
          <w:szCs w:val="24"/>
        </w:rPr>
        <w:t xml:space="preserve"> что нефтепереработка и нефтепромысловый сервис (</w:t>
      </w:r>
      <w:proofErr w:type="spellStart"/>
      <w:r w:rsidRPr="00486E04">
        <w:rPr>
          <w:rFonts w:ascii="Times New Roman" w:hAnsi="Times New Roman" w:cs="Times New Roman"/>
          <w:sz w:val="24"/>
          <w:szCs w:val="24"/>
        </w:rPr>
        <w:t>downstream</w:t>
      </w:r>
      <w:proofErr w:type="spellEnd"/>
      <w:r w:rsidRPr="00486E04">
        <w:rPr>
          <w:rFonts w:ascii="Times New Roman" w:hAnsi="Times New Roman" w:cs="Times New Roman"/>
          <w:sz w:val="24"/>
          <w:szCs w:val="24"/>
        </w:rPr>
        <w:t xml:space="preserve">) являлись ее основными драйверами. В отчете компании </w:t>
      </w:r>
      <w:proofErr w:type="spellStart"/>
      <w:r w:rsidRPr="00486E04">
        <w:rPr>
          <w:rFonts w:ascii="Times New Roman" w:hAnsi="Times New Roman" w:cs="Times New Roman"/>
          <w:sz w:val="24"/>
          <w:szCs w:val="24"/>
        </w:rPr>
        <w:t>Deloitte</w:t>
      </w:r>
      <w:proofErr w:type="spellEnd"/>
      <w:r w:rsidRPr="00486E04">
        <w:rPr>
          <w:rFonts w:ascii="Times New Roman" w:hAnsi="Times New Roman" w:cs="Times New Roman"/>
          <w:sz w:val="24"/>
          <w:szCs w:val="24"/>
        </w:rPr>
        <w:t xml:space="preserve"> было отмечено, что «в целом итоги 2016 года существенно превзошли </w:t>
      </w:r>
      <w:r w:rsidRPr="00486E04">
        <w:rPr>
          <w:rFonts w:ascii="Times New Roman" w:hAnsi="Times New Roman" w:cs="Times New Roman"/>
          <w:sz w:val="24"/>
          <w:szCs w:val="24"/>
        </w:rPr>
        <w:lastRenderedPageBreak/>
        <w:t>ожидания многих экспертов и, кроме того, объемы сделок по слиянию и поглощению среди нефтегазовых компаний существенно превысили показатели 2015 года».</w:t>
      </w:r>
      <w:r w:rsidRPr="00486E04">
        <w:rPr>
          <w:rStyle w:val="a7"/>
          <w:rFonts w:ascii="Times New Roman" w:hAnsi="Times New Roman" w:cs="Times New Roman"/>
          <w:sz w:val="24"/>
          <w:szCs w:val="24"/>
        </w:rPr>
        <w:footnoteReference w:id="16"/>
      </w:r>
    </w:p>
    <w:p w:rsidR="0059775B" w:rsidRPr="000F641F" w:rsidRDefault="0059775B" w:rsidP="0059775B">
      <w:pPr>
        <w:spacing w:after="240" w:line="360" w:lineRule="auto"/>
        <w:ind w:firstLine="709"/>
        <w:jc w:val="both"/>
        <w:rPr>
          <w:rFonts w:ascii="Times New Roman" w:hAnsi="Times New Roman" w:cs="Times New Roman"/>
          <w:sz w:val="24"/>
          <w:szCs w:val="24"/>
        </w:rPr>
      </w:pPr>
      <w:proofErr w:type="spellStart"/>
      <w:proofErr w:type="gramStart"/>
      <w:r w:rsidRPr="000F641F">
        <w:rPr>
          <w:rFonts w:ascii="Times New Roman" w:hAnsi="Times New Roman" w:cs="Times New Roman"/>
          <w:sz w:val="24"/>
          <w:szCs w:val="24"/>
          <w:lang w:val="en-US"/>
        </w:rPr>
        <w:t>Upstraem</w:t>
      </w:r>
      <w:proofErr w:type="spellEnd"/>
      <w:r w:rsidRPr="000F641F">
        <w:rPr>
          <w:rFonts w:ascii="Times New Roman" w:hAnsi="Times New Roman" w:cs="Times New Roman"/>
          <w:sz w:val="24"/>
          <w:szCs w:val="24"/>
          <w:lang w:val="en-US"/>
        </w:rPr>
        <w:t xml:space="preserve"> (exploration and production (E&amp;P) sector).</w:t>
      </w:r>
      <w:proofErr w:type="gramEnd"/>
      <w:r w:rsidRPr="000F641F">
        <w:rPr>
          <w:rFonts w:ascii="Times New Roman" w:hAnsi="Times New Roman" w:cs="Times New Roman"/>
          <w:sz w:val="24"/>
          <w:szCs w:val="24"/>
          <w:lang w:val="en-US"/>
        </w:rPr>
        <w:t xml:space="preserve"> </w:t>
      </w:r>
      <w:r w:rsidRPr="000F641F">
        <w:rPr>
          <w:rFonts w:ascii="Times New Roman" w:hAnsi="Times New Roman" w:cs="Times New Roman"/>
          <w:sz w:val="24"/>
          <w:szCs w:val="24"/>
        </w:rPr>
        <w:t xml:space="preserve">В начале 2016 года количество сделок по слиянию и поглощению было незначительным, тем не менее, их объем существенно превысил показатели 2015 года. Малые и средние фирмы также как и крупные игроки в области геологоразведки и добычи нефти и газа, наряду с вертикально </w:t>
      </w:r>
      <w:proofErr w:type="gramStart"/>
      <w:r w:rsidRPr="000F641F">
        <w:rPr>
          <w:rFonts w:ascii="Times New Roman" w:hAnsi="Times New Roman" w:cs="Times New Roman"/>
          <w:sz w:val="24"/>
          <w:szCs w:val="24"/>
        </w:rPr>
        <w:t>интегрированными</w:t>
      </w:r>
      <w:proofErr w:type="gramEnd"/>
      <w:r w:rsidRPr="000F641F">
        <w:rPr>
          <w:rFonts w:ascii="Times New Roman" w:hAnsi="Times New Roman" w:cs="Times New Roman"/>
          <w:sz w:val="24"/>
          <w:szCs w:val="24"/>
        </w:rPr>
        <w:t xml:space="preserve"> нефтяными компании (ВИНК) активизировали свою деятельность. В 2016 году в США рынок сделок </w:t>
      </w:r>
      <w:r w:rsidRPr="000F641F">
        <w:rPr>
          <w:rFonts w:ascii="Times New Roman" w:hAnsi="Times New Roman" w:cs="Times New Roman"/>
          <w:sz w:val="24"/>
          <w:szCs w:val="24"/>
          <w:lang w:val="en-US"/>
        </w:rPr>
        <w:t>M</w:t>
      </w:r>
      <w:r w:rsidRPr="000F641F">
        <w:rPr>
          <w:rFonts w:ascii="Times New Roman" w:hAnsi="Times New Roman" w:cs="Times New Roman"/>
          <w:sz w:val="24"/>
          <w:szCs w:val="24"/>
        </w:rPr>
        <w:t>&amp;</w:t>
      </w:r>
      <w:r w:rsidRPr="000F641F">
        <w:rPr>
          <w:rFonts w:ascii="Times New Roman" w:hAnsi="Times New Roman" w:cs="Times New Roman"/>
          <w:sz w:val="24"/>
          <w:szCs w:val="24"/>
          <w:lang w:val="en-US"/>
        </w:rPr>
        <w:t>A</w:t>
      </w:r>
      <w:r w:rsidRPr="000F641F">
        <w:rPr>
          <w:rFonts w:ascii="Times New Roman" w:hAnsi="Times New Roman" w:cs="Times New Roman"/>
          <w:sz w:val="24"/>
          <w:szCs w:val="24"/>
        </w:rPr>
        <w:t xml:space="preserve"> продемонстрировал 100%-й прирост по объему контрактов, и данный прирост составил $60 млрд. Более того, в 2016 году и Россия также присоединилась к общему тренду. Относительно рынка разведки, разработки и добычи, в начале 2015 года он был достаточно слабым, и </w:t>
      </w:r>
      <w:r w:rsidRPr="000F641F">
        <w:rPr>
          <w:rFonts w:ascii="Times New Roman" w:hAnsi="Times New Roman" w:cs="Times New Roman"/>
          <w:sz w:val="24"/>
          <w:szCs w:val="24"/>
          <w:lang w:val="en-US"/>
        </w:rPr>
        <w:t>M</w:t>
      </w:r>
      <w:r w:rsidRPr="000F641F">
        <w:rPr>
          <w:rFonts w:ascii="Times New Roman" w:hAnsi="Times New Roman" w:cs="Times New Roman"/>
          <w:sz w:val="24"/>
          <w:szCs w:val="24"/>
        </w:rPr>
        <w:t>&amp;</w:t>
      </w:r>
      <w:r w:rsidRPr="000F641F">
        <w:rPr>
          <w:rFonts w:ascii="Times New Roman" w:hAnsi="Times New Roman" w:cs="Times New Roman"/>
          <w:sz w:val="24"/>
          <w:szCs w:val="24"/>
          <w:lang w:val="en-US"/>
        </w:rPr>
        <w:t>A</w:t>
      </w:r>
      <w:r w:rsidRPr="000F641F">
        <w:rPr>
          <w:rFonts w:ascii="Times New Roman" w:hAnsi="Times New Roman" w:cs="Times New Roman"/>
          <w:sz w:val="24"/>
          <w:szCs w:val="24"/>
        </w:rPr>
        <w:t xml:space="preserve">-активность была на довольно низком уровне. Покупатели предпочитали приобретать предприятия, занимающиеся добычей, но не находящиеся в разработке месторождения. Во втором квартале 2016 года игроки, уверенные в том, что цены на углеводородное сырье стабилизировались, стали покупать более рискованные активы, в том числе </w:t>
      </w:r>
      <w:proofErr w:type="spellStart"/>
      <w:r w:rsidRPr="000F641F">
        <w:rPr>
          <w:rFonts w:ascii="Times New Roman" w:hAnsi="Times New Roman" w:cs="Times New Roman"/>
          <w:sz w:val="24"/>
          <w:szCs w:val="24"/>
        </w:rPr>
        <w:t>слабоосвоенные</w:t>
      </w:r>
      <w:proofErr w:type="spellEnd"/>
      <w:r w:rsidRPr="000F641F">
        <w:rPr>
          <w:rFonts w:ascii="Times New Roman" w:hAnsi="Times New Roman" w:cs="Times New Roman"/>
          <w:sz w:val="24"/>
          <w:szCs w:val="24"/>
        </w:rPr>
        <w:t xml:space="preserve"> и даже </w:t>
      </w:r>
      <w:proofErr w:type="spellStart"/>
      <w:r w:rsidRPr="000F641F">
        <w:rPr>
          <w:rFonts w:ascii="Times New Roman" w:hAnsi="Times New Roman" w:cs="Times New Roman"/>
          <w:sz w:val="24"/>
          <w:szCs w:val="24"/>
        </w:rPr>
        <w:t>низкопродуктивные</w:t>
      </w:r>
      <w:proofErr w:type="spellEnd"/>
      <w:r w:rsidRPr="000F641F">
        <w:rPr>
          <w:rFonts w:ascii="Times New Roman" w:hAnsi="Times New Roman" w:cs="Times New Roman"/>
          <w:sz w:val="24"/>
          <w:szCs w:val="24"/>
        </w:rPr>
        <w:t xml:space="preserve"> месторождения.</w:t>
      </w:r>
    </w:p>
    <w:p w:rsidR="0059775B" w:rsidRPr="000F641F" w:rsidRDefault="0059775B" w:rsidP="0059775B">
      <w:pPr>
        <w:spacing w:after="240" w:line="360" w:lineRule="auto"/>
        <w:ind w:firstLine="709"/>
        <w:jc w:val="both"/>
        <w:rPr>
          <w:rFonts w:ascii="Times New Roman" w:hAnsi="Times New Roman" w:cs="Times New Roman"/>
          <w:sz w:val="24"/>
          <w:szCs w:val="24"/>
        </w:rPr>
      </w:pPr>
      <w:r w:rsidRPr="000F641F">
        <w:rPr>
          <w:rFonts w:ascii="Times New Roman" w:hAnsi="Times New Roman" w:cs="Times New Roman"/>
          <w:sz w:val="24"/>
          <w:szCs w:val="24"/>
        </w:rPr>
        <w:t xml:space="preserve">В США сделку подобного рода заключила нефтегазовая компания </w:t>
      </w:r>
      <w:proofErr w:type="spellStart"/>
      <w:r w:rsidRPr="000F641F">
        <w:rPr>
          <w:rFonts w:ascii="Times New Roman" w:hAnsi="Times New Roman" w:cs="Times New Roman"/>
          <w:sz w:val="24"/>
          <w:szCs w:val="24"/>
        </w:rPr>
        <w:t>Diamondback</w:t>
      </w:r>
      <w:proofErr w:type="spellEnd"/>
      <w:r w:rsidRPr="000F641F">
        <w:rPr>
          <w:rFonts w:ascii="Times New Roman" w:hAnsi="Times New Roman" w:cs="Times New Roman"/>
          <w:sz w:val="24"/>
          <w:szCs w:val="24"/>
        </w:rPr>
        <w:t xml:space="preserve"> </w:t>
      </w:r>
      <w:proofErr w:type="spellStart"/>
      <w:r w:rsidRPr="000F641F">
        <w:rPr>
          <w:rFonts w:ascii="Times New Roman" w:hAnsi="Times New Roman" w:cs="Times New Roman"/>
          <w:sz w:val="24"/>
          <w:szCs w:val="24"/>
        </w:rPr>
        <w:t>Energy</w:t>
      </w:r>
      <w:proofErr w:type="spellEnd"/>
      <w:r w:rsidRPr="000F641F">
        <w:rPr>
          <w:rFonts w:ascii="Times New Roman" w:hAnsi="Times New Roman" w:cs="Times New Roman"/>
          <w:sz w:val="24"/>
          <w:szCs w:val="24"/>
        </w:rPr>
        <w:t xml:space="preserve"> </w:t>
      </w:r>
      <w:proofErr w:type="spellStart"/>
      <w:r w:rsidRPr="000F641F">
        <w:rPr>
          <w:rFonts w:ascii="Times New Roman" w:hAnsi="Times New Roman" w:cs="Times New Roman"/>
          <w:sz w:val="24"/>
          <w:szCs w:val="24"/>
        </w:rPr>
        <w:t>Inc</w:t>
      </w:r>
      <w:proofErr w:type="spellEnd"/>
      <w:r w:rsidRPr="000F641F">
        <w:rPr>
          <w:rFonts w:ascii="Times New Roman" w:hAnsi="Times New Roman" w:cs="Times New Roman"/>
          <w:sz w:val="24"/>
          <w:szCs w:val="24"/>
        </w:rPr>
        <w:t xml:space="preserve">, которая занимается разработкой нетрадиционных и наземных месторождений в Западном Техасе. В декабре 2016 года за $2,4 </w:t>
      </w:r>
      <w:proofErr w:type="gramStart"/>
      <w:r w:rsidRPr="000F641F">
        <w:rPr>
          <w:rFonts w:ascii="Times New Roman" w:hAnsi="Times New Roman" w:cs="Times New Roman"/>
          <w:sz w:val="24"/>
          <w:szCs w:val="24"/>
        </w:rPr>
        <w:t>млрд</w:t>
      </w:r>
      <w:proofErr w:type="gramEnd"/>
      <w:r w:rsidRPr="000F641F">
        <w:rPr>
          <w:rFonts w:ascii="Times New Roman" w:hAnsi="Times New Roman" w:cs="Times New Roman"/>
          <w:sz w:val="24"/>
          <w:szCs w:val="24"/>
        </w:rPr>
        <w:t xml:space="preserve"> она приобрела у </w:t>
      </w:r>
      <w:proofErr w:type="spellStart"/>
      <w:r w:rsidRPr="000F641F">
        <w:rPr>
          <w:rFonts w:ascii="Times New Roman" w:hAnsi="Times New Roman" w:cs="Times New Roman"/>
          <w:sz w:val="24"/>
          <w:szCs w:val="24"/>
        </w:rPr>
        <w:t>Brigham</w:t>
      </w:r>
      <w:proofErr w:type="spellEnd"/>
      <w:r w:rsidRPr="000F641F">
        <w:rPr>
          <w:rFonts w:ascii="Times New Roman" w:hAnsi="Times New Roman" w:cs="Times New Roman"/>
          <w:sz w:val="24"/>
          <w:szCs w:val="24"/>
        </w:rPr>
        <w:t xml:space="preserve"> </w:t>
      </w:r>
      <w:proofErr w:type="spellStart"/>
      <w:r w:rsidRPr="000F641F">
        <w:rPr>
          <w:rFonts w:ascii="Times New Roman" w:hAnsi="Times New Roman" w:cs="Times New Roman"/>
          <w:sz w:val="24"/>
          <w:szCs w:val="24"/>
        </w:rPr>
        <w:t>Resources</w:t>
      </w:r>
      <w:proofErr w:type="spellEnd"/>
      <w:r w:rsidRPr="000F641F">
        <w:rPr>
          <w:rFonts w:ascii="Times New Roman" w:hAnsi="Times New Roman" w:cs="Times New Roman"/>
          <w:sz w:val="24"/>
          <w:szCs w:val="24"/>
        </w:rPr>
        <w:t xml:space="preserve"> LLC ряд площадей в бассейне Делавэр. При этом 45% от приобретенных активов – это участки с </w:t>
      </w:r>
      <w:proofErr w:type="spellStart"/>
      <w:r w:rsidRPr="000F641F">
        <w:rPr>
          <w:rFonts w:ascii="Times New Roman" w:hAnsi="Times New Roman" w:cs="Times New Roman"/>
          <w:sz w:val="24"/>
          <w:szCs w:val="24"/>
        </w:rPr>
        <w:t>трудноизвлекаемой</w:t>
      </w:r>
      <w:proofErr w:type="spellEnd"/>
      <w:r w:rsidRPr="000F641F">
        <w:rPr>
          <w:rFonts w:ascii="Times New Roman" w:hAnsi="Times New Roman" w:cs="Times New Roman"/>
          <w:sz w:val="24"/>
          <w:szCs w:val="24"/>
        </w:rPr>
        <w:t xml:space="preserve"> тяжелой нефтью, что позволяет отнести их к </w:t>
      </w:r>
      <w:proofErr w:type="spellStart"/>
      <w:r w:rsidRPr="000F641F">
        <w:rPr>
          <w:rFonts w:ascii="Times New Roman" w:hAnsi="Times New Roman" w:cs="Times New Roman"/>
          <w:sz w:val="24"/>
          <w:szCs w:val="24"/>
        </w:rPr>
        <w:t>низкопродуктивным</w:t>
      </w:r>
      <w:proofErr w:type="spellEnd"/>
      <w:r w:rsidRPr="000F641F">
        <w:rPr>
          <w:rFonts w:ascii="Times New Roman" w:hAnsi="Times New Roman" w:cs="Times New Roman"/>
          <w:sz w:val="24"/>
          <w:szCs w:val="24"/>
        </w:rPr>
        <w:t xml:space="preserve"> активам. Более того, компания купила около 5% участков в сланцевом бассейне Игл Форд. При этом разработка бассейнов сланцевого газа продолжала сокращаться, несмотря на отмеченный к концу года прирост добычи в бассейнах </w:t>
      </w:r>
      <w:proofErr w:type="spellStart"/>
      <w:r w:rsidRPr="000F641F">
        <w:rPr>
          <w:rFonts w:ascii="Times New Roman" w:hAnsi="Times New Roman" w:cs="Times New Roman"/>
          <w:sz w:val="24"/>
          <w:szCs w:val="24"/>
        </w:rPr>
        <w:t>Марселлус</w:t>
      </w:r>
      <w:proofErr w:type="spellEnd"/>
      <w:r w:rsidRPr="000F641F">
        <w:rPr>
          <w:rFonts w:ascii="Times New Roman" w:hAnsi="Times New Roman" w:cs="Times New Roman"/>
          <w:sz w:val="24"/>
          <w:szCs w:val="24"/>
        </w:rPr>
        <w:t xml:space="preserve"> и </w:t>
      </w:r>
      <w:proofErr w:type="spellStart"/>
      <w:r w:rsidRPr="000F641F">
        <w:rPr>
          <w:rFonts w:ascii="Times New Roman" w:hAnsi="Times New Roman" w:cs="Times New Roman"/>
          <w:sz w:val="24"/>
          <w:szCs w:val="24"/>
        </w:rPr>
        <w:t>Хейнсвилл</w:t>
      </w:r>
      <w:proofErr w:type="spellEnd"/>
      <w:r w:rsidRPr="000F641F">
        <w:rPr>
          <w:rFonts w:ascii="Times New Roman" w:hAnsi="Times New Roman" w:cs="Times New Roman"/>
          <w:sz w:val="24"/>
          <w:szCs w:val="24"/>
        </w:rPr>
        <w:t>.</w:t>
      </w:r>
      <w:r>
        <w:rPr>
          <w:rStyle w:val="a7"/>
          <w:rFonts w:ascii="Times New Roman" w:hAnsi="Times New Roman" w:cs="Times New Roman"/>
          <w:sz w:val="24"/>
          <w:szCs w:val="24"/>
        </w:rPr>
        <w:footnoteReference w:id="17"/>
      </w:r>
    </w:p>
    <w:p w:rsidR="0059775B" w:rsidRPr="008505AD" w:rsidRDefault="0059775B" w:rsidP="0059775B">
      <w:pPr>
        <w:spacing w:after="240" w:line="360" w:lineRule="auto"/>
        <w:ind w:firstLine="709"/>
        <w:jc w:val="both"/>
        <w:rPr>
          <w:rFonts w:ascii="Times New Roman" w:hAnsi="Times New Roman" w:cs="Times New Roman"/>
          <w:sz w:val="24"/>
          <w:szCs w:val="24"/>
        </w:rPr>
      </w:pPr>
      <w:r w:rsidRPr="008505AD">
        <w:rPr>
          <w:rFonts w:ascii="Times New Roman" w:hAnsi="Times New Roman" w:cs="Times New Roman"/>
          <w:sz w:val="24"/>
          <w:szCs w:val="24"/>
          <w:lang w:val="en-US"/>
        </w:rPr>
        <w:t>Oilfield</w:t>
      </w:r>
      <w:r w:rsidRPr="008505AD">
        <w:rPr>
          <w:rFonts w:ascii="Times New Roman" w:hAnsi="Times New Roman" w:cs="Times New Roman"/>
          <w:sz w:val="24"/>
          <w:szCs w:val="24"/>
        </w:rPr>
        <w:t xml:space="preserve"> </w:t>
      </w:r>
      <w:r w:rsidRPr="008505AD">
        <w:rPr>
          <w:rFonts w:ascii="Times New Roman" w:hAnsi="Times New Roman" w:cs="Times New Roman"/>
          <w:sz w:val="24"/>
          <w:szCs w:val="24"/>
          <w:lang w:val="en-US"/>
        </w:rPr>
        <w:t>services</w:t>
      </w:r>
      <w:r w:rsidRPr="008505AD">
        <w:rPr>
          <w:rFonts w:ascii="Times New Roman" w:hAnsi="Times New Roman" w:cs="Times New Roman"/>
          <w:sz w:val="24"/>
          <w:szCs w:val="24"/>
        </w:rPr>
        <w:t xml:space="preserve"> (</w:t>
      </w:r>
      <w:proofErr w:type="spellStart"/>
      <w:r w:rsidRPr="008505AD">
        <w:rPr>
          <w:rFonts w:ascii="Times New Roman" w:hAnsi="Times New Roman" w:cs="Times New Roman"/>
          <w:sz w:val="24"/>
          <w:szCs w:val="24"/>
        </w:rPr>
        <w:t>Нефтегазосервис</w:t>
      </w:r>
      <w:proofErr w:type="spellEnd"/>
      <w:r w:rsidRPr="008505AD">
        <w:rPr>
          <w:rFonts w:ascii="Times New Roman" w:hAnsi="Times New Roman" w:cs="Times New Roman"/>
          <w:sz w:val="24"/>
          <w:szCs w:val="24"/>
        </w:rPr>
        <w:t>).</w:t>
      </w:r>
      <w:r w:rsidRPr="008505AD">
        <w:rPr>
          <w:rFonts w:ascii="Times New Roman" w:hAnsi="Times New Roman" w:cs="Times New Roman"/>
          <w:b/>
          <w:sz w:val="24"/>
          <w:szCs w:val="24"/>
        </w:rPr>
        <w:t xml:space="preserve"> </w:t>
      </w:r>
      <w:r w:rsidRPr="008505AD">
        <w:rPr>
          <w:rFonts w:ascii="Times New Roman" w:hAnsi="Times New Roman" w:cs="Times New Roman"/>
          <w:sz w:val="24"/>
          <w:szCs w:val="24"/>
        </w:rPr>
        <w:t xml:space="preserve">В 2016 году объем сделок </w:t>
      </w:r>
      <w:r w:rsidRPr="008505AD">
        <w:rPr>
          <w:rFonts w:ascii="Times New Roman" w:hAnsi="Times New Roman" w:cs="Times New Roman"/>
          <w:sz w:val="24"/>
          <w:szCs w:val="24"/>
          <w:lang w:val="en-US"/>
        </w:rPr>
        <w:t>M</w:t>
      </w:r>
      <w:r w:rsidRPr="008505AD">
        <w:rPr>
          <w:rFonts w:ascii="Times New Roman" w:hAnsi="Times New Roman" w:cs="Times New Roman"/>
          <w:sz w:val="24"/>
          <w:szCs w:val="24"/>
        </w:rPr>
        <w:t>&amp;</w:t>
      </w:r>
      <w:r w:rsidRPr="008505AD">
        <w:rPr>
          <w:rFonts w:ascii="Times New Roman" w:hAnsi="Times New Roman" w:cs="Times New Roman"/>
          <w:sz w:val="24"/>
          <w:szCs w:val="24"/>
          <w:lang w:val="en-US"/>
        </w:rPr>
        <w:t>A</w:t>
      </w:r>
      <w:r w:rsidRPr="008505AD">
        <w:rPr>
          <w:rFonts w:ascii="Times New Roman" w:hAnsi="Times New Roman" w:cs="Times New Roman"/>
          <w:sz w:val="24"/>
          <w:szCs w:val="24"/>
        </w:rPr>
        <w:t xml:space="preserve"> среди </w:t>
      </w:r>
      <w:proofErr w:type="spellStart"/>
      <w:r w:rsidRPr="008505AD">
        <w:rPr>
          <w:rFonts w:ascii="Times New Roman" w:hAnsi="Times New Roman" w:cs="Times New Roman"/>
          <w:sz w:val="24"/>
          <w:szCs w:val="24"/>
        </w:rPr>
        <w:t>нефтесервисных</w:t>
      </w:r>
      <w:proofErr w:type="spellEnd"/>
      <w:r w:rsidRPr="008505AD">
        <w:rPr>
          <w:rFonts w:ascii="Times New Roman" w:hAnsi="Times New Roman" w:cs="Times New Roman"/>
          <w:sz w:val="24"/>
          <w:szCs w:val="24"/>
        </w:rPr>
        <w:t xml:space="preserve"> компаний и производителей нефтепромыслового оборудования был значительным, несмотря на то, что именно данный сектор нефтегазовой отрасли наиболее серьезно ощутил на себе негативное воздействие кризиса. В течение первых трех кварталов 2015 года число транзакций слияний и поглощений в этом секторе нефтегазового бизнеса было на весьма низком уровне, но за четвертый квартал оно выросло в два раза по сравнению с предыдущим годом. Это обусловлено заключением двух крупнейших  сделками </w:t>
      </w:r>
      <w:r w:rsidRPr="008505AD">
        <w:rPr>
          <w:rFonts w:ascii="Times New Roman" w:hAnsi="Times New Roman" w:cs="Times New Roman"/>
          <w:sz w:val="24"/>
          <w:szCs w:val="24"/>
        </w:rPr>
        <w:lastRenderedPageBreak/>
        <w:t xml:space="preserve">– между </w:t>
      </w:r>
      <w:proofErr w:type="spellStart"/>
      <w:r w:rsidRPr="008505AD">
        <w:rPr>
          <w:rFonts w:ascii="Times New Roman" w:hAnsi="Times New Roman" w:cs="Times New Roman"/>
          <w:sz w:val="24"/>
          <w:szCs w:val="24"/>
        </w:rPr>
        <w:t>General</w:t>
      </w:r>
      <w:proofErr w:type="spellEnd"/>
      <w:r w:rsidRPr="008505AD">
        <w:rPr>
          <w:rFonts w:ascii="Times New Roman" w:hAnsi="Times New Roman" w:cs="Times New Roman"/>
          <w:sz w:val="24"/>
          <w:szCs w:val="24"/>
        </w:rPr>
        <w:t xml:space="preserve"> </w:t>
      </w:r>
      <w:proofErr w:type="spellStart"/>
      <w:r w:rsidRPr="008505AD">
        <w:rPr>
          <w:rFonts w:ascii="Times New Roman" w:hAnsi="Times New Roman" w:cs="Times New Roman"/>
          <w:sz w:val="24"/>
          <w:szCs w:val="24"/>
        </w:rPr>
        <w:t>Electric</w:t>
      </w:r>
      <w:proofErr w:type="spellEnd"/>
      <w:r w:rsidRPr="008505AD">
        <w:rPr>
          <w:rFonts w:ascii="Times New Roman" w:hAnsi="Times New Roman" w:cs="Times New Roman"/>
          <w:sz w:val="24"/>
          <w:szCs w:val="24"/>
        </w:rPr>
        <w:t xml:space="preserve"> и </w:t>
      </w:r>
      <w:proofErr w:type="spellStart"/>
      <w:r w:rsidRPr="008505AD">
        <w:rPr>
          <w:rFonts w:ascii="Times New Roman" w:hAnsi="Times New Roman" w:cs="Times New Roman"/>
          <w:sz w:val="24"/>
          <w:szCs w:val="24"/>
        </w:rPr>
        <w:t>Baker</w:t>
      </w:r>
      <w:proofErr w:type="spellEnd"/>
      <w:r w:rsidRPr="008505AD">
        <w:rPr>
          <w:rFonts w:ascii="Times New Roman" w:hAnsi="Times New Roman" w:cs="Times New Roman"/>
          <w:sz w:val="24"/>
          <w:szCs w:val="24"/>
        </w:rPr>
        <w:t xml:space="preserve"> </w:t>
      </w:r>
      <w:proofErr w:type="spellStart"/>
      <w:r w:rsidRPr="008505AD">
        <w:rPr>
          <w:rFonts w:ascii="Times New Roman" w:hAnsi="Times New Roman" w:cs="Times New Roman"/>
          <w:sz w:val="24"/>
          <w:szCs w:val="24"/>
        </w:rPr>
        <w:t>Hughes</w:t>
      </w:r>
      <w:proofErr w:type="spellEnd"/>
      <w:r w:rsidRPr="008505AD">
        <w:rPr>
          <w:rFonts w:ascii="Times New Roman" w:hAnsi="Times New Roman" w:cs="Times New Roman"/>
          <w:sz w:val="24"/>
          <w:szCs w:val="24"/>
        </w:rPr>
        <w:t xml:space="preserve"> </w:t>
      </w:r>
      <w:proofErr w:type="spellStart"/>
      <w:r w:rsidRPr="008505AD">
        <w:rPr>
          <w:rFonts w:ascii="Times New Roman" w:hAnsi="Times New Roman" w:cs="Times New Roman"/>
          <w:sz w:val="24"/>
          <w:szCs w:val="24"/>
        </w:rPr>
        <w:t>Inc</w:t>
      </w:r>
      <w:proofErr w:type="spellEnd"/>
      <w:r w:rsidRPr="008505AD">
        <w:rPr>
          <w:rFonts w:ascii="Times New Roman" w:hAnsi="Times New Roman" w:cs="Times New Roman"/>
          <w:sz w:val="24"/>
          <w:szCs w:val="24"/>
        </w:rPr>
        <w:t xml:space="preserve">, а также </w:t>
      </w:r>
      <w:proofErr w:type="spellStart"/>
      <w:r w:rsidRPr="008505AD">
        <w:rPr>
          <w:rFonts w:ascii="Times New Roman" w:hAnsi="Times New Roman" w:cs="Times New Roman"/>
          <w:sz w:val="24"/>
          <w:szCs w:val="24"/>
        </w:rPr>
        <w:t>Technip</w:t>
      </w:r>
      <w:proofErr w:type="spellEnd"/>
      <w:r w:rsidRPr="008505AD">
        <w:rPr>
          <w:rFonts w:ascii="Times New Roman" w:hAnsi="Times New Roman" w:cs="Times New Roman"/>
          <w:sz w:val="24"/>
          <w:szCs w:val="24"/>
        </w:rPr>
        <w:t xml:space="preserve"> и FMC, которые обеспечили 90% всего объема.</w:t>
      </w:r>
      <w:r>
        <w:rPr>
          <w:rStyle w:val="a7"/>
          <w:rFonts w:ascii="Times New Roman" w:hAnsi="Times New Roman" w:cs="Times New Roman"/>
          <w:sz w:val="24"/>
          <w:szCs w:val="24"/>
        </w:rPr>
        <w:footnoteReference w:id="18"/>
      </w:r>
      <w:r w:rsidRPr="008505AD">
        <w:rPr>
          <w:rFonts w:ascii="Times New Roman" w:hAnsi="Times New Roman" w:cs="Times New Roman"/>
          <w:sz w:val="24"/>
          <w:szCs w:val="24"/>
        </w:rPr>
        <w:t xml:space="preserve"> Принимая во внимание слабый рынок и неустойчивость цен на нефть, многие предприятия поменяли стратегию формирования своих портфелей. Подобный подход проявился в девяти из десяти случаев сделок, причем это не было прямо или косвенно связано с другими, более прибыльными, сегментами рынка.</w:t>
      </w:r>
    </w:p>
    <w:p w:rsidR="0059775B" w:rsidRPr="00853DC8" w:rsidRDefault="0059775B" w:rsidP="0059775B">
      <w:pPr>
        <w:spacing w:after="240" w:line="360" w:lineRule="auto"/>
        <w:ind w:firstLine="709"/>
        <w:jc w:val="both"/>
        <w:rPr>
          <w:rFonts w:ascii="Times New Roman" w:hAnsi="Times New Roman" w:cs="Times New Roman"/>
          <w:sz w:val="24"/>
          <w:szCs w:val="24"/>
        </w:rPr>
      </w:pPr>
      <w:proofErr w:type="gramStart"/>
      <w:r w:rsidRPr="00853DC8">
        <w:rPr>
          <w:rFonts w:ascii="Times New Roman" w:hAnsi="Times New Roman" w:cs="Times New Roman"/>
          <w:sz w:val="24"/>
          <w:szCs w:val="24"/>
          <w:lang w:val="en-US"/>
        </w:rPr>
        <w:t>Midstream</w:t>
      </w:r>
      <w:r w:rsidRPr="00853DC8">
        <w:rPr>
          <w:rFonts w:ascii="Times New Roman" w:hAnsi="Times New Roman" w:cs="Times New Roman"/>
          <w:sz w:val="24"/>
          <w:szCs w:val="24"/>
        </w:rPr>
        <w:t xml:space="preserve"> (транспортировка нефти и полученных нефтепродуктов).</w:t>
      </w:r>
      <w:proofErr w:type="gramEnd"/>
      <w:r w:rsidRPr="00853DC8">
        <w:rPr>
          <w:rFonts w:ascii="Times New Roman" w:hAnsi="Times New Roman" w:cs="Times New Roman"/>
          <w:sz w:val="24"/>
          <w:szCs w:val="24"/>
        </w:rPr>
        <w:t xml:space="preserve"> В соответствии с отчетом консалтинговой компании </w:t>
      </w:r>
      <w:proofErr w:type="spellStart"/>
      <w:r w:rsidRPr="00853DC8">
        <w:rPr>
          <w:rFonts w:ascii="Times New Roman" w:hAnsi="Times New Roman" w:cs="Times New Roman"/>
          <w:sz w:val="24"/>
          <w:szCs w:val="24"/>
        </w:rPr>
        <w:t>Deloitte</w:t>
      </w:r>
      <w:proofErr w:type="spellEnd"/>
      <w:r w:rsidRPr="00853DC8">
        <w:rPr>
          <w:rFonts w:ascii="Times New Roman" w:hAnsi="Times New Roman" w:cs="Times New Roman"/>
          <w:sz w:val="24"/>
          <w:szCs w:val="24"/>
        </w:rPr>
        <w:t xml:space="preserve">, впервые за всю историю нефтегазовой отрасли объем сделок M&amp;A в секторе </w:t>
      </w:r>
      <w:proofErr w:type="spellStart"/>
      <w:r w:rsidRPr="00853DC8">
        <w:rPr>
          <w:rFonts w:ascii="Times New Roman" w:hAnsi="Times New Roman" w:cs="Times New Roman"/>
          <w:sz w:val="24"/>
          <w:szCs w:val="24"/>
        </w:rPr>
        <w:t>мидстрим</w:t>
      </w:r>
      <w:proofErr w:type="spellEnd"/>
      <w:r w:rsidRPr="00853DC8">
        <w:rPr>
          <w:rFonts w:ascii="Times New Roman" w:hAnsi="Times New Roman" w:cs="Times New Roman"/>
          <w:sz w:val="24"/>
          <w:szCs w:val="24"/>
        </w:rPr>
        <w:t xml:space="preserve"> превзошел соответствующий показатель в секторе </w:t>
      </w:r>
      <w:proofErr w:type="spellStart"/>
      <w:r w:rsidRPr="00853DC8">
        <w:rPr>
          <w:rFonts w:ascii="Times New Roman" w:hAnsi="Times New Roman" w:cs="Times New Roman"/>
          <w:sz w:val="24"/>
          <w:szCs w:val="24"/>
        </w:rPr>
        <w:t>апстрим</w:t>
      </w:r>
      <w:proofErr w:type="spellEnd"/>
      <w:r w:rsidRPr="00853DC8">
        <w:rPr>
          <w:rFonts w:ascii="Times New Roman" w:hAnsi="Times New Roman" w:cs="Times New Roman"/>
          <w:sz w:val="24"/>
          <w:szCs w:val="24"/>
        </w:rPr>
        <w:t xml:space="preserve"> и стал основным с общей суммой в $140 млрд. Объем подобных сделок стал крупнейшим по причине покупки </w:t>
      </w:r>
      <w:proofErr w:type="spellStart"/>
      <w:r w:rsidRPr="00853DC8">
        <w:rPr>
          <w:rFonts w:ascii="Times New Roman" w:hAnsi="Times New Roman" w:cs="Times New Roman"/>
          <w:sz w:val="24"/>
          <w:szCs w:val="24"/>
        </w:rPr>
        <w:t>Sunoco</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Logistics</w:t>
      </w:r>
      <w:proofErr w:type="spellEnd"/>
      <w:r w:rsidRPr="00853DC8">
        <w:rPr>
          <w:rFonts w:ascii="Times New Roman" w:hAnsi="Times New Roman" w:cs="Times New Roman"/>
          <w:sz w:val="24"/>
          <w:szCs w:val="24"/>
        </w:rPr>
        <w:t xml:space="preserve"> за $51 </w:t>
      </w:r>
      <w:proofErr w:type="gramStart"/>
      <w:r w:rsidRPr="00853DC8">
        <w:rPr>
          <w:rFonts w:ascii="Times New Roman" w:hAnsi="Times New Roman" w:cs="Times New Roman"/>
          <w:sz w:val="24"/>
          <w:szCs w:val="24"/>
        </w:rPr>
        <w:t>млрд</w:t>
      </w:r>
      <w:proofErr w:type="gramEnd"/>
      <w:r w:rsidRPr="00853DC8">
        <w:rPr>
          <w:rFonts w:ascii="Times New Roman" w:hAnsi="Times New Roman" w:cs="Times New Roman"/>
          <w:sz w:val="24"/>
          <w:szCs w:val="24"/>
        </w:rPr>
        <w:t xml:space="preserve"> компании </w:t>
      </w:r>
      <w:proofErr w:type="spellStart"/>
      <w:r w:rsidRPr="00853DC8">
        <w:rPr>
          <w:rFonts w:ascii="Times New Roman" w:hAnsi="Times New Roman" w:cs="Times New Roman"/>
          <w:sz w:val="24"/>
          <w:szCs w:val="24"/>
        </w:rPr>
        <w:t>Energy</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Transfer</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Partners</w:t>
      </w:r>
      <w:proofErr w:type="spellEnd"/>
      <w:r w:rsidRPr="00853DC8">
        <w:rPr>
          <w:rFonts w:ascii="Times New Roman" w:hAnsi="Times New Roman" w:cs="Times New Roman"/>
          <w:sz w:val="24"/>
          <w:szCs w:val="24"/>
        </w:rPr>
        <w:t xml:space="preserve">, а также приобретения </w:t>
      </w:r>
      <w:proofErr w:type="spellStart"/>
      <w:r w:rsidRPr="00853DC8">
        <w:rPr>
          <w:rFonts w:ascii="Times New Roman" w:hAnsi="Times New Roman" w:cs="Times New Roman"/>
          <w:sz w:val="24"/>
          <w:szCs w:val="24"/>
        </w:rPr>
        <w:t>Enbridge</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Inc</w:t>
      </w:r>
      <w:proofErr w:type="spellEnd"/>
      <w:r w:rsidRPr="00853DC8">
        <w:rPr>
          <w:rFonts w:ascii="Times New Roman" w:hAnsi="Times New Roman" w:cs="Times New Roman"/>
          <w:sz w:val="24"/>
          <w:szCs w:val="24"/>
        </w:rPr>
        <w:t xml:space="preserve"> за $46,5 млрд компании </w:t>
      </w:r>
      <w:proofErr w:type="spellStart"/>
      <w:r w:rsidRPr="00853DC8">
        <w:rPr>
          <w:rFonts w:ascii="Times New Roman" w:hAnsi="Times New Roman" w:cs="Times New Roman"/>
          <w:sz w:val="24"/>
          <w:szCs w:val="24"/>
        </w:rPr>
        <w:t>Spectra</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Energy</w:t>
      </w:r>
      <w:proofErr w:type="spellEnd"/>
      <w:r w:rsidRPr="00853DC8">
        <w:rPr>
          <w:rFonts w:ascii="Times New Roman" w:hAnsi="Times New Roman" w:cs="Times New Roman"/>
          <w:sz w:val="24"/>
          <w:szCs w:val="24"/>
        </w:rPr>
        <w:t xml:space="preserve">. Около 80% сделок в области транспортировки нефти и газа связаны с покупкой новых активов, при этом порядка 60% из них заключены за пределами Северо-Американского континента. Так, канадская компания </w:t>
      </w:r>
      <w:proofErr w:type="spellStart"/>
      <w:r w:rsidRPr="00853DC8">
        <w:rPr>
          <w:rFonts w:ascii="Times New Roman" w:hAnsi="Times New Roman" w:cs="Times New Roman"/>
          <w:sz w:val="24"/>
          <w:szCs w:val="24"/>
        </w:rPr>
        <w:t>Brookfield</w:t>
      </w:r>
      <w:proofErr w:type="spellEnd"/>
      <w:r w:rsidRPr="00853DC8">
        <w:rPr>
          <w:rFonts w:ascii="Times New Roman" w:hAnsi="Times New Roman" w:cs="Times New Roman"/>
          <w:sz w:val="24"/>
          <w:szCs w:val="24"/>
        </w:rPr>
        <w:t xml:space="preserve"> приобрела более 2700 км принадлежавших нефтяному гиганту </w:t>
      </w:r>
      <w:proofErr w:type="spellStart"/>
      <w:r w:rsidRPr="00853DC8">
        <w:rPr>
          <w:rFonts w:ascii="Times New Roman" w:hAnsi="Times New Roman" w:cs="Times New Roman"/>
          <w:sz w:val="24"/>
          <w:szCs w:val="24"/>
        </w:rPr>
        <w:t>Petrobras</w:t>
      </w:r>
      <w:proofErr w:type="spellEnd"/>
      <w:r w:rsidRPr="00853DC8">
        <w:rPr>
          <w:rFonts w:ascii="Times New Roman" w:hAnsi="Times New Roman" w:cs="Times New Roman"/>
          <w:sz w:val="24"/>
          <w:szCs w:val="24"/>
        </w:rPr>
        <w:t xml:space="preserve"> газопроводов в Бразилии за $5,2 </w:t>
      </w:r>
      <w:proofErr w:type="gramStart"/>
      <w:r w:rsidRPr="00853DC8">
        <w:rPr>
          <w:rFonts w:ascii="Times New Roman" w:hAnsi="Times New Roman" w:cs="Times New Roman"/>
          <w:sz w:val="24"/>
          <w:szCs w:val="24"/>
        </w:rPr>
        <w:t>млрд</w:t>
      </w:r>
      <w:proofErr w:type="gramEnd"/>
      <w:r w:rsidRPr="00853DC8">
        <w:rPr>
          <w:rFonts w:ascii="Times New Roman" w:hAnsi="Times New Roman" w:cs="Times New Roman"/>
          <w:sz w:val="24"/>
          <w:szCs w:val="24"/>
        </w:rPr>
        <w:t xml:space="preserve">, что стало крупнейшей сделкой такого рода. В трех из пяти крупных сделок в Северной Америке в качестве покупателей выступили дистрибьюторские компании – поставщики коммунальных услуг. Например, предприятия </w:t>
      </w:r>
      <w:proofErr w:type="spellStart"/>
      <w:r w:rsidRPr="00853DC8">
        <w:rPr>
          <w:rFonts w:ascii="Times New Roman" w:hAnsi="Times New Roman" w:cs="Times New Roman"/>
          <w:sz w:val="24"/>
          <w:szCs w:val="24"/>
        </w:rPr>
        <w:t>Southern</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Company</w:t>
      </w:r>
      <w:proofErr w:type="spellEnd"/>
      <w:r w:rsidRPr="00853DC8">
        <w:rPr>
          <w:rFonts w:ascii="Times New Roman" w:hAnsi="Times New Roman" w:cs="Times New Roman"/>
          <w:sz w:val="24"/>
          <w:szCs w:val="24"/>
        </w:rPr>
        <w:t xml:space="preserve"> и </w:t>
      </w:r>
      <w:proofErr w:type="spellStart"/>
      <w:r w:rsidRPr="00853DC8">
        <w:rPr>
          <w:rFonts w:ascii="Times New Roman" w:hAnsi="Times New Roman" w:cs="Times New Roman"/>
          <w:sz w:val="24"/>
          <w:szCs w:val="24"/>
        </w:rPr>
        <w:t>Consolidated</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Edison</w:t>
      </w:r>
      <w:proofErr w:type="spellEnd"/>
      <w:r w:rsidRPr="00853DC8">
        <w:rPr>
          <w:rFonts w:ascii="Times New Roman" w:hAnsi="Times New Roman" w:cs="Times New Roman"/>
          <w:sz w:val="24"/>
          <w:szCs w:val="24"/>
        </w:rPr>
        <w:t xml:space="preserve"> приобрели газотранспортные активы с целью расширения собственных сетей газопроводов. В отчете </w:t>
      </w:r>
      <w:proofErr w:type="spellStart"/>
      <w:r w:rsidRPr="00853DC8">
        <w:rPr>
          <w:rFonts w:ascii="Times New Roman" w:hAnsi="Times New Roman" w:cs="Times New Roman"/>
          <w:sz w:val="24"/>
          <w:szCs w:val="24"/>
        </w:rPr>
        <w:t>Deloitte</w:t>
      </w:r>
      <w:proofErr w:type="spellEnd"/>
      <w:r w:rsidRPr="00853DC8">
        <w:rPr>
          <w:rFonts w:ascii="Times New Roman" w:hAnsi="Times New Roman" w:cs="Times New Roman"/>
          <w:sz w:val="24"/>
          <w:szCs w:val="24"/>
        </w:rPr>
        <w:t xml:space="preserve"> также говорится о том, что общий рост транспортного сектора в США объясняется необходимостью подключения новых центров добычи углеводородов к существующим системам трубопроводов.</w:t>
      </w:r>
      <w:r w:rsidRPr="00853DC8">
        <w:rPr>
          <w:rStyle w:val="a7"/>
          <w:rFonts w:ascii="Times New Roman" w:hAnsi="Times New Roman" w:cs="Times New Roman"/>
          <w:sz w:val="24"/>
          <w:szCs w:val="24"/>
        </w:rPr>
        <w:footnoteReference w:id="19"/>
      </w:r>
      <w:r w:rsidRPr="00853DC8">
        <w:rPr>
          <w:rFonts w:ascii="Times New Roman" w:hAnsi="Times New Roman" w:cs="Times New Roman"/>
          <w:sz w:val="24"/>
          <w:szCs w:val="24"/>
        </w:rPr>
        <w:t xml:space="preserve"> Подобные сделки составили более 40% от общего объёма. «В то же время по сравнению с 2015 годом в 2016 году проявилась очевидная тенденция к концентрации активов, прежде всего в таких секторах, как промысловый сбор природного газа, его </w:t>
      </w:r>
      <w:proofErr w:type="spellStart"/>
      <w:r w:rsidRPr="00853DC8">
        <w:rPr>
          <w:rFonts w:ascii="Times New Roman" w:hAnsi="Times New Roman" w:cs="Times New Roman"/>
          <w:sz w:val="24"/>
          <w:szCs w:val="24"/>
        </w:rPr>
        <w:t>компримирование</w:t>
      </w:r>
      <w:proofErr w:type="spellEnd"/>
      <w:r w:rsidRPr="00853DC8">
        <w:rPr>
          <w:rFonts w:ascii="Times New Roman" w:hAnsi="Times New Roman" w:cs="Times New Roman"/>
          <w:sz w:val="24"/>
          <w:szCs w:val="24"/>
        </w:rPr>
        <w:t>, промышленная обработка и подготовка, что, по-видимому, связано со снижением объемов бурения на нефть в большинстве сланцевых бассейнов. В 2016 году лишь две из двенадцати подобных сделок были связаны с системами промыслового сбора и подготовки нефти», – говорится в отчете.</w:t>
      </w:r>
      <w:r w:rsidRPr="00853DC8">
        <w:rPr>
          <w:rStyle w:val="a7"/>
          <w:rFonts w:ascii="Times New Roman" w:hAnsi="Times New Roman" w:cs="Times New Roman"/>
          <w:sz w:val="24"/>
          <w:szCs w:val="24"/>
        </w:rPr>
        <w:footnoteReference w:id="20"/>
      </w:r>
      <w:r w:rsidRPr="00853DC8">
        <w:rPr>
          <w:rFonts w:ascii="Times New Roman" w:hAnsi="Times New Roman" w:cs="Times New Roman"/>
          <w:sz w:val="24"/>
          <w:szCs w:val="24"/>
        </w:rPr>
        <w:t xml:space="preserve"> Дальнейшее развитие сектора </w:t>
      </w:r>
      <w:proofErr w:type="spellStart"/>
      <w:r w:rsidRPr="00853DC8">
        <w:rPr>
          <w:rFonts w:ascii="Times New Roman" w:hAnsi="Times New Roman" w:cs="Times New Roman"/>
          <w:sz w:val="24"/>
          <w:szCs w:val="24"/>
        </w:rPr>
        <w:t>мидстрим</w:t>
      </w:r>
      <w:proofErr w:type="spellEnd"/>
      <w:r w:rsidRPr="00853DC8">
        <w:rPr>
          <w:rFonts w:ascii="Times New Roman" w:hAnsi="Times New Roman" w:cs="Times New Roman"/>
          <w:sz w:val="24"/>
          <w:szCs w:val="24"/>
        </w:rPr>
        <w:t xml:space="preserve"> в США напрямую связано с перспективами развития разведочного и эксплуатационного бурения, которое в настоящее время сконцентрировано в перспективных пермских бассейнах Делавэр и </w:t>
      </w:r>
      <w:proofErr w:type="spellStart"/>
      <w:r w:rsidRPr="00853DC8">
        <w:rPr>
          <w:rFonts w:ascii="Times New Roman" w:hAnsi="Times New Roman" w:cs="Times New Roman"/>
          <w:sz w:val="24"/>
          <w:szCs w:val="24"/>
        </w:rPr>
        <w:t>Мидланд</w:t>
      </w:r>
      <w:proofErr w:type="spellEnd"/>
      <w:r w:rsidRPr="00853DC8">
        <w:rPr>
          <w:rFonts w:ascii="Times New Roman" w:hAnsi="Times New Roman" w:cs="Times New Roman"/>
          <w:sz w:val="24"/>
          <w:szCs w:val="24"/>
        </w:rPr>
        <w:t>, а также в сланцевых провинциях STACK (</w:t>
      </w:r>
      <w:proofErr w:type="spellStart"/>
      <w:r w:rsidRPr="00853DC8">
        <w:rPr>
          <w:rFonts w:ascii="Times New Roman" w:hAnsi="Times New Roman" w:cs="Times New Roman"/>
          <w:sz w:val="24"/>
          <w:szCs w:val="24"/>
        </w:rPr>
        <w:t>Sooner</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Trend</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Anadarko</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Basin</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Canadian</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and</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Kingfisher</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lastRenderedPageBreak/>
        <w:t>Counties</w:t>
      </w:r>
      <w:proofErr w:type="spellEnd"/>
      <w:r w:rsidRPr="00853DC8">
        <w:rPr>
          <w:rFonts w:ascii="Times New Roman" w:hAnsi="Times New Roman" w:cs="Times New Roman"/>
          <w:sz w:val="24"/>
          <w:szCs w:val="24"/>
        </w:rPr>
        <w:t>) и SCOOP (</w:t>
      </w:r>
      <w:proofErr w:type="spellStart"/>
      <w:r w:rsidRPr="00853DC8">
        <w:rPr>
          <w:rFonts w:ascii="Times New Roman" w:hAnsi="Times New Roman" w:cs="Times New Roman"/>
          <w:sz w:val="24"/>
          <w:szCs w:val="24"/>
        </w:rPr>
        <w:t>South</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Central</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Oklahoma</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Oil</w:t>
      </w:r>
      <w:proofErr w:type="spellEnd"/>
      <w:r w:rsidRPr="00853DC8">
        <w:rPr>
          <w:rFonts w:ascii="Times New Roman" w:hAnsi="Times New Roman" w:cs="Times New Roman"/>
          <w:sz w:val="24"/>
          <w:szCs w:val="24"/>
        </w:rPr>
        <w:t xml:space="preserve"> </w:t>
      </w:r>
      <w:proofErr w:type="spellStart"/>
      <w:r w:rsidRPr="00853DC8">
        <w:rPr>
          <w:rFonts w:ascii="Times New Roman" w:hAnsi="Times New Roman" w:cs="Times New Roman"/>
          <w:sz w:val="24"/>
          <w:szCs w:val="24"/>
        </w:rPr>
        <w:t>Province</w:t>
      </w:r>
      <w:proofErr w:type="spellEnd"/>
      <w:r w:rsidRPr="00853DC8">
        <w:rPr>
          <w:rFonts w:ascii="Times New Roman" w:hAnsi="Times New Roman" w:cs="Times New Roman"/>
          <w:sz w:val="24"/>
          <w:szCs w:val="24"/>
        </w:rPr>
        <w:t>) штата Оклахома. Возрождение рынка E&amp;P нефтяных и газовых месторождений, упрощение регуляторного и правового режимов, а также экологичес</w:t>
      </w:r>
      <w:r>
        <w:rPr>
          <w:rFonts w:ascii="Times New Roman" w:hAnsi="Times New Roman" w:cs="Times New Roman"/>
          <w:sz w:val="24"/>
          <w:szCs w:val="24"/>
        </w:rPr>
        <w:t>кого контроля</w:t>
      </w:r>
      <w:r w:rsidRPr="00853DC8">
        <w:rPr>
          <w:rFonts w:ascii="Times New Roman" w:hAnsi="Times New Roman" w:cs="Times New Roman"/>
          <w:sz w:val="24"/>
          <w:szCs w:val="24"/>
        </w:rPr>
        <w:t xml:space="preserve"> при конструировании новых трубопроводов </w:t>
      </w:r>
      <w:r>
        <w:rPr>
          <w:rFonts w:ascii="Times New Roman" w:hAnsi="Times New Roman" w:cs="Times New Roman"/>
          <w:sz w:val="24"/>
          <w:szCs w:val="24"/>
        </w:rPr>
        <w:t>создают</w:t>
      </w:r>
      <w:r w:rsidRPr="00853DC8">
        <w:rPr>
          <w:rFonts w:ascii="Times New Roman" w:hAnsi="Times New Roman" w:cs="Times New Roman"/>
          <w:sz w:val="24"/>
          <w:szCs w:val="24"/>
        </w:rPr>
        <w:t xml:space="preserve"> условия для консолидации трубопроводных активов в мировом масштабе.</w:t>
      </w:r>
      <w:r w:rsidRPr="00853DC8">
        <w:rPr>
          <w:rStyle w:val="a7"/>
          <w:rFonts w:ascii="Times New Roman" w:hAnsi="Times New Roman" w:cs="Times New Roman"/>
          <w:sz w:val="24"/>
          <w:szCs w:val="24"/>
        </w:rPr>
        <w:footnoteReference w:id="21"/>
      </w:r>
    </w:p>
    <w:p w:rsidR="0059775B" w:rsidRPr="0061536E" w:rsidRDefault="0059775B" w:rsidP="0059775B">
      <w:pPr>
        <w:spacing w:after="240" w:line="360" w:lineRule="auto"/>
        <w:ind w:firstLine="709"/>
        <w:jc w:val="both"/>
        <w:rPr>
          <w:rFonts w:ascii="Times New Roman" w:hAnsi="Times New Roman" w:cs="Times New Roman"/>
          <w:sz w:val="24"/>
          <w:szCs w:val="24"/>
        </w:rPr>
      </w:pPr>
      <w:proofErr w:type="gramStart"/>
      <w:r w:rsidRPr="00580408">
        <w:rPr>
          <w:rFonts w:ascii="Times New Roman" w:hAnsi="Times New Roman" w:cs="Times New Roman"/>
          <w:sz w:val="24"/>
          <w:szCs w:val="24"/>
          <w:lang w:val="en-US"/>
        </w:rPr>
        <w:t>Downstream</w:t>
      </w:r>
      <w:r w:rsidRPr="00580408">
        <w:rPr>
          <w:rFonts w:ascii="Times New Roman" w:hAnsi="Times New Roman" w:cs="Times New Roman"/>
          <w:sz w:val="24"/>
          <w:szCs w:val="24"/>
        </w:rPr>
        <w:t xml:space="preserve"> (</w:t>
      </w:r>
      <w:proofErr w:type="spellStart"/>
      <w:r w:rsidRPr="00580408">
        <w:rPr>
          <w:rFonts w:ascii="Times New Roman" w:hAnsi="Times New Roman" w:cs="Times New Roman"/>
          <w:sz w:val="24"/>
          <w:szCs w:val="24"/>
        </w:rPr>
        <w:t>нефтепераробтка</w:t>
      </w:r>
      <w:proofErr w:type="spellEnd"/>
      <w:r w:rsidRPr="00580408">
        <w:rPr>
          <w:rFonts w:ascii="Times New Roman" w:hAnsi="Times New Roman" w:cs="Times New Roman"/>
          <w:sz w:val="24"/>
          <w:szCs w:val="24"/>
        </w:rPr>
        <w:t>).</w:t>
      </w:r>
      <w:proofErr w:type="gramEnd"/>
      <w:r w:rsidRPr="00580408">
        <w:rPr>
          <w:rFonts w:ascii="Times New Roman" w:hAnsi="Times New Roman" w:cs="Times New Roman"/>
          <w:sz w:val="24"/>
          <w:szCs w:val="24"/>
        </w:rPr>
        <w:t xml:space="preserve"> В 2016 году в секторе </w:t>
      </w:r>
      <w:proofErr w:type="spellStart"/>
      <w:r w:rsidRPr="00580408">
        <w:rPr>
          <w:rFonts w:ascii="Times New Roman" w:hAnsi="Times New Roman" w:cs="Times New Roman"/>
          <w:sz w:val="24"/>
          <w:szCs w:val="24"/>
        </w:rPr>
        <w:t>даунстрим</w:t>
      </w:r>
      <w:proofErr w:type="spellEnd"/>
      <w:r w:rsidRPr="00580408">
        <w:rPr>
          <w:rFonts w:ascii="Times New Roman" w:hAnsi="Times New Roman" w:cs="Times New Roman"/>
          <w:sz w:val="24"/>
          <w:szCs w:val="24"/>
        </w:rPr>
        <w:t xml:space="preserve"> наблюдалось падение количества сделок в области M&amp;A, хотя их суммарная стоимость выросла на 50% и составила $36,5 млрд. При этом 85% крупных сделок было проведено во втором полугодии, что обусловлено увеличением мировых цен на сырьё. В глобальном масштабе на долю Северной Америки в 2016 году пришлось 46% подобных транзакций. При этом почти все они были связаны со стабильным рынком розничной торговли нефтепродуктами, а отнюдь не с переработкой легких </w:t>
      </w:r>
      <w:proofErr w:type="spellStart"/>
      <w:r w:rsidRPr="00580408">
        <w:rPr>
          <w:rFonts w:ascii="Times New Roman" w:hAnsi="Times New Roman" w:cs="Times New Roman"/>
          <w:sz w:val="24"/>
          <w:szCs w:val="24"/>
        </w:rPr>
        <w:t>нефтей</w:t>
      </w:r>
      <w:proofErr w:type="spellEnd"/>
      <w:r w:rsidRPr="00580408">
        <w:rPr>
          <w:rFonts w:ascii="Times New Roman" w:hAnsi="Times New Roman" w:cs="Times New Roman"/>
          <w:sz w:val="24"/>
          <w:szCs w:val="24"/>
        </w:rPr>
        <w:t xml:space="preserve">, </w:t>
      </w:r>
      <w:proofErr w:type="spellStart"/>
      <w:r w:rsidRPr="00580408">
        <w:rPr>
          <w:rFonts w:ascii="Times New Roman" w:hAnsi="Times New Roman" w:cs="Times New Roman"/>
          <w:sz w:val="24"/>
          <w:szCs w:val="24"/>
        </w:rPr>
        <w:t>экспортно</w:t>
      </w:r>
      <w:proofErr w:type="spellEnd"/>
      <w:r w:rsidRPr="00580408">
        <w:rPr>
          <w:rFonts w:ascii="Times New Roman" w:hAnsi="Times New Roman" w:cs="Times New Roman"/>
          <w:sz w:val="24"/>
          <w:szCs w:val="24"/>
        </w:rPr>
        <w:t xml:space="preserve"> ориентированными складскими предприятиями или терминалами – тенденция, которая имела место в нефтегазовой отрасли еще с 2015 года. Крупнейшей такого рода сделкой в этом регионе стала покупка </w:t>
      </w:r>
      <w:proofErr w:type="spellStart"/>
      <w:r w:rsidRPr="00580408">
        <w:rPr>
          <w:rFonts w:ascii="Times New Roman" w:hAnsi="Times New Roman" w:cs="Times New Roman"/>
          <w:sz w:val="24"/>
          <w:szCs w:val="24"/>
        </w:rPr>
        <w:t>Tesoro</w:t>
      </w:r>
      <w:proofErr w:type="spellEnd"/>
      <w:r w:rsidRPr="00580408">
        <w:rPr>
          <w:rFonts w:ascii="Times New Roman" w:hAnsi="Times New Roman" w:cs="Times New Roman"/>
          <w:sz w:val="24"/>
          <w:szCs w:val="24"/>
        </w:rPr>
        <w:t xml:space="preserve"> </w:t>
      </w:r>
      <w:proofErr w:type="spellStart"/>
      <w:r w:rsidRPr="00580408">
        <w:rPr>
          <w:rFonts w:ascii="Times New Roman" w:hAnsi="Times New Roman" w:cs="Times New Roman"/>
          <w:sz w:val="24"/>
          <w:szCs w:val="24"/>
        </w:rPr>
        <w:t>Corpor</w:t>
      </w:r>
      <w:r w:rsidR="00603DDD">
        <w:rPr>
          <w:rFonts w:ascii="Times New Roman" w:hAnsi="Times New Roman" w:cs="Times New Roman"/>
          <w:sz w:val="24"/>
          <w:szCs w:val="24"/>
        </w:rPr>
        <w:t>ation</w:t>
      </w:r>
      <w:proofErr w:type="spellEnd"/>
      <w:r w:rsidR="00603DDD">
        <w:rPr>
          <w:rFonts w:ascii="Times New Roman" w:hAnsi="Times New Roman" w:cs="Times New Roman"/>
          <w:sz w:val="24"/>
          <w:szCs w:val="24"/>
        </w:rPr>
        <w:t xml:space="preserve"> компании </w:t>
      </w:r>
      <w:proofErr w:type="spellStart"/>
      <w:r w:rsidR="00603DDD">
        <w:rPr>
          <w:rFonts w:ascii="Times New Roman" w:hAnsi="Times New Roman" w:cs="Times New Roman"/>
          <w:sz w:val="24"/>
          <w:szCs w:val="24"/>
        </w:rPr>
        <w:t>Western</w:t>
      </w:r>
      <w:proofErr w:type="spellEnd"/>
      <w:r w:rsidR="00603DDD">
        <w:rPr>
          <w:rFonts w:ascii="Times New Roman" w:hAnsi="Times New Roman" w:cs="Times New Roman"/>
          <w:sz w:val="24"/>
          <w:szCs w:val="24"/>
        </w:rPr>
        <w:t xml:space="preserve"> </w:t>
      </w:r>
      <w:proofErr w:type="spellStart"/>
      <w:r w:rsidR="00603DDD">
        <w:rPr>
          <w:rFonts w:ascii="Times New Roman" w:hAnsi="Times New Roman" w:cs="Times New Roman"/>
          <w:sz w:val="24"/>
          <w:szCs w:val="24"/>
        </w:rPr>
        <w:t>Refining</w:t>
      </w:r>
      <w:proofErr w:type="spellEnd"/>
      <w:r w:rsidR="00603DDD">
        <w:rPr>
          <w:rFonts w:ascii="Times New Roman" w:hAnsi="Times New Roman" w:cs="Times New Roman"/>
          <w:sz w:val="24"/>
          <w:szCs w:val="24"/>
        </w:rPr>
        <w:t xml:space="preserve"> на сумму</w:t>
      </w:r>
      <w:r w:rsidRPr="00580408">
        <w:rPr>
          <w:rFonts w:ascii="Times New Roman" w:hAnsi="Times New Roman" w:cs="Times New Roman"/>
          <w:sz w:val="24"/>
          <w:szCs w:val="24"/>
        </w:rPr>
        <w:t xml:space="preserve"> $6,4 млрд. Значительные изменения в сфере</w:t>
      </w:r>
      <w:r w:rsidRPr="00580408">
        <w:t xml:space="preserve"> </w:t>
      </w:r>
      <w:r w:rsidRPr="00580408">
        <w:rPr>
          <w:rFonts w:ascii="Times New Roman" w:hAnsi="Times New Roman" w:cs="Times New Roman"/>
          <w:sz w:val="24"/>
          <w:szCs w:val="24"/>
        </w:rPr>
        <w:t xml:space="preserve">M&amp;A активов наблюдаются в Азии. Так, «Роснефть» и нидерландская компания, специализирующаяся на торговле углеводородным сырьём, металлами и минеральными удобрениями </w:t>
      </w:r>
      <w:proofErr w:type="spellStart"/>
      <w:r w:rsidRPr="00580408">
        <w:rPr>
          <w:rFonts w:ascii="Times New Roman" w:hAnsi="Times New Roman" w:cs="Times New Roman"/>
          <w:sz w:val="24"/>
          <w:szCs w:val="24"/>
        </w:rPr>
        <w:t>Trafigura</w:t>
      </w:r>
      <w:proofErr w:type="spellEnd"/>
      <w:r w:rsidRPr="00580408">
        <w:rPr>
          <w:rFonts w:ascii="Times New Roman" w:hAnsi="Times New Roman" w:cs="Times New Roman"/>
          <w:sz w:val="24"/>
          <w:szCs w:val="24"/>
        </w:rPr>
        <w:t xml:space="preserve"> приобрели </w:t>
      </w:r>
      <w:proofErr w:type="spellStart"/>
      <w:r w:rsidRPr="00580408">
        <w:rPr>
          <w:rFonts w:ascii="Times New Roman" w:hAnsi="Times New Roman" w:cs="Times New Roman"/>
          <w:sz w:val="24"/>
          <w:szCs w:val="24"/>
        </w:rPr>
        <w:t>Essar</w:t>
      </w:r>
      <w:proofErr w:type="spellEnd"/>
      <w:r w:rsidRPr="00580408">
        <w:rPr>
          <w:rFonts w:ascii="Times New Roman" w:hAnsi="Times New Roman" w:cs="Times New Roman"/>
          <w:sz w:val="24"/>
          <w:szCs w:val="24"/>
        </w:rPr>
        <w:t xml:space="preserve"> </w:t>
      </w:r>
      <w:proofErr w:type="spellStart"/>
      <w:r w:rsidRPr="00580408">
        <w:rPr>
          <w:rFonts w:ascii="Times New Roman" w:hAnsi="Times New Roman" w:cs="Times New Roman"/>
          <w:sz w:val="24"/>
          <w:szCs w:val="24"/>
        </w:rPr>
        <w:t>Oil</w:t>
      </w:r>
      <w:proofErr w:type="spellEnd"/>
      <w:r w:rsidRPr="00580408">
        <w:rPr>
          <w:rFonts w:ascii="Times New Roman" w:hAnsi="Times New Roman" w:cs="Times New Roman"/>
          <w:sz w:val="24"/>
          <w:szCs w:val="24"/>
        </w:rPr>
        <w:t xml:space="preserve"> за $12,9 млрд. Данная сделка дала возможность стратегическим образом изменить ситуацию на рынке нефти и газа в регионе и д</w:t>
      </w:r>
      <w:r>
        <w:rPr>
          <w:rFonts w:ascii="Times New Roman" w:hAnsi="Times New Roman" w:cs="Times New Roman"/>
          <w:sz w:val="24"/>
          <w:szCs w:val="24"/>
        </w:rPr>
        <w:t>ать новый импульс его развитию.</w:t>
      </w:r>
      <w:r w:rsidRPr="0061536E">
        <w:rPr>
          <w:rFonts w:ascii="Times New Roman" w:hAnsi="Times New Roman" w:cs="Times New Roman"/>
          <w:sz w:val="24"/>
          <w:szCs w:val="24"/>
        </w:rPr>
        <w:t xml:space="preserve"> </w:t>
      </w:r>
    </w:p>
    <w:p w:rsidR="0059775B" w:rsidRDefault="0059775B">
      <w:pPr>
        <w:rPr>
          <w:rFonts w:ascii="Times New Roman" w:hAnsi="Times New Roman"/>
          <w:sz w:val="24"/>
          <w:szCs w:val="28"/>
        </w:rPr>
      </w:pPr>
      <w:r>
        <w:rPr>
          <w:rFonts w:ascii="Times New Roman" w:hAnsi="Times New Roman"/>
          <w:sz w:val="24"/>
          <w:szCs w:val="28"/>
        </w:rPr>
        <w:br w:type="page"/>
      </w:r>
    </w:p>
    <w:p w:rsidR="0059775B" w:rsidRPr="0059775B" w:rsidRDefault="0059775B" w:rsidP="0059775B">
      <w:pPr>
        <w:pStyle w:val="1"/>
        <w:jc w:val="center"/>
        <w:rPr>
          <w:rFonts w:ascii="Times New Roman" w:hAnsi="Times New Roman" w:cs="Times New Roman"/>
          <w:color w:val="auto"/>
        </w:rPr>
      </w:pPr>
      <w:bookmarkStart w:id="7" w:name="_Toc482547514"/>
      <w:r w:rsidRPr="0059775B">
        <w:rPr>
          <w:rFonts w:ascii="Times New Roman" w:hAnsi="Times New Roman" w:cs="Times New Roman"/>
          <w:color w:val="auto"/>
        </w:rPr>
        <w:lastRenderedPageBreak/>
        <w:t>ГЛАВА 2 МЕТОДЫ ОЦЕНКИ ЭФФЕКТИВНОСТИ СДЕЛОК ПО СЛИЯНИЮ И ПОГЛОЩЕНИЮ</w:t>
      </w:r>
      <w:bookmarkEnd w:id="7"/>
    </w:p>
    <w:p w:rsidR="0059775B" w:rsidRPr="0059775B" w:rsidRDefault="0059775B" w:rsidP="0059775B">
      <w:pPr>
        <w:pStyle w:val="2"/>
        <w:spacing w:after="240"/>
        <w:jc w:val="center"/>
        <w:rPr>
          <w:rFonts w:ascii="Times New Roman" w:hAnsi="Times New Roman" w:cs="Times New Roman"/>
          <w:color w:val="auto"/>
          <w:sz w:val="24"/>
        </w:rPr>
      </w:pPr>
      <w:bookmarkStart w:id="8" w:name="_Toc482547515"/>
      <w:r w:rsidRPr="0059775B">
        <w:rPr>
          <w:rFonts w:ascii="Times New Roman" w:hAnsi="Times New Roman" w:cs="Times New Roman"/>
          <w:color w:val="auto"/>
          <w:sz w:val="24"/>
        </w:rPr>
        <w:t>2.1 Оценка эффективности сделок по слиянию и поглощению</w:t>
      </w:r>
      <w:bookmarkEnd w:id="8"/>
    </w:p>
    <w:p w:rsidR="0059775B" w:rsidRPr="0059775B" w:rsidRDefault="0059775B" w:rsidP="0059775B">
      <w:pPr>
        <w:spacing w:line="360" w:lineRule="auto"/>
        <w:jc w:val="both"/>
        <w:rPr>
          <w:rFonts w:ascii="Times New Roman" w:hAnsi="Times New Roman" w:cs="Times New Roman"/>
          <w:sz w:val="24"/>
        </w:rPr>
      </w:pPr>
      <w:r>
        <w:rPr>
          <w:rFonts w:ascii="Times New Roman" w:hAnsi="Times New Roman" w:cs="Times New Roman"/>
        </w:rPr>
        <w:tab/>
      </w:r>
      <w:r w:rsidRPr="0059775B">
        <w:rPr>
          <w:rFonts w:ascii="Times New Roman" w:hAnsi="Times New Roman" w:cs="Times New Roman"/>
          <w:sz w:val="24"/>
        </w:rPr>
        <w:t xml:space="preserve">Важнейшим этапом сделок по слиянию и поглощению является оценка их эффективности. Данный этап необходим для того, чтобы выявить результаты той или иной сделки, сформировать мнение об ее успехе или неудаче. В виду того, что оценка эффективности сделки является </w:t>
      </w:r>
      <w:proofErr w:type="gramStart"/>
      <w:r w:rsidRPr="0059775B">
        <w:rPr>
          <w:rFonts w:ascii="Times New Roman" w:hAnsi="Times New Roman" w:cs="Times New Roman"/>
          <w:sz w:val="24"/>
        </w:rPr>
        <w:t>весьма комплексным</w:t>
      </w:r>
      <w:proofErr w:type="gramEnd"/>
      <w:r w:rsidRPr="0059775B">
        <w:rPr>
          <w:rFonts w:ascii="Times New Roman" w:hAnsi="Times New Roman" w:cs="Times New Roman"/>
          <w:sz w:val="24"/>
        </w:rPr>
        <w:t xml:space="preserve"> процессом, а также того, что каждая сделка требует индивидуального подхода – актуальность оценки эффективности сделок возрастает. </w:t>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rPr>
        <w:tab/>
        <w:t>По данным исследований компании K</w:t>
      </w:r>
      <w:r w:rsidRPr="0059775B">
        <w:rPr>
          <w:rFonts w:ascii="Times New Roman" w:hAnsi="Times New Roman" w:cs="Times New Roman"/>
          <w:sz w:val="24"/>
          <w:lang w:val="en-US"/>
        </w:rPr>
        <w:t>PMG</w:t>
      </w:r>
      <w:r w:rsidRPr="0059775B">
        <w:rPr>
          <w:rFonts w:ascii="Times New Roman" w:hAnsi="Times New Roman" w:cs="Times New Roman"/>
          <w:sz w:val="24"/>
        </w:rPr>
        <w:t xml:space="preserve">, большинство сделок по слиянию и поглощению оказались для компаний, их совершивших, убыточными. А по данным </w:t>
      </w:r>
      <w:r w:rsidRPr="0059775B">
        <w:rPr>
          <w:rFonts w:ascii="Times New Roman" w:hAnsi="Times New Roman" w:cs="Times New Roman"/>
          <w:sz w:val="24"/>
          <w:lang w:val="en-US"/>
        </w:rPr>
        <w:t>Harvard</w:t>
      </w:r>
      <w:r w:rsidRPr="0059775B">
        <w:rPr>
          <w:rFonts w:ascii="Times New Roman" w:hAnsi="Times New Roman" w:cs="Times New Roman"/>
          <w:sz w:val="24"/>
        </w:rPr>
        <w:t xml:space="preserve"> </w:t>
      </w:r>
      <w:r w:rsidRPr="0059775B">
        <w:rPr>
          <w:rFonts w:ascii="Times New Roman" w:hAnsi="Times New Roman" w:cs="Times New Roman"/>
          <w:sz w:val="24"/>
          <w:lang w:val="en-US"/>
        </w:rPr>
        <w:t>Business</w:t>
      </w:r>
      <w:r w:rsidRPr="0059775B">
        <w:rPr>
          <w:rFonts w:ascii="Times New Roman" w:hAnsi="Times New Roman" w:cs="Times New Roman"/>
          <w:sz w:val="24"/>
        </w:rPr>
        <w:t xml:space="preserve"> </w:t>
      </w:r>
      <w:r w:rsidRPr="0059775B">
        <w:rPr>
          <w:rFonts w:ascii="Times New Roman" w:hAnsi="Times New Roman" w:cs="Times New Roman"/>
          <w:sz w:val="24"/>
          <w:lang w:val="en-US"/>
        </w:rPr>
        <w:t>Review</w:t>
      </w:r>
      <w:r w:rsidRPr="0059775B">
        <w:rPr>
          <w:rFonts w:ascii="Times New Roman" w:hAnsi="Times New Roman" w:cs="Times New Roman"/>
          <w:sz w:val="24"/>
        </w:rPr>
        <w:t xml:space="preserve">, до 80% сделок никак не приводят к росту благосостояния акционеров, а более половины и вовсе оказывают негативное влияние на «поглотителей». </w:t>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rPr>
        <w:tab/>
        <w:t>Неудачи сделок во многом обусловлены переоценкой эффекта синергии, которая может быть получена в результате слияния и поглощения. Как следствие этого часто возникает и переплата со стороны поглощающей компании, что только усугубляет негативный эффект. Соответственно, более осторожная и тщательная подготовка и анализ – ключ к снижению вероятности проведения неудачной сделки</w:t>
      </w:r>
      <w:r w:rsidRPr="0059775B">
        <w:rPr>
          <w:rStyle w:val="a7"/>
          <w:rFonts w:ascii="Times New Roman" w:hAnsi="Times New Roman" w:cs="Times New Roman"/>
          <w:sz w:val="24"/>
        </w:rPr>
        <w:footnoteReference w:id="22"/>
      </w:r>
      <w:r w:rsidRPr="0059775B">
        <w:rPr>
          <w:rFonts w:ascii="Times New Roman" w:hAnsi="Times New Roman" w:cs="Times New Roman"/>
          <w:sz w:val="24"/>
        </w:rPr>
        <w:t>.</w:t>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rPr>
        <w:tab/>
        <w:t>Сделка по слиянию и поглощению может быть признана эффективной, если в результате ее проведения увеличивается благосостояние акционеров компании.</w:t>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rPr>
        <w:tab/>
        <w:t>Благосостояние акционеров компании, в свою очередь, увеличивается за счет того, что благодаря сделке образуется эффект синергии, который является положительным результатом от объединения компаний.</w:t>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rPr>
        <w:tab/>
        <w:t>Эффект синергии – результат объединения компаний, превосходящий по стоимости результаты, если бы они действовали по отдельности</w:t>
      </w:r>
      <w:r w:rsidR="005916BF">
        <w:rPr>
          <w:rStyle w:val="a7"/>
          <w:rFonts w:ascii="Times New Roman" w:hAnsi="Times New Roman" w:cs="Times New Roman"/>
          <w:sz w:val="24"/>
        </w:rPr>
        <w:footnoteReference w:id="23"/>
      </w:r>
      <w:r w:rsidRPr="0059775B">
        <w:rPr>
          <w:rFonts w:ascii="Times New Roman" w:hAnsi="Times New Roman" w:cs="Times New Roman"/>
          <w:sz w:val="24"/>
        </w:rPr>
        <w:t>.</w:t>
      </w:r>
    </w:p>
    <w:p w:rsidR="0059775B" w:rsidRPr="0059775B" w:rsidRDefault="004D6A9F" w:rsidP="0059775B">
      <w:pPr>
        <w:spacing w:line="360" w:lineRule="auto"/>
        <w:jc w:val="both"/>
        <w:rPr>
          <w:rFonts w:ascii="Times New Roman" w:hAnsi="Times New Roman" w:cs="Times New Roman"/>
          <w:sz w:val="24"/>
        </w:rPr>
      </w:pPr>
      <w:r>
        <w:rPr>
          <w:rFonts w:ascii="Times New Roman" w:hAnsi="Times New Roman" w:cs="Times New Roman"/>
          <w:sz w:val="24"/>
        </w:rPr>
        <w:tab/>
        <w:t>На рисунке 5</w:t>
      </w:r>
      <w:r w:rsidR="0059775B" w:rsidRPr="0059775B">
        <w:rPr>
          <w:rFonts w:ascii="Times New Roman" w:hAnsi="Times New Roman" w:cs="Times New Roman"/>
          <w:sz w:val="24"/>
        </w:rPr>
        <w:t xml:space="preserve"> представлена схема формирования инвестиционной стоимости консолидированной компании. </w:t>
      </w:r>
      <w:proofErr w:type="gramStart"/>
      <w:r w:rsidR="0059775B" w:rsidRPr="0059775B">
        <w:rPr>
          <w:rFonts w:ascii="Times New Roman" w:hAnsi="Times New Roman" w:cs="Times New Roman"/>
          <w:sz w:val="24"/>
          <w:lang w:val="en-US"/>
        </w:rPr>
        <w:t>V</w:t>
      </w:r>
      <w:r w:rsidR="0059775B" w:rsidRPr="0059775B">
        <w:rPr>
          <w:rFonts w:ascii="Times New Roman" w:hAnsi="Times New Roman" w:cs="Times New Roman"/>
          <w:sz w:val="24"/>
          <w:vertAlign w:val="subscript"/>
        </w:rPr>
        <w:t>А</w:t>
      </w:r>
      <w:r w:rsidR="0059775B" w:rsidRPr="0059775B">
        <w:rPr>
          <w:rFonts w:ascii="Times New Roman" w:hAnsi="Times New Roman" w:cs="Times New Roman"/>
          <w:sz w:val="24"/>
        </w:rPr>
        <w:t xml:space="preserve"> и </w:t>
      </w:r>
      <w:r w:rsidR="0059775B" w:rsidRPr="0059775B">
        <w:rPr>
          <w:rFonts w:ascii="Times New Roman" w:hAnsi="Times New Roman" w:cs="Times New Roman"/>
          <w:sz w:val="24"/>
          <w:lang w:val="en-US"/>
        </w:rPr>
        <w:t>V</w:t>
      </w:r>
      <w:r w:rsidR="0059775B" w:rsidRPr="0059775B">
        <w:rPr>
          <w:rFonts w:ascii="Times New Roman" w:hAnsi="Times New Roman" w:cs="Times New Roman"/>
          <w:sz w:val="24"/>
          <w:vertAlign w:val="subscript"/>
        </w:rPr>
        <w:t>В</w:t>
      </w:r>
      <w:r w:rsidR="0059775B" w:rsidRPr="0059775B">
        <w:rPr>
          <w:rFonts w:ascii="Times New Roman" w:hAnsi="Times New Roman" w:cs="Times New Roman"/>
          <w:sz w:val="24"/>
        </w:rPr>
        <w:t xml:space="preserve"> представляют собой инвестиционные стоимости компании-поглотителя и компании-цели.</w:t>
      </w:r>
      <w:proofErr w:type="gramEnd"/>
      <w:r w:rsidR="0059775B" w:rsidRPr="0059775B">
        <w:rPr>
          <w:rFonts w:ascii="Times New Roman" w:hAnsi="Times New Roman" w:cs="Times New Roman"/>
          <w:sz w:val="24"/>
        </w:rPr>
        <w:t xml:space="preserve"> Стоимость, добавленная синергией к стоимости </w:t>
      </w:r>
      <w:r w:rsidR="0059775B" w:rsidRPr="0059775B">
        <w:rPr>
          <w:rFonts w:ascii="Times New Roman" w:hAnsi="Times New Roman" w:cs="Times New Roman"/>
          <w:sz w:val="24"/>
        </w:rPr>
        <w:lastRenderedPageBreak/>
        <w:t>объединенной компании (</w:t>
      </w:r>
      <w:r w:rsidR="0059775B" w:rsidRPr="0059775B">
        <w:rPr>
          <w:rFonts w:ascii="Times New Roman" w:hAnsi="Times New Roman" w:cs="Times New Roman"/>
          <w:sz w:val="24"/>
          <w:lang w:val="en-US"/>
        </w:rPr>
        <w:t>V</w:t>
      </w:r>
      <w:r w:rsidR="0059775B" w:rsidRPr="0059775B">
        <w:rPr>
          <w:rFonts w:ascii="Times New Roman" w:hAnsi="Times New Roman" w:cs="Times New Roman"/>
          <w:sz w:val="24"/>
          <w:vertAlign w:val="subscript"/>
          <w:lang w:val="en-US"/>
        </w:rPr>
        <w:t>S</w:t>
      </w:r>
      <w:r w:rsidR="0059775B" w:rsidRPr="0059775B">
        <w:rPr>
          <w:rFonts w:ascii="Times New Roman" w:hAnsi="Times New Roman" w:cs="Times New Roman"/>
          <w:sz w:val="24"/>
        </w:rPr>
        <w:t>), включает премию за контроль и выигрыш от совершения данной сделки.</w:t>
      </w:r>
    </w:p>
    <w:p w:rsidR="0059775B" w:rsidRPr="0059775B" w:rsidRDefault="0059775B" w:rsidP="0059775B">
      <w:pPr>
        <w:spacing w:line="360" w:lineRule="auto"/>
        <w:jc w:val="both"/>
        <w:rPr>
          <w:rFonts w:ascii="Times New Roman" w:hAnsi="Times New Roman" w:cs="Times New Roman"/>
          <w:sz w:val="24"/>
        </w:rPr>
      </w:pPr>
    </w:p>
    <w:p w:rsidR="0059775B" w:rsidRDefault="0059775B" w:rsidP="0059775B">
      <w:pPr>
        <w:spacing w:line="360" w:lineRule="auto"/>
        <w:jc w:val="both"/>
        <w:rPr>
          <w:rFonts w:ascii="Times New Roman" w:hAnsi="Times New Roman" w:cs="Times New Roman"/>
        </w:rPr>
      </w:pPr>
      <w:r>
        <w:rPr>
          <w:rFonts w:ascii="Times New Roman" w:hAnsi="Times New Roman" w:cs="Times New Roman"/>
          <w:noProof/>
          <w:lang w:eastAsia="ru-RU"/>
        </w:rPr>
        <w:drawing>
          <wp:inline distT="0" distB="0" distL="0" distR="0" wp14:anchorId="39964BDC" wp14:editId="55E917A7">
            <wp:extent cx="5936615" cy="1962150"/>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 экрана 2017-05-11 в 21.05.03.png"/>
                    <pic:cNvPicPr/>
                  </pic:nvPicPr>
                  <pic:blipFill>
                    <a:blip r:embed="rId13">
                      <a:extLst>
                        <a:ext uri="{28A0092B-C50C-407E-A947-70E740481C1C}">
                          <a14:useLocalDpi xmlns:a14="http://schemas.microsoft.com/office/drawing/2010/main" val="0"/>
                        </a:ext>
                      </a:extLst>
                    </a:blip>
                    <a:stretch>
                      <a:fillRect/>
                    </a:stretch>
                  </pic:blipFill>
                  <pic:spPr>
                    <a:xfrm>
                      <a:off x="0" y="0"/>
                      <a:ext cx="5936615" cy="1962150"/>
                    </a:xfrm>
                    <a:prstGeom prst="rect">
                      <a:avLst/>
                    </a:prstGeom>
                  </pic:spPr>
                </pic:pic>
              </a:graphicData>
            </a:graphic>
          </wp:inline>
        </w:drawing>
      </w:r>
    </w:p>
    <w:p w:rsidR="0059775B" w:rsidRPr="0059775B" w:rsidRDefault="007C1744" w:rsidP="0059775B">
      <w:pPr>
        <w:spacing w:line="360" w:lineRule="auto"/>
        <w:jc w:val="both"/>
        <w:rPr>
          <w:rFonts w:ascii="Times New Roman" w:hAnsi="Times New Roman" w:cs="Times New Roman"/>
          <w:sz w:val="24"/>
        </w:rPr>
      </w:pPr>
      <w:r>
        <w:rPr>
          <w:rFonts w:ascii="Times New Roman" w:hAnsi="Times New Roman" w:cs="Times New Roman"/>
          <w:sz w:val="24"/>
        </w:rPr>
        <w:t xml:space="preserve">Рисунок </w:t>
      </w:r>
      <w:r w:rsidRPr="007C1744">
        <w:rPr>
          <w:rFonts w:ascii="Times New Roman" w:hAnsi="Times New Roman" w:cs="Times New Roman"/>
          <w:sz w:val="24"/>
        </w:rPr>
        <w:t>5</w:t>
      </w:r>
      <w:r w:rsidR="0059775B" w:rsidRPr="0059775B">
        <w:rPr>
          <w:rFonts w:ascii="Times New Roman" w:hAnsi="Times New Roman" w:cs="Times New Roman"/>
          <w:sz w:val="24"/>
        </w:rPr>
        <w:t xml:space="preserve"> Создание стоимости для компании-поглотителя</w:t>
      </w:r>
    </w:p>
    <w:p w:rsidR="0059775B" w:rsidRPr="008065AA" w:rsidRDefault="0059775B" w:rsidP="0059775B">
      <w:pPr>
        <w:spacing w:line="360" w:lineRule="auto"/>
        <w:jc w:val="both"/>
        <w:rPr>
          <w:rFonts w:ascii="Times New Roman" w:hAnsi="Times New Roman" w:cs="Times New Roman"/>
          <w:sz w:val="24"/>
          <w:lang w:val="en-US"/>
        </w:rPr>
      </w:pPr>
      <w:r w:rsidRPr="0059775B">
        <w:rPr>
          <w:rFonts w:ascii="Times New Roman" w:hAnsi="Times New Roman" w:cs="Times New Roman"/>
          <w:sz w:val="24"/>
        </w:rPr>
        <w:t>Источник</w:t>
      </w:r>
      <w:r w:rsidRPr="0059775B">
        <w:rPr>
          <w:rFonts w:ascii="Times New Roman" w:hAnsi="Times New Roman" w:cs="Times New Roman"/>
          <w:sz w:val="24"/>
          <w:lang w:val="en-US"/>
        </w:rPr>
        <w:t xml:space="preserve">: </w:t>
      </w:r>
      <w:proofErr w:type="spellStart"/>
      <w:proofErr w:type="gramStart"/>
      <w:r w:rsidRPr="0059775B">
        <w:rPr>
          <w:rFonts w:ascii="Times New Roman" w:hAnsi="Times New Roman" w:cs="Times New Roman"/>
          <w:sz w:val="24"/>
          <w:lang w:val="en-US"/>
        </w:rPr>
        <w:t>DePamphilis</w:t>
      </w:r>
      <w:proofErr w:type="spellEnd"/>
      <w:r w:rsidRPr="0059775B">
        <w:rPr>
          <w:rFonts w:ascii="Times New Roman" w:hAnsi="Times New Roman" w:cs="Times New Roman"/>
          <w:sz w:val="24"/>
          <w:lang w:val="en-US"/>
        </w:rPr>
        <w:t xml:space="preserve">, D.M. Mergers, Acquisitions, and Other Restructuring Activities/ D.M. </w:t>
      </w:r>
      <w:proofErr w:type="spellStart"/>
      <w:r w:rsidRPr="0059775B">
        <w:rPr>
          <w:rFonts w:ascii="Times New Roman" w:hAnsi="Times New Roman" w:cs="Times New Roman"/>
          <w:sz w:val="24"/>
          <w:lang w:val="en-US"/>
        </w:rPr>
        <w:t>DePamphilis</w:t>
      </w:r>
      <w:proofErr w:type="spellEnd"/>
      <w:r w:rsidRPr="0059775B">
        <w:rPr>
          <w:rFonts w:ascii="Times New Roman" w:hAnsi="Times New Roman" w:cs="Times New Roman"/>
          <w:sz w:val="24"/>
          <w:lang w:val="en-US"/>
        </w:rPr>
        <w:t>.</w:t>
      </w:r>
      <w:proofErr w:type="gramEnd"/>
      <w:r w:rsidRPr="0059775B">
        <w:rPr>
          <w:rFonts w:ascii="Times New Roman" w:hAnsi="Times New Roman" w:cs="Times New Roman"/>
          <w:sz w:val="24"/>
          <w:lang w:val="en-US"/>
        </w:rPr>
        <w:t xml:space="preserve"> – Elsevier Inc.</w:t>
      </w:r>
      <w:r w:rsidR="003436FE">
        <w:rPr>
          <w:rFonts w:ascii="Times New Roman" w:hAnsi="Times New Roman" w:cs="Times New Roman"/>
          <w:sz w:val="24"/>
          <w:lang w:val="en-US"/>
        </w:rPr>
        <w:t>, 2010. – P</w:t>
      </w:r>
      <w:r w:rsidRPr="0059775B">
        <w:rPr>
          <w:rFonts w:ascii="Times New Roman" w:hAnsi="Times New Roman" w:cs="Times New Roman"/>
          <w:sz w:val="24"/>
          <w:lang w:val="en-US"/>
        </w:rPr>
        <w:t>.</w:t>
      </w:r>
      <w:r w:rsidR="003436FE">
        <w:rPr>
          <w:rFonts w:ascii="Times New Roman" w:hAnsi="Times New Roman" w:cs="Times New Roman"/>
          <w:sz w:val="24"/>
          <w:lang w:val="en-US"/>
        </w:rPr>
        <w:t>675.</w:t>
      </w:r>
      <w:r w:rsidR="008065AA">
        <w:rPr>
          <w:rFonts w:ascii="Times New Roman" w:hAnsi="Times New Roman" w:cs="Times New Roman"/>
          <w:sz w:val="24"/>
          <w:lang w:val="en-US"/>
        </w:rPr>
        <w:t xml:space="preserve"> </w:t>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lang w:val="en-US"/>
        </w:rPr>
        <w:tab/>
      </w:r>
      <w:r w:rsidRPr="0059775B">
        <w:rPr>
          <w:rFonts w:ascii="Times New Roman" w:hAnsi="Times New Roman" w:cs="Times New Roman"/>
          <w:sz w:val="24"/>
        </w:rPr>
        <w:t>Существуют разные подходы для того, чтобы классифицировать синергетический эффект. В рамках данной работы мы сфокусируемся на подходе, в рамках которого синергетический эффект делится на операционные и финансовые синергии. Данные эффекты возникают в результате комбинирования ресурсов двух компаний.</w:t>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rPr>
        <w:tab/>
        <w:t>Операционная синергия возникает в экономии на масштабе производства, экономии на гибкости, а также возможности роста. Данный вид синергии создает дополнительную стоимость от слияния ресурсов компаний. Однако, ее фактическое, а не теоретическое проявление напрямую зависит от управленческих способностей менеджмента консолидированной компании при принятии ключевых решений, а также компетенций, которые позволяют компании успешно конкурировать на рынке. Как правило, такой вид синергии проявляется в рамках слияний и поглощений по связанной диверсификации. Более подробно рассмотрим</w:t>
      </w:r>
      <w:r w:rsidR="00C22F00">
        <w:rPr>
          <w:rFonts w:ascii="Times New Roman" w:hAnsi="Times New Roman" w:cs="Times New Roman"/>
          <w:sz w:val="24"/>
        </w:rPr>
        <w:t>,</w:t>
      </w:r>
      <w:r w:rsidRPr="0059775B">
        <w:rPr>
          <w:rFonts w:ascii="Times New Roman" w:hAnsi="Times New Roman" w:cs="Times New Roman"/>
          <w:sz w:val="24"/>
        </w:rPr>
        <w:t xml:space="preserve"> каким образом пр</w:t>
      </w:r>
      <w:r w:rsidR="008065AA">
        <w:rPr>
          <w:rFonts w:ascii="Times New Roman" w:hAnsi="Times New Roman" w:cs="Times New Roman"/>
          <w:sz w:val="24"/>
        </w:rPr>
        <w:t>оявляется операционная синергия.</w:t>
      </w:r>
    </w:p>
    <w:p w:rsidR="0059775B" w:rsidRPr="0059775B" w:rsidRDefault="0059775B" w:rsidP="0059775B">
      <w:pPr>
        <w:pStyle w:val="a3"/>
        <w:numPr>
          <w:ilvl w:val="0"/>
          <w:numId w:val="13"/>
        </w:numPr>
        <w:spacing w:after="0" w:line="360" w:lineRule="auto"/>
        <w:jc w:val="both"/>
        <w:rPr>
          <w:rFonts w:ascii="Times New Roman" w:hAnsi="Times New Roman" w:cs="Times New Roman"/>
          <w:sz w:val="24"/>
        </w:rPr>
      </w:pPr>
      <w:r w:rsidRPr="0059775B">
        <w:rPr>
          <w:rFonts w:ascii="Times New Roman" w:hAnsi="Times New Roman" w:cs="Times New Roman"/>
          <w:sz w:val="24"/>
        </w:rPr>
        <w:t>Эффект от масштаба производства. Данный эффект возникает в результате увеличения производительности и специализации производства, сокращения удельных постоянных издержек за счет их распределения на большее число активов консолидированной компании, оптимизации использования имеющихся ресурсов, и как следствие, приводит к сокращению прямых и косвенных затрат на разных этапах цепочки ценности;</w:t>
      </w:r>
    </w:p>
    <w:p w:rsidR="0059775B" w:rsidRPr="0059775B" w:rsidRDefault="0059775B" w:rsidP="0059775B">
      <w:pPr>
        <w:pStyle w:val="a3"/>
        <w:numPr>
          <w:ilvl w:val="0"/>
          <w:numId w:val="13"/>
        </w:numPr>
        <w:spacing w:after="0" w:line="360" w:lineRule="auto"/>
        <w:jc w:val="both"/>
        <w:rPr>
          <w:rFonts w:ascii="Times New Roman" w:hAnsi="Times New Roman" w:cs="Times New Roman"/>
          <w:sz w:val="24"/>
        </w:rPr>
      </w:pPr>
      <w:r w:rsidRPr="0059775B">
        <w:rPr>
          <w:rFonts w:ascii="Times New Roman" w:hAnsi="Times New Roman" w:cs="Times New Roman"/>
          <w:sz w:val="24"/>
        </w:rPr>
        <w:lastRenderedPageBreak/>
        <w:t>Экономия на гибкости. Данный эффект также приводит к сокращению затрат консолидированной компании за счет устранения необходимости осуществлять новые инвестиции в создание и расширение логистических цепей, продуктовых групп, проведения дублирующих мероприятий по продвижению и увеличению охвата клиентов, и наконец, в трудовые ресурсы;</w:t>
      </w:r>
    </w:p>
    <w:p w:rsidR="0059775B" w:rsidRPr="008065AA" w:rsidRDefault="0059775B" w:rsidP="008065AA">
      <w:pPr>
        <w:pStyle w:val="a3"/>
        <w:numPr>
          <w:ilvl w:val="0"/>
          <w:numId w:val="13"/>
        </w:numPr>
        <w:spacing w:line="360" w:lineRule="auto"/>
        <w:jc w:val="both"/>
        <w:rPr>
          <w:rFonts w:ascii="Times New Roman" w:hAnsi="Times New Roman" w:cs="Times New Roman"/>
          <w:sz w:val="24"/>
        </w:rPr>
      </w:pPr>
      <w:r w:rsidRPr="0059775B">
        <w:rPr>
          <w:rFonts w:ascii="Times New Roman" w:hAnsi="Times New Roman" w:cs="Times New Roman"/>
          <w:sz w:val="24"/>
        </w:rPr>
        <w:t>Возможности роста. Данный эффект выражается в увеличении скорости объединенной компании в рамках расширения рынка, укрепления занимаемых позиций, освоения технологий и разработки новых продуктов.</w:t>
      </w:r>
    </w:p>
    <w:p w:rsidR="0059775B" w:rsidRPr="0059775B" w:rsidRDefault="0059775B" w:rsidP="0059775B">
      <w:pPr>
        <w:spacing w:line="360" w:lineRule="auto"/>
        <w:ind w:firstLine="708"/>
        <w:jc w:val="both"/>
        <w:rPr>
          <w:rFonts w:ascii="Times New Roman" w:hAnsi="Times New Roman" w:cs="Times New Roman"/>
          <w:sz w:val="24"/>
        </w:rPr>
      </w:pPr>
      <w:r w:rsidRPr="0059775B">
        <w:rPr>
          <w:rFonts w:ascii="Times New Roman" w:hAnsi="Times New Roman" w:cs="Times New Roman"/>
          <w:sz w:val="24"/>
        </w:rPr>
        <w:t>Далее, перейдем к рассмотрению финансовой синергии. Она выражается в снижении налогов (в случае, если целевая компания обладает налоговыми льготами</w:t>
      </w:r>
      <w:r w:rsidR="003436FE">
        <w:rPr>
          <w:rFonts w:ascii="Times New Roman" w:hAnsi="Times New Roman" w:cs="Times New Roman"/>
          <w:sz w:val="24"/>
        </w:rPr>
        <w:t>,</w:t>
      </w:r>
      <w:r w:rsidRPr="0059775B">
        <w:rPr>
          <w:rFonts w:ascii="Times New Roman" w:hAnsi="Times New Roman" w:cs="Times New Roman"/>
          <w:sz w:val="24"/>
        </w:rPr>
        <w:t xml:space="preserve"> и они могут быть применены при уплате налогов объединённой компанией)</w:t>
      </w:r>
      <w:r w:rsidRPr="0059775B">
        <w:rPr>
          <w:rStyle w:val="a7"/>
          <w:rFonts w:ascii="Times New Roman" w:hAnsi="Times New Roman" w:cs="Times New Roman"/>
          <w:sz w:val="24"/>
        </w:rPr>
        <w:footnoteReference w:id="24"/>
      </w:r>
      <w:r w:rsidRPr="0059775B">
        <w:rPr>
          <w:rFonts w:ascii="Times New Roman" w:hAnsi="Times New Roman" w:cs="Times New Roman"/>
          <w:sz w:val="24"/>
        </w:rPr>
        <w:t>, в увеличении кредитоспособности (возможности получения новых кредитов и займов в связи с упрочнившимся финансовым п</w:t>
      </w:r>
      <w:r w:rsidR="003436FE">
        <w:rPr>
          <w:rFonts w:ascii="Times New Roman" w:hAnsi="Times New Roman" w:cs="Times New Roman"/>
          <w:sz w:val="24"/>
        </w:rPr>
        <w:t>оложением компании), увеличени</w:t>
      </w:r>
      <w:r w:rsidR="00C22F00">
        <w:rPr>
          <w:rFonts w:ascii="Times New Roman" w:hAnsi="Times New Roman" w:cs="Times New Roman"/>
          <w:sz w:val="24"/>
        </w:rPr>
        <w:t>и</w:t>
      </w:r>
      <w:r w:rsidRPr="0059775B">
        <w:rPr>
          <w:rFonts w:ascii="Times New Roman" w:hAnsi="Times New Roman" w:cs="Times New Roman"/>
          <w:sz w:val="24"/>
        </w:rPr>
        <w:t xml:space="preserve"> свободных денежных средств (освобождение средств, доступных для новых инвестиций). Как следствие </w:t>
      </w:r>
      <w:proofErr w:type="gramStart"/>
      <w:r w:rsidRPr="0059775B">
        <w:rPr>
          <w:rFonts w:ascii="Times New Roman" w:hAnsi="Times New Roman" w:cs="Times New Roman"/>
          <w:sz w:val="24"/>
        </w:rPr>
        <w:t>финансовых</w:t>
      </w:r>
      <w:proofErr w:type="gramEnd"/>
      <w:r w:rsidRPr="0059775B">
        <w:rPr>
          <w:rFonts w:ascii="Times New Roman" w:hAnsi="Times New Roman" w:cs="Times New Roman"/>
          <w:sz w:val="24"/>
        </w:rPr>
        <w:t xml:space="preserve"> </w:t>
      </w:r>
      <w:proofErr w:type="spellStart"/>
      <w:r w:rsidRPr="0059775B">
        <w:rPr>
          <w:rFonts w:ascii="Times New Roman" w:hAnsi="Times New Roman" w:cs="Times New Roman"/>
          <w:sz w:val="24"/>
        </w:rPr>
        <w:t>синергий</w:t>
      </w:r>
      <w:proofErr w:type="spellEnd"/>
      <w:r w:rsidRPr="0059775B">
        <w:rPr>
          <w:rFonts w:ascii="Times New Roman" w:hAnsi="Times New Roman" w:cs="Times New Roman"/>
          <w:sz w:val="24"/>
        </w:rPr>
        <w:t>, компания получает возможность диверсифицировать инвестиционные риски, иметь сниженную волатильность выручки и денежного потока, диверсификацию продуктовой линейки, географическую диверсификацию, при этом улучшая свое</w:t>
      </w:r>
      <w:r w:rsidR="00C22F00">
        <w:rPr>
          <w:rFonts w:ascii="Times New Roman" w:hAnsi="Times New Roman" w:cs="Times New Roman"/>
          <w:sz w:val="24"/>
        </w:rPr>
        <w:t xml:space="preserve"> финансовое положение, связанное</w:t>
      </w:r>
      <w:r w:rsidRPr="0059775B">
        <w:rPr>
          <w:rFonts w:ascii="Times New Roman" w:hAnsi="Times New Roman" w:cs="Times New Roman"/>
          <w:sz w:val="24"/>
        </w:rPr>
        <w:t xml:space="preserve"> с ростом кредитоспособности.</w:t>
      </w:r>
    </w:p>
    <w:p w:rsidR="0059775B" w:rsidRPr="0059775B" w:rsidRDefault="0059775B" w:rsidP="0059775B">
      <w:pPr>
        <w:spacing w:line="360" w:lineRule="auto"/>
        <w:ind w:firstLine="708"/>
        <w:jc w:val="both"/>
        <w:rPr>
          <w:rFonts w:ascii="Times New Roman" w:hAnsi="Times New Roman" w:cs="Times New Roman"/>
          <w:sz w:val="24"/>
        </w:rPr>
      </w:pPr>
      <w:r w:rsidRPr="0059775B">
        <w:rPr>
          <w:rFonts w:ascii="Times New Roman" w:hAnsi="Times New Roman" w:cs="Times New Roman"/>
          <w:sz w:val="24"/>
        </w:rPr>
        <w:t>Следует отметить, что синергией следует считать только те эффекты, которые невозможно достичь без объединения компаний</w:t>
      </w:r>
      <w:r w:rsidRPr="0059775B">
        <w:rPr>
          <w:rStyle w:val="a7"/>
          <w:rFonts w:ascii="Times New Roman" w:hAnsi="Times New Roman" w:cs="Times New Roman"/>
          <w:sz w:val="24"/>
        </w:rPr>
        <w:footnoteReference w:id="25"/>
      </w:r>
      <w:r w:rsidRPr="0059775B">
        <w:rPr>
          <w:rFonts w:ascii="Times New Roman" w:hAnsi="Times New Roman" w:cs="Times New Roman"/>
          <w:sz w:val="24"/>
        </w:rPr>
        <w:t xml:space="preserve">. По своей природе, синергия ведет к созданию более благоприятных производственных и финансовых возможностей для развития компании, </w:t>
      </w:r>
      <w:r w:rsidRPr="0059775B">
        <w:rPr>
          <w:rFonts w:ascii="Times New Roman" w:hAnsi="Times New Roman" w:cs="Times New Roman"/>
          <w:sz w:val="24"/>
        </w:rPr>
        <w:tab/>
        <w:t>которые было бы невозможно получить в рамках старых ресурсов и условий.</w:t>
      </w:r>
    </w:p>
    <w:p w:rsidR="0059775B" w:rsidRPr="0059775B" w:rsidRDefault="0059775B" w:rsidP="0059775B">
      <w:pPr>
        <w:spacing w:line="360" w:lineRule="auto"/>
        <w:ind w:firstLine="708"/>
        <w:jc w:val="both"/>
        <w:rPr>
          <w:rFonts w:ascii="Times New Roman" w:hAnsi="Times New Roman" w:cs="Times New Roman"/>
          <w:sz w:val="24"/>
        </w:rPr>
      </w:pPr>
      <w:r w:rsidRPr="0059775B">
        <w:rPr>
          <w:rFonts w:ascii="Times New Roman" w:hAnsi="Times New Roman" w:cs="Times New Roman"/>
          <w:sz w:val="24"/>
        </w:rPr>
        <w:t xml:space="preserve">Систематизированную классификацию </w:t>
      </w:r>
      <w:proofErr w:type="spellStart"/>
      <w:r w:rsidRPr="0059775B">
        <w:rPr>
          <w:rFonts w:ascii="Times New Roman" w:hAnsi="Times New Roman" w:cs="Times New Roman"/>
          <w:sz w:val="24"/>
        </w:rPr>
        <w:t>синергий</w:t>
      </w:r>
      <w:proofErr w:type="spellEnd"/>
      <w:r w:rsidRPr="0059775B">
        <w:rPr>
          <w:rFonts w:ascii="Times New Roman" w:hAnsi="Times New Roman" w:cs="Times New Roman"/>
          <w:sz w:val="24"/>
        </w:rPr>
        <w:t>, получаемых в результате слияний и погло</w:t>
      </w:r>
      <w:r w:rsidR="004D6A9F">
        <w:rPr>
          <w:rFonts w:ascii="Times New Roman" w:hAnsi="Times New Roman" w:cs="Times New Roman"/>
          <w:sz w:val="24"/>
        </w:rPr>
        <w:t>щений можно увидеть на рисунке 6</w:t>
      </w:r>
      <w:r w:rsidRPr="0059775B">
        <w:rPr>
          <w:rFonts w:ascii="Times New Roman" w:hAnsi="Times New Roman" w:cs="Times New Roman"/>
          <w:sz w:val="24"/>
        </w:rPr>
        <w:t>.</w:t>
      </w:r>
    </w:p>
    <w:p w:rsidR="0059775B" w:rsidRDefault="0059775B" w:rsidP="0059775B">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       </w:t>
      </w:r>
      <w:r w:rsidR="00E11D2C">
        <w:rPr>
          <w:rFonts w:ascii="Times New Roman" w:hAnsi="Times New Roman" w:cs="Times New Roman"/>
          <w:noProof/>
          <w:lang w:eastAsia="ru-RU"/>
        </w:rPr>
        <w:drawing>
          <wp:inline distT="0" distB="0" distL="0" distR="0" wp14:anchorId="6A3D4E9D" wp14:editId="4CFDBAEB">
            <wp:extent cx="5940425" cy="4584700"/>
            <wp:effectExtent l="0" t="0" r="317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M&amp;A-Deal-Evaluation-3.png"/>
                    <pic:cNvPicPr/>
                  </pic:nvPicPr>
                  <pic:blipFill>
                    <a:blip r:embed="rId14">
                      <a:extLst>
                        <a:ext uri="{28A0092B-C50C-407E-A947-70E740481C1C}">
                          <a14:useLocalDpi xmlns:a14="http://schemas.microsoft.com/office/drawing/2010/main" val="0"/>
                        </a:ext>
                      </a:extLst>
                    </a:blip>
                    <a:stretch>
                      <a:fillRect/>
                    </a:stretch>
                  </pic:blipFill>
                  <pic:spPr>
                    <a:xfrm>
                      <a:off x="0" y="0"/>
                      <a:ext cx="5940425" cy="4584700"/>
                    </a:xfrm>
                    <a:prstGeom prst="rect">
                      <a:avLst/>
                    </a:prstGeom>
                  </pic:spPr>
                </pic:pic>
              </a:graphicData>
            </a:graphic>
          </wp:inline>
        </w:drawing>
      </w:r>
    </w:p>
    <w:p w:rsidR="0059775B" w:rsidRPr="0059775B" w:rsidRDefault="007C1744" w:rsidP="0059775B">
      <w:pPr>
        <w:spacing w:line="360" w:lineRule="auto"/>
        <w:jc w:val="both"/>
        <w:rPr>
          <w:rFonts w:ascii="Times New Roman" w:hAnsi="Times New Roman" w:cs="Times New Roman"/>
          <w:sz w:val="24"/>
        </w:rPr>
      </w:pPr>
      <w:r>
        <w:rPr>
          <w:rFonts w:ascii="Times New Roman" w:hAnsi="Times New Roman" w:cs="Times New Roman"/>
          <w:sz w:val="24"/>
        </w:rPr>
        <w:t xml:space="preserve">Рисунок </w:t>
      </w:r>
      <w:r w:rsidRPr="007C1744">
        <w:rPr>
          <w:rFonts w:ascii="Times New Roman" w:hAnsi="Times New Roman" w:cs="Times New Roman"/>
          <w:sz w:val="24"/>
        </w:rPr>
        <w:t>6</w:t>
      </w:r>
      <w:r w:rsidR="0059775B" w:rsidRPr="0059775B">
        <w:rPr>
          <w:rFonts w:ascii="Times New Roman" w:hAnsi="Times New Roman" w:cs="Times New Roman"/>
          <w:sz w:val="24"/>
        </w:rPr>
        <w:t xml:space="preserve"> Классификация </w:t>
      </w:r>
      <w:proofErr w:type="spellStart"/>
      <w:r w:rsidR="0059775B" w:rsidRPr="0059775B">
        <w:rPr>
          <w:rFonts w:ascii="Times New Roman" w:hAnsi="Times New Roman" w:cs="Times New Roman"/>
          <w:sz w:val="24"/>
        </w:rPr>
        <w:t>синергий</w:t>
      </w:r>
      <w:proofErr w:type="spellEnd"/>
      <w:r w:rsidR="0059775B" w:rsidRPr="0059775B">
        <w:rPr>
          <w:rFonts w:ascii="Times New Roman" w:hAnsi="Times New Roman" w:cs="Times New Roman"/>
          <w:sz w:val="24"/>
        </w:rPr>
        <w:t>, возникающих по результатам сделок слияний и поглощений</w:t>
      </w:r>
    </w:p>
    <w:p w:rsidR="0059775B" w:rsidRPr="0059775B" w:rsidRDefault="003436FE" w:rsidP="0059775B">
      <w:pPr>
        <w:spacing w:line="360" w:lineRule="auto"/>
        <w:jc w:val="both"/>
        <w:rPr>
          <w:rFonts w:ascii="Times New Roman" w:hAnsi="Times New Roman" w:cs="Times New Roman"/>
          <w:sz w:val="24"/>
          <w:lang w:val="en-US"/>
        </w:rPr>
      </w:pPr>
      <w:r>
        <w:rPr>
          <w:rFonts w:ascii="Times New Roman" w:hAnsi="Times New Roman" w:cs="Times New Roman"/>
          <w:sz w:val="24"/>
        </w:rPr>
        <w:t>Источник</w:t>
      </w:r>
      <w:r w:rsidR="0059775B" w:rsidRPr="0059775B">
        <w:rPr>
          <w:rFonts w:ascii="Times New Roman" w:hAnsi="Times New Roman" w:cs="Times New Roman"/>
          <w:sz w:val="24"/>
          <w:lang w:val="en-US"/>
        </w:rPr>
        <w:t>: A.T. Kearney Merger Integration framework</w:t>
      </w:r>
      <w:r w:rsidR="0059775B" w:rsidRPr="0059775B">
        <w:rPr>
          <w:rStyle w:val="a7"/>
          <w:rFonts w:ascii="Times New Roman" w:hAnsi="Times New Roman" w:cs="Times New Roman"/>
          <w:sz w:val="24"/>
          <w:lang w:val="en-US"/>
        </w:rPr>
        <w:footnoteReference w:id="26"/>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lang w:val="en-US"/>
        </w:rPr>
        <w:tab/>
      </w:r>
      <w:r w:rsidRPr="0059775B">
        <w:rPr>
          <w:rFonts w:ascii="Times New Roman" w:hAnsi="Times New Roman" w:cs="Times New Roman"/>
          <w:sz w:val="24"/>
        </w:rPr>
        <w:t>Оценка эффектов синергии включает в себя качественный и количественный анализ. В ходе качественного анализа формируется перечень потенциальных синергетических эффектов. Затем проводится количественный анализ с целью оценить влияние синергетических эффектов сделки на благосостояние акционеров. В рамках данной работы далее будут рассмотрены следующие методы количественного анализа:</w:t>
      </w:r>
    </w:p>
    <w:p w:rsidR="0059775B" w:rsidRPr="0059775B" w:rsidRDefault="0059775B" w:rsidP="0059775B">
      <w:pPr>
        <w:pStyle w:val="a3"/>
        <w:numPr>
          <w:ilvl w:val="0"/>
          <w:numId w:val="14"/>
        </w:numPr>
        <w:spacing w:after="0" w:line="360" w:lineRule="auto"/>
        <w:jc w:val="both"/>
        <w:rPr>
          <w:rFonts w:ascii="Times New Roman" w:hAnsi="Times New Roman" w:cs="Times New Roman"/>
          <w:sz w:val="24"/>
        </w:rPr>
      </w:pPr>
      <w:r w:rsidRPr="0059775B">
        <w:rPr>
          <w:rFonts w:ascii="Times New Roman" w:hAnsi="Times New Roman" w:cs="Times New Roman"/>
          <w:sz w:val="24"/>
        </w:rPr>
        <w:t>Метод дисконтированных денежных подходов (DCF)</w:t>
      </w:r>
    </w:p>
    <w:p w:rsidR="0059775B" w:rsidRPr="0059775B" w:rsidRDefault="0059775B" w:rsidP="0059775B">
      <w:pPr>
        <w:pStyle w:val="a3"/>
        <w:numPr>
          <w:ilvl w:val="0"/>
          <w:numId w:val="14"/>
        </w:numPr>
        <w:spacing w:after="0" w:line="360" w:lineRule="auto"/>
        <w:jc w:val="both"/>
        <w:rPr>
          <w:rFonts w:ascii="Times New Roman" w:hAnsi="Times New Roman" w:cs="Times New Roman"/>
          <w:sz w:val="24"/>
        </w:rPr>
      </w:pPr>
      <w:r w:rsidRPr="0059775B">
        <w:rPr>
          <w:rFonts w:ascii="Times New Roman" w:hAnsi="Times New Roman" w:cs="Times New Roman"/>
          <w:sz w:val="24"/>
          <w:lang w:val="en-US"/>
        </w:rPr>
        <w:t>EPS accretion/dilution</w:t>
      </w:r>
    </w:p>
    <w:p w:rsidR="0059775B" w:rsidRPr="0059775B" w:rsidRDefault="0059775B" w:rsidP="0059775B">
      <w:pPr>
        <w:pStyle w:val="a3"/>
        <w:numPr>
          <w:ilvl w:val="0"/>
          <w:numId w:val="14"/>
        </w:numPr>
        <w:spacing w:after="0" w:line="360" w:lineRule="auto"/>
        <w:jc w:val="both"/>
        <w:rPr>
          <w:rFonts w:ascii="Times New Roman" w:hAnsi="Times New Roman" w:cs="Times New Roman"/>
          <w:sz w:val="24"/>
        </w:rPr>
      </w:pPr>
      <w:r w:rsidRPr="0059775B">
        <w:rPr>
          <w:rFonts w:ascii="Times New Roman" w:hAnsi="Times New Roman" w:cs="Times New Roman"/>
          <w:sz w:val="24"/>
          <w:lang w:val="en-US"/>
        </w:rPr>
        <w:t>Event studies</w:t>
      </w:r>
    </w:p>
    <w:p w:rsidR="0059775B" w:rsidRPr="00891653" w:rsidRDefault="0059775B" w:rsidP="0059775B">
      <w:pPr>
        <w:spacing w:after="0" w:line="360" w:lineRule="auto"/>
        <w:jc w:val="both"/>
        <w:rPr>
          <w:rFonts w:ascii="Times New Roman" w:hAnsi="Times New Roman" w:cs="Times New Roman"/>
          <w:lang w:val="en-US"/>
        </w:rPr>
      </w:pPr>
    </w:p>
    <w:p w:rsidR="0059775B" w:rsidRPr="0059775B" w:rsidRDefault="0059775B" w:rsidP="0059775B">
      <w:pPr>
        <w:pStyle w:val="2"/>
        <w:spacing w:after="240"/>
        <w:jc w:val="center"/>
        <w:rPr>
          <w:rFonts w:ascii="Times New Roman" w:hAnsi="Times New Roman" w:cs="Times New Roman"/>
          <w:color w:val="auto"/>
          <w:sz w:val="24"/>
          <w:szCs w:val="24"/>
        </w:rPr>
      </w:pPr>
      <w:bookmarkStart w:id="9" w:name="_Toc482547516"/>
      <w:r w:rsidRPr="0059775B">
        <w:rPr>
          <w:rFonts w:ascii="Times New Roman" w:hAnsi="Times New Roman" w:cs="Times New Roman"/>
          <w:color w:val="auto"/>
          <w:sz w:val="24"/>
          <w:szCs w:val="24"/>
        </w:rPr>
        <w:lastRenderedPageBreak/>
        <w:t>2.2 Метод дисконтированных денежных потоков (DCF)</w:t>
      </w:r>
      <w:bookmarkEnd w:id="9"/>
    </w:p>
    <w:p w:rsidR="0059775B" w:rsidRPr="0059775B" w:rsidRDefault="0059775B" w:rsidP="0059775B">
      <w:pPr>
        <w:spacing w:line="360" w:lineRule="auto"/>
        <w:jc w:val="both"/>
        <w:rPr>
          <w:rFonts w:ascii="Times New Roman" w:hAnsi="Times New Roman" w:cs="Times New Roman"/>
          <w:sz w:val="24"/>
        </w:rPr>
      </w:pPr>
      <w:r>
        <w:rPr>
          <w:rFonts w:ascii="Times New Roman" w:hAnsi="Times New Roman" w:cs="Times New Roman"/>
        </w:rPr>
        <w:tab/>
      </w:r>
      <w:r w:rsidRPr="0059775B">
        <w:rPr>
          <w:rFonts w:ascii="Times New Roman" w:hAnsi="Times New Roman" w:cs="Times New Roman"/>
          <w:sz w:val="24"/>
        </w:rPr>
        <w:t>Данный метод предусматривает прогнозирование денежных потоков консолидированной компании за определенный период, на основе которых рассчитывается приведенная стоимость. Чистая приведенная стоимость (</w:t>
      </w:r>
      <w:r w:rsidRPr="0059775B">
        <w:rPr>
          <w:rFonts w:ascii="Times New Roman" w:hAnsi="Times New Roman" w:cs="Times New Roman"/>
          <w:sz w:val="24"/>
          <w:lang w:val="en-US"/>
        </w:rPr>
        <w:t>NPV</w:t>
      </w:r>
      <w:r w:rsidRPr="0059775B">
        <w:rPr>
          <w:rFonts w:ascii="Times New Roman" w:hAnsi="Times New Roman" w:cs="Times New Roman"/>
          <w:sz w:val="24"/>
        </w:rPr>
        <w:t xml:space="preserve">) рассчитывается на основе определенной ставки </w:t>
      </w:r>
      <w:r>
        <w:rPr>
          <w:rFonts w:ascii="Times New Roman" w:hAnsi="Times New Roman" w:cs="Times New Roman"/>
        </w:rPr>
        <w:t xml:space="preserve">дисконтирования, которая отражает </w:t>
      </w:r>
      <w:r w:rsidRPr="0059775B">
        <w:rPr>
          <w:rFonts w:ascii="Times New Roman" w:hAnsi="Times New Roman" w:cs="Times New Roman"/>
          <w:sz w:val="24"/>
        </w:rPr>
        <w:t xml:space="preserve">требуемую доходность инвестора при данном уровне риска. Затем, к </w:t>
      </w:r>
      <w:r w:rsidRPr="0059775B">
        <w:rPr>
          <w:rFonts w:ascii="Times New Roman" w:hAnsi="Times New Roman" w:cs="Times New Roman"/>
          <w:sz w:val="24"/>
          <w:lang w:val="en-US"/>
        </w:rPr>
        <w:t>NPV</w:t>
      </w:r>
      <w:r w:rsidRPr="0059775B">
        <w:rPr>
          <w:rFonts w:ascii="Times New Roman" w:hAnsi="Times New Roman" w:cs="Times New Roman"/>
          <w:sz w:val="24"/>
        </w:rPr>
        <w:t xml:space="preserve"> прибавляется продленная стоимость, а в итоге – стоимость компании в целом.</w:t>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rPr>
        <w:tab/>
        <w:t>Полученная стоимость называется внутренней стоимостью компании или совокупным потоком всех выгод, которые потенциально могут быть получены ее акционерами.</w:t>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rPr>
        <w:tab/>
        <w:t>Метод дисконтированных денежных потоков применяется либо к свободному денежному потоку фирмы (</w:t>
      </w:r>
      <w:r w:rsidRPr="0059775B">
        <w:rPr>
          <w:rFonts w:ascii="Times New Roman" w:hAnsi="Times New Roman" w:cs="Times New Roman"/>
          <w:sz w:val="24"/>
          <w:lang w:val="en-US"/>
        </w:rPr>
        <w:t>FCFF</w:t>
      </w:r>
      <w:r w:rsidRPr="0059775B">
        <w:rPr>
          <w:rFonts w:ascii="Times New Roman" w:hAnsi="Times New Roman" w:cs="Times New Roman"/>
          <w:sz w:val="24"/>
        </w:rPr>
        <w:t>), либо же к свободному денежному потоку акционеров (</w:t>
      </w:r>
      <w:r w:rsidRPr="0059775B">
        <w:rPr>
          <w:rFonts w:ascii="Times New Roman" w:hAnsi="Times New Roman" w:cs="Times New Roman"/>
          <w:sz w:val="24"/>
          <w:lang w:val="en-US"/>
        </w:rPr>
        <w:t>FCFE</w:t>
      </w:r>
      <w:r w:rsidRPr="0059775B">
        <w:rPr>
          <w:rFonts w:ascii="Times New Roman" w:hAnsi="Times New Roman" w:cs="Times New Roman"/>
          <w:sz w:val="24"/>
        </w:rPr>
        <w:t>). Целиком и полностью прогнозирование основывается на финансовом анализе с использованием финансовых моделей или регрессионного анализа</w:t>
      </w:r>
      <w:r w:rsidRPr="0059775B">
        <w:rPr>
          <w:rStyle w:val="a7"/>
          <w:rFonts w:ascii="Times New Roman" w:hAnsi="Times New Roman" w:cs="Times New Roman"/>
          <w:sz w:val="24"/>
        </w:rPr>
        <w:footnoteReference w:id="27"/>
      </w:r>
      <w:r w:rsidRPr="0059775B">
        <w:rPr>
          <w:rFonts w:ascii="Times New Roman" w:hAnsi="Times New Roman" w:cs="Times New Roman"/>
          <w:sz w:val="24"/>
        </w:rPr>
        <w:t>.</w:t>
      </w:r>
    </w:p>
    <w:p w:rsid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rPr>
        <w:tab/>
        <w:t xml:space="preserve">Подход </w:t>
      </w:r>
      <w:r w:rsidRPr="0059775B">
        <w:rPr>
          <w:rFonts w:ascii="Times New Roman" w:hAnsi="Times New Roman" w:cs="Times New Roman"/>
          <w:sz w:val="24"/>
          <w:lang w:val="en-US"/>
        </w:rPr>
        <w:t>FCFF</w:t>
      </w:r>
      <w:r w:rsidRPr="0059775B">
        <w:rPr>
          <w:rFonts w:ascii="Times New Roman" w:hAnsi="Times New Roman" w:cs="Times New Roman"/>
          <w:sz w:val="24"/>
        </w:rPr>
        <w:t xml:space="preserve"> базируется на расчете прогнозируемого денежного потока по следующей формуле:</w:t>
      </w:r>
    </w:p>
    <w:p w:rsidR="0059775B" w:rsidRPr="00976843" w:rsidRDefault="00976843" w:rsidP="002F4269">
      <w:pPr>
        <w:spacing w:line="360" w:lineRule="auto"/>
        <w:ind w:left="708" w:firstLine="708"/>
        <w:jc w:val="center"/>
        <w:rPr>
          <w:rFonts w:ascii="Times New Roman" w:hAnsi="Times New Roman" w:cs="Times New Roman"/>
          <w:sz w:val="24"/>
        </w:rPr>
      </w:pPr>
      <m:oMath>
        <m:r>
          <w:rPr>
            <w:rFonts w:ascii="Cambria Math" w:hAnsi="Cambria Math" w:cs="Times New Roman"/>
            <w:sz w:val="24"/>
          </w:rPr>
          <m:t>FCFF=EBIT*</m:t>
        </m:r>
        <m:d>
          <m:dPr>
            <m:ctrlPr>
              <w:rPr>
                <w:rFonts w:ascii="Cambria Math" w:hAnsi="Cambria Math" w:cs="Times New Roman"/>
                <w:i/>
                <w:sz w:val="24"/>
              </w:rPr>
            </m:ctrlPr>
          </m:dPr>
          <m:e>
            <m:r>
              <w:rPr>
                <w:rFonts w:ascii="Cambria Math" w:hAnsi="Cambria Math" w:cs="Times New Roman"/>
                <w:sz w:val="24"/>
              </w:rPr>
              <m:t>1-t</m:t>
            </m:r>
          </m:e>
        </m:d>
        <m:r>
          <w:rPr>
            <w:rFonts w:ascii="Cambria Math" w:hAnsi="Cambria Math" w:cs="Times New Roman"/>
            <w:sz w:val="24"/>
          </w:rPr>
          <m:t>-</m:t>
        </m:r>
        <m:d>
          <m:dPr>
            <m:ctrlPr>
              <w:rPr>
                <w:rFonts w:ascii="Cambria Math" w:hAnsi="Cambria Math" w:cs="Times New Roman"/>
                <w:i/>
                <w:sz w:val="24"/>
              </w:rPr>
            </m:ctrlPr>
          </m:dPr>
          <m:e>
            <m:r>
              <w:rPr>
                <w:rFonts w:ascii="Cambria Math" w:hAnsi="Cambria Math" w:cs="Times New Roman"/>
                <w:sz w:val="24"/>
              </w:rPr>
              <m:t>Capex-D</m:t>
            </m:r>
          </m:e>
        </m:d>
        <m:r>
          <w:rPr>
            <w:rFonts w:ascii="Cambria Math" w:hAnsi="Cambria Math" w:cs="Times New Roman"/>
            <w:sz w:val="24"/>
          </w:rPr>
          <m:t>-∆NWC</m:t>
        </m:r>
      </m:oMath>
      <w:r w:rsidR="00290002">
        <w:rPr>
          <w:rFonts w:ascii="Times New Roman" w:eastAsiaTheme="minorEastAsia" w:hAnsi="Times New Roman" w:cs="Times New Roman"/>
          <w:sz w:val="24"/>
        </w:rPr>
        <w:t>,</w:t>
      </w:r>
      <w:r w:rsidR="002F4269">
        <w:rPr>
          <w:rFonts w:ascii="Times New Roman" w:eastAsiaTheme="minorEastAsia" w:hAnsi="Times New Roman" w:cs="Times New Roman"/>
          <w:sz w:val="24"/>
        </w:rPr>
        <w:tab/>
      </w:r>
      <w:r w:rsidR="002F4269">
        <w:rPr>
          <w:rFonts w:ascii="Times New Roman" w:eastAsiaTheme="minorEastAsia" w:hAnsi="Times New Roman" w:cs="Times New Roman"/>
          <w:sz w:val="24"/>
        </w:rPr>
        <w:tab/>
      </w:r>
      <w:r w:rsidR="00290002">
        <w:rPr>
          <w:rFonts w:ascii="Times New Roman" w:eastAsiaTheme="minorEastAsia" w:hAnsi="Times New Roman" w:cs="Times New Roman"/>
          <w:sz w:val="24"/>
        </w:rPr>
        <w:tab/>
        <w:t>(1)</w:t>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rPr>
        <w:t xml:space="preserve">где </w:t>
      </w:r>
      <w:r w:rsidRPr="0059775B">
        <w:rPr>
          <w:rFonts w:ascii="Times New Roman" w:hAnsi="Times New Roman" w:cs="Times New Roman"/>
          <w:sz w:val="24"/>
          <w:lang w:val="en-US"/>
        </w:rPr>
        <w:t>EBIT</w:t>
      </w:r>
      <w:r w:rsidRPr="0059775B">
        <w:rPr>
          <w:rFonts w:ascii="Times New Roman" w:hAnsi="Times New Roman" w:cs="Times New Roman"/>
          <w:sz w:val="24"/>
        </w:rPr>
        <w:t xml:space="preserve"> – операционная прибыль;</w:t>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lang w:val="en-US"/>
        </w:rPr>
        <w:t>t</w:t>
      </w:r>
      <w:r w:rsidRPr="0059775B">
        <w:rPr>
          <w:rFonts w:ascii="Times New Roman" w:hAnsi="Times New Roman" w:cs="Times New Roman"/>
          <w:sz w:val="24"/>
        </w:rPr>
        <w:t xml:space="preserve"> – </w:t>
      </w:r>
      <w:proofErr w:type="gramStart"/>
      <w:r w:rsidRPr="0059775B">
        <w:rPr>
          <w:rFonts w:ascii="Times New Roman" w:hAnsi="Times New Roman" w:cs="Times New Roman"/>
          <w:sz w:val="24"/>
        </w:rPr>
        <w:t>налог</w:t>
      </w:r>
      <w:proofErr w:type="gramEnd"/>
      <w:r w:rsidRPr="0059775B">
        <w:rPr>
          <w:rFonts w:ascii="Times New Roman" w:hAnsi="Times New Roman" w:cs="Times New Roman"/>
          <w:sz w:val="24"/>
        </w:rPr>
        <w:t xml:space="preserve"> на прибыль;</w:t>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lang w:val="en-US"/>
        </w:rPr>
        <w:t>Capex</w:t>
      </w:r>
      <w:r w:rsidRPr="0059775B">
        <w:rPr>
          <w:rFonts w:ascii="Times New Roman" w:hAnsi="Times New Roman" w:cs="Times New Roman"/>
          <w:sz w:val="24"/>
        </w:rPr>
        <w:t xml:space="preserve"> – капитальные инвестиции;</w:t>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lang w:val="en-US"/>
        </w:rPr>
        <w:t>D</w:t>
      </w:r>
      <w:r w:rsidRPr="0059775B">
        <w:rPr>
          <w:rFonts w:ascii="Times New Roman" w:hAnsi="Times New Roman" w:cs="Times New Roman"/>
          <w:sz w:val="24"/>
        </w:rPr>
        <w:t xml:space="preserve"> – </w:t>
      </w:r>
      <w:proofErr w:type="gramStart"/>
      <w:r w:rsidRPr="0059775B">
        <w:rPr>
          <w:rFonts w:ascii="Times New Roman" w:hAnsi="Times New Roman" w:cs="Times New Roman"/>
          <w:sz w:val="24"/>
        </w:rPr>
        <w:t>амортизация</w:t>
      </w:r>
      <w:proofErr w:type="gramEnd"/>
      <w:r w:rsidRPr="0059775B">
        <w:rPr>
          <w:rFonts w:ascii="Times New Roman" w:hAnsi="Times New Roman" w:cs="Times New Roman"/>
          <w:sz w:val="24"/>
        </w:rPr>
        <w:t xml:space="preserve"> чистых долговых обязательств;</w:t>
      </w:r>
    </w:p>
    <w:p w:rsidR="0059775B" w:rsidRPr="0059775B" w:rsidRDefault="0059775B" w:rsidP="0059775B">
      <w:pPr>
        <w:spacing w:line="360" w:lineRule="auto"/>
        <w:jc w:val="both"/>
        <w:rPr>
          <w:rFonts w:ascii="Times New Roman" w:hAnsi="Times New Roman" w:cs="Times New Roman"/>
          <w:sz w:val="24"/>
        </w:rPr>
      </w:pPr>
      <w:proofErr w:type="gramStart"/>
      <w:r w:rsidRPr="0059775B">
        <w:rPr>
          <w:rFonts w:ascii="Times New Roman" w:hAnsi="Times New Roman" w:cs="Times New Roman"/>
          <w:sz w:val="24"/>
          <w:lang w:val="en-US"/>
        </w:rPr>
        <w:t>NWC</w:t>
      </w:r>
      <w:r w:rsidRPr="0059775B">
        <w:rPr>
          <w:rFonts w:ascii="Times New Roman" w:hAnsi="Times New Roman" w:cs="Times New Roman"/>
          <w:sz w:val="24"/>
        </w:rPr>
        <w:t xml:space="preserve"> – прирост/снижение чистого оборотного капитала.</w:t>
      </w:r>
      <w:proofErr w:type="gramEnd"/>
    </w:p>
    <w:p w:rsidR="0059775B" w:rsidRPr="006F49AF"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rPr>
        <w:tab/>
        <w:t xml:space="preserve">Подход </w:t>
      </w:r>
      <w:r w:rsidRPr="0059775B">
        <w:rPr>
          <w:rFonts w:ascii="Times New Roman" w:hAnsi="Times New Roman" w:cs="Times New Roman"/>
          <w:sz w:val="24"/>
          <w:lang w:val="en-US"/>
        </w:rPr>
        <w:t>FCFE</w:t>
      </w:r>
      <w:r w:rsidRPr="0059775B">
        <w:rPr>
          <w:rFonts w:ascii="Times New Roman" w:hAnsi="Times New Roman" w:cs="Times New Roman"/>
          <w:sz w:val="24"/>
        </w:rPr>
        <w:t xml:space="preserve"> базируется на расчете прогнозируемого денежного потока по следующей формуле:</w:t>
      </w:r>
    </w:p>
    <w:p w:rsidR="0059775B" w:rsidRPr="00891653" w:rsidRDefault="00976843" w:rsidP="002F4269">
      <w:pPr>
        <w:spacing w:line="360" w:lineRule="auto"/>
        <w:ind w:firstLine="708"/>
        <w:jc w:val="center"/>
        <w:rPr>
          <w:rFonts w:ascii="Times New Roman" w:hAnsi="Times New Roman" w:cs="Times New Roman"/>
          <w:sz w:val="24"/>
        </w:rPr>
      </w:pPr>
      <m:oMath>
        <m:r>
          <w:rPr>
            <w:rFonts w:ascii="Cambria Math" w:hAnsi="Cambria Math" w:cs="Times New Roman"/>
            <w:sz w:val="24"/>
            <w:lang w:val="en-US"/>
          </w:rPr>
          <m:t>FCFF</m:t>
        </m:r>
        <m:r>
          <w:rPr>
            <w:rFonts w:ascii="Cambria Math" w:hAnsi="Cambria Math" w:cs="Times New Roman"/>
            <w:sz w:val="24"/>
          </w:rPr>
          <m:t>=</m:t>
        </m:r>
        <m:r>
          <w:rPr>
            <w:rFonts w:ascii="Cambria Math" w:hAnsi="Cambria Math" w:cs="Times New Roman"/>
            <w:sz w:val="24"/>
            <w:lang w:val="en-US"/>
          </w:rPr>
          <m:t>NI</m:t>
        </m:r>
        <m:r>
          <w:rPr>
            <w:rFonts w:ascii="Cambria Math" w:hAnsi="Cambria Math" w:cs="Times New Roman"/>
            <w:sz w:val="24"/>
          </w:rPr>
          <m:t>-</m:t>
        </m:r>
        <m:r>
          <w:rPr>
            <w:rFonts w:ascii="Cambria Math" w:hAnsi="Cambria Math" w:cs="Times New Roman"/>
            <w:sz w:val="24"/>
            <w:lang w:val="en-US"/>
          </w:rPr>
          <m:t>Net</m:t>
        </m:r>
        <m:r>
          <w:rPr>
            <w:rFonts w:ascii="Cambria Math" w:hAnsi="Cambria Math" w:cs="Times New Roman"/>
            <w:sz w:val="24"/>
          </w:rPr>
          <m:t xml:space="preserve"> </m:t>
        </m:r>
        <m:r>
          <w:rPr>
            <w:rFonts w:ascii="Cambria Math" w:hAnsi="Cambria Math" w:cs="Times New Roman"/>
            <w:sz w:val="24"/>
            <w:lang w:val="en-US"/>
          </w:rPr>
          <m:t>Capex</m:t>
        </m:r>
        <m:r>
          <w:rPr>
            <w:rFonts w:ascii="Cambria Math" w:hAnsi="Cambria Math" w:cs="Times New Roman"/>
            <w:sz w:val="24"/>
          </w:rPr>
          <m:t>*</m:t>
        </m:r>
        <m:d>
          <m:dPr>
            <m:ctrlPr>
              <w:rPr>
                <w:rFonts w:ascii="Cambria Math" w:hAnsi="Cambria Math" w:cs="Times New Roman"/>
                <w:i/>
                <w:sz w:val="24"/>
                <w:lang w:val="en-US"/>
              </w:rPr>
            </m:ctrlPr>
          </m:dPr>
          <m:e>
            <m:r>
              <w:rPr>
                <w:rFonts w:ascii="Cambria Math" w:hAnsi="Cambria Math" w:cs="Times New Roman"/>
                <w:sz w:val="24"/>
              </w:rPr>
              <m:t>1-</m:t>
            </m:r>
            <m:r>
              <w:rPr>
                <w:rFonts w:ascii="Cambria Math" w:hAnsi="Cambria Math" w:cs="Times New Roman"/>
                <w:sz w:val="24"/>
                <w:lang w:val="en-US"/>
              </w:rPr>
              <m:t>DR</m:t>
            </m:r>
          </m:e>
        </m:d>
        <m:r>
          <w:rPr>
            <w:rFonts w:ascii="Cambria Math" w:hAnsi="Cambria Math" w:cs="Times New Roman"/>
            <w:sz w:val="24"/>
          </w:rPr>
          <m:t>-∆</m:t>
        </m:r>
        <m:r>
          <w:rPr>
            <w:rFonts w:ascii="Cambria Math" w:hAnsi="Cambria Math" w:cs="Times New Roman"/>
            <w:sz w:val="24"/>
            <w:lang w:val="en-US"/>
          </w:rPr>
          <m:t>NWC</m:t>
        </m:r>
        <m:r>
          <w:rPr>
            <w:rFonts w:ascii="Cambria Math" w:hAnsi="Cambria Math" w:cs="Times New Roman"/>
            <w:sz w:val="24"/>
          </w:rPr>
          <m:t>*(1-</m:t>
        </m:r>
        <m:r>
          <w:rPr>
            <w:rFonts w:ascii="Cambria Math" w:hAnsi="Cambria Math" w:cs="Times New Roman"/>
            <w:sz w:val="24"/>
            <w:lang w:val="en-US"/>
          </w:rPr>
          <m:t>DR</m:t>
        </m:r>
        <m:r>
          <w:rPr>
            <w:rFonts w:ascii="Cambria Math" w:hAnsi="Cambria Math" w:cs="Times New Roman"/>
            <w:sz w:val="24"/>
          </w:rPr>
          <m:t>)</m:t>
        </m:r>
      </m:oMath>
      <w:r w:rsidRPr="006F49AF">
        <w:rPr>
          <w:rFonts w:ascii="Times New Roman" w:eastAsiaTheme="minorEastAsia" w:hAnsi="Times New Roman" w:cs="Times New Roman"/>
          <w:sz w:val="24"/>
        </w:rPr>
        <w:t>,</w:t>
      </w:r>
      <w:r w:rsidR="00290002">
        <w:rPr>
          <w:rFonts w:ascii="Times New Roman" w:eastAsiaTheme="minorEastAsia" w:hAnsi="Times New Roman" w:cs="Times New Roman"/>
          <w:sz w:val="24"/>
        </w:rPr>
        <w:tab/>
      </w:r>
      <w:r w:rsidR="00290002">
        <w:rPr>
          <w:rFonts w:ascii="Times New Roman" w:eastAsiaTheme="minorEastAsia" w:hAnsi="Times New Roman" w:cs="Times New Roman"/>
          <w:sz w:val="24"/>
        </w:rPr>
        <w:tab/>
      </w:r>
      <w:r w:rsidR="00290002">
        <w:rPr>
          <w:rFonts w:ascii="Times New Roman" w:eastAsiaTheme="minorEastAsia" w:hAnsi="Times New Roman" w:cs="Times New Roman"/>
          <w:sz w:val="24"/>
        </w:rPr>
        <w:tab/>
        <w:t>(2)</w:t>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rPr>
        <w:t xml:space="preserve">где </w:t>
      </w:r>
      <w:r w:rsidRPr="0059775B">
        <w:rPr>
          <w:rFonts w:ascii="Times New Roman" w:hAnsi="Times New Roman" w:cs="Times New Roman"/>
          <w:sz w:val="24"/>
          <w:lang w:val="en-US"/>
        </w:rPr>
        <w:t>NI</w:t>
      </w:r>
      <w:r w:rsidRPr="0059775B">
        <w:rPr>
          <w:rFonts w:ascii="Times New Roman" w:hAnsi="Times New Roman" w:cs="Times New Roman"/>
          <w:sz w:val="24"/>
        </w:rPr>
        <w:t xml:space="preserve"> – чистая прибыль;</w:t>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lang w:val="en-US"/>
        </w:rPr>
        <w:t>Net</w:t>
      </w:r>
      <w:r w:rsidRPr="0059775B">
        <w:rPr>
          <w:rFonts w:ascii="Times New Roman" w:hAnsi="Times New Roman" w:cs="Times New Roman"/>
          <w:sz w:val="24"/>
        </w:rPr>
        <w:t xml:space="preserve"> </w:t>
      </w:r>
      <w:r w:rsidRPr="0059775B">
        <w:rPr>
          <w:rFonts w:ascii="Times New Roman" w:hAnsi="Times New Roman" w:cs="Times New Roman"/>
          <w:sz w:val="24"/>
          <w:lang w:val="en-US"/>
        </w:rPr>
        <w:t>Capex</w:t>
      </w:r>
      <w:r w:rsidRPr="0059775B">
        <w:rPr>
          <w:rFonts w:ascii="Times New Roman" w:hAnsi="Times New Roman" w:cs="Times New Roman"/>
          <w:sz w:val="24"/>
        </w:rPr>
        <w:t xml:space="preserve"> – чистые капитальные инвестиции;</w:t>
      </w:r>
    </w:p>
    <w:p w:rsidR="0059775B" w:rsidRPr="0059775B" w:rsidRDefault="0059775B" w:rsidP="0059775B">
      <w:pPr>
        <w:spacing w:line="360" w:lineRule="auto"/>
        <w:jc w:val="both"/>
        <w:rPr>
          <w:rFonts w:ascii="Times New Roman" w:hAnsi="Times New Roman" w:cs="Times New Roman"/>
          <w:sz w:val="24"/>
        </w:rPr>
      </w:pPr>
      <w:r w:rsidRPr="0059775B">
        <w:rPr>
          <w:rFonts w:ascii="Times New Roman" w:hAnsi="Times New Roman" w:cs="Times New Roman"/>
          <w:sz w:val="24"/>
          <w:lang w:val="en-US"/>
        </w:rPr>
        <w:lastRenderedPageBreak/>
        <w:t>DR</w:t>
      </w:r>
      <w:r w:rsidRPr="0059775B">
        <w:rPr>
          <w:rFonts w:ascii="Times New Roman" w:hAnsi="Times New Roman" w:cs="Times New Roman"/>
          <w:sz w:val="24"/>
        </w:rPr>
        <w:t xml:space="preserve"> – коэффициент финансовой зависимости (ЗК/Активы)</w:t>
      </w:r>
    </w:p>
    <w:p w:rsidR="0059775B" w:rsidRPr="004D6A9F"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rPr>
        <w:tab/>
      </w:r>
      <w:r w:rsidRPr="004D6A9F">
        <w:rPr>
          <w:rFonts w:ascii="Times New Roman" w:hAnsi="Times New Roman" w:cs="Times New Roman"/>
          <w:sz w:val="24"/>
          <w:szCs w:val="24"/>
        </w:rPr>
        <w:t>Процедура построения финансовой модели сделки по слиянию и поглощению подразумевает следующий алгоритм:</w:t>
      </w:r>
    </w:p>
    <w:p w:rsidR="0059775B" w:rsidRPr="004D6A9F" w:rsidRDefault="0059775B" w:rsidP="0059775B">
      <w:pPr>
        <w:spacing w:line="360" w:lineRule="auto"/>
        <w:jc w:val="both"/>
        <w:rPr>
          <w:rFonts w:ascii="Times New Roman" w:hAnsi="Times New Roman" w:cs="Times New Roman"/>
          <w:sz w:val="24"/>
          <w:szCs w:val="24"/>
        </w:rPr>
      </w:pPr>
      <w:r w:rsidRPr="004D6A9F">
        <w:rPr>
          <w:rFonts w:ascii="Times New Roman" w:hAnsi="Times New Roman" w:cs="Times New Roman"/>
          <w:sz w:val="24"/>
          <w:szCs w:val="24"/>
        </w:rPr>
        <w:t xml:space="preserve">1. Оценка стоимости компании-поглотителя и компании-цели как </w:t>
      </w:r>
      <w:proofErr w:type="gramStart"/>
      <w:r w:rsidRPr="004D6A9F">
        <w:rPr>
          <w:rFonts w:ascii="Times New Roman" w:hAnsi="Times New Roman" w:cs="Times New Roman"/>
          <w:sz w:val="24"/>
          <w:szCs w:val="24"/>
        </w:rPr>
        <w:t>самостоятельных</w:t>
      </w:r>
      <w:proofErr w:type="gramEnd"/>
      <w:r w:rsidRPr="004D6A9F">
        <w:rPr>
          <w:rFonts w:ascii="Times New Roman" w:hAnsi="Times New Roman" w:cs="Times New Roman"/>
          <w:sz w:val="24"/>
          <w:szCs w:val="24"/>
        </w:rPr>
        <w:t>;</w:t>
      </w:r>
    </w:p>
    <w:p w:rsidR="0059775B" w:rsidRPr="004D6A9F" w:rsidRDefault="0059775B" w:rsidP="0059775B">
      <w:pPr>
        <w:spacing w:line="360" w:lineRule="auto"/>
        <w:jc w:val="both"/>
        <w:rPr>
          <w:rFonts w:ascii="Times New Roman" w:hAnsi="Times New Roman" w:cs="Times New Roman"/>
          <w:sz w:val="24"/>
          <w:szCs w:val="24"/>
        </w:rPr>
      </w:pPr>
      <w:r w:rsidRPr="004D6A9F">
        <w:rPr>
          <w:rFonts w:ascii="Times New Roman" w:hAnsi="Times New Roman" w:cs="Times New Roman"/>
          <w:sz w:val="24"/>
          <w:szCs w:val="24"/>
        </w:rPr>
        <w:t>2. Оценка стоимости консолидированной компании с учетом синергетического эффекта;</w:t>
      </w:r>
    </w:p>
    <w:p w:rsidR="0059775B" w:rsidRPr="004D6A9F" w:rsidRDefault="0059775B" w:rsidP="0059775B">
      <w:pPr>
        <w:spacing w:line="360" w:lineRule="auto"/>
        <w:jc w:val="both"/>
        <w:rPr>
          <w:rFonts w:ascii="Times New Roman" w:hAnsi="Times New Roman" w:cs="Times New Roman"/>
          <w:sz w:val="24"/>
          <w:szCs w:val="24"/>
        </w:rPr>
      </w:pPr>
      <w:r w:rsidRPr="004D6A9F">
        <w:rPr>
          <w:rFonts w:ascii="Times New Roman" w:hAnsi="Times New Roman" w:cs="Times New Roman"/>
          <w:sz w:val="24"/>
          <w:szCs w:val="24"/>
        </w:rPr>
        <w:t>3. Установление цены предложения;</w:t>
      </w:r>
    </w:p>
    <w:p w:rsidR="0059775B" w:rsidRPr="004D6A9F" w:rsidRDefault="0059775B" w:rsidP="0059775B">
      <w:pPr>
        <w:spacing w:line="360" w:lineRule="auto"/>
        <w:jc w:val="both"/>
        <w:rPr>
          <w:rFonts w:ascii="Times New Roman" w:hAnsi="Times New Roman" w:cs="Times New Roman"/>
          <w:sz w:val="24"/>
          <w:szCs w:val="24"/>
        </w:rPr>
      </w:pPr>
      <w:r w:rsidRPr="004D6A9F">
        <w:rPr>
          <w:rFonts w:ascii="Times New Roman" w:hAnsi="Times New Roman" w:cs="Times New Roman"/>
          <w:sz w:val="24"/>
          <w:szCs w:val="24"/>
        </w:rPr>
        <w:t>4. Выяснение способности консолидированной компании профинансировать сделку.</w:t>
      </w:r>
    </w:p>
    <w:p w:rsidR="0059775B" w:rsidRPr="0059775B" w:rsidRDefault="0059775B" w:rsidP="0059775B">
      <w:pPr>
        <w:spacing w:line="360" w:lineRule="auto"/>
        <w:jc w:val="both"/>
        <w:rPr>
          <w:rFonts w:ascii="Times New Roman" w:hAnsi="Times New Roman" w:cs="Times New Roman"/>
          <w:sz w:val="24"/>
          <w:szCs w:val="24"/>
        </w:rPr>
      </w:pPr>
      <w:r>
        <w:rPr>
          <w:rFonts w:ascii="Times New Roman" w:hAnsi="Times New Roman" w:cs="Times New Roman"/>
        </w:rPr>
        <w:tab/>
      </w:r>
      <w:r w:rsidRPr="0059775B">
        <w:rPr>
          <w:rFonts w:ascii="Times New Roman" w:hAnsi="Times New Roman" w:cs="Times New Roman"/>
          <w:sz w:val="24"/>
          <w:szCs w:val="24"/>
        </w:rPr>
        <w:t xml:space="preserve">В рамках первого этапа проводится детальный анализ развития отрасли и конкретной компании в данной отрасли на горизонте последних 3-5 лет. Кроме того, на основе тенденций и трендов развития отрасли прогнозируется будущий денежный поток. На втором этапе производится формулирование и оценка ожидаемых </w:t>
      </w:r>
      <w:proofErr w:type="spellStart"/>
      <w:r w:rsidRPr="0059775B">
        <w:rPr>
          <w:rFonts w:ascii="Times New Roman" w:hAnsi="Times New Roman" w:cs="Times New Roman"/>
          <w:sz w:val="24"/>
          <w:szCs w:val="24"/>
        </w:rPr>
        <w:t>синергий</w:t>
      </w:r>
      <w:proofErr w:type="spellEnd"/>
      <w:r w:rsidRPr="0059775B">
        <w:rPr>
          <w:rFonts w:ascii="Times New Roman" w:hAnsi="Times New Roman" w:cs="Times New Roman"/>
          <w:sz w:val="24"/>
          <w:szCs w:val="24"/>
        </w:rPr>
        <w:t xml:space="preserve"> от сделки, а также затрат, связанных с их получением и реализацией. На основе этого рассчитывается стоимость консолидированной компании с учетом чистой синергии.</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На третьем этапе определяется диапазон минимальной и максимальной цены предложения, тем самым мы можем определить долю синергии, приходящуюся на компанию-цель. Кроме того, определяется метод финансирования сделки (денежные средства\акции).</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 xml:space="preserve">В рамках заключительного четвертого этапа производится установление надлежащей структуры капитала. А именно, производится анализ чувствительности финансовой модели к изменению соотношения долга и собственного капитала. Подводя итоги четвертого этапа моделирования, отметим, что эффективная структура капитала основана на расчете и прогнозировании WACC, применим метод WACC и для прогнозирования оптимального уровня финансового рычага. Основной идеей этого метода является предположение, что точка максимума стоимости компании достигается при минимизации затрат на капитал, что позволяет рассмотреть сценарии разного уровня финансового рычага и выбрать оптимальный для компании. </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 xml:space="preserve">Важным моментом является то, что дивидендная политика компании-цели в рамках финансового моделирования сделки не имеет никакого значения. Т.к. компания-поглотитель </w:t>
      </w:r>
      <w:proofErr w:type="gramStart"/>
      <w:r w:rsidRPr="0059775B">
        <w:rPr>
          <w:rFonts w:ascii="Times New Roman" w:hAnsi="Times New Roman" w:cs="Times New Roman"/>
          <w:sz w:val="24"/>
          <w:szCs w:val="24"/>
        </w:rPr>
        <w:t>заинтересована</w:t>
      </w:r>
      <w:proofErr w:type="gramEnd"/>
      <w:r w:rsidRPr="0059775B">
        <w:rPr>
          <w:rFonts w:ascii="Times New Roman" w:hAnsi="Times New Roman" w:cs="Times New Roman"/>
          <w:sz w:val="24"/>
          <w:szCs w:val="24"/>
        </w:rPr>
        <w:t xml:space="preserve"> прежде всего в прибыли и денежных потоках, когда покупает 100% </w:t>
      </w:r>
      <w:r w:rsidRPr="0059775B">
        <w:rPr>
          <w:rFonts w:ascii="Times New Roman" w:hAnsi="Times New Roman" w:cs="Times New Roman"/>
          <w:sz w:val="24"/>
          <w:szCs w:val="24"/>
        </w:rPr>
        <w:lastRenderedPageBreak/>
        <w:t>компании-цели, а то что готов платить покупатель отражается денежными потоками и прибылью, а не стоимостью акции в портфеле инвестора.</w:t>
      </w:r>
    </w:p>
    <w:p w:rsid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При принятии решения о проведении сделки необходимо определить максимально возможную цену приобретения, которая рассчитывается по следующей формуле:</w:t>
      </w:r>
    </w:p>
    <w:p w:rsidR="0059775B" w:rsidRPr="007C1744" w:rsidRDefault="002F0191" w:rsidP="002F4269">
      <w:pPr>
        <w:spacing w:line="360" w:lineRule="auto"/>
        <w:ind w:left="2124" w:firstLine="708"/>
        <w:jc w:val="center"/>
        <w:rPr>
          <w:rFonts w:ascii="Times New Roman" w:hAnsi="Times New Roman" w:cs="Times New Roman"/>
          <w:sz w:val="28"/>
          <w:szCs w:val="24"/>
        </w:rPr>
      </w:pPr>
      <m:oMath>
        <m:sSubSup>
          <m:sSubSupPr>
            <m:ctrlPr>
              <w:rPr>
                <w:rFonts w:ascii="Cambria Math" w:hAnsi="Cambria Math" w:cs="Times New Roman"/>
                <w:i/>
                <w:sz w:val="28"/>
                <w:szCs w:val="24"/>
              </w:rPr>
            </m:ctrlPr>
          </m:sSubSupPr>
          <m:e>
            <m:r>
              <w:rPr>
                <w:rFonts w:ascii="Cambria Math" w:hAnsi="Cambria Math" w:cs="Times New Roman"/>
                <w:sz w:val="28"/>
                <w:szCs w:val="24"/>
                <w:lang w:val="en-US"/>
              </w:rPr>
              <m:t>P</m:t>
            </m:r>
          </m:e>
          <m:sub>
            <m:r>
              <w:rPr>
                <w:rFonts w:ascii="Cambria Math" w:hAnsi="Cambria Math" w:cs="Times New Roman"/>
                <w:sz w:val="28"/>
                <w:szCs w:val="24"/>
              </w:rPr>
              <m:t>B</m:t>
            </m:r>
          </m:sub>
          <m:sup>
            <m:r>
              <w:rPr>
                <w:rFonts w:ascii="Cambria Math" w:hAnsi="Cambria Math" w:cs="Times New Roman"/>
                <w:sz w:val="28"/>
                <w:szCs w:val="24"/>
              </w:rPr>
              <m:t>max</m:t>
            </m:r>
          </m:sup>
        </m:sSubSup>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V</m:t>
            </m:r>
          </m:e>
          <m:sub>
            <m:r>
              <w:rPr>
                <w:rFonts w:ascii="Cambria Math" w:hAnsi="Cambria Math" w:cs="Times New Roman"/>
                <w:sz w:val="28"/>
                <w:szCs w:val="24"/>
              </w:rPr>
              <m:t>A+B</m:t>
            </m:r>
          </m:sub>
        </m:sSub>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V</m:t>
            </m:r>
          </m:e>
          <m:sub>
            <m:r>
              <w:rPr>
                <w:rFonts w:ascii="Cambria Math" w:hAnsi="Cambria Math" w:cs="Times New Roman"/>
                <w:sz w:val="28"/>
                <w:szCs w:val="24"/>
              </w:rPr>
              <m:t>A</m:t>
            </m:r>
          </m:sub>
        </m:sSub>
      </m:oMath>
      <w:r w:rsidR="007C1744" w:rsidRPr="007C1744">
        <w:rPr>
          <w:rFonts w:ascii="Times New Roman" w:eastAsiaTheme="minorEastAsia" w:hAnsi="Times New Roman" w:cs="Times New Roman"/>
          <w:sz w:val="28"/>
          <w:szCs w:val="24"/>
        </w:rPr>
        <w:t>,</w:t>
      </w:r>
      <w:r w:rsidR="00290002">
        <w:rPr>
          <w:rFonts w:ascii="Times New Roman" w:eastAsiaTheme="minorEastAsia" w:hAnsi="Times New Roman" w:cs="Times New Roman"/>
          <w:sz w:val="28"/>
          <w:szCs w:val="24"/>
        </w:rPr>
        <w:tab/>
      </w:r>
      <w:r w:rsidR="00290002">
        <w:rPr>
          <w:rFonts w:ascii="Times New Roman" w:eastAsiaTheme="minorEastAsia" w:hAnsi="Times New Roman" w:cs="Times New Roman"/>
          <w:sz w:val="28"/>
          <w:szCs w:val="24"/>
        </w:rPr>
        <w:tab/>
      </w:r>
      <w:r w:rsidR="00290002">
        <w:rPr>
          <w:rFonts w:ascii="Times New Roman" w:eastAsiaTheme="minorEastAsia" w:hAnsi="Times New Roman" w:cs="Times New Roman"/>
          <w:sz w:val="28"/>
          <w:szCs w:val="24"/>
        </w:rPr>
        <w:tab/>
      </w:r>
      <w:r w:rsidR="00290002">
        <w:rPr>
          <w:rFonts w:ascii="Times New Roman" w:eastAsiaTheme="minorEastAsia" w:hAnsi="Times New Roman" w:cs="Times New Roman"/>
          <w:sz w:val="28"/>
          <w:szCs w:val="24"/>
        </w:rPr>
        <w:tab/>
      </w:r>
      <w:r w:rsidR="00290002">
        <w:rPr>
          <w:rFonts w:ascii="Times New Roman" w:eastAsiaTheme="minorEastAsia" w:hAnsi="Times New Roman" w:cs="Times New Roman"/>
          <w:sz w:val="28"/>
          <w:szCs w:val="24"/>
        </w:rPr>
        <w:tab/>
      </w:r>
      <w:r w:rsidR="00290002" w:rsidRPr="002F4269">
        <w:rPr>
          <w:rFonts w:ascii="Times New Roman" w:eastAsiaTheme="minorEastAsia" w:hAnsi="Times New Roman" w:cs="Times New Roman"/>
          <w:sz w:val="24"/>
          <w:szCs w:val="24"/>
        </w:rPr>
        <w:t>(3)</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 xml:space="preserve">где </w:t>
      </w:r>
      <w:r w:rsidRPr="0059775B">
        <w:rPr>
          <w:rFonts w:ascii="Times New Roman" w:hAnsi="Times New Roman" w:cs="Times New Roman"/>
          <w:sz w:val="24"/>
          <w:szCs w:val="24"/>
          <w:lang w:val="en-US"/>
        </w:rPr>
        <w:t>V</w:t>
      </w:r>
      <w:r w:rsidRPr="0059775B">
        <w:rPr>
          <w:rFonts w:ascii="Times New Roman" w:hAnsi="Times New Roman" w:cs="Times New Roman"/>
          <w:sz w:val="24"/>
          <w:szCs w:val="24"/>
          <w:vertAlign w:val="subscript"/>
          <w:lang w:val="en-US"/>
        </w:rPr>
        <w:t>A</w:t>
      </w:r>
      <w:r w:rsidRPr="0059775B">
        <w:rPr>
          <w:rFonts w:ascii="Times New Roman" w:hAnsi="Times New Roman" w:cs="Times New Roman"/>
          <w:sz w:val="24"/>
          <w:szCs w:val="24"/>
          <w:vertAlign w:val="subscript"/>
        </w:rPr>
        <w:t>+</w:t>
      </w:r>
      <w:r w:rsidRPr="0059775B">
        <w:rPr>
          <w:rFonts w:ascii="Times New Roman" w:hAnsi="Times New Roman" w:cs="Times New Roman"/>
          <w:sz w:val="24"/>
          <w:szCs w:val="24"/>
          <w:vertAlign w:val="subscript"/>
          <w:lang w:val="en-US"/>
        </w:rPr>
        <w:t>B</w:t>
      </w:r>
      <w:r w:rsidRPr="0059775B">
        <w:rPr>
          <w:rFonts w:ascii="Times New Roman" w:hAnsi="Times New Roman" w:cs="Times New Roman"/>
          <w:sz w:val="24"/>
          <w:szCs w:val="24"/>
          <w:vertAlign w:val="subscript"/>
        </w:rPr>
        <w:t xml:space="preserve"> </w:t>
      </w:r>
      <w:r w:rsidRPr="0059775B">
        <w:rPr>
          <w:rFonts w:ascii="Times New Roman" w:hAnsi="Times New Roman" w:cs="Times New Roman"/>
          <w:sz w:val="24"/>
          <w:szCs w:val="24"/>
        </w:rPr>
        <w:t xml:space="preserve"> - стоимость консолидированной компании;</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lang w:val="en-US"/>
        </w:rPr>
        <w:t>V</w:t>
      </w:r>
      <w:r w:rsidRPr="0059775B">
        <w:rPr>
          <w:rFonts w:ascii="Times New Roman" w:hAnsi="Times New Roman" w:cs="Times New Roman"/>
          <w:sz w:val="24"/>
          <w:szCs w:val="24"/>
          <w:vertAlign w:val="subscript"/>
          <w:lang w:val="en-US"/>
        </w:rPr>
        <w:t>A</w:t>
      </w:r>
      <w:r w:rsidRPr="0059775B">
        <w:rPr>
          <w:rFonts w:ascii="Times New Roman" w:hAnsi="Times New Roman" w:cs="Times New Roman"/>
          <w:sz w:val="24"/>
          <w:szCs w:val="24"/>
          <w:vertAlign w:val="subscript"/>
        </w:rPr>
        <w:t xml:space="preserve"> </w:t>
      </w:r>
      <w:r w:rsidRPr="0059775B">
        <w:rPr>
          <w:rFonts w:ascii="Times New Roman" w:hAnsi="Times New Roman" w:cs="Times New Roman"/>
          <w:sz w:val="24"/>
          <w:szCs w:val="24"/>
        </w:rPr>
        <w:t>– рыночная стоимость компании-поглотителя</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В данном контексте важно определить понятие «справедливая стоимость компании». Это такая стоимость, которая может быть выплачена за актив или передачу обязательств по текущей сделке между участниками рынка. Что важно – и поглотитель и цель проводят сделку добровольно, зная всю необходимую информацию о фактах, окружающих данную сделку</w:t>
      </w:r>
      <w:r w:rsidRPr="0059775B">
        <w:rPr>
          <w:rStyle w:val="a7"/>
          <w:rFonts w:ascii="Times New Roman" w:hAnsi="Times New Roman" w:cs="Times New Roman"/>
          <w:sz w:val="24"/>
          <w:szCs w:val="24"/>
        </w:rPr>
        <w:footnoteReference w:id="28"/>
      </w:r>
      <w:r w:rsidRPr="0059775B">
        <w:rPr>
          <w:rFonts w:ascii="Times New Roman" w:hAnsi="Times New Roman" w:cs="Times New Roman"/>
          <w:sz w:val="24"/>
          <w:szCs w:val="24"/>
        </w:rPr>
        <w:t xml:space="preserve">. В справедливой стоимости не учитывается синергетический эффект, а значит цена приобретения не будет совпадать </w:t>
      </w:r>
      <w:proofErr w:type="gramStart"/>
      <w:r w:rsidRPr="0059775B">
        <w:rPr>
          <w:rFonts w:ascii="Times New Roman" w:hAnsi="Times New Roman" w:cs="Times New Roman"/>
          <w:sz w:val="24"/>
          <w:szCs w:val="24"/>
        </w:rPr>
        <w:t>с</w:t>
      </w:r>
      <w:proofErr w:type="gramEnd"/>
      <w:r w:rsidRPr="0059775B">
        <w:rPr>
          <w:rFonts w:ascii="Times New Roman" w:hAnsi="Times New Roman" w:cs="Times New Roman"/>
          <w:sz w:val="24"/>
          <w:szCs w:val="24"/>
        </w:rPr>
        <w:t xml:space="preserve"> справедливой стоимостью.</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 xml:space="preserve">Стоит сказать, что имеется 2 ориентира, которые можно использовать для базовой проверки чувствительности полученной оценки стоимости. Ими являются балансовая и ликвидационная стоимости компании. Оба этих показателя помогают определить минимальную стоимость, которую приобретаемая компания имеет на рынке. </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Самым главным фактором, который определит конечное ценовое предложение</w:t>
      </w:r>
      <w:r w:rsidR="002F4269">
        <w:rPr>
          <w:rFonts w:ascii="Times New Roman" w:hAnsi="Times New Roman" w:cs="Times New Roman"/>
          <w:sz w:val="24"/>
          <w:szCs w:val="24"/>
        </w:rPr>
        <w:t>,</w:t>
      </w:r>
      <w:r w:rsidRPr="0059775B">
        <w:rPr>
          <w:rFonts w:ascii="Times New Roman" w:hAnsi="Times New Roman" w:cs="Times New Roman"/>
          <w:sz w:val="24"/>
          <w:szCs w:val="24"/>
        </w:rPr>
        <w:t xml:space="preserve"> является выявление эффекта синергии. Не секрет, что именно в синергии и находится основной мотив совершения сделки для участников рынка. В конечном счете, в вопрос синергии и упирается вопрос установления ценового предложения. Наличие эффектов синергии предполагает собой и премию, которая будет уплачена в рамках ценового предложения. Однако</w:t>
      </w:r>
      <w:proofErr w:type="gramStart"/>
      <w:r w:rsidRPr="0059775B">
        <w:rPr>
          <w:rFonts w:ascii="Times New Roman" w:hAnsi="Times New Roman" w:cs="Times New Roman"/>
          <w:sz w:val="24"/>
          <w:szCs w:val="24"/>
        </w:rPr>
        <w:t>,</w:t>
      </w:r>
      <w:proofErr w:type="gramEnd"/>
      <w:r w:rsidRPr="0059775B">
        <w:rPr>
          <w:rFonts w:ascii="Times New Roman" w:hAnsi="Times New Roman" w:cs="Times New Roman"/>
          <w:sz w:val="24"/>
          <w:szCs w:val="24"/>
        </w:rPr>
        <w:t xml:space="preserve"> стоит сказать, что премия обязательно должна быть меньше потенциального выигрыша от проявления синергетического эффекта, иначе бы сделка не имела под собой никакого смысла для покупателя.</w:t>
      </w:r>
    </w:p>
    <w:p w:rsid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После того, как эффект синергии оценен качественно и выявлены наиболее вероятные формы его проявления, необходимо приступить к количественной оценке методом дисконтированных денежных потоков, который выглядит следующим образом:</w:t>
      </w:r>
    </w:p>
    <w:p w:rsidR="007C1744" w:rsidRPr="007C1744" w:rsidRDefault="002F0191" w:rsidP="00290002">
      <w:pPr>
        <w:spacing w:line="360" w:lineRule="auto"/>
        <w:ind w:left="1416" w:firstLine="708"/>
        <w:jc w:val="center"/>
        <w:rPr>
          <w:rFonts w:ascii="Times New Roman" w:hAnsi="Times New Roman" w:cs="Times New Roman"/>
          <w:sz w:val="32"/>
          <w:szCs w:val="24"/>
        </w:rPr>
      </w:pPr>
      <m:oMath>
        <m:sSub>
          <m:sSubPr>
            <m:ctrlPr>
              <w:rPr>
                <w:rFonts w:ascii="Cambria Math" w:hAnsi="Cambria Math" w:cs="Times New Roman"/>
                <w:i/>
                <w:sz w:val="32"/>
                <w:szCs w:val="24"/>
              </w:rPr>
            </m:ctrlPr>
          </m:sSubPr>
          <m:e>
            <m:r>
              <w:rPr>
                <w:rFonts w:ascii="Cambria Math" w:hAnsi="Cambria Math" w:cs="Times New Roman"/>
                <w:sz w:val="32"/>
                <w:szCs w:val="24"/>
                <w:lang w:val="en-US"/>
              </w:rPr>
              <m:t>V</m:t>
            </m:r>
          </m:e>
          <m:sub>
            <m:r>
              <w:rPr>
                <w:rFonts w:ascii="Cambria Math" w:hAnsi="Cambria Math" w:cs="Times New Roman"/>
                <w:sz w:val="32"/>
                <w:szCs w:val="24"/>
              </w:rPr>
              <m:t>S</m:t>
            </m:r>
          </m:sub>
        </m:sSub>
        <m:r>
          <w:rPr>
            <w:rFonts w:ascii="Cambria Math" w:hAnsi="Cambria Math" w:cs="Times New Roman"/>
            <w:sz w:val="32"/>
            <w:szCs w:val="24"/>
          </w:rPr>
          <m:t>=</m:t>
        </m:r>
        <m:nary>
          <m:naryPr>
            <m:chr m:val="∑"/>
            <m:limLoc m:val="undOvr"/>
            <m:ctrlPr>
              <w:rPr>
                <w:rFonts w:ascii="Cambria Math" w:hAnsi="Cambria Math" w:cs="Times New Roman"/>
                <w:i/>
                <w:sz w:val="32"/>
                <w:szCs w:val="24"/>
              </w:rPr>
            </m:ctrlPr>
          </m:naryPr>
          <m:sub>
            <m:r>
              <w:rPr>
                <w:rFonts w:ascii="Cambria Math" w:hAnsi="Cambria Math" w:cs="Times New Roman"/>
                <w:sz w:val="32"/>
                <w:szCs w:val="24"/>
              </w:rPr>
              <m:t>i=1</m:t>
            </m:r>
          </m:sub>
          <m:sup>
            <m:r>
              <w:rPr>
                <w:rFonts w:ascii="Cambria Math" w:hAnsi="Cambria Math" w:cs="Times New Roman"/>
                <w:sz w:val="32"/>
                <w:szCs w:val="24"/>
              </w:rPr>
              <m:t>n</m:t>
            </m:r>
          </m:sup>
          <m:e>
            <m:f>
              <m:fPr>
                <m:ctrlPr>
                  <w:rPr>
                    <w:rFonts w:ascii="Cambria Math" w:hAnsi="Cambria Math" w:cs="Times New Roman"/>
                    <w:i/>
                    <w:sz w:val="32"/>
                    <w:szCs w:val="24"/>
                  </w:rPr>
                </m:ctrlPr>
              </m:fPr>
              <m:num>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FCFF</m:t>
                    </m:r>
                  </m:e>
                  <m:sub>
                    <m:r>
                      <w:rPr>
                        <w:rFonts w:ascii="Cambria Math" w:hAnsi="Cambria Math" w:cs="Times New Roman"/>
                        <w:sz w:val="32"/>
                        <w:szCs w:val="24"/>
                      </w:rPr>
                      <m:t>i</m:t>
                    </m:r>
                  </m:sub>
                </m:sSub>
              </m:num>
              <m:den>
                <m:r>
                  <w:rPr>
                    <w:rFonts w:ascii="Cambria Math" w:hAnsi="Cambria Math" w:cs="Times New Roman"/>
                    <w:sz w:val="32"/>
                    <w:szCs w:val="24"/>
                  </w:rPr>
                  <m:t>(1+</m:t>
                </m:r>
                <m:sSubSup>
                  <m:sSubSupPr>
                    <m:ctrlPr>
                      <w:rPr>
                        <w:rFonts w:ascii="Cambria Math" w:hAnsi="Cambria Math" w:cs="Times New Roman"/>
                        <w:i/>
                        <w:sz w:val="32"/>
                        <w:szCs w:val="24"/>
                      </w:rPr>
                    </m:ctrlPr>
                  </m:sSubSupPr>
                  <m:e>
                    <m:r>
                      <w:rPr>
                        <w:rFonts w:ascii="Cambria Math" w:hAnsi="Cambria Math" w:cs="Times New Roman"/>
                        <w:sz w:val="32"/>
                        <w:szCs w:val="24"/>
                      </w:rPr>
                      <m:t>r</m:t>
                    </m:r>
                  </m:e>
                  <m:sub>
                    <m:r>
                      <w:rPr>
                        <w:rFonts w:ascii="Cambria Math" w:hAnsi="Cambria Math" w:cs="Times New Roman"/>
                        <w:sz w:val="32"/>
                        <w:szCs w:val="24"/>
                      </w:rPr>
                      <m:t>e</m:t>
                    </m:r>
                  </m:sub>
                  <m:sup>
                    <m:r>
                      <w:rPr>
                        <w:rFonts w:ascii="Cambria Math" w:hAnsi="Cambria Math" w:cs="Times New Roman"/>
                        <w:sz w:val="32"/>
                        <w:szCs w:val="24"/>
                      </w:rPr>
                      <m:t>adj</m:t>
                    </m:r>
                  </m:sup>
                </m:sSubSup>
                <m:r>
                  <w:rPr>
                    <w:rFonts w:ascii="Cambria Math" w:hAnsi="Cambria Math" w:cs="Times New Roman"/>
                    <w:sz w:val="32"/>
                    <w:szCs w:val="24"/>
                  </w:rPr>
                  <m:t>)</m:t>
                </m:r>
              </m:den>
            </m:f>
          </m:e>
        </m:nary>
      </m:oMath>
      <w:r w:rsidR="007C1744" w:rsidRPr="007C1744">
        <w:rPr>
          <w:rFonts w:ascii="Times New Roman" w:eastAsiaTheme="minorEastAsia" w:hAnsi="Times New Roman" w:cs="Times New Roman"/>
          <w:sz w:val="32"/>
          <w:szCs w:val="24"/>
        </w:rPr>
        <w:t>,</w:t>
      </w:r>
      <w:r w:rsidR="00290002">
        <w:rPr>
          <w:rFonts w:ascii="Times New Roman" w:eastAsiaTheme="minorEastAsia" w:hAnsi="Times New Roman" w:cs="Times New Roman"/>
          <w:sz w:val="32"/>
          <w:szCs w:val="24"/>
        </w:rPr>
        <w:tab/>
      </w:r>
      <w:r w:rsidR="00290002">
        <w:rPr>
          <w:rFonts w:ascii="Times New Roman" w:eastAsiaTheme="minorEastAsia" w:hAnsi="Times New Roman" w:cs="Times New Roman"/>
          <w:sz w:val="32"/>
          <w:szCs w:val="24"/>
        </w:rPr>
        <w:tab/>
      </w:r>
      <w:r w:rsidR="00290002">
        <w:rPr>
          <w:rFonts w:ascii="Times New Roman" w:eastAsiaTheme="minorEastAsia" w:hAnsi="Times New Roman" w:cs="Times New Roman"/>
          <w:sz w:val="32"/>
          <w:szCs w:val="24"/>
        </w:rPr>
        <w:tab/>
      </w:r>
      <w:r w:rsidR="00290002">
        <w:rPr>
          <w:rFonts w:ascii="Times New Roman" w:eastAsiaTheme="minorEastAsia" w:hAnsi="Times New Roman" w:cs="Times New Roman"/>
          <w:sz w:val="32"/>
          <w:szCs w:val="24"/>
        </w:rPr>
        <w:tab/>
      </w:r>
      <w:r w:rsidR="00290002">
        <w:rPr>
          <w:rFonts w:ascii="Times New Roman" w:eastAsiaTheme="minorEastAsia" w:hAnsi="Times New Roman" w:cs="Times New Roman"/>
          <w:sz w:val="32"/>
          <w:szCs w:val="24"/>
        </w:rPr>
        <w:tab/>
      </w:r>
      <w:r w:rsidR="00290002" w:rsidRPr="002F4269">
        <w:rPr>
          <w:rFonts w:ascii="Times New Roman" w:eastAsiaTheme="minorEastAsia" w:hAnsi="Times New Roman" w:cs="Times New Roman"/>
          <w:sz w:val="24"/>
          <w:szCs w:val="24"/>
        </w:rPr>
        <w:t>(4)</w:t>
      </w:r>
    </w:p>
    <w:p w:rsidR="0059775B" w:rsidRPr="007C1744" w:rsidRDefault="007C1744" w:rsidP="00290002">
      <w:pPr>
        <w:spacing w:line="360" w:lineRule="auto"/>
        <w:ind w:firstLine="708"/>
        <w:jc w:val="center"/>
        <w:rPr>
          <w:rFonts w:ascii="Times New Roman" w:hAnsi="Times New Roman" w:cs="Times New Roman"/>
          <w:sz w:val="28"/>
          <w:szCs w:val="24"/>
        </w:rPr>
      </w:pPr>
      <m:oMath>
        <m:r>
          <w:rPr>
            <w:rFonts w:ascii="Cambria Math" w:hAnsi="Cambria Math" w:cs="Times New Roman"/>
            <w:sz w:val="28"/>
            <w:szCs w:val="24"/>
          </w:rPr>
          <m:t>∆FCFF= ∆S-∆C-∆T-∆NWC-∆Capex+∆Debt</m:t>
        </m:r>
      </m:oMath>
      <w:r w:rsidRPr="007C1744">
        <w:rPr>
          <w:rFonts w:ascii="Times New Roman" w:eastAsiaTheme="minorEastAsia" w:hAnsi="Times New Roman" w:cs="Times New Roman"/>
          <w:sz w:val="28"/>
          <w:szCs w:val="24"/>
        </w:rPr>
        <w:t>,</w:t>
      </w:r>
      <w:r w:rsidR="00290002">
        <w:rPr>
          <w:rFonts w:ascii="Times New Roman" w:eastAsiaTheme="minorEastAsia" w:hAnsi="Times New Roman" w:cs="Times New Roman"/>
          <w:sz w:val="28"/>
          <w:szCs w:val="24"/>
        </w:rPr>
        <w:tab/>
      </w:r>
      <w:r w:rsidR="00290002" w:rsidRPr="002F4269">
        <w:rPr>
          <w:rFonts w:ascii="Times New Roman" w:eastAsiaTheme="minorEastAsia" w:hAnsi="Times New Roman" w:cs="Times New Roman"/>
          <w:sz w:val="24"/>
          <w:szCs w:val="24"/>
        </w:rPr>
        <w:t>(5)</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где</w:t>
      </w:r>
    </w:p>
    <w:p w:rsidR="0059775B" w:rsidRPr="0059775B" w:rsidRDefault="0059775B" w:rsidP="007C1744">
      <w:pPr>
        <w:pStyle w:val="a9"/>
        <w:jc w:val="both"/>
      </w:pPr>
      <w:r w:rsidRPr="0059775B">
        <w:t>Δ</w:t>
      </w:r>
      <w:r w:rsidRPr="0059775B">
        <w:rPr>
          <w:lang w:val="en-US"/>
        </w:rPr>
        <w:t>FCFE</w:t>
      </w:r>
      <w:r w:rsidRPr="0059775B">
        <w:t xml:space="preserve"> – прирост денежного потока для акционеров поглощающей компании;</w:t>
      </w:r>
    </w:p>
    <w:p w:rsidR="0059775B" w:rsidRPr="0059775B" w:rsidRDefault="0059775B" w:rsidP="007C1744">
      <w:pPr>
        <w:pStyle w:val="a9"/>
        <w:jc w:val="both"/>
      </w:pPr>
      <w:r w:rsidRPr="0059775B">
        <w:t>Δ</w:t>
      </w:r>
      <w:r w:rsidRPr="0059775B">
        <w:rPr>
          <w:lang w:val="en-US"/>
        </w:rPr>
        <w:t>S</w:t>
      </w:r>
      <w:r w:rsidRPr="0059775B">
        <w:t xml:space="preserve"> – прирост выручки;</w:t>
      </w:r>
    </w:p>
    <w:p w:rsidR="0059775B" w:rsidRPr="0059775B" w:rsidRDefault="0059775B" w:rsidP="007C1744">
      <w:pPr>
        <w:pStyle w:val="a9"/>
        <w:jc w:val="both"/>
      </w:pPr>
      <w:r w:rsidRPr="0059775B">
        <w:t>Δ</w:t>
      </w:r>
      <w:proofErr w:type="gramStart"/>
      <w:r w:rsidRPr="0059775B">
        <w:t>С</w:t>
      </w:r>
      <w:proofErr w:type="gramEnd"/>
      <w:r w:rsidRPr="0059775B">
        <w:t xml:space="preserve"> – экономия на издержках;</w:t>
      </w:r>
    </w:p>
    <w:p w:rsidR="0059775B" w:rsidRPr="0059775B" w:rsidRDefault="0059775B" w:rsidP="007C1744">
      <w:pPr>
        <w:pStyle w:val="a9"/>
        <w:jc w:val="both"/>
      </w:pPr>
      <w:r w:rsidRPr="0059775B">
        <w:t>ΔТ – экономия на уплачиваемом налоге на прибыль;</w:t>
      </w:r>
    </w:p>
    <w:p w:rsidR="0059775B" w:rsidRPr="0059775B" w:rsidRDefault="0059775B" w:rsidP="007C1744">
      <w:pPr>
        <w:pStyle w:val="a9"/>
        <w:jc w:val="both"/>
      </w:pPr>
      <w:r w:rsidRPr="0059775B">
        <w:t>Δ</w:t>
      </w:r>
      <w:r w:rsidRPr="0059775B">
        <w:rPr>
          <w:lang w:val="en-US"/>
        </w:rPr>
        <w:t>NWC</w:t>
      </w:r>
      <w:r w:rsidRPr="0059775B">
        <w:t xml:space="preserve"> – экономия на инвестициях в оборотный капитал;</w:t>
      </w:r>
    </w:p>
    <w:p w:rsidR="0059775B" w:rsidRPr="0059775B" w:rsidRDefault="0059775B" w:rsidP="007C1744">
      <w:pPr>
        <w:pStyle w:val="a9"/>
        <w:jc w:val="both"/>
      </w:pPr>
      <w:r w:rsidRPr="0059775B">
        <w:t xml:space="preserve">Δ </w:t>
      </w:r>
      <w:r w:rsidRPr="0059775B">
        <w:rPr>
          <w:lang w:val="en-US"/>
        </w:rPr>
        <w:t>Capex</w:t>
      </w:r>
      <w:r w:rsidRPr="0059775B">
        <w:t xml:space="preserve"> – экономия на капитальных инвестициях;</w:t>
      </w:r>
    </w:p>
    <w:p w:rsidR="0059775B" w:rsidRPr="0059775B" w:rsidRDefault="0059775B" w:rsidP="007C1744">
      <w:pPr>
        <w:pStyle w:val="a9"/>
        <w:jc w:val="both"/>
      </w:pPr>
      <w:r w:rsidRPr="0059775B">
        <w:t xml:space="preserve">Δ </w:t>
      </w:r>
      <w:r w:rsidRPr="0059775B">
        <w:rPr>
          <w:lang w:val="en-US"/>
        </w:rPr>
        <w:t>Debt</w:t>
      </w:r>
      <w:r w:rsidRPr="0059775B">
        <w:t xml:space="preserve"> – прирост чистого долга;</w:t>
      </w:r>
    </w:p>
    <w:p w:rsidR="0059775B" w:rsidRPr="0059775B" w:rsidRDefault="0059775B" w:rsidP="007C1744">
      <w:pPr>
        <w:pStyle w:val="a9"/>
        <w:jc w:val="both"/>
      </w:pPr>
      <w:proofErr w:type="spellStart"/>
      <w:proofErr w:type="gramStart"/>
      <w:r w:rsidRPr="0059775B">
        <w:rPr>
          <w:lang w:val="en-US"/>
        </w:rPr>
        <w:t>r</w:t>
      </w:r>
      <w:r w:rsidRPr="0059775B">
        <w:rPr>
          <w:vertAlign w:val="subscript"/>
          <w:lang w:val="en-US"/>
        </w:rPr>
        <w:t>e</w:t>
      </w:r>
      <w:r w:rsidRPr="0059775B">
        <w:rPr>
          <w:vertAlign w:val="superscript"/>
          <w:lang w:val="en-US"/>
        </w:rPr>
        <w:t>adj</w:t>
      </w:r>
      <w:proofErr w:type="spellEnd"/>
      <w:proofErr w:type="gramEnd"/>
      <w:r w:rsidRPr="0059775B">
        <w:rPr>
          <w:vertAlign w:val="superscript"/>
        </w:rPr>
        <w:t xml:space="preserve"> </w:t>
      </w:r>
      <w:r w:rsidRPr="0059775B">
        <w:t>– доходность собственного капитала.</w:t>
      </w:r>
    </w:p>
    <w:p w:rsidR="0059775B" w:rsidRPr="0059775B" w:rsidRDefault="0059775B" w:rsidP="007C1744">
      <w:pPr>
        <w:pStyle w:val="a9"/>
        <w:spacing w:line="360" w:lineRule="auto"/>
        <w:jc w:val="both"/>
      </w:pPr>
      <w:r w:rsidRPr="0059775B">
        <w:tab/>
        <w:t xml:space="preserve">Сначала в модели строятся прогнозируемые значения элементов </w:t>
      </w:r>
      <w:r w:rsidRPr="0059775B">
        <w:rPr>
          <w:lang w:val="en-US"/>
        </w:rPr>
        <w:t>FCFE</w:t>
      </w:r>
      <w:r w:rsidRPr="0059775B">
        <w:t>, при этом</w:t>
      </w:r>
      <w:proofErr w:type="gramStart"/>
      <w:r w:rsidRPr="0059775B">
        <w:t xml:space="preserve"> ΔС</w:t>
      </w:r>
      <w:proofErr w:type="gramEnd"/>
      <w:r w:rsidRPr="0059775B">
        <w:t>, ΔТ, Δ</w:t>
      </w:r>
      <w:r w:rsidRPr="0059775B">
        <w:rPr>
          <w:lang w:val="en-US"/>
        </w:rPr>
        <w:t>NWC</w:t>
      </w:r>
      <w:r w:rsidRPr="0059775B">
        <w:t xml:space="preserve"> и </w:t>
      </w:r>
      <w:proofErr w:type="spellStart"/>
      <w:r w:rsidRPr="0059775B">
        <w:t>ΔCapex</w:t>
      </w:r>
      <w:proofErr w:type="spellEnd"/>
      <w:r w:rsidRPr="0059775B">
        <w:t xml:space="preserve"> учитывают операционную синергию, тогда как Δ</w:t>
      </w:r>
      <w:r w:rsidRPr="0059775B">
        <w:rPr>
          <w:lang w:val="en-US"/>
        </w:rPr>
        <w:t>Debt</w:t>
      </w:r>
      <w:r w:rsidRPr="0059775B">
        <w:t xml:space="preserve"> и </w:t>
      </w:r>
      <w:proofErr w:type="spellStart"/>
      <w:r w:rsidRPr="0059775B">
        <w:rPr>
          <w:lang w:val="en-US"/>
        </w:rPr>
        <w:t>r</w:t>
      </w:r>
      <w:r w:rsidRPr="0059775B">
        <w:rPr>
          <w:vertAlign w:val="subscript"/>
          <w:lang w:val="en-US"/>
        </w:rPr>
        <w:t>e</w:t>
      </w:r>
      <w:r w:rsidRPr="0059775B">
        <w:rPr>
          <w:vertAlign w:val="superscript"/>
          <w:lang w:val="en-US"/>
        </w:rPr>
        <w:t>adj</w:t>
      </w:r>
      <w:proofErr w:type="spellEnd"/>
      <w:r w:rsidRPr="0059775B">
        <w:rPr>
          <w:vertAlign w:val="superscript"/>
        </w:rPr>
        <w:t xml:space="preserve"> </w:t>
      </w:r>
      <w:r w:rsidRPr="0059775B">
        <w:t>– финансовую. Далее необходимо руководствоваться следующим алгоритмом:</w:t>
      </w:r>
    </w:p>
    <w:p w:rsidR="0059775B" w:rsidRPr="0059775B" w:rsidRDefault="0059775B" w:rsidP="007C1744">
      <w:pPr>
        <w:pStyle w:val="a9"/>
        <w:numPr>
          <w:ilvl w:val="0"/>
          <w:numId w:val="17"/>
        </w:numPr>
        <w:spacing w:line="360" w:lineRule="auto"/>
        <w:jc w:val="both"/>
      </w:pPr>
      <w:r w:rsidRPr="0059775B">
        <w:t xml:space="preserve">Оценка рыночной стоимости компаний, участвующих в сделке, по отдельности методом </w:t>
      </w:r>
      <w:r w:rsidRPr="0059775B">
        <w:rPr>
          <w:lang w:val="en-US"/>
        </w:rPr>
        <w:t>DCF</w:t>
      </w:r>
      <w:r w:rsidRPr="0059775B">
        <w:t xml:space="preserve"> (ставка дисконта – </w:t>
      </w:r>
      <w:r w:rsidRPr="0059775B">
        <w:rPr>
          <w:lang w:val="en-US"/>
        </w:rPr>
        <w:t>WACC</w:t>
      </w:r>
      <w:r w:rsidRPr="0059775B">
        <w:t>);</w:t>
      </w:r>
    </w:p>
    <w:p w:rsidR="0059775B" w:rsidRPr="0059775B" w:rsidRDefault="0059775B" w:rsidP="007C1744">
      <w:pPr>
        <w:pStyle w:val="a9"/>
        <w:numPr>
          <w:ilvl w:val="0"/>
          <w:numId w:val="17"/>
        </w:numPr>
        <w:spacing w:line="360" w:lineRule="auto"/>
        <w:jc w:val="both"/>
      </w:pPr>
      <w:r w:rsidRPr="0059775B">
        <w:t>Произведение оценки консолидированной компании без учета синергии (выполняется как сложение стоимостей, полученных на первом этапе);</w:t>
      </w:r>
    </w:p>
    <w:p w:rsidR="0059775B" w:rsidRPr="0059775B" w:rsidRDefault="0059775B" w:rsidP="007C1744">
      <w:pPr>
        <w:pStyle w:val="a9"/>
        <w:numPr>
          <w:ilvl w:val="0"/>
          <w:numId w:val="17"/>
        </w:numPr>
        <w:spacing w:line="360" w:lineRule="auto"/>
        <w:jc w:val="both"/>
      </w:pPr>
      <w:r w:rsidRPr="0059775B">
        <w:t>Произведение оценки синергетического эффекта на основе роста консолидированной компании и роста ее денежных потоков, а также последующая корректировка стоимости консолидированной компании на основе данного эффекта</w:t>
      </w:r>
    </w:p>
    <w:p w:rsidR="0059775B" w:rsidRPr="0059775B" w:rsidRDefault="0059775B" w:rsidP="007C1744">
      <w:pPr>
        <w:pStyle w:val="a9"/>
        <w:numPr>
          <w:ilvl w:val="0"/>
          <w:numId w:val="17"/>
        </w:numPr>
        <w:spacing w:line="360" w:lineRule="auto"/>
        <w:jc w:val="both"/>
      </w:pPr>
      <w:r w:rsidRPr="0059775B">
        <w:t>Получение стоимости синергии как разницы между рыночной стоимостью консолидированной компании с учетом данного эффекта и без него.</w:t>
      </w:r>
    </w:p>
    <w:p w:rsidR="0059775B" w:rsidRDefault="0059775B" w:rsidP="0059775B">
      <w:pPr>
        <w:spacing w:line="360" w:lineRule="auto"/>
        <w:ind w:firstLine="360"/>
        <w:jc w:val="both"/>
        <w:rPr>
          <w:rFonts w:ascii="Times New Roman" w:hAnsi="Times New Roman" w:cs="Times New Roman"/>
          <w:sz w:val="24"/>
          <w:szCs w:val="24"/>
        </w:rPr>
      </w:pPr>
      <w:r w:rsidRPr="0059775B">
        <w:rPr>
          <w:rFonts w:ascii="Times New Roman" w:hAnsi="Times New Roman" w:cs="Times New Roman"/>
          <w:sz w:val="24"/>
          <w:szCs w:val="24"/>
        </w:rPr>
        <w:t xml:space="preserve">Обобщенные достоинства и недостатки метода дисконтированных денежных </w:t>
      </w:r>
      <w:r w:rsidR="007C1744">
        <w:rPr>
          <w:rFonts w:ascii="Times New Roman" w:hAnsi="Times New Roman" w:cs="Times New Roman"/>
          <w:sz w:val="24"/>
          <w:szCs w:val="24"/>
        </w:rPr>
        <w:t xml:space="preserve">потоков представлены в таблице </w:t>
      </w:r>
      <w:r w:rsidR="007C1744" w:rsidRPr="007C1744">
        <w:rPr>
          <w:rFonts w:ascii="Times New Roman" w:hAnsi="Times New Roman" w:cs="Times New Roman"/>
          <w:sz w:val="24"/>
          <w:szCs w:val="24"/>
        </w:rPr>
        <w:t>3</w:t>
      </w:r>
      <w:r w:rsidRPr="0059775B">
        <w:rPr>
          <w:rFonts w:ascii="Times New Roman" w:hAnsi="Times New Roman" w:cs="Times New Roman"/>
          <w:sz w:val="24"/>
          <w:szCs w:val="24"/>
        </w:rPr>
        <w:t>.</w:t>
      </w:r>
    </w:p>
    <w:p w:rsidR="004D6A9F" w:rsidRDefault="004D6A9F" w:rsidP="0059775B">
      <w:pPr>
        <w:spacing w:line="360" w:lineRule="auto"/>
        <w:ind w:firstLine="360"/>
        <w:jc w:val="both"/>
        <w:rPr>
          <w:rFonts w:ascii="Times New Roman" w:hAnsi="Times New Roman" w:cs="Times New Roman"/>
          <w:sz w:val="24"/>
          <w:szCs w:val="24"/>
        </w:rPr>
      </w:pPr>
    </w:p>
    <w:p w:rsidR="004D6A9F" w:rsidRPr="0059775B" w:rsidRDefault="004D6A9F" w:rsidP="0059775B">
      <w:pPr>
        <w:spacing w:line="360" w:lineRule="auto"/>
        <w:ind w:firstLine="360"/>
        <w:jc w:val="both"/>
        <w:rPr>
          <w:rFonts w:ascii="Times New Roman" w:hAnsi="Times New Roman" w:cs="Times New Roman"/>
          <w:sz w:val="24"/>
          <w:szCs w:val="24"/>
        </w:rPr>
      </w:pPr>
    </w:p>
    <w:p w:rsidR="0059775B" w:rsidRPr="0059775B" w:rsidRDefault="007C1744" w:rsidP="0059775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Таблица </w:t>
      </w:r>
      <w:r w:rsidRPr="007C1744">
        <w:rPr>
          <w:rFonts w:ascii="Times New Roman" w:hAnsi="Times New Roman" w:cs="Times New Roman"/>
          <w:sz w:val="24"/>
          <w:szCs w:val="24"/>
        </w:rPr>
        <w:t>3</w:t>
      </w:r>
      <w:r w:rsidR="0059775B" w:rsidRPr="0059775B">
        <w:rPr>
          <w:rFonts w:ascii="Times New Roman" w:hAnsi="Times New Roman" w:cs="Times New Roman"/>
          <w:sz w:val="24"/>
          <w:szCs w:val="24"/>
        </w:rPr>
        <w:t xml:space="preserve"> Достоинства и недостатки метода дисконтированных денежных потоков</w:t>
      </w:r>
    </w:p>
    <w:tbl>
      <w:tblPr>
        <w:tblStyle w:val="a8"/>
        <w:tblW w:w="0" w:type="auto"/>
        <w:tblLook w:val="04A0" w:firstRow="1" w:lastRow="0" w:firstColumn="1" w:lastColumn="0" w:noHBand="0" w:noVBand="1"/>
      </w:tblPr>
      <w:tblGrid>
        <w:gridCol w:w="4669"/>
        <w:gridCol w:w="4670"/>
      </w:tblGrid>
      <w:tr w:rsidR="0059775B" w:rsidRPr="0059775B" w:rsidTr="00E11D2C">
        <w:tc>
          <w:tcPr>
            <w:tcW w:w="4669" w:type="dxa"/>
          </w:tcPr>
          <w:p w:rsidR="0059775B" w:rsidRPr="0059775B" w:rsidRDefault="0059775B" w:rsidP="00E11D2C">
            <w:pPr>
              <w:spacing w:line="360" w:lineRule="auto"/>
              <w:jc w:val="center"/>
              <w:rPr>
                <w:rFonts w:ascii="Times New Roman" w:hAnsi="Times New Roman" w:cs="Times New Roman"/>
                <w:b/>
                <w:sz w:val="24"/>
                <w:szCs w:val="24"/>
              </w:rPr>
            </w:pPr>
            <w:r w:rsidRPr="0059775B">
              <w:rPr>
                <w:rFonts w:ascii="Times New Roman" w:hAnsi="Times New Roman" w:cs="Times New Roman"/>
                <w:b/>
                <w:sz w:val="24"/>
                <w:szCs w:val="24"/>
              </w:rPr>
              <w:t>Достоинства</w:t>
            </w:r>
          </w:p>
        </w:tc>
        <w:tc>
          <w:tcPr>
            <w:tcW w:w="4670" w:type="dxa"/>
          </w:tcPr>
          <w:p w:rsidR="0059775B" w:rsidRPr="0059775B" w:rsidRDefault="0059775B" w:rsidP="00E11D2C">
            <w:pPr>
              <w:spacing w:line="360" w:lineRule="auto"/>
              <w:jc w:val="center"/>
              <w:rPr>
                <w:rFonts w:ascii="Times New Roman" w:hAnsi="Times New Roman" w:cs="Times New Roman"/>
                <w:b/>
                <w:sz w:val="24"/>
                <w:szCs w:val="24"/>
              </w:rPr>
            </w:pPr>
            <w:r w:rsidRPr="0059775B">
              <w:rPr>
                <w:rFonts w:ascii="Times New Roman" w:hAnsi="Times New Roman" w:cs="Times New Roman"/>
                <w:b/>
                <w:sz w:val="24"/>
                <w:szCs w:val="24"/>
              </w:rPr>
              <w:t>Недостатки</w:t>
            </w:r>
          </w:p>
        </w:tc>
      </w:tr>
      <w:tr w:rsidR="0059775B" w:rsidRPr="0059775B" w:rsidTr="00E11D2C">
        <w:tc>
          <w:tcPr>
            <w:tcW w:w="4669"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Учет различий в величине и сроках поступления денежных средств</w:t>
            </w:r>
          </w:p>
        </w:tc>
        <w:tc>
          <w:tcPr>
            <w:tcW w:w="4670"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 xml:space="preserve">Необходимость определения </w:t>
            </w:r>
            <w:proofErr w:type="gramStart"/>
            <w:r w:rsidRPr="0059775B">
              <w:rPr>
                <w:rFonts w:ascii="Times New Roman" w:hAnsi="Times New Roman" w:cs="Times New Roman"/>
                <w:sz w:val="24"/>
                <w:szCs w:val="24"/>
              </w:rPr>
              <w:t>четких</w:t>
            </w:r>
            <w:proofErr w:type="gramEnd"/>
            <w:r w:rsidRPr="0059775B">
              <w:rPr>
                <w:rFonts w:ascii="Times New Roman" w:hAnsi="Times New Roman" w:cs="Times New Roman"/>
                <w:sz w:val="24"/>
                <w:szCs w:val="24"/>
              </w:rPr>
              <w:t xml:space="preserve"> базовых допущение модели</w:t>
            </w:r>
          </w:p>
        </w:tc>
      </w:tr>
      <w:tr w:rsidR="0059775B" w:rsidRPr="0059775B" w:rsidTr="00E11D2C">
        <w:tc>
          <w:tcPr>
            <w:tcW w:w="4669"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Учет рисков</w:t>
            </w:r>
          </w:p>
        </w:tc>
        <w:tc>
          <w:tcPr>
            <w:tcW w:w="4670"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Необходимость прогнозирования денежных потоков для каждого периода и ставки дисконтирования на основе ограниченной информации</w:t>
            </w:r>
          </w:p>
        </w:tc>
      </w:tr>
      <w:tr w:rsidR="0059775B" w:rsidRPr="0059775B" w:rsidTr="00E11D2C">
        <w:tc>
          <w:tcPr>
            <w:tcW w:w="4669"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Подход с использованием фундаментальных данных о компании</w:t>
            </w:r>
          </w:p>
        </w:tc>
        <w:tc>
          <w:tcPr>
            <w:tcW w:w="4670"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Высокая чувствительность к точности прогнозирования денежных потоков и выбору окончательной ставки дисконтирования</w:t>
            </w:r>
          </w:p>
        </w:tc>
      </w:tr>
      <w:tr w:rsidR="0059775B" w:rsidRPr="0059775B" w:rsidTr="00E11D2C">
        <w:trPr>
          <w:trHeight w:val="379"/>
        </w:trPr>
        <w:tc>
          <w:tcPr>
            <w:tcW w:w="4669"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Наиболее точные финансовые результаты</w:t>
            </w:r>
          </w:p>
        </w:tc>
        <w:tc>
          <w:tcPr>
            <w:tcW w:w="4670" w:type="dxa"/>
          </w:tcPr>
          <w:p w:rsidR="0059775B" w:rsidRPr="0059775B" w:rsidRDefault="0059775B" w:rsidP="00E11D2C">
            <w:pPr>
              <w:spacing w:line="360" w:lineRule="auto"/>
              <w:jc w:val="both"/>
              <w:rPr>
                <w:rFonts w:ascii="Times New Roman" w:hAnsi="Times New Roman" w:cs="Times New Roman"/>
                <w:sz w:val="24"/>
                <w:szCs w:val="24"/>
              </w:rPr>
            </w:pPr>
          </w:p>
        </w:tc>
      </w:tr>
    </w:tbl>
    <w:p w:rsidR="0059775B" w:rsidRPr="003E25D5" w:rsidRDefault="0059775B" w:rsidP="0059775B">
      <w:pPr>
        <w:tabs>
          <w:tab w:val="left" w:pos="3390"/>
        </w:tabs>
        <w:spacing w:line="360" w:lineRule="auto"/>
        <w:jc w:val="both"/>
        <w:rPr>
          <w:rFonts w:ascii="Times New Roman" w:hAnsi="Times New Roman" w:cs="Times New Roman"/>
        </w:rPr>
      </w:pPr>
    </w:p>
    <w:p w:rsidR="0059775B" w:rsidRPr="0059775B" w:rsidRDefault="0059775B" w:rsidP="0059775B">
      <w:pPr>
        <w:pStyle w:val="2"/>
        <w:spacing w:after="240"/>
        <w:jc w:val="center"/>
        <w:rPr>
          <w:rFonts w:ascii="Times New Roman" w:hAnsi="Times New Roman" w:cs="Times New Roman"/>
          <w:color w:val="auto"/>
          <w:sz w:val="24"/>
        </w:rPr>
      </w:pPr>
      <w:bookmarkStart w:id="10" w:name="_Toc482547517"/>
      <w:r w:rsidRPr="0059775B">
        <w:rPr>
          <w:rFonts w:ascii="Times New Roman" w:hAnsi="Times New Roman" w:cs="Times New Roman"/>
          <w:color w:val="auto"/>
          <w:sz w:val="24"/>
        </w:rPr>
        <w:t xml:space="preserve">2.3 </w:t>
      </w:r>
      <w:r w:rsidRPr="0059775B">
        <w:rPr>
          <w:rFonts w:ascii="Times New Roman" w:hAnsi="Times New Roman" w:cs="Times New Roman"/>
          <w:color w:val="auto"/>
          <w:sz w:val="24"/>
          <w:lang w:val="en-US"/>
        </w:rPr>
        <w:t>EPS</w:t>
      </w:r>
      <w:r w:rsidRPr="0059775B">
        <w:rPr>
          <w:rFonts w:ascii="Times New Roman" w:hAnsi="Times New Roman" w:cs="Times New Roman"/>
          <w:color w:val="auto"/>
          <w:sz w:val="24"/>
        </w:rPr>
        <w:t xml:space="preserve"> </w:t>
      </w:r>
      <w:r w:rsidRPr="0059775B">
        <w:rPr>
          <w:rFonts w:ascii="Times New Roman" w:hAnsi="Times New Roman" w:cs="Times New Roman"/>
          <w:color w:val="auto"/>
          <w:sz w:val="24"/>
          <w:lang w:val="en-US"/>
        </w:rPr>
        <w:t>accretion</w:t>
      </w:r>
      <w:r w:rsidRPr="0059775B">
        <w:rPr>
          <w:rFonts w:ascii="Times New Roman" w:hAnsi="Times New Roman" w:cs="Times New Roman"/>
          <w:color w:val="auto"/>
          <w:sz w:val="24"/>
        </w:rPr>
        <w:t>/</w:t>
      </w:r>
      <w:r w:rsidRPr="0059775B">
        <w:rPr>
          <w:rFonts w:ascii="Times New Roman" w:hAnsi="Times New Roman" w:cs="Times New Roman"/>
          <w:color w:val="auto"/>
          <w:sz w:val="24"/>
          <w:lang w:val="en-US"/>
        </w:rPr>
        <w:t>dilution</w:t>
      </w:r>
      <w:bookmarkEnd w:id="10"/>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 xml:space="preserve">Целью </w:t>
      </w:r>
      <w:r w:rsidRPr="0059775B">
        <w:rPr>
          <w:rFonts w:ascii="Times New Roman" w:hAnsi="Times New Roman" w:cs="Times New Roman"/>
          <w:sz w:val="24"/>
          <w:szCs w:val="24"/>
          <w:lang w:val="en-US"/>
        </w:rPr>
        <w:t>EPS</w:t>
      </w:r>
      <w:r w:rsidRPr="0059775B">
        <w:rPr>
          <w:rFonts w:ascii="Times New Roman" w:hAnsi="Times New Roman" w:cs="Times New Roman"/>
          <w:sz w:val="24"/>
          <w:szCs w:val="24"/>
        </w:rPr>
        <w:t xml:space="preserve"> </w:t>
      </w:r>
      <w:r w:rsidRPr="0059775B">
        <w:rPr>
          <w:rFonts w:ascii="Times New Roman" w:hAnsi="Times New Roman" w:cs="Times New Roman"/>
          <w:sz w:val="24"/>
          <w:szCs w:val="24"/>
          <w:lang w:val="en-US"/>
        </w:rPr>
        <w:t>accretion</w:t>
      </w:r>
      <w:r w:rsidRPr="0059775B">
        <w:rPr>
          <w:rFonts w:ascii="Times New Roman" w:hAnsi="Times New Roman" w:cs="Times New Roman"/>
          <w:sz w:val="24"/>
          <w:szCs w:val="24"/>
        </w:rPr>
        <w:t>/</w:t>
      </w:r>
      <w:r w:rsidRPr="0059775B">
        <w:rPr>
          <w:rFonts w:ascii="Times New Roman" w:hAnsi="Times New Roman" w:cs="Times New Roman"/>
          <w:sz w:val="24"/>
          <w:szCs w:val="24"/>
          <w:lang w:val="en-US"/>
        </w:rPr>
        <w:t>dilution</w:t>
      </w:r>
      <w:r w:rsidRPr="0059775B">
        <w:rPr>
          <w:rFonts w:ascii="Times New Roman" w:hAnsi="Times New Roman" w:cs="Times New Roman"/>
          <w:sz w:val="24"/>
          <w:szCs w:val="24"/>
        </w:rPr>
        <w:t xml:space="preserve"> анализа является оценка влияния сделки на </w:t>
      </w:r>
      <w:r w:rsidRPr="0059775B">
        <w:rPr>
          <w:rFonts w:ascii="Times New Roman" w:hAnsi="Times New Roman" w:cs="Times New Roman"/>
          <w:sz w:val="24"/>
          <w:szCs w:val="24"/>
          <w:lang w:val="en-US"/>
        </w:rPr>
        <w:t>EPS</w:t>
      </w:r>
      <w:r w:rsidRPr="0059775B">
        <w:rPr>
          <w:rFonts w:ascii="Times New Roman" w:hAnsi="Times New Roman" w:cs="Times New Roman"/>
          <w:sz w:val="24"/>
          <w:szCs w:val="24"/>
        </w:rPr>
        <w:t xml:space="preserve"> (прибыли на акцию) компании-поглотителя и затем сравнение </w:t>
      </w:r>
      <w:r w:rsidRPr="0059775B">
        <w:rPr>
          <w:rFonts w:ascii="Times New Roman" w:hAnsi="Times New Roman" w:cs="Times New Roman"/>
          <w:sz w:val="24"/>
          <w:szCs w:val="24"/>
          <w:lang w:val="en-US"/>
        </w:rPr>
        <w:t>EPS</w:t>
      </w:r>
      <w:r w:rsidRPr="0059775B">
        <w:rPr>
          <w:rFonts w:ascii="Times New Roman" w:hAnsi="Times New Roman" w:cs="Times New Roman"/>
          <w:sz w:val="24"/>
          <w:szCs w:val="24"/>
        </w:rPr>
        <w:t xml:space="preserve"> консолидированной компании с </w:t>
      </w:r>
      <w:r w:rsidRPr="0059775B">
        <w:rPr>
          <w:rFonts w:ascii="Times New Roman" w:hAnsi="Times New Roman" w:cs="Times New Roman"/>
          <w:sz w:val="24"/>
          <w:szCs w:val="24"/>
          <w:lang w:val="en-US"/>
        </w:rPr>
        <w:t>EPS</w:t>
      </w:r>
      <w:r w:rsidRPr="0059775B">
        <w:rPr>
          <w:rFonts w:ascii="Times New Roman" w:hAnsi="Times New Roman" w:cs="Times New Roman"/>
          <w:sz w:val="24"/>
          <w:szCs w:val="24"/>
        </w:rPr>
        <w:t xml:space="preserve"> поглощающей компании, как если бы транзакция не произошла</w:t>
      </w:r>
      <w:r w:rsidRPr="0059775B">
        <w:rPr>
          <w:rStyle w:val="a7"/>
          <w:rFonts w:ascii="Times New Roman" w:hAnsi="Times New Roman" w:cs="Times New Roman"/>
          <w:sz w:val="24"/>
          <w:szCs w:val="24"/>
        </w:rPr>
        <w:footnoteReference w:id="29"/>
      </w:r>
      <w:r w:rsidRPr="0059775B">
        <w:rPr>
          <w:rFonts w:ascii="Times New Roman" w:hAnsi="Times New Roman" w:cs="Times New Roman"/>
          <w:sz w:val="24"/>
          <w:szCs w:val="24"/>
        </w:rPr>
        <w:t>.</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 xml:space="preserve">Чтобы произвести </w:t>
      </w:r>
      <w:r w:rsidRPr="0059775B">
        <w:rPr>
          <w:rFonts w:ascii="Times New Roman" w:hAnsi="Times New Roman" w:cs="Times New Roman"/>
          <w:sz w:val="24"/>
          <w:szCs w:val="24"/>
          <w:lang w:val="en-US"/>
        </w:rPr>
        <w:t>EPS</w:t>
      </w:r>
      <w:r w:rsidRPr="0059775B">
        <w:rPr>
          <w:rFonts w:ascii="Times New Roman" w:hAnsi="Times New Roman" w:cs="Times New Roman"/>
          <w:sz w:val="24"/>
          <w:szCs w:val="24"/>
        </w:rPr>
        <w:t xml:space="preserve"> </w:t>
      </w:r>
      <w:r w:rsidRPr="0059775B">
        <w:rPr>
          <w:rFonts w:ascii="Times New Roman" w:hAnsi="Times New Roman" w:cs="Times New Roman"/>
          <w:sz w:val="24"/>
          <w:szCs w:val="24"/>
          <w:lang w:val="en-US"/>
        </w:rPr>
        <w:t>accretion</w:t>
      </w:r>
      <w:r w:rsidRPr="0059775B">
        <w:rPr>
          <w:rFonts w:ascii="Times New Roman" w:hAnsi="Times New Roman" w:cs="Times New Roman"/>
          <w:sz w:val="24"/>
          <w:szCs w:val="24"/>
        </w:rPr>
        <w:t>/</w:t>
      </w:r>
      <w:r w:rsidRPr="0059775B">
        <w:rPr>
          <w:rFonts w:ascii="Times New Roman" w:hAnsi="Times New Roman" w:cs="Times New Roman"/>
          <w:sz w:val="24"/>
          <w:szCs w:val="24"/>
          <w:lang w:val="en-US"/>
        </w:rPr>
        <w:t>dilution</w:t>
      </w:r>
      <w:r w:rsidRPr="0059775B">
        <w:rPr>
          <w:rFonts w:ascii="Times New Roman" w:hAnsi="Times New Roman" w:cs="Times New Roman"/>
          <w:sz w:val="24"/>
          <w:szCs w:val="24"/>
        </w:rPr>
        <w:t xml:space="preserve"> анализ необходимо рассчитать чистую прибыль консолидированной компании, а также будущее количество акций в обращении. Чистая прибыль консолидированной компании рассчитывается как сумма чистой прибыли поглощающей компании и компании-цели, а также корректируется на эффект от синергии (положительный или отрицательный), а также на процентные расходы (в случае, если часть или вся сделка финансировалась за счет обязательств). Количество акций в обращении в будущем рассчитывается как количество акций компании поглотителя плюс новые акции в обращении.</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Разделив чистую прибыль консолидированной компании на количество ее акций в обращении мы сможем найти E</w:t>
      </w:r>
      <w:r w:rsidRPr="0059775B">
        <w:rPr>
          <w:rFonts w:ascii="Times New Roman" w:hAnsi="Times New Roman" w:cs="Times New Roman"/>
          <w:sz w:val="24"/>
          <w:szCs w:val="24"/>
          <w:lang w:val="en-US"/>
        </w:rPr>
        <w:t>PS</w:t>
      </w:r>
      <w:r w:rsidRPr="0059775B">
        <w:rPr>
          <w:rFonts w:ascii="Times New Roman" w:hAnsi="Times New Roman" w:cs="Times New Roman"/>
          <w:sz w:val="24"/>
          <w:szCs w:val="24"/>
        </w:rPr>
        <w:t xml:space="preserve">, </w:t>
      </w:r>
      <w:proofErr w:type="gramStart"/>
      <w:r w:rsidRPr="0059775B">
        <w:rPr>
          <w:rFonts w:ascii="Times New Roman" w:hAnsi="Times New Roman" w:cs="Times New Roman"/>
          <w:sz w:val="24"/>
          <w:szCs w:val="24"/>
        </w:rPr>
        <w:t>который</w:t>
      </w:r>
      <w:proofErr w:type="gramEnd"/>
      <w:r w:rsidRPr="0059775B">
        <w:rPr>
          <w:rFonts w:ascii="Times New Roman" w:hAnsi="Times New Roman" w:cs="Times New Roman"/>
          <w:sz w:val="24"/>
          <w:szCs w:val="24"/>
        </w:rPr>
        <w:t xml:space="preserve"> затем необходимо сравнить с </w:t>
      </w:r>
      <w:r w:rsidRPr="0059775B">
        <w:rPr>
          <w:rFonts w:ascii="Times New Roman" w:hAnsi="Times New Roman" w:cs="Times New Roman"/>
          <w:sz w:val="24"/>
          <w:szCs w:val="24"/>
          <w:lang w:val="en-US"/>
        </w:rPr>
        <w:t>EPS</w:t>
      </w:r>
      <w:r w:rsidRPr="0059775B">
        <w:rPr>
          <w:rFonts w:ascii="Times New Roman" w:hAnsi="Times New Roman" w:cs="Times New Roman"/>
          <w:sz w:val="24"/>
          <w:szCs w:val="24"/>
        </w:rPr>
        <w:t xml:space="preserve"> компании-поглотителя. В случае</w:t>
      </w:r>
      <w:proofErr w:type="gramStart"/>
      <w:r w:rsidRPr="0059775B">
        <w:rPr>
          <w:rFonts w:ascii="Times New Roman" w:hAnsi="Times New Roman" w:cs="Times New Roman"/>
          <w:sz w:val="24"/>
          <w:szCs w:val="24"/>
        </w:rPr>
        <w:t>,</w:t>
      </w:r>
      <w:proofErr w:type="gramEnd"/>
      <w:r w:rsidRPr="0059775B">
        <w:rPr>
          <w:rFonts w:ascii="Times New Roman" w:hAnsi="Times New Roman" w:cs="Times New Roman"/>
          <w:sz w:val="24"/>
          <w:szCs w:val="24"/>
        </w:rPr>
        <w:t xml:space="preserve"> если консолидированный </w:t>
      </w:r>
      <w:r w:rsidRPr="0059775B">
        <w:rPr>
          <w:rFonts w:ascii="Times New Roman" w:hAnsi="Times New Roman" w:cs="Times New Roman"/>
          <w:sz w:val="24"/>
          <w:szCs w:val="24"/>
          <w:lang w:val="en-US"/>
        </w:rPr>
        <w:t>EPS</w:t>
      </w:r>
      <w:r w:rsidRPr="0059775B">
        <w:rPr>
          <w:rFonts w:ascii="Times New Roman" w:hAnsi="Times New Roman" w:cs="Times New Roman"/>
          <w:sz w:val="24"/>
          <w:szCs w:val="24"/>
        </w:rPr>
        <w:t xml:space="preserve"> выше мы имеем дело с приростом, если ниже с размытием. Прирост </w:t>
      </w:r>
      <w:r w:rsidRPr="0059775B">
        <w:rPr>
          <w:rFonts w:ascii="Times New Roman" w:hAnsi="Times New Roman" w:cs="Times New Roman"/>
          <w:sz w:val="24"/>
          <w:szCs w:val="24"/>
          <w:lang w:val="en-US"/>
        </w:rPr>
        <w:t>EPS</w:t>
      </w:r>
      <w:r w:rsidRPr="0059775B">
        <w:rPr>
          <w:rFonts w:ascii="Times New Roman" w:hAnsi="Times New Roman" w:cs="Times New Roman"/>
          <w:sz w:val="24"/>
          <w:szCs w:val="24"/>
        </w:rPr>
        <w:t xml:space="preserve"> свидетельствует о том, что сделка увеличит благосостояние акционеров поглощающей компании и ведет к оценке сделки как «эффективной», в случае </w:t>
      </w:r>
      <w:r w:rsidRPr="0059775B">
        <w:rPr>
          <w:rFonts w:ascii="Times New Roman" w:hAnsi="Times New Roman" w:cs="Times New Roman"/>
          <w:sz w:val="24"/>
          <w:szCs w:val="24"/>
        </w:rPr>
        <w:lastRenderedPageBreak/>
        <w:t>размытия можно судить о том, что сделка не принесет увеличения ценности акциям компании-поглотителя и является разрушительной для бизнеса.</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 xml:space="preserve">Данный метод широко используется как представителями компаний, так и аналитиками инвестиционных банков и консалтинговых компаний и является самым распространенным среди генеральных директоров компаний, профессионалов инвестиционного банкинга и инвесторов по данным опроса, проведенного </w:t>
      </w:r>
      <w:r w:rsidRPr="0059775B">
        <w:rPr>
          <w:rFonts w:ascii="Times New Roman" w:hAnsi="Times New Roman" w:cs="Times New Roman"/>
          <w:sz w:val="24"/>
          <w:szCs w:val="24"/>
          <w:lang w:val="en-US"/>
        </w:rPr>
        <w:t>A</w:t>
      </w:r>
      <w:r w:rsidRPr="0059775B">
        <w:rPr>
          <w:rFonts w:ascii="Times New Roman" w:hAnsi="Times New Roman" w:cs="Times New Roman"/>
          <w:sz w:val="24"/>
          <w:szCs w:val="24"/>
        </w:rPr>
        <w:t>.</w:t>
      </w:r>
      <w:r w:rsidRPr="0059775B">
        <w:rPr>
          <w:rFonts w:ascii="Times New Roman" w:hAnsi="Times New Roman" w:cs="Times New Roman"/>
          <w:sz w:val="24"/>
          <w:szCs w:val="24"/>
          <w:lang w:val="en-US"/>
        </w:rPr>
        <w:t>T</w:t>
      </w:r>
      <w:r w:rsidRPr="0059775B">
        <w:rPr>
          <w:rFonts w:ascii="Times New Roman" w:hAnsi="Times New Roman" w:cs="Times New Roman"/>
          <w:sz w:val="24"/>
          <w:szCs w:val="24"/>
        </w:rPr>
        <w:t xml:space="preserve">. </w:t>
      </w:r>
      <w:proofErr w:type="gramStart"/>
      <w:r w:rsidRPr="0059775B">
        <w:rPr>
          <w:rFonts w:ascii="Times New Roman" w:hAnsi="Times New Roman" w:cs="Times New Roman"/>
          <w:sz w:val="24"/>
          <w:szCs w:val="24"/>
          <w:lang w:val="en-US"/>
        </w:rPr>
        <w:t>Kearney</w:t>
      </w:r>
      <w:r w:rsidRPr="0059775B">
        <w:rPr>
          <w:rStyle w:val="a7"/>
          <w:rFonts w:ascii="Times New Roman" w:hAnsi="Times New Roman" w:cs="Times New Roman"/>
          <w:sz w:val="24"/>
          <w:szCs w:val="24"/>
          <w:lang w:val="en-US"/>
        </w:rPr>
        <w:footnoteReference w:id="30"/>
      </w:r>
      <w:r w:rsidRPr="0059775B">
        <w:rPr>
          <w:rFonts w:ascii="Times New Roman" w:hAnsi="Times New Roman" w:cs="Times New Roman"/>
          <w:sz w:val="24"/>
          <w:szCs w:val="24"/>
        </w:rPr>
        <w:t xml:space="preserve"> и представленного на рисунке</w:t>
      </w:r>
      <w:r w:rsidR="004D6A9F">
        <w:rPr>
          <w:rFonts w:ascii="Times New Roman" w:hAnsi="Times New Roman" w:cs="Times New Roman"/>
          <w:sz w:val="24"/>
          <w:szCs w:val="24"/>
        </w:rPr>
        <w:t xml:space="preserve"> 7</w:t>
      </w:r>
      <w:r w:rsidRPr="0059775B">
        <w:rPr>
          <w:rFonts w:ascii="Times New Roman" w:hAnsi="Times New Roman" w:cs="Times New Roman"/>
          <w:sz w:val="24"/>
          <w:szCs w:val="24"/>
        </w:rPr>
        <w:t>.</w:t>
      </w:r>
      <w:proofErr w:type="gramEnd"/>
      <w:r w:rsidRPr="0059775B">
        <w:rPr>
          <w:rFonts w:ascii="Times New Roman" w:hAnsi="Times New Roman" w:cs="Times New Roman"/>
          <w:sz w:val="24"/>
          <w:szCs w:val="24"/>
        </w:rPr>
        <w:t xml:space="preserve"> </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 xml:space="preserve">  </w:t>
      </w:r>
      <w:r w:rsidR="00E11D2C">
        <w:rPr>
          <w:rFonts w:ascii="Times New Roman" w:hAnsi="Times New Roman" w:cs="Times New Roman"/>
          <w:noProof/>
          <w:sz w:val="24"/>
          <w:szCs w:val="24"/>
          <w:lang w:eastAsia="ru-RU"/>
        </w:rPr>
        <w:drawing>
          <wp:inline distT="0" distB="0" distL="0" distR="0" wp14:anchorId="12DC4904" wp14:editId="27E9DAD9">
            <wp:extent cx="5940425" cy="5308600"/>
            <wp:effectExtent l="0" t="0" r="317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M&amp;A-Deal-Evaluation-1.png"/>
                    <pic:cNvPicPr/>
                  </pic:nvPicPr>
                  <pic:blipFill>
                    <a:blip r:embed="rId15">
                      <a:extLst>
                        <a:ext uri="{28A0092B-C50C-407E-A947-70E740481C1C}">
                          <a14:useLocalDpi xmlns:a14="http://schemas.microsoft.com/office/drawing/2010/main" val="0"/>
                        </a:ext>
                      </a:extLst>
                    </a:blip>
                    <a:stretch>
                      <a:fillRect/>
                    </a:stretch>
                  </pic:blipFill>
                  <pic:spPr>
                    <a:xfrm>
                      <a:off x="0" y="0"/>
                      <a:ext cx="5940425" cy="5308600"/>
                    </a:xfrm>
                    <a:prstGeom prst="rect">
                      <a:avLst/>
                    </a:prstGeom>
                  </pic:spPr>
                </pic:pic>
              </a:graphicData>
            </a:graphic>
          </wp:inline>
        </w:drawing>
      </w:r>
    </w:p>
    <w:p w:rsidR="0059775B" w:rsidRPr="0059775B" w:rsidRDefault="007C1744" w:rsidP="005977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Рисунок </w:t>
      </w:r>
      <w:r w:rsidRPr="007C1744">
        <w:rPr>
          <w:rFonts w:ascii="Times New Roman" w:hAnsi="Times New Roman" w:cs="Times New Roman"/>
          <w:sz w:val="24"/>
          <w:szCs w:val="24"/>
        </w:rPr>
        <w:t>7</w:t>
      </w:r>
      <w:r w:rsidR="0059775B" w:rsidRPr="0059775B">
        <w:rPr>
          <w:rFonts w:ascii="Times New Roman" w:hAnsi="Times New Roman" w:cs="Times New Roman"/>
          <w:sz w:val="24"/>
          <w:szCs w:val="24"/>
        </w:rPr>
        <w:t xml:space="preserve"> Топ-10 самых используемых методов оценки эффективности сделки профессионалами </w:t>
      </w:r>
      <w:r w:rsidR="0059775B" w:rsidRPr="0059775B">
        <w:rPr>
          <w:rFonts w:ascii="Times New Roman" w:hAnsi="Times New Roman" w:cs="Times New Roman"/>
          <w:sz w:val="24"/>
          <w:szCs w:val="24"/>
          <w:lang w:val="en-US"/>
        </w:rPr>
        <w:t>M</w:t>
      </w:r>
      <w:r w:rsidR="0059775B" w:rsidRPr="0059775B">
        <w:rPr>
          <w:rFonts w:ascii="Times New Roman" w:hAnsi="Times New Roman" w:cs="Times New Roman"/>
          <w:sz w:val="24"/>
          <w:szCs w:val="24"/>
        </w:rPr>
        <w:t>&amp;</w:t>
      </w:r>
      <w:r w:rsidR="0059775B" w:rsidRPr="0059775B">
        <w:rPr>
          <w:rFonts w:ascii="Times New Roman" w:hAnsi="Times New Roman" w:cs="Times New Roman"/>
          <w:sz w:val="24"/>
          <w:szCs w:val="24"/>
          <w:lang w:val="en-US"/>
        </w:rPr>
        <w:t>A</w:t>
      </w:r>
    </w:p>
    <w:p w:rsidR="0059775B" w:rsidRPr="0059775B" w:rsidRDefault="0059775B" w:rsidP="0059775B">
      <w:pPr>
        <w:spacing w:line="360" w:lineRule="auto"/>
        <w:jc w:val="both"/>
        <w:rPr>
          <w:rFonts w:ascii="Times New Roman" w:hAnsi="Times New Roman" w:cs="Times New Roman"/>
          <w:sz w:val="24"/>
          <w:szCs w:val="24"/>
          <w:lang w:val="en-US"/>
        </w:rPr>
      </w:pPr>
      <w:r w:rsidRPr="0059775B">
        <w:rPr>
          <w:rFonts w:ascii="Times New Roman" w:hAnsi="Times New Roman" w:cs="Times New Roman"/>
          <w:sz w:val="24"/>
          <w:szCs w:val="24"/>
        </w:rPr>
        <w:t>Источник</w:t>
      </w:r>
      <w:r w:rsidRPr="0059775B">
        <w:rPr>
          <w:rFonts w:ascii="Times New Roman" w:hAnsi="Times New Roman" w:cs="Times New Roman"/>
          <w:sz w:val="24"/>
          <w:szCs w:val="24"/>
          <w:lang w:val="en-US"/>
        </w:rPr>
        <w:t>: A.T. Kearney and Investor Relation society survey, 2013</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lang w:val="en-US"/>
        </w:rPr>
        <w:lastRenderedPageBreak/>
        <w:tab/>
      </w:r>
      <w:r w:rsidRPr="0059775B">
        <w:rPr>
          <w:rFonts w:ascii="Times New Roman" w:hAnsi="Times New Roman" w:cs="Times New Roman"/>
          <w:sz w:val="24"/>
          <w:szCs w:val="24"/>
        </w:rPr>
        <w:t xml:space="preserve">Привлекательность </w:t>
      </w:r>
      <w:r w:rsidRPr="0059775B">
        <w:rPr>
          <w:rFonts w:ascii="Times New Roman" w:hAnsi="Times New Roman" w:cs="Times New Roman"/>
          <w:sz w:val="24"/>
          <w:szCs w:val="24"/>
          <w:lang w:val="en-US"/>
        </w:rPr>
        <w:t>EPS</w:t>
      </w:r>
      <w:r w:rsidRPr="0059775B">
        <w:rPr>
          <w:rFonts w:ascii="Times New Roman" w:hAnsi="Times New Roman" w:cs="Times New Roman"/>
          <w:sz w:val="24"/>
          <w:szCs w:val="24"/>
        </w:rPr>
        <w:t xml:space="preserve"> </w:t>
      </w:r>
      <w:r w:rsidRPr="0059775B">
        <w:rPr>
          <w:rFonts w:ascii="Times New Roman" w:hAnsi="Times New Roman" w:cs="Times New Roman"/>
          <w:sz w:val="24"/>
          <w:szCs w:val="24"/>
          <w:lang w:val="en-US"/>
        </w:rPr>
        <w:t>accretion</w:t>
      </w:r>
      <w:r w:rsidRPr="0059775B">
        <w:rPr>
          <w:rFonts w:ascii="Times New Roman" w:hAnsi="Times New Roman" w:cs="Times New Roman"/>
          <w:sz w:val="24"/>
          <w:szCs w:val="24"/>
        </w:rPr>
        <w:t>/</w:t>
      </w:r>
      <w:r w:rsidRPr="0059775B">
        <w:rPr>
          <w:rFonts w:ascii="Times New Roman" w:hAnsi="Times New Roman" w:cs="Times New Roman"/>
          <w:sz w:val="24"/>
          <w:szCs w:val="24"/>
          <w:lang w:val="en-US"/>
        </w:rPr>
        <w:t>dilution</w:t>
      </w:r>
      <w:r w:rsidRPr="0059775B">
        <w:rPr>
          <w:rFonts w:ascii="Times New Roman" w:hAnsi="Times New Roman" w:cs="Times New Roman"/>
          <w:sz w:val="24"/>
          <w:szCs w:val="24"/>
        </w:rPr>
        <w:t xml:space="preserve"> заключается в том, что это весьма простой в применении, но при этом действенный индикатор эффективности сделки. Во многом это обусловлено особенностями оценки компаний. Часто, акции компании оцениваются на основе </w:t>
      </w:r>
      <w:r w:rsidRPr="0059775B">
        <w:rPr>
          <w:rFonts w:ascii="Times New Roman" w:hAnsi="Times New Roman" w:cs="Times New Roman"/>
          <w:sz w:val="24"/>
          <w:szCs w:val="24"/>
          <w:lang w:val="en-US"/>
        </w:rPr>
        <w:t>EPS</w:t>
      </w:r>
      <w:r w:rsidRPr="0059775B">
        <w:rPr>
          <w:rFonts w:ascii="Times New Roman" w:hAnsi="Times New Roman" w:cs="Times New Roman"/>
          <w:sz w:val="24"/>
          <w:szCs w:val="24"/>
        </w:rPr>
        <w:t xml:space="preserve">, поэтому </w:t>
      </w:r>
      <w:proofErr w:type="gramStart"/>
      <w:r w:rsidRPr="0059775B">
        <w:rPr>
          <w:rFonts w:ascii="Times New Roman" w:hAnsi="Times New Roman" w:cs="Times New Roman"/>
          <w:sz w:val="24"/>
          <w:szCs w:val="24"/>
        </w:rPr>
        <w:t>исходя из этого можно сделать</w:t>
      </w:r>
      <w:proofErr w:type="gramEnd"/>
      <w:r w:rsidRPr="0059775B">
        <w:rPr>
          <w:rFonts w:ascii="Times New Roman" w:hAnsi="Times New Roman" w:cs="Times New Roman"/>
          <w:sz w:val="24"/>
          <w:szCs w:val="24"/>
        </w:rPr>
        <w:t xml:space="preserve"> вывод о том, что если </w:t>
      </w:r>
      <w:r w:rsidRPr="0059775B">
        <w:rPr>
          <w:rFonts w:ascii="Times New Roman" w:hAnsi="Times New Roman" w:cs="Times New Roman"/>
          <w:sz w:val="24"/>
          <w:szCs w:val="24"/>
          <w:lang w:val="en-US"/>
        </w:rPr>
        <w:t>EPS</w:t>
      </w:r>
      <w:r w:rsidRPr="0059775B">
        <w:rPr>
          <w:rFonts w:ascii="Times New Roman" w:hAnsi="Times New Roman" w:cs="Times New Roman"/>
          <w:sz w:val="24"/>
          <w:szCs w:val="24"/>
        </w:rPr>
        <w:t xml:space="preserve"> после сделки возрастает, то увеличивается и стоимость компании, что и вызывает повышенный спрос на акции такой компании среди инвесторов.</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Однако</w:t>
      </w:r>
      <w:proofErr w:type="gramStart"/>
      <w:r w:rsidRPr="0059775B">
        <w:rPr>
          <w:rFonts w:ascii="Times New Roman" w:hAnsi="Times New Roman" w:cs="Times New Roman"/>
          <w:sz w:val="24"/>
          <w:szCs w:val="24"/>
        </w:rPr>
        <w:t>,</w:t>
      </w:r>
      <w:proofErr w:type="gramEnd"/>
      <w:r w:rsidRPr="0059775B">
        <w:rPr>
          <w:rFonts w:ascii="Times New Roman" w:hAnsi="Times New Roman" w:cs="Times New Roman"/>
          <w:sz w:val="24"/>
          <w:szCs w:val="24"/>
        </w:rPr>
        <w:t xml:space="preserve"> следует сказать, что зачастую данный метод имеет свои недостатки. Например, когда компания-поглотитель с P/</w:t>
      </w:r>
      <w:r w:rsidRPr="0059775B">
        <w:rPr>
          <w:rFonts w:ascii="Times New Roman" w:hAnsi="Times New Roman" w:cs="Times New Roman"/>
          <w:sz w:val="24"/>
          <w:szCs w:val="24"/>
          <w:lang w:val="en-US"/>
        </w:rPr>
        <w:t>E</w:t>
      </w:r>
      <w:r w:rsidRPr="0059775B">
        <w:rPr>
          <w:rFonts w:ascii="Times New Roman" w:hAnsi="Times New Roman" w:cs="Times New Roman"/>
          <w:sz w:val="24"/>
          <w:szCs w:val="24"/>
        </w:rPr>
        <w:t xml:space="preserve"> </w:t>
      </w:r>
      <w:r w:rsidRPr="0059775B">
        <w:rPr>
          <w:rFonts w:ascii="Times New Roman" w:hAnsi="Times New Roman" w:cs="Times New Roman"/>
          <w:sz w:val="24"/>
          <w:szCs w:val="24"/>
          <w:lang w:val="en-US"/>
        </w:rPr>
        <w:t>ratio</w:t>
      </w:r>
      <w:r w:rsidRPr="0059775B">
        <w:rPr>
          <w:rFonts w:ascii="Times New Roman" w:hAnsi="Times New Roman" w:cs="Times New Roman"/>
          <w:sz w:val="24"/>
          <w:szCs w:val="24"/>
        </w:rPr>
        <w:t xml:space="preserve"> выше чем у компании-цели инициирует сделку, то неудивительно, что </w:t>
      </w:r>
      <w:r w:rsidRPr="0059775B">
        <w:rPr>
          <w:rFonts w:ascii="Times New Roman" w:hAnsi="Times New Roman" w:cs="Times New Roman"/>
          <w:sz w:val="24"/>
          <w:szCs w:val="24"/>
          <w:lang w:val="en-US"/>
        </w:rPr>
        <w:t>EPS</w:t>
      </w:r>
      <w:r w:rsidRPr="0059775B">
        <w:rPr>
          <w:rFonts w:ascii="Times New Roman" w:hAnsi="Times New Roman" w:cs="Times New Roman"/>
          <w:sz w:val="24"/>
          <w:szCs w:val="24"/>
        </w:rPr>
        <w:t xml:space="preserve"> консолидированной компании по результатам сделки окажется выше. Однако, что это актуально лишь в краткосрочном периоде, а затем т.к. компания-цель имела более низкие ожидания роста и как следствие более </w:t>
      </w:r>
      <w:proofErr w:type="gramStart"/>
      <w:r w:rsidRPr="0059775B">
        <w:rPr>
          <w:rFonts w:ascii="Times New Roman" w:hAnsi="Times New Roman" w:cs="Times New Roman"/>
          <w:sz w:val="24"/>
          <w:szCs w:val="24"/>
        </w:rPr>
        <w:t>низкий</w:t>
      </w:r>
      <w:proofErr w:type="gramEnd"/>
      <w:r w:rsidRPr="0059775B">
        <w:rPr>
          <w:rFonts w:ascii="Times New Roman" w:hAnsi="Times New Roman" w:cs="Times New Roman"/>
          <w:sz w:val="24"/>
          <w:szCs w:val="24"/>
        </w:rPr>
        <w:t xml:space="preserve"> P/E происходит размытие </w:t>
      </w:r>
      <w:r w:rsidRPr="0059775B">
        <w:rPr>
          <w:rFonts w:ascii="Times New Roman" w:hAnsi="Times New Roman" w:cs="Times New Roman"/>
          <w:sz w:val="24"/>
          <w:szCs w:val="24"/>
          <w:lang w:val="en-US"/>
        </w:rPr>
        <w:t>EPS</w:t>
      </w:r>
      <w:r w:rsidRPr="0059775B">
        <w:rPr>
          <w:rFonts w:ascii="Times New Roman" w:hAnsi="Times New Roman" w:cs="Times New Roman"/>
          <w:sz w:val="24"/>
          <w:szCs w:val="24"/>
        </w:rPr>
        <w:t xml:space="preserve"> консолидированной компании уже в долгосрочном. </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 xml:space="preserve">Исходя из этого, следует сказать, что данный метод сигнализирует об эффективности сделки в том случае, если синергия действительно </w:t>
      </w:r>
      <w:proofErr w:type="gramStart"/>
      <w:r w:rsidRPr="0059775B">
        <w:rPr>
          <w:rFonts w:ascii="Times New Roman" w:hAnsi="Times New Roman" w:cs="Times New Roman"/>
          <w:sz w:val="24"/>
          <w:szCs w:val="24"/>
        </w:rPr>
        <w:t>имеет место быть и ее влияние можно</w:t>
      </w:r>
      <w:proofErr w:type="gramEnd"/>
      <w:r w:rsidRPr="0059775B">
        <w:rPr>
          <w:rFonts w:ascii="Times New Roman" w:hAnsi="Times New Roman" w:cs="Times New Roman"/>
          <w:sz w:val="24"/>
          <w:szCs w:val="24"/>
        </w:rPr>
        <w:t xml:space="preserve"> будет увидеть в денежных потоках консолидированной компании.</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 xml:space="preserve">Таким образом, </w:t>
      </w:r>
      <w:r w:rsidRPr="0059775B">
        <w:rPr>
          <w:rFonts w:ascii="Times New Roman" w:hAnsi="Times New Roman" w:cs="Times New Roman"/>
          <w:sz w:val="24"/>
          <w:szCs w:val="24"/>
          <w:lang w:val="en-US"/>
        </w:rPr>
        <w:t>EPS</w:t>
      </w:r>
      <w:r w:rsidRPr="0059775B">
        <w:rPr>
          <w:rFonts w:ascii="Times New Roman" w:hAnsi="Times New Roman" w:cs="Times New Roman"/>
          <w:sz w:val="24"/>
          <w:szCs w:val="24"/>
        </w:rPr>
        <w:t xml:space="preserve"> анализ актуален для оценки факта эффективности сделки, но при этом далеко не всегда явно свидетельствует о наличии потенциала от сделки, поскольку синергетический эффект часто сказывается на денежных потоках консолидированной компании лишь в долгосрочном периоде</w:t>
      </w:r>
      <w:r w:rsidRPr="0059775B">
        <w:rPr>
          <w:rStyle w:val="a7"/>
          <w:rFonts w:ascii="Times New Roman" w:hAnsi="Times New Roman" w:cs="Times New Roman"/>
          <w:sz w:val="24"/>
          <w:szCs w:val="24"/>
        </w:rPr>
        <w:footnoteReference w:id="31"/>
      </w:r>
      <w:r w:rsidRPr="0059775B">
        <w:rPr>
          <w:rFonts w:ascii="Times New Roman" w:hAnsi="Times New Roman" w:cs="Times New Roman"/>
          <w:sz w:val="24"/>
          <w:szCs w:val="24"/>
        </w:rPr>
        <w:t>.</w:t>
      </w:r>
    </w:p>
    <w:p w:rsidR="0059775B" w:rsidRPr="0059775B" w:rsidRDefault="0059775B" w:rsidP="0059775B">
      <w:pPr>
        <w:spacing w:line="360" w:lineRule="auto"/>
        <w:ind w:firstLine="360"/>
        <w:jc w:val="both"/>
        <w:rPr>
          <w:rFonts w:ascii="Times New Roman" w:hAnsi="Times New Roman" w:cs="Times New Roman"/>
          <w:sz w:val="24"/>
          <w:szCs w:val="24"/>
        </w:rPr>
      </w:pPr>
      <w:r w:rsidRPr="0059775B">
        <w:rPr>
          <w:rFonts w:ascii="Times New Roman" w:hAnsi="Times New Roman" w:cs="Times New Roman"/>
          <w:sz w:val="24"/>
          <w:szCs w:val="24"/>
        </w:rPr>
        <w:t xml:space="preserve">Обобщенные достоинства и недостатки метода EPS </w:t>
      </w:r>
      <w:proofErr w:type="spellStart"/>
      <w:r w:rsidRPr="0059775B">
        <w:rPr>
          <w:rFonts w:ascii="Times New Roman" w:hAnsi="Times New Roman" w:cs="Times New Roman"/>
          <w:sz w:val="24"/>
          <w:szCs w:val="24"/>
        </w:rPr>
        <w:t>accretion</w:t>
      </w:r>
      <w:proofErr w:type="spellEnd"/>
      <w:r w:rsidRPr="0059775B">
        <w:rPr>
          <w:rFonts w:ascii="Times New Roman" w:hAnsi="Times New Roman" w:cs="Times New Roman"/>
          <w:sz w:val="24"/>
          <w:szCs w:val="24"/>
        </w:rPr>
        <w:t>/</w:t>
      </w:r>
      <w:proofErr w:type="spellStart"/>
      <w:r w:rsidR="00441CC0">
        <w:rPr>
          <w:rFonts w:ascii="Times New Roman" w:hAnsi="Times New Roman" w:cs="Times New Roman"/>
          <w:sz w:val="24"/>
          <w:szCs w:val="24"/>
        </w:rPr>
        <w:t>dilution</w:t>
      </w:r>
      <w:proofErr w:type="spellEnd"/>
      <w:r w:rsidR="007C1744">
        <w:rPr>
          <w:rFonts w:ascii="Times New Roman" w:hAnsi="Times New Roman" w:cs="Times New Roman"/>
          <w:sz w:val="24"/>
          <w:szCs w:val="24"/>
        </w:rPr>
        <w:t xml:space="preserve"> представлены в Таблице </w:t>
      </w:r>
      <w:r w:rsidR="007C1744" w:rsidRPr="007C1744">
        <w:rPr>
          <w:rFonts w:ascii="Times New Roman" w:hAnsi="Times New Roman" w:cs="Times New Roman"/>
          <w:sz w:val="24"/>
          <w:szCs w:val="24"/>
        </w:rPr>
        <w:t>4</w:t>
      </w:r>
      <w:r w:rsidRPr="0059775B">
        <w:rPr>
          <w:rFonts w:ascii="Times New Roman" w:hAnsi="Times New Roman" w:cs="Times New Roman"/>
          <w:sz w:val="24"/>
          <w:szCs w:val="24"/>
        </w:rPr>
        <w:t>.</w:t>
      </w:r>
    </w:p>
    <w:p w:rsidR="0059775B" w:rsidRPr="0059775B" w:rsidRDefault="007C1744" w:rsidP="0059775B">
      <w:pPr>
        <w:spacing w:line="360" w:lineRule="auto"/>
        <w:jc w:val="both"/>
        <w:rPr>
          <w:rFonts w:ascii="Times New Roman" w:hAnsi="Times New Roman" w:cs="Times New Roman"/>
          <w:sz w:val="24"/>
          <w:szCs w:val="24"/>
        </w:rPr>
      </w:pPr>
      <w:r>
        <w:rPr>
          <w:rFonts w:ascii="Times New Roman" w:hAnsi="Times New Roman" w:cs="Times New Roman"/>
          <w:sz w:val="24"/>
          <w:szCs w:val="24"/>
        </w:rPr>
        <w:t>Таблица</w:t>
      </w:r>
      <w:r w:rsidRPr="007C1744">
        <w:rPr>
          <w:rFonts w:ascii="Times New Roman" w:hAnsi="Times New Roman" w:cs="Times New Roman"/>
          <w:sz w:val="24"/>
          <w:szCs w:val="24"/>
        </w:rPr>
        <w:t xml:space="preserve"> 4</w:t>
      </w:r>
      <w:r w:rsidR="0059775B" w:rsidRPr="0059775B">
        <w:rPr>
          <w:rFonts w:ascii="Times New Roman" w:hAnsi="Times New Roman" w:cs="Times New Roman"/>
          <w:sz w:val="24"/>
          <w:szCs w:val="24"/>
        </w:rPr>
        <w:t xml:space="preserve"> Достоинства и недостатки метода EPS </w:t>
      </w:r>
      <w:proofErr w:type="spellStart"/>
      <w:r w:rsidR="0059775B" w:rsidRPr="0059775B">
        <w:rPr>
          <w:rFonts w:ascii="Times New Roman" w:hAnsi="Times New Roman" w:cs="Times New Roman"/>
          <w:sz w:val="24"/>
          <w:szCs w:val="24"/>
        </w:rPr>
        <w:t>accretion</w:t>
      </w:r>
      <w:proofErr w:type="spellEnd"/>
      <w:r w:rsidR="0059775B" w:rsidRPr="0059775B">
        <w:rPr>
          <w:rFonts w:ascii="Times New Roman" w:hAnsi="Times New Roman" w:cs="Times New Roman"/>
          <w:sz w:val="24"/>
          <w:szCs w:val="24"/>
        </w:rPr>
        <w:t>/</w:t>
      </w:r>
      <w:proofErr w:type="spellStart"/>
      <w:r w:rsidR="00441CC0">
        <w:rPr>
          <w:rFonts w:ascii="Times New Roman" w:hAnsi="Times New Roman" w:cs="Times New Roman"/>
          <w:sz w:val="24"/>
          <w:szCs w:val="24"/>
        </w:rPr>
        <w:t>dilution</w:t>
      </w:r>
      <w:proofErr w:type="spellEnd"/>
    </w:p>
    <w:tbl>
      <w:tblPr>
        <w:tblStyle w:val="a8"/>
        <w:tblW w:w="0" w:type="auto"/>
        <w:tblLook w:val="04A0" w:firstRow="1" w:lastRow="0" w:firstColumn="1" w:lastColumn="0" w:noHBand="0" w:noVBand="1"/>
      </w:tblPr>
      <w:tblGrid>
        <w:gridCol w:w="4669"/>
        <w:gridCol w:w="4670"/>
      </w:tblGrid>
      <w:tr w:rsidR="0059775B" w:rsidRPr="0059775B" w:rsidTr="00E11D2C">
        <w:tc>
          <w:tcPr>
            <w:tcW w:w="4669" w:type="dxa"/>
          </w:tcPr>
          <w:p w:rsidR="0059775B" w:rsidRPr="0059775B" w:rsidRDefault="0059775B" w:rsidP="00E11D2C">
            <w:pPr>
              <w:spacing w:line="360" w:lineRule="auto"/>
              <w:jc w:val="center"/>
              <w:rPr>
                <w:rFonts w:ascii="Times New Roman" w:hAnsi="Times New Roman" w:cs="Times New Roman"/>
                <w:b/>
                <w:sz w:val="24"/>
                <w:szCs w:val="24"/>
              </w:rPr>
            </w:pPr>
            <w:r w:rsidRPr="0059775B">
              <w:rPr>
                <w:rFonts w:ascii="Times New Roman" w:hAnsi="Times New Roman" w:cs="Times New Roman"/>
                <w:b/>
                <w:sz w:val="24"/>
                <w:szCs w:val="24"/>
              </w:rPr>
              <w:t>Достоинства</w:t>
            </w:r>
          </w:p>
        </w:tc>
        <w:tc>
          <w:tcPr>
            <w:tcW w:w="4670" w:type="dxa"/>
          </w:tcPr>
          <w:p w:rsidR="0059775B" w:rsidRPr="0059775B" w:rsidRDefault="0059775B" w:rsidP="00E11D2C">
            <w:pPr>
              <w:spacing w:line="360" w:lineRule="auto"/>
              <w:jc w:val="center"/>
              <w:rPr>
                <w:rFonts w:ascii="Times New Roman" w:hAnsi="Times New Roman" w:cs="Times New Roman"/>
                <w:b/>
                <w:sz w:val="24"/>
                <w:szCs w:val="24"/>
              </w:rPr>
            </w:pPr>
            <w:r w:rsidRPr="0059775B">
              <w:rPr>
                <w:rFonts w:ascii="Times New Roman" w:hAnsi="Times New Roman" w:cs="Times New Roman"/>
                <w:b/>
                <w:sz w:val="24"/>
                <w:szCs w:val="24"/>
              </w:rPr>
              <w:t>Недостатки</w:t>
            </w:r>
          </w:p>
        </w:tc>
      </w:tr>
      <w:tr w:rsidR="0059775B" w:rsidRPr="0059775B" w:rsidTr="00E11D2C">
        <w:tc>
          <w:tcPr>
            <w:tcW w:w="4669"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Простой и понятный в использовании метод</w:t>
            </w:r>
          </w:p>
        </w:tc>
        <w:tc>
          <w:tcPr>
            <w:tcW w:w="4670"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 xml:space="preserve">Необходимость прогнозирования эффекта синергии, </w:t>
            </w:r>
            <w:proofErr w:type="gramStart"/>
            <w:r w:rsidRPr="0059775B">
              <w:rPr>
                <w:rFonts w:ascii="Times New Roman" w:hAnsi="Times New Roman" w:cs="Times New Roman"/>
                <w:sz w:val="24"/>
                <w:szCs w:val="24"/>
              </w:rPr>
              <w:t>выраженном</w:t>
            </w:r>
            <w:proofErr w:type="gramEnd"/>
            <w:r w:rsidRPr="0059775B">
              <w:rPr>
                <w:rFonts w:ascii="Times New Roman" w:hAnsi="Times New Roman" w:cs="Times New Roman"/>
                <w:sz w:val="24"/>
                <w:szCs w:val="24"/>
              </w:rPr>
              <w:t xml:space="preserve"> в чистой прибыли консолидированной компании</w:t>
            </w:r>
          </w:p>
        </w:tc>
      </w:tr>
      <w:tr w:rsidR="0059775B" w:rsidRPr="0059775B" w:rsidTr="00E11D2C">
        <w:tc>
          <w:tcPr>
            <w:tcW w:w="4669"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Широкое применение среди инвесторов, профессионалов и финансовых директоров компаний</w:t>
            </w:r>
          </w:p>
        </w:tc>
        <w:tc>
          <w:tcPr>
            <w:tcW w:w="4670"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 xml:space="preserve">Часто обманчив, т.к. лишь отражает прирост </w:t>
            </w:r>
            <w:r w:rsidRPr="0059775B">
              <w:rPr>
                <w:rFonts w:ascii="Times New Roman" w:hAnsi="Times New Roman" w:cs="Times New Roman"/>
                <w:sz w:val="24"/>
                <w:szCs w:val="24"/>
                <w:lang w:val="en-US"/>
              </w:rPr>
              <w:t>EPS</w:t>
            </w:r>
            <w:r w:rsidRPr="0059775B">
              <w:rPr>
                <w:rFonts w:ascii="Times New Roman" w:hAnsi="Times New Roman" w:cs="Times New Roman"/>
                <w:sz w:val="24"/>
                <w:szCs w:val="24"/>
              </w:rPr>
              <w:t xml:space="preserve"> за счет того, что компания-поглотитель имеет более высокий P/E</w:t>
            </w:r>
          </w:p>
        </w:tc>
      </w:tr>
      <w:tr w:rsidR="0059775B" w:rsidRPr="0059775B" w:rsidTr="00E11D2C">
        <w:tc>
          <w:tcPr>
            <w:tcW w:w="4669"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 xml:space="preserve">Отражает прирост благосостояния </w:t>
            </w:r>
            <w:r w:rsidRPr="0059775B">
              <w:rPr>
                <w:rFonts w:ascii="Times New Roman" w:hAnsi="Times New Roman" w:cs="Times New Roman"/>
                <w:sz w:val="24"/>
                <w:szCs w:val="24"/>
              </w:rPr>
              <w:lastRenderedPageBreak/>
              <w:t>акционеров компании за счет увеличения прибыли на одну акцию</w:t>
            </w:r>
          </w:p>
        </w:tc>
        <w:tc>
          <w:tcPr>
            <w:tcW w:w="4670" w:type="dxa"/>
          </w:tcPr>
          <w:p w:rsidR="007C1744" w:rsidRPr="007C1744"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lastRenderedPageBreak/>
              <w:t xml:space="preserve">Краткосрочный эффект от </w:t>
            </w:r>
            <w:r w:rsidRPr="0059775B">
              <w:rPr>
                <w:rFonts w:ascii="Times New Roman" w:hAnsi="Times New Roman" w:cs="Times New Roman"/>
                <w:sz w:val="24"/>
                <w:szCs w:val="24"/>
                <w:lang w:val="en-US"/>
              </w:rPr>
              <w:t>EPS</w:t>
            </w:r>
            <w:r w:rsidRPr="0059775B">
              <w:rPr>
                <w:rFonts w:ascii="Times New Roman" w:hAnsi="Times New Roman" w:cs="Times New Roman"/>
                <w:sz w:val="24"/>
                <w:szCs w:val="24"/>
              </w:rPr>
              <w:t xml:space="preserve"> </w:t>
            </w:r>
            <w:r w:rsidRPr="0059775B">
              <w:rPr>
                <w:rFonts w:ascii="Times New Roman" w:hAnsi="Times New Roman" w:cs="Times New Roman"/>
                <w:sz w:val="24"/>
                <w:szCs w:val="24"/>
                <w:lang w:val="en-US"/>
              </w:rPr>
              <w:t>accretion</w:t>
            </w:r>
            <w:r w:rsidRPr="0059775B">
              <w:rPr>
                <w:rFonts w:ascii="Times New Roman" w:hAnsi="Times New Roman" w:cs="Times New Roman"/>
                <w:sz w:val="24"/>
                <w:szCs w:val="24"/>
              </w:rPr>
              <w:t xml:space="preserve"> </w:t>
            </w:r>
            <w:r w:rsidRPr="0059775B">
              <w:rPr>
                <w:rFonts w:ascii="Times New Roman" w:hAnsi="Times New Roman" w:cs="Times New Roman"/>
                <w:sz w:val="24"/>
                <w:szCs w:val="24"/>
              </w:rPr>
              <w:lastRenderedPageBreak/>
              <w:t>может быть размыт в долгосрочном периоде</w:t>
            </w:r>
          </w:p>
        </w:tc>
      </w:tr>
    </w:tbl>
    <w:p w:rsidR="004D6A9F" w:rsidRPr="004D6A9F" w:rsidRDefault="004D6A9F" w:rsidP="007C1744"/>
    <w:p w:rsidR="0059775B" w:rsidRPr="0059775B" w:rsidRDefault="0059775B" w:rsidP="007C1744">
      <w:pPr>
        <w:pStyle w:val="2"/>
        <w:spacing w:after="240"/>
        <w:jc w:val="center"/>
        <w:rPr>
          <w:rFonts w:ascii="Times New Roman" w:hAnsi="Times New Roman" w:cs="Times New Roman"/>
          <w:color w:val="auto"/>
          <w:sz w:val="24"/>
        </w:rPr>
      </w:pPr>
      <w:bookmarkStart w:id="11" w:name="_Toc482547518"/>
      <w:r w:rsidRPr="0059775B">
        <w:rPr>
          <w:rFonts w:ascii="Times New Roman" w:hAnsi="Times New Roman" w:cs="Times New Roman"/>
          <w:color w:val="auto"/>
          <w:sz w:val="24"/>
        </w:rPr>
        <w:t xml:space="preserve">2.4 </w:t>
      </w:r>
      <w:r w:rsidRPr="0059775B">
        <w:rPr>
          <w:rFonts w:ascii="Times New Roman" w:hAnsi="Times New Roman" w:cs="Times New Roman"/>
          <w:color w:val="auto"/>
          <w:sz w:val="24"/>
          <w:lang w:val="en-US"/>
        </w:rPr>
        <w:t>Event</w:t>
      </w:r>
      <w:r w:rsidRPr="0059775B">
        <w:rPr>
          <w:rFonts w:ascii="Times New Roman" w:hAnsi="Times New Roman" w:cs="Times New Roman"/>
          <w:color w:val="auto"/>
          <w:sz w:val="24"/>
        </w:rPr>
        <w:t xml:space="preserve"> </w:t>
      </w:r>
      <w:r w:rsidRPr="0059775B">
        <w:rPr>
          <w:rFonts w:ascii="Times New Roman" w:hAnsi="Times New Roman" w:cs="Times New Roman"/>
          <w:color w:val="auto"/>
          <w:sz w:val="24"/>
          <w:lang w:val="en-US"/>
        </w:rPr>
        <w:t>studies</w:t>
      </w:r>
      <w:r w:rsidRPr="0059775B">
        <w:rPr>
          <w:rFonts w:ascii="Times New Roman" w:hAnsi="Times New Roman" w:cs="Times New Roman"/>
          <w:color w:val="auto"/>
          <w:sz w:val="24"/>
        </w:rPr>
        <w:t xml:space="preserve"> метод</w:t>
      </w:r>
      <w:bookmarkEnd w:id="11"/>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r>
      <w:proofErr w:type="spellStart"/>
      <w:r w:rsidRPr="0059775B">
        <w:rPr>
          <w:rFonts w:ascii="Times New Roman" w:hAnsi="Times New Roman" w:cs="Times New Roman"/>
          <w:sz w:val="24"/>
          <w:szCs w:val="24"/>
        </w:rPr>
        <w:t>Event</w:t>
      </w:r>
      <w:proofErr w:type="spellEnd"/>
      <w:r w:rsidRPr="0059775B">
        <w:rPr>
          <w:rFonts w:ascii="Times New Roman" w:hAnsi="Times New Roman" w:cs="Times New Roman"/>
          <w:sz w:val="24"/>
          <w:szCs w:val="24"/>
        </w:rPr>
        <w:t xml:space="preserve"> </w:t>
      </w:r>
      <w:proofErr w:type="spellStart"/>
      <w:r w:rsidRPr="0059775B">
        <w:rPr>
          <w:rFonts w:ascii="Times New Roman" w:hAnsi="Times New Roman" w:cs="Times New Roman"/>
          <w:sz w:val="24"/>
          <w:szCs w:val="24"/>
        </w:rPr>
        <w:t>study</w:t>
      </w:r>
      <w:proofErr w:type="spellEnd"/>
      <w:r w:rsidRPr="0059775B">
        <w:rPr>
          <w:rFonts w:ascii="Times New Roman" w:hAnsi="Times New Roman" w:cs="Times New Roman"/>
          <w:sz w:val="24"/>
          <w:szCs w:val="24"/>
        </w:rPr>
        <w:t xml:space="preserve"> или метод изучения событий является статистическим методом для оценки влияния определенного события на стоимость компании. В рамках оценки эффективности слияний и поглощений с помощью данного метода можно оценить тот факт насколько сделка повлияла на стоимость акций компании в периоды до сделки, во время процесса сделки и после ее завершения. Таким образом, </w:t>
      </w:r>
      <w:proofErr w:type="gramStart"/>
      <w:r w:rsidRPr="0059775B">
        <w:rPr>
          <w:rFonts w:ascii="Times New Roman" w:hAnsi="Times New Roman" w:cs="Times New Roman"/>
          <w:sz w:val="24"/>
          <w:szCs w:val="24"/>
        </w:rPr>
        <w:t>возможно</w:t>
      </w:r>
      <w:proofErr w:type="gramEnd"/>
      <w:r w:rsidRPr="0059775B">
        <w:rPr>
          <w:rFonts w:ascii="Times New Roman" w:hAnsi="Times New Roman" w:cs="Times New Roman"/>
          <w:sz w:val="24"/>
          <w:szCs w:val="24"/>
        </w:rPr>
        <w:t xml:space="preserve"> оценить как именно консолидация повлияла на благосостояние акционеров. </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 xml:space="preserve">Идея, которая лежит в основе метода – найти и определить так </w:t>
      </w:r>
      <w:proofErr w:type="gramStart"/>
      <w:r w:rsidRPr="0059775B">
        <w:rPr>
          <w:rFonts w:ascii="Times New Roman" w:hAnsi="Times New Roman" w:cs="Times New Roman"/>
          <w:sz w:val="24"/>
          <w:szCs w:val="24"/>
        </w:rPr>
        <w:t>называемые</w:t>
      </w:r>
      <w:proofErr w:type="gramEnd"/>
      <w:r w:rsidRPr="0059775B">
        <w:rPr>
          <w:rFonts w:ascii="Times New Roman" w:hAnsi="Times New Roman" w:cs="Times New Roman"/>
          <w:sz w:val="24"/>
          <w:szCs w:val="24"/>
        </w:rPr>
        <w:t xml:space="preserve"> </w:t>
      </w:r>
      <w:r w:rsidRPr="0059775B">
        <w:rPr>
          <w:rFonts w:ascii="Times New Roman" w:hAnsi="Times New Roman" w:cs="Times New Roman"/>
          <w:sz w:val="24"/>
          <w:szCs w:val="24"/>
          <w:lang w:val="en-US"/>
        </w:rPr>
        <w:t>abnormal</w:t>
      </w:r>
      <w:r w:rsidRPr="0059775B">
        <w:rPr>
          <w:rFonts w:ascii="Times New Roman" w:hAnsi="Times New Roman" w:cs="Times New Roman"/>
          <w:sz w:val="24"/>
          <w:szCs w:val="24"/>
        </w:rPr>
        <w:t xml:space="preserve"> </w:t>
      </w:r>
      <w:r w:rsidRPr="0059775B">
        <w:rPr>
          <w:rFonts w:ascii="Times New Roman" w:hAnsi="Times New Roman" w:cs="Times New Roman"/>
          <w:sz w:val="24"/>
          <w:szCs w:val="24"/>
          <w:lang w:val="en-US"/>
        </w:rPr>
        <w:t>returns</w:t>
      </w:r>
      <w:r w:rsidRPr="0059775B">
        <w:rPr>
          <w:rFonts w:ascii="Times New Roman" w:hAnsi="Times New Roman" w:cs="Times New Roman"/>
          <w:sz w:val="24"/>
          <w:szCs w:val="24"/>
        </w:rPr>
        <w:t xml:space="preserve"> или же аномальную доходность, относящуюся непосредственно к событию, а не вызванную колебанием рынка. В основе данного метода кроется гипотеза о средней эффективности фондового рынка, гласящая, что цены на рынке отражают всю доступную участникам рынка информацию, и как следствие в цене акции должны быть учтены выгоды, возникающие в результате консолидации, синергетического эффекта от нее, смены контроля в компании</w:t>
      </w:r>
      <w:r w:rsidRPr="0059775B">
        <w:rPr>
          <w:rStyle w:val="a7"/>
          <w:rFonts w:ascii="Times New Roman" w:hAnsi="Times New Roman" w:cs="Times New Roman"/>
          <w:sz w:val="24"/>
          <w:szCs w:val="24"/>
        </w:rPr>
        <w:footnoteReference w:id="32"/>
      </w:r>
      <w:r w:rsidRPr="0059775B">
        <w:rPr>
          <w:rFonts w:ascii="Times New Roman" w:hAnsi="Times New Roman" w:cs="Times New Roman"/>
          <w:sz w:val="24"/>
          <w:szCs w:val="24"/>
        </w:rPr>
        <w:t>.</w:t>
      </w:r>
    </w:p>
    <w:p w:rsidR="0059775B" w:rsidRPr="0059775B" w:rsidRDefault="0059775B" w:rsidP="0059775B">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ab/>
        <w:t xml:space="preserve">В рамках данного метода оценка эффективности сделки может </w:t>
      </w:r>
      <w:r w:rsidR="002F4269">
        <w:rPr>
          <w:rFonts w:ascii="Times New Roman" w:hAnsi="Times New Roman" w:cs="Times New Roman"/>
          <w:sz w:val="24"/>
          <w:szCs w:val="24"/>
        </w:rPr>
        <w:t xml:space="preserve">быть </w:t>
      </w:r>
      <w:r w:rsidRPr="0059775B">
        <w:rPr>
          <w:rFonts w:ascii="Times New Roman" w:hAnsi="Times New Roman" w:cs="Times New Roman"/>
          <w:sz w:val="24"/>
          <w:szCs w:val="24"/>
        </w:rPr>
        <w:t>произведена с двух сторон:</w:t>
      </w:r>
    </w:p>
    <w:p w:rsidR="0059775B" w:rsidRPr="0059775B" w:rsidRDefault="0059775B" w:rsidP="0059775B">
      <w:pPr>
        <w:pStyle w:val="a3"/>
        <w:numPr>
          <w:ilvl w:val="0"/>
          <w:numId w:val="15"/>
        </w:numPr>
        <w:spacing w:after="0" w:line="360" w:lineRule="auto"/>
        <w:jc w:val="both"/>
        <w:rPr>
          <w:rFonts w:ascii="Times New Roman" w:hAnsi="Times New Roman" w:cs="Times New Roman"/>
          <w:sz w:val="24"/>
          <w:szCs w:val="24"/>
        </w:rPr>
      </w:pPr>
      <w:r w:rsidRPr="0059775B">
        <w:rPr>
          <w:rFonts w:ascii="Times New Roman" w:hAnsi="Times New Roman" w:cs="Times New Roman"/>
          <w:sz w:val="24"/>
          <w:szCs w:val="24"/>
        </w:rPr>
        <w:t xml:space="preserve">Краткосрочный период </w:t>
      </w:r>
    </w:p>
    <w:p w:rsidR="0059775B" w:rsidRDefault="0059775B" w:rsidP="0059775B">
      <w:pPr>
        <w:pStyle w:val="a3"/>
        <w:numPr>
          <w:ilvl w:val="0"/>
          <w:numId w:val="15"/>
        </w:numPr>
        <w:spacing w:after="0" w:line="360" w:lineRule="auto"/>
        <w:jc w:val="both"/>
        <w:rPr>
          <w:rFonts w:ascii="Times New Roman" w:hAnsi="Times New Roman" w:cs="Times New Roman"/>
          <w:sz w:val="24"/>
          <w:szCs w:val="24"/>
        </w:rPr>
      </w:pPr>
      <w:r w:rsidRPr="0059775B">
        <w:rPr>
          <w:rFonts w:ascii="Times New Roman" w:hAnsi="Times New Roman" w:cs="Times New Roman"/>
          <w:sz w:val="24"/>
          <w:szCs w:val="24"/>
        </w:rPr>
        <w:t>Долгосрочный период</w:t>
      </w:r>
    </w:p>
    <w:p w:rsidR="004D6A9F" w:rsidRPr="004D6A9F" w:rsidRDefault="004D6A9F" w:rsidP="004D6A9F">
      <w:pPr>
        <w:spacing w:after="0" w:line="360" w:lineRule="auto"/>
        <w:jc w:val="both"/>
        <w:rPr>
          <w:rFonts w:ascii="Times New Roman" w:hAnsi="Times New Roman" w:cs="Times New Roman"/>
          <w:sz w:val="24"/>
          <w:szCs w:val="24"/>
        </w:rPr>
      </w:pPr>
    </w:p>
    <w:p w:rsidR="0059775B" w:rsidRPr="0059775B" w:rsidRDefault="0059775B" w:rsidP="0059775B">
      <w:pPr>
        <w:spacing w:line="360" w:lineRule="auto"/>
        <w:ind w:firstLine="708"/>
        <w:jc w:val="both"/>
        <w:rPr>
          <w:rFonts w:ascii="Times New Roman" w:hAnsi="Times New Roman" w:cs="Times New Roman"/>
          <w:sz w:val="24"/>
          <w:szCs w:val="24"/>
        </w:rPr>
      </w:pPr>
      <w:r w:rsidRPr="0059775B">
        <w:rPr>
          <w:rFonts w:ascii="Times New Roman" w:hAnsi="Times New Roman" w:cs="Times New Roman"/>
          <w:sz w:val="24"/>
          <w:szCs w:val="24"/>
        </w:rPr>
        <w:t>Метод, основанный на рассмотрении краткосрочного периода</w:t>
      </w:r>
      <w:r w:rsidR="002F4269">
        <w:rPr>
          <w:rFonts w:ascii="Times New Roman" w:hAnsi="Times New Roman" w:cs="Times New Roman"/>
          <w:sz w:val="24"/>
          <w:szCs w:val="24"/>
        </w:rPr>
        <w:t>,</w:t>
      </w:r>
      <w:r w:rsidRPr="0059775B">
        <w:rPr>
          <w:rFonts w:ascii="Times New Roman" w:hAnsi="Times New Roman" w:cs="Times New Roman"/>
          <w:sz w:val="24"/>
          <w:szCs w:val="24"/>
        </w:rPr>
        <w:t xml:space="preserve"> наиболее часто фигурирует в исследованиях. Это связано с тем, что метод изучения событий в долгосрочном периоде имеет ряд недостатков. Прежде всего, в окне наблюдения свыше одного года становится сложным изолировать эффект от сделки, т.к. другие события начинают оказывать существенное влияние на цену акций консолидированной компании. Кроме того, корректировка рынка на </w:t>
      </w:r>
      <w:proofErr w:type="gramStart"/>
      <w:r w:rsidRPr="0059775B">
        <w:rPr>
          <w:rFonts w:ascii="Times New Roman" w:hAnsi="Times New Roman" w:cs="Times New Roman"/>
          <w:sz w:val="24"/>
          <w:szCs w:val="24"/>
        </w:rPr>
        <w:t>событие</w:t>
      </w:r>
      <w:proofErr w:type="gramEnd"/>
      <w:r w:rsidRPr="0059775B">
        <w:rPr>
          <w:rFonts w:ascii="Times New Roman" w:hAnsi="Times New Roman" w:cs="Times New Roman"/>
          <w:sz w:val="24"/>
          <w:szCs w:val="24"/>
        </w:rPr>
        <w:t xml:space="preserve"> как правило происходит немедленно.</w:t>
      </w:r>
    </w:p>
    <w:p w:rsidR="0059775B" w:rsidRPr="0059775B" w:rsidRDefault="0059775B" w:rsidP="0059775B">
      <w:pPr>
        <w:spacing w:line="360" w:lineRule="auto"/>
        <w:ind w:firstLine="708"/>
        <w:jc w:val="both"/>
        <w:rPr>
          <w:rFonts w:ascii="Times New Roman" w:hAnsi="Times New Roman" w:cs="Times New Roman"/>
          <w:sz w:val="24"/>
          <w:szCs w:val="24"/>
        </w:rPr>
      </w:pPr>
      <w:r w:rsidRPr="0059775B">
        <w:rPr>
          <w:rFonts w:ascii="Times New Roman" w:hAnsi="Times New Roman" w:cs="Times New Roman"/>
          <w:sz w:val="24"/>
          <w:szCs w:val="24"/>
        </w:rPr>
        <w:lastRenderedPageBreak/>
        <w:t>Реакция рынка, выраженная в изменении стоимости акций компаний, участвующих в сделке, отражает ожидания выгод и потерь, которые понесут данные участники. Зачастую наблюдается ситуация, при которой котировки акций компании-цели значительно возрастают, т.к. ожидается что именно она получит основные выгоды от сделки, тогда как акции компании-поглотителя снижаются в своей цене в основном из-за недоверия инвесторов в способности менеджмента консолидированной компании реализовать синергетический эффект и успешно провести интеграцию операций и финансовой деятельности.</w:t>
      </w:r>
    </w:p>
    <w:p w:rsidR="0059775B" w:rsidRPr="0059775B" w:rsidRDefault="0059775B" w:rsidP="0059775B">
      <w:pPr>
        <w:spacing w:line="360" w:lineRule="auto"/>
        <w:ind w:firstLine="708"/>
        <w:jc w:val="both"/>
        <w:rPr>
          <w:rFonts w:ascii="Times New Roman" w:hAnsi="Times New Roman" w:cs="Times New Roman"/>
          <w:sz w:val="24"/>
          <w:szCs w:val="24"/>
        </w:rPr>
      </w:pPr>
      <w:r w:rsidRPr="0059775B">
        <w:rPr>
          <w:rFonts w:ascii="Times New Roman" w:hAnsi="Times New Roman" w:cs="Times New Roman"/>
          <w:sz w:val="24"/>
          <w:szCs w:val="24"/>
        </w:rPr>
        <w:t xml:space="preserve">Данный метод широко применяется для исторического ретроспективного анализа сделок на развитых и развивающихся рынках. Так, исследования показывают, что отсутствует однозначный ответ на вопрос, увеличивают ли сделки по слияниям и поглощениям благосостояние акционеров компаний или нет. Некоторые исследования указывают на то, что компания-покупатель оказывается в проигрыше по результатам сделки, зачастую из-за того, что платит слишком высокую премию. Другие же исследования показывают, что большая часть сделок действительно вызывает аномальную доходность по акциям компаний-поглотителей. </w:t>
      </w:r>
    </w:p>
    <w:p w:rsidR="0059775B" w:rsidRPr="0059775B" w:rsidRDefault="0059775B" w:rsidP="0059775B">
      <w:pPr>
        <w:spacing w:line="360" w:lineRule="auto"/>
        <w:ind w:firstLine="708"/>
        <w:jc w:val="both"/>
        <w:rPr>
          <w:rFonts w:ascii="Times New Roman" w:hAnsi="Times New Roman" w:cs="Times New Roman"/>
          <w:sz w:val="24"/>
          <w:szCs w:val="24"/>
        </w:rPr>
      </w:pPr>
      <w:r w:rsidRPr="0059775B">
        <w:rPr>
          <w:rFonts w:ascii="Times New Roman" w:hAnsi="Times New Roman" w:cs="Times New Roman"/>
          <w:sz w:val="24"/>
          <w:szCs w:val="24"/>
        </w:rPr>
        <w:t>Для качественного проведения метода изучения событий необходимо учитывать следующее:</w:t>
      </w:r>
    </w:p>
    <w:p w:rsidR="0059775B" w:rsidRPr="0059775B" w:rsidRDefault="0059775B" w:rsidP="0059775B">
      <w:pPr>
        <w:pStyle w:val="a3"/>
        <w:numPr>
          <w:ilvl w:val="0"/>
          <w:numId w:val="16"/>
        </w:numPr>
        <w:spacing w:after="0" w:line="360" w:lineRule="auto"/>
        <w:jc w:val="both"/>
        <w:rPr>
          <w:rFonts w:ascii="Times New Roman" w:hAnsi="Times New Roman" w:cs="Times New Roman"/>
          <w:sz w:val="24"/>
          <w:szCs w:val="24"/>
        </w:rPr>
      </w:pPr>
      <w:r w:rsidRPr="0059775B">
        <w:rPr>
          <w:rFonts w:ascii="Times New Roman" w:hAnsi="Times New Roman" w:cs="Times New Roman"/>
          <w:sz w:val="24"/>
          <w:szCs w:val="24"/>
        </w:rPr>
        <w:t>Точно определить событие. Необходимо точно определить анализируемое событие – будь то инициация процесса сделки, анонс сделки или же ее завершение.</w:t>
      </w:r>
    </w:p>
    <w:p w:rsidR="0059775B" w:rsidRPr="0059775B" w:rsidRDefault="0059775B" w:rsidP="0059775B">
      <w:pPr>
        <w:pStyle w:val="a3"/>
        <w:numPr>
          <w:ilvl w:val="0"/>
          <w:numId w:val="16"/>
        </w:numPr>
        <w:spacing w:after="0" w:line="360" w:lineRule="auto"/>
        <w:jc w:val="both"/>
        <w:rPr>
          <w:rFonts w:ascii="Times New Roman" w:hAnsi="Times New Roman" w:cs="Times New Roman"/>
          <w:sz w:val="24"/>
          <w:szCs w:val="24"/>
        </w:rPr>
      </w:pPr>
      <w:r w:rsidRPr="0059775B">
        <w:rPr>
          <w:rFonts w:ascii="Times New Roman" w:hAnsi="Times New Roman" w:cs="Times New Roman"/>
          <w:sz w:val="24"/>
          <w:szCs w:val="24"/>
        </w:rPr>
        <w:t xml:space="preserve">Определить временной период. С целью оценки эффективности сделки необходимо проанализировать сразу несколько периодов: период за 3 месяца или более до сделки, когда мы можем точно определить ожидания инвесторов относительно цены акций компании-поглотителя в тот момент, когда о сделке было еще неизвестно; период, когда информация о сделке выходит в информационное пространство. Как правило, сразу после появления первых слухов, цены акций компании-поглотителя меняются достаточно быстро, т.к. инвесторы начинают оценивать перспективы консолидированной компании; период сразу после сделки – в данный </w:t>
      </w:r>
      <w:proofErr w:type="gramStart"/>
      <w:r w:rsidRPr="0059775B">
        <w:rPr>
          <w:rFonts w:ascii="Times New Roman" w:hAnsi="Times New Roman" w:cs="Times New Roman"/>
          <w:sz w:val="24"/>
          <w:szCs w:val="24"/>
        </w:rPr>
        <w:t>период</w:t>
      </w:r>
      <w:proofErr w:type="gramEnd"/>
      <w:r w:rsidRPr="0059775B">
        <w:rPr>
          <w:rFonts w:ascii="Times New Roman" w:hAnsi="Times New Roman" w:cs="Times New Roman"/>
          <w:sz w:val="24"/>
          <w:szCs w:val="24"/>
        </w:rPr>
        <w:t xml:space="preserve"> возможно увидеть как цена акций отреагировала на сделку и есть ли прирост благосостояния акционеров по ее результатам; период 6-12 месяцев после сделки – здесь можно увидеть насколько консолидированная компания смогла претворить синергетический эффект в жизнь.</w:t>
      </w:r>
    </w:p>
    <w:p w:rsidR="0059775B" w:rsidRPr="0059775B" w:rsidRDefault="0059775B" w:rsidP="0059775B">
      <w:pPr>
        <w:pStyle w:val="a3"/>
        <w:numPr>
          <w:ilvl w:val="0"/>
          <w:numId w:val="16"/>
        </w:numPr>
        <w:spacing w:after="0" w:line="360" w:lineRule="auto"/>
        <w:jc w:val="both"/>
        <w:rPr>
          <w:rFonts w:ascii="Times New Roman" w:hAnsi="Times New Roman" w:cs="Times New Roman"/>
          <w:sz w:val="24"/>
          <w:szCs w:val="24"/>
        </w:rPr>
      </w:pPr>
      <w:r w:rsidRPr="0059775B">
        <w:rPr>
          <w:rFonts w:ascii="Times New Roman" w:hAnsi="Times New Roman" w:cs="Times New Roman"/>
          <w:sz w:val="24"/>
          <w:szCs w:val="24"/>
        </w:rPr>
        <w:lastRenderedPageBreak/>
        <w:t>Информация об искажающих событиях. Для того</w:t>
      </w:r>
      <w:proofErr w:type="gramStart"/>
      <w:r w:rsidRPr="0059775B">
        <w:rPr>
          <w:rFonts w:ascii="Times New Roman" w:hAnsi="Times New Roman" w:cs="Times New Roman"/>
          <w:sz w:val="24"/>
          <w:szCs w:val="24"/>
        </w:rPr>
        <w:t>,</w:t>
      </w:r>
      <w:proofErr w:type="gramEnd"/>
      <w:r w:rsidRPr="0059775B">
        <w:rPr>
          <w:rFonts w:ascii="Times New Roman" w:hAnsi="Times New Roman" w:cs="Times New Roman"/>
          <w:sz w:val="24"/>
          <w:szCs w:val="24"/>
        </w:rPr>
        <w:t xml:space="preserve"> чтобы оценить эффективность сделки необходимо произвести корректировку на события, непосредственно не связанные со сделкой с целью изоляции воздействия слияния и поглощения на стоимость компании.</w:t>
      </w:r>
    </w:p>
    <w:p w:rsidR="0059775B" w:rsidRPr="0059775B" w:rsidRDefault="0059775B" w:rsidP="0059775B">
      <w:pPr>
        <w:pStyle w:val="a3"/>
        <w:numPr>
          <w:ilvl w:val="0"/>
          <w:numId w:val="16"/>
        </w:numPr>
        <w:spacing w:after="0" w:line="360" w:lineRule="auto"/>
        <w:jc w:val="both"/>
        <w:rPr>
          <w:rFonts w:ascii="Times New Roman" w:hAnsi="Times New Roman" w:cs="Times New Roman"/>
          <w:sz w:val="24"/>
          <w:szCs w:val="24"/>
        </w:rPr>
      </w:pPr>
      <w:r w:rsidRPr="0059775B">
        <w:rPr>
          <w:rFonts w:ascii="Times New Roman" w:hAnsi="Times New Roman" w:cs="Times New Roman"/>
          <w:sz w:val="24"/>
          <w:szCs w:val="24"/>
        </w:rPr>
        <w:t>Оценка воздействия события. Сравнение исследуемых периодов позволит оценить</w:t>
      </w:r>
      <w:r w:rsidR="002F4269">
        <w:rPr>
          <w:rFonts w:ascii="Times New Roman" w:hAnsi="Times New Roman" w:cs="Times New Roman"/>
          <w:sz w:val="24"/>
          <w:szCs w:val="24"/>
        </w:rPr>
        <w:t>,</w:t>
      </w:r>
      <w:r w:rsidRPr="0059775B">
        <w:rPr>
          <w:rFonts w:ascii="Times New Roman" w:hAnsi="Times New Roman" w:cs="Times New Roman"/>
          <w:sz w:val="24"/>
          <w:szCs w:val="24"/>
        </w:rPr>
        <w:t xml:space="preserve"> насколько событие воздействовало на стоимость компании.</w:t>
      </w:r>
    </w:p>
    <w:p w:rsidR="0059775B" w:rsidRPr="0059775B" w:rsidRDefault="0059775B" w:rsidP="0059775B">
      <w:pPr>
        <w:spacing w:line="360" w:lineRule="auto"/>
        <w:ind w:firstLine="708"/>
        <w:jc w:val="both"/>
        <w:rPr>
          <w:rFonts w:ascii="Times New Roman" w:hAnsi="Times New Roman" w:cs="Times New Roman"/>
          <w:sz w:val="24"/>
          <w:szCs w:val="24"/>
        </w:rPr>
      </w:pPr>
      <w:proofErr w:type="gramStart"/>
      <w:r w:rsidRPr="0059775B">
        <w:rPr>
          <w:rFonts w:ascii="Times New Roman" w:hAnsi="Times New Roman" w:cs="Times New Roman"/>
          <w:sz w:val="24"/>
          <w:szCs w:val="24"/>
        </w:rPr>
        <w:t>Наиболее достоверно судить об эффективности сделки на основе метода изучения событий можно только в ретроспективе: тогда, когда есть информация не только о стоимости компании до слияния и поглощения, но и о стоимости компании спустя 6-12 месяцев по завершению сделки, т.к. только в этом случае можно сделать вывод о том</w:t>
      </w:r>
      <w:r w:rsidR="002F4269">
        <w:rPr>
          <w:rFonts w:ascii="Times New Roman" w:hAnsi="Times New Roman" w:cs="Times New Roman"/>
          <w:sz w:val="24"/>
          <w:szCs w:val="24"/>
        </w:rPr>
        <w:t>,</w:t>
      </w:r>
      <w:r w:rsidRPr="0059775B">
        <w:rPr>
          <w:rFonts w:ascii="Times New Roman" w:hAnsi="Times New Roman" w:cs="Times New Roman"/>
          <w:sz w:val="24"/>
          <w:szCs w:val="24"/>
        </w:rPr>
        <w:t xml:space="preserve"> удалось ли реализовать синергетический эффект о сделки, а значит и</w:t>
      </w:r>
      <w:proofErr w:type="gramEnd"/>
      <w:r w:rsidRPr="0059775B">
        <w:rPr>
          <w:rFonts w:ascii="Times New Roman" w:hAnsi="Times New Roman" w:cs="Times New Roman"/>
          <w:sz w:val="24"/>
          <w:szCs w:val="24"/>
        </w:rPr>
        <w:t xml:space="preserve"> о том</w:t>
      </w:r>
      <w:r w:rsidR="002F4269">
        <w:rPr>
          <w:rFonts w:ascii="Times New Roman" w:hAnsi="Times New Roman" w:cs="Times New Roman"/>
          <w:sz w:val="24"/>
          <w:szCs w:val="24"/>
        </w:rPr>
        <w:t>,</w:t>
      </w:r>
      <w:r w:rsidRPr="0059775B">
        <w:rPr>
          <w:rFonts w:ascii="Times New Roman" w:hAnsi="Times New Roman" w:cs="Times New Roman"/>
          <w:sz w:val="24"/>
          <w:szCs w:val="24"/>
        </w:rPr>
        <w:t xml:space="preserve"> удалось ли увеличить благосостояние акционеров по результатам сделки.</w:t>
      </w:r>
    </w:p>
    <w:p w:rsidR="0059775B" w:rsidRPr="0059775B" w:rsidRDefault="0059775B" w:rsidP="0059775B">
      <w:pPr>
        <w:spacing w:line="360" w:lineRule="auto"/>
        <w:ind w:firstLine="360"/>
        <w:jc w:val="both"/>
        <w:rPr>
          <w:rFonts w:ascii="Times New Roman" w:hAnsi="Times New Roman" w:cs="Times New Roman"/>
          <w:sz w:val="24"/>
          <w:szCs w:val="24"/>
        </w:rPr>
      </w:pPr>
      <w:r w:rsidRPr="0059775B">
        <w:rPr>
          <w:rFonts w:ascii="Times New Roman" w:hAnsi="Times New Roman" w:cs="Times New Roman"/>
          <w:sz w:val="24"/>
          <w:szCs w:val="24"/>
        </w:rPr>
        <w:t xml:space="preserve">Обобщенные достоинства и недостатки метода </w:t>
      </w:r>
      <w:proofErr w:type="spellStart"/>
      <w:r w:rsidRPr="0059775B">
        <w:rPr>
          <w:rFonts w:ascii="Times New Roman" w:hAnsi="Times New Roman" w:cs="Times New Roman"/>
          <w:sz w:val="24"/>
          <w:szCs w:val="24"/>
        </w:rPr>
        <w:t>Event</w:t>
      </w:r>
      <w:proofErr w:type="spellEnd"/>
      <w:r w:rsidRPr="0059775B">
        <w:rPr>
          <w:rFonts w:ascii="Times New Roman" w:hAnsi="Times New Roman" w:cs="Times New Roman"/>
          <w:sz w:val="24"/>
          <w:szCs w:val="24"/>
        </w:rPr>
        <w:t xml:space="preserve"> </w:t>
      </w:r>
      <w:proofErr w:type="spellStart"/>
      <w:r w:rsidR="007C1744">
        <w:rPr>
          <w:rFonts w:ascii="Times New Roman" w:hAnsi="Times New Roman" w:cs="Times New Roman"/>
          <w:sz w:val="24"/>
          <w:szCs w:val="24"/>
        </w:rPr>
        <w:t>studies</w:t>
      </w:r>
      <w:proofErr w:type="spellEnd"/>
      <w:r w:rsidR="007C1744">
        <w:rPr>
          <w:rFonts w:ascii="Times New Roman" w:hAnsi="Times New Roman" w:cs="Times New Roman"/>
          <w:sz w:val="24"/>
          <w:szCs w:val="24"/>
        </w:rPr>
        <w:t xml:space="preserve"> представлены в таблице </w:t>
      </w:r>
      <w:r w:rsidR="007C1744" w:rsidRPr="007C1744">
        <w:rPr>
          <w:rFonts w:ascii="Times New Roman" w:hAnsi="Times New Roman" w:cs="Times New Roman"/>
          <w:sz w:val="24"/>
          <w:szCs w:val="24"/>
        </w:rPr>
        <w:t>5</w:t>
      </w:r>
      <w:r w:rsidRPr="0059775B">
        <w:rPr>
          <w:rFonts w:ascii="Times New Roman" w:hAnsi="Times New Roman" w:cs="Times New Roman"/>
          <w:sz w:val="24"/>
          <w:szCs w:val="24"/>
        </w:rPr>
        <w:t>.</w:t>
      </w:r>
    </w:p>
    <w:p w:rsidR="0059775B" w:rsidRPr="0059775B" w:rsidRDefault="007C1744" w:rsidP="005977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Pr="007C1744">
        <w:rPr>
          <w:rFonts w:ascii="Times New Roman" w:hAnsi="Times New Roman" w:cs="Times New Roman"/>
          <w:sz w:val="24"/>
          <w:szCs w:val="24"/>
        </w:rPr>
        <w:t>5</w:t>
      </w:r>
      <w:r w:rsidR="0059775B" w:rsidRPr="0059775B">
        <w:rPr>
          <w:rFonts w:ascii="Times New Roman" w:hAnsi="Times New Roman" w:cs="Times New Roman"/>
          <w:sz w:val="24"/>
          <w:szCs w:val="24"/>
        </w:rPr>
        <w:t xml:space="preserve"> Достоинства и недостатки метода </w:t>
      </w:r>
      <w:proofErr w:type="spellStart"/>
      <w:r w:rsidR="0059775B" w:rsidRPr="0059775B">
        <w:rPr>
          <w:rFonts w:ascii="Times New Roman" w:hAnsi="Times New Roman" w:cs="Times New Roman"/>
          <w:sz w:val="24"/>
          <w:szCs w:val="24"/>
        </w:rPr>
        <w:t>Event</w:t>
      </w:r>
      <w:proofErr w:type="spellEnd"/>
      <w:r w:rsidR="0059775B" w:rsidRPr="0059775B">
        <w:rPr>
          <w:rFonts w:ascii="Times New Roman" w:hAnsi="Times New Roman" w:cs="Times New Roman"/>
          <w:sz w:val="24"/>
          <w:szCs w:val="24"/>
        </w:rPr>
        <w:t xml:space="preserve"> </w:t>
      </w:r>
      <w:proofErr w:type="spellStart"/>
      <w:r w:rsidR="0059775B" w:rsidRPr="0059775B">
        <w:rPr>
          <w:rFonts w:ascii="Times New Roman" w:hAnsi="Times New Roman" w:cs="Times New Roman"/>
          <w:sz w:val="24"/>
          <w:szCs w:val="24"/>
        </w:rPr>
        <w:t>studies</w:t>
      </w:r>
      <w:proofErr w:type="spellEnd"/>
    </w:p>
    <w:tbl>
      <w:tblPr>
        <w:tblStyle w:val="a8"/>
        <w:tblW w:w="0" w:type="auto"/>
        <w:tblLook w:val="04A0" w:firstRow="1" w:lastRow="0" w:firstColumn="1" w:lastColumn="0" w:noHBand="0" w:noVBand="1"/>
      </w:tblPr>
      <w:tblGrid>
        <w:gridCol w:w="4669"/>
        <w:gridCol w:w="4670"/>
      </w:tblGrid>
      <w:tr w:rsidR="0059775B" w:rsidRPr="0059775B" w:rsidTr="00E11D2C">
        <w:tc>
          <w:tcPr>
            <w:tcW w:w="4669" w:type="dxa"/>
          </w:tcPr>
          <w:p w:rsidR="0059775B" w:rsidRPr="0059775B" w:rsidRDefault="0059775B" w:rsidP="00E11D2C">
            <w:pPr>
              <w:spacing w:line="360" w:lineRule="auto"/>
              <w:jc w:val="center"/>
              <w:rPr>
                <w:rFonts w:ascii="Times New Roman" w:hAnsi="Times New Roman" w:cs="Times New Roman"/>
                <w:b/>
                <w:sz w:val="24"/>
                <w:szCs w:val="24"/>
              </w:rPr>
            </w:pPr>
            <w:r w:rsidRPr="0059775B">
              <w:rPr>
                <w:rFonts w:ascii="Times New Roman" w:hAnsi="Times New Roman" w:cs="Times New Roman"/>
                <w:b/>
                <w:sz w:val="24"/>
                <w:szCs w:val="24"/>
              </w:rPr>
              <w:t>Достоинства</w:t>
            </w:r>
          </w:p>
        </w:tc>
        <w:tc>
          <w:tcPr>
            <w:tcW w:w="4670" w:type="dxa"/>
          </w:tcPr>
          <w:p w:rsidR="0059775B" w:rsidRPr="0059775B" w:rsidRDefault="0059775B" w:rsidP="00E11D2C">
            <w:pPr>
              <w:spacing w:line="360" w:lineRule="auto"/>
              <w:jc w:val="center"/>
              <w:rPr>
                <w:rFonts w:ascii="Times New Roman" w:hAnsi="Times New Roman" w:cs="Times New Roman"/>
                <w:b/>
                <w:sz w:val="24"/>
                <w:szCs w:val="24"/>
              </w:rPr>
            </w:pPr>
            <w:r w:rsidRPr="0059775B">
              <w:rPr>
                <w:rFonts w:ascii="Times New Roman" w:hAnsi="Times New Roman" w:cs="Times New Roman"/>
                <w:b/>
                <w:sz w:val="24"/>
                <w:szCs w:val="24"/>
              </w:rPr>
              <w:t>Недостатки</w:t>
            </w:r>
          </w:p>
        </w:tc>
      </w:tr>
      <w:tr w:rsidR="0059775B" w:rsidRPr="0059775B" w:rsidTr="00E11D2C">
        <w:tc>
          <w:tcPr>
            <w:tcW w:w="4669"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Возможность выявить насколько слияние или поглощение сказалось на стоимости акций компании на разных периодах осуществления сделки</w:t>
            </w:r>
          </w:p>
        </w:tc>
        <w:tc>
          <w:tcPr>
            <w:tcW w:w="4670"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Необходимость точно определить диапазон прогнозных значений</w:t>
            </w:r>
          </w:p>
        </w:tc>
      </w:tr>
      <w:tr w:rsidR="0059775B" w:rsidRPr="0059775B" w:rsidTr="00E11D2C">
        <w:tc>
          <w:tcPr>
            <w:tcW w:w="4669"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Более широкий диапазон изученного события позволяет оценить эффект от слияния на стоимости компании более точно</w:t>
            </w:r>
          </w:p>
        </w:tc>
        <w:tc>
          <w:tcPr>
            <w:tcW w:w="4670"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Часто эффект от слияния или поглощения на стоимость компании может быть переоценен из-за того, что невозможно изолировать именно данное событие, пренебрегая другими факторами</w:t>
            </w:r>
          </w:p>
        </w:tc>
      </w:tr>
      <w:tr w:rsidR="0059775B" w:rsidRPr="0059775B" w:rsidTr="00E11D2C">
        <w:tc>
          <w:tcPr>
            <w:tcW w:w="4669"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Отражает изменение благосостояния акционеров поглощающей компании в долгосрочном периоде на основе изменения стоимости акций компании</w:t>
            </w:r>
          </w:p>
        </w:tc>
        <w:tc>
          <w:tcPr>
            <w:tcW w:w="4670" w:type="dxa"/>
          </w:tcPr>
          <w:p w:rsidR="0059775B" w:rsidRPr="0059775B" w:rsidRDefault="0059775B" w:rsidP="00E11D2C">
            <w:pPr>
              <w:spacing w:line="360" w:lineRule="auto"/>
              <w:jc w:val="both"/>
              <w:rPr>
                <w:rFonts w:ascii="Times New Roman" w:hAnsi="Times New Roman" w:cs="Times New Roman"/>
                <w:sz w:val="24"/>
                <w:szCs w:val="24"/>
              </w:rPr>
            </w:pPr>
            <w:r w:rsidRPr="0059775B">
              <w:rPr>
                <w:rFonts w:ascii="Times New Roman" w:hAnsi="Times New Roman" w:cs="Times New Roman"/>
                <w:sz w:val="24"/>
                <w:szCs w:val="24"/>
              </w:rPr>
              <w:t xml:space="preserve">Зависит от предположения об </w:t>
            </w:r>
            <w:proofErr w:type="spellStart"/>
            <w:r w:rsidRPr="0059775B">
              <w:rPr>
                <w:rFonts w:ascii="Times New Roman" w:hAnsi="Times New Roman" w:cs="Times New Roman"/>
                <w:sz w:val="24"/>
                <w:szCs w:val="24"/>
              </w:rPr>
              <w:t>ассиметрии</w:t>
            </w:r>
            <w:proofErr w:type="spellEnd"/>
            <w:r w:rsidRPr="0059775B">
              <w:rPr>
                <w:rFonts w:ascii="Times New Roman" w:hAnsi="Times New Roman" w:cs="Times New Roman"/>
                <w:sz w:val="24"/>
                <w:szCs w:val="24"/>
              </w:rPr>
              <w:t xml:space="preserve"> информации на финансовых рынках</w:t>
            </w:r>
          </w:p>
        </w:tc>
      </w:tr>
    </w:tbl>
    <w:p w:rsidR="0059775B" w:rsidRDefault="0059775B" w:rsidP="0059775B">
      <w:pPr>
        <w:spacing w:line="360" w:lineRule="auto"/>
        <w:jc w:val="both"/>
        <w:rPr>
          <w:rFonts w:ascii="Times New Roman" w:hAnsi="Times New Roman" w:cs="Times New Roman"/>
          <w:sz w:val="24"/>
          <w:szCs w:val="24"/>
        </w:rPr>
      </w:pPr>
    </w:p>
    <w:p w:rsidR="0059775B" w:rsidRDefault="0059775B" w:rsidP="0059775B">
      <w:r>
        <w:br w:type="page"/>
      </w:r>
    </w:p>
    <w:p w:rsidR="0059775B" w:rsidRPr="0059775B" w:rsidRDefault="0059775B" w:rsidP="0059775B">
      <w:pPr>
        <w:pStyle w:val="1"/>
        <w:jc w:val="center"/>
        <w:rPr>
          <w:rFonts w:ascii="Times New Roman" w:hAnsi="Times New Roman" w:cs="Times New Roman"/>
          <w:color w:val="auto"/>
        </w:rPr>
      </w:pPr>
      <w:bookmarkStart w:id="12" w:name="_Toc482547519"/>
      <w:bookmarkStart w:id="13" w:name="_Toc469372284"/>
      <w:r w:rsidRPr="0059775B">
        <w:rPr>
          <w:rFonts w:ascii="Times New Roman" w:hAnsi="Times New Roman" w:cs="Times New Roman"/>
          <w:color w:val="auto"/>
        </w:rPr>
        <w:lastRenderedPageBreak/>
        <w:t>ГДАВА 3 КЕЙС РОСНЕФТЬ – ТНК-ВР Холдинг</w:t>
      </w:r>
      <w:bookmarkEnd w:id="12"/>
    </w:p>
    <w:p w:rsidR="0059775B" w:rsidRPr="00D870EC" w:rsidRDefault="0059775B" w:rsidP="0059775B">
      <w:pPr>
        <w:pStyle w:val="2"/>
        <w:spacing w:after="240"/>
        <w:jc w:val="center"/>
        <w:rPr>
          <w:rFonts w:ascii="Times New Roman" w:hAnsi="Times New Roman" w:cs="Times New Roman"/>
          <w:color w:val="auto"/>
          <w:sz w:val="24"/>
        </w:rPr>
      </w:pPr>
      <w:bookmarkStart w:id="14" w:name="_Toc482547520"/>
      <w:r>
        <w:rPr>
          <w:rFonts w:ascii="Times New Roman" w:hAnsi="Times New Roman" w:cs="Times New Roman"/>
          <w:color w:val="auto"/>
          <w:sz w:val="24"/>
        </w:rPr>
        <w:t>3.1</w:t>
      </w:r>
      <w:r w:rsidRPr="00571728">
        <w:rPr>
          <w:rFonts w:ascii="Times New Roman" w:hAnsi="Times New Roman" w:cs="Times New Roman"/>
          <w:color w:val="auto"/>
          <w:sz w:val="24"/>
        </w:rPr>
        <w:t xml:space="preserve"> События, предшествующие сделке между ТНК-</w:t>
      </w:r>
      <w:proofErr w:type="gramStart"/>
      <w:r w:rsidRPr="00571728">
        <w:rPr>
          <w:rFonts w:ascii="Times New Roman" w:hAnsi="Times New Roman" w:cs="Times New Roman"/>
          <w:color w:val="auto"/>
          <w:sz w:val="24"/>
          <w:lang w:val="en-US"/>
        </w:rPr>
        <w:t>BP</w:t>
      </w:r>
      <w:proofErr w:type="gramEnd"/>
      <w:r w:rsidRPr="00571728">
        <w:rPr>
          <w:rFonts w:ascii="Times New Roman" w:hAnsi="Times New Roman" w:cs="Times New Roman"/>
          <w:color w:val="auto"/>
          <w:sz w:val="24"/>
        </w:rPr>
        <w:t xml:space="preserve"> и Росне</w:t>
      </w:r>
      <w:r>
        <w:rPr>
          <w:rFonts w:ascii="Times New Roman" w:hAnsi="Times New Roman" w:cs="Times New Roman"/>
          <w:color w:val="auto"/>
          <w:sz w:val="24"/>
        </w:rPr>
        <w:t>фть</w:t>
      </w:r>
      <w:bookmarkEnd w:id="13"/>
      <w:bookmarkEnd w:id="14"/>
    </w:p>
    <w:p w:rsidR="0059775B" w:rsidRPr="00201694" w:rsidRDefault="0059775B" w:rsidP="0059775B">
      <w:pPr>
        <w:spacing w:line="360" w:lineRule="auto"/>
        <w:ind w:firstLine="567"/>
        <w:jc w:val="both"/>
        <w:rPr>
          <w:rFonts w:ascii="Times New Roman" w:hAnsi="Times New Roman" w:cs="Times New Roman"/>
          <w:sz w:val="24"/>
          <w:szCs w:val="24"/>
        </w:rPr>
      </w:pPr>
      <w:r w:rsidRPr="00201694">
        <w:rPr>
          <w:rFonts w:ascii="Times New Roman" w:hAnsi="Times New Roman" w:cs="Times New Roman"/>
          <w:sz w:val="24"/>
          <w:szCs w:val="24"/>
        </w:rPr>
        <w:t xml:space="preserve">Публичная компания </w:t>
      </w:r>
      <w:proofErr w:type="spellStart"/>
      <w:r w:rsidRPr="00201694">
        <w:rPr>
          <w:rFonts w:ascii="Times New Roman" w:hAnsi="Times New Roman" w:cs="Times New Roman"/>
          <w:sz w:val="24"/>
          <w:szCs w:val="24"/>
        </w:rPr>
        <w:t>British</w:t>
      </w:r>
      <w:proofErr w:type="spellEnd"/>
      <w:r w:rsidRPr="00201694">
        <w:rPr>
          <w:rFonts w:ascii="Times New Roman" w:hAnsi="Times New Roman" w:cs="Times New Roman"/>
          <w:sz w:val="24"/>
          <w:szCs w:val="24"/>
        </w:rPr>
        <w:t xml:space="preserve"> </w:t>
      </w:r>
      <w:proofErr w:type="spellStart"/>
      <w:r w:rsidRPr="00201694">
        <w:rPr>
          <w:rFonts w:ascii="Times New Roman" w:hAnsi="Times New Roman" w:cs="Times New Roman"/>
          <w:sz w:val="24"/>
          <w:szCs w:val="24"/>
        </w:rPr>
        <w:t>Petroleum</w:t>
      </w:r>
      <w:proofErr w:type="spellEnd"/>
      <w:r w:rsidRPr="00201694">
        <w:rPr>
          <w:rFonts w:ascii="Times New Roman" w:hAnsi="Times New Roman" w:cs="Times New Roman"/>
          <w:sz w:val="24"/>
          <w:szCs w:val="24"/>
        </w:rPr>
        <w:t xml:space="preserve"> (В</w:t>
      </w:r>
      <w:proofErr w:type="gramStart"/>
      <w:r w:rsidRPr="00201694">
        <w:rPr>
          <w:rFonts w:ascii="Times New Roman" w:hAnsi="Times New Roman" w:cs="Times New Roman"/>
          <w:sz w:val="24"/>
          <w:szCs w:val="24"/>
          <w:lang w:val="en-US"/>
        </w:rPr>
        <w:t>P</w:t>
      </w:r>
      <w:proofErr w:type="gramEnd"/>
      <w:r w:rsidRPr="00201694">
        <w:rPr>
          <w:rFonts w:ascii="Times New Roman" w:hAnsi="Times New Roman" w:cs="Times New Roman"/>
          <w:sz w:val="24"/>
          <w:szCs w:val="24"/>
        </w:rPr>
        <w:t xml:space="preserve">) является ведущей международной нефтегазовой компанией и занимается разведкой, добычей, переработкой и распределением газа, нефти и сопутствующих нефтепродуктов. Компания имеет около 83 тыс. сотрудников и ведет добычу и разведку в 30 странах мира с основными активами в США, России, Азербайджане, Анголе, Великобритании, Северной Африке, Канаде, на Ближнем Востоке и в Азии. ТНК-ВР – вертикально-интегрированная российская нефтяная компания с диверсифицированным портфелем активов в разведке, добыче, переработке и сбыте в России, Украине, Белоруссии, Венесуэле, Вьетнаме и Бразилии. Компания была создана в </w:t>
      </w:r>
      <w:r w:rsidR="00603DDD">
        <w:rPr>
          <w:rFonts w:ascii="Times New Roman" w:hAnsi="Times New Roman" w:cs="Times New Roman"/>
          <w:sz w:val="24"/>
          <w:szCs w:val="24"/>
        </w:rPr>
        <w:t>2003 году на паритетных началах</w:t>
      </w:r>
      <w:r w:rsidRPr="00201694">
        <w:rPr>
          <w:rFonts w:ascii="Times New Roman" w:hAnsi="Times New Roman" w:cs="Times New Roman"/>
          <w:sz w:val="24"/>
          <w:szCs w:val="24"/>
        </w:rPr>
        <w:t xml:space="preserve"> российской «Тюменской нефтяной компанией»</w:t>
      </w:r>
      <w:r w:rsidR="00603DDD">
        <w:rPr>
          <w:rFonts w:ascii="Times New Roman" w:hAnsi="Times New Roman" w:cs="Times New Roman"/>
          <w:sz w:val="24"/>
          <w:szCs w:val="24"/>
        </w:rPr>
        <w:t xml:space="preserve"> (ТНК)</w:t>
      </w:r>
      <w:r w:rsidR="00603DDD" w:rsidRPr="00603DDD">
        <w:t xml:space="preserve"> </w:t>
      </w:r>
      <w:r w:rsidR="00603DDD" w:rsidRPr="00603DDD">
        <w:rPr>
          <w:rFonts w:ascii="Times New Roman" w:hAnsi="Times New Roman" w:cs="Times New Roman"/>
        </w:rPr>
        <w:t xml:space="preserve">и </w:t>
      </w:r>
      <w:r w:rsidR="00603DDD" w:rsidRPr="00603DDD">
        <w:rPr>
          <w:rFonts w:ascii="Times New Roman" w:hAnsi="Times New Roman" w:cs="Times New Roman"/>
          <w:sz w:val="24"/>
          <w:szCs w:val="24"/>
        </w:rPr>
        <w:t>британской BP</w:t>
      </w:r>
      <w:r w:rsidRPr="00201694">
        <w:rPr>
          <w:rFonts w:ascii="Times New Roman" w:hAnsi="Times New Roman" w:cs="Times New Roman"/>
          <w:sz w:val="24"/>
          <w:szCs w:val="24"/>
        </w:rPr>
        <w:t>. ТНК-ВР владеет, среди прочего, 95 процентами акций публичной компании ТНК-ВР Холдинг, а также около 50 процентами акций ОАО «НГК «</w:t>
      </w:r>
      <w:proofErr w:type="spellStart"/>
      <w:r w:rsidRPr="00201694">
        <w:rPr>
          <w:rFonts w:ascii="Times New Roman" w:hAnsi="Times New Roman" w:cs="Times New Roman"/>
          <w:sz w:val="24"/>
          <w:szCs w:val="24"/>
        </w:rPr>
        <w:t>Славнефть</w:t>
      </w:r>
      <w:proofErr w:type="spellEnd"/>
      <w:r w:rsidRPr="00201694">
        <w:rPr>
          <w:rFonts w:ascii="Times New Roman" w:hAnsi="Times New Roman" w:cs="Times New Roman"/>
          <w:sz w:val="24"/>
          <w:szCs w:val="24"/>
        </w:rPr>
        <w:t xml:space="preserve">», интегрированной российской нефтяной компании. ТНК-ВР является третьей крупнейшей нефтяной компанией России по добыче нефти, имеет около 50 тысяч сотрудников и работает практически во всех ключевых регионах добычи углеводородов в России, включая Западную </w:t>
      </w:r>
      <w:r w:rsidRPr="005B7CD9">
        <w:rPr>
          <w:rFonts w:ascii="Times New Roman" w:hAnsi="Times New Roman" w:cs="Times New Roman"/>
          <w:sz w:val="24"/>
          <w:szCs w:val="24"/>
        </w:rPr>
        <w:t>Сибирь, Волго-Уральский бассейн и Восточную Сибирь.</w:t>
      </w:r>
      <w:r>
        <w:rPr>
          <w:rStyle w:val="a7"/>
          <w:rFonts w:ascii="Times New Roman" w:hAnsi="Times New Roman" w:cs="Times New Roman"/>
          <w:sz w:val="24"/>
          <w:szCs w:val="24"/>
        </w:rPr>
        <w:footnoteReference w:id="33"/>
      </w:r>
    </w:p>
    <w:p w:rsidR="0059775B" w:rsidRDefault="0059775B" w:rsidP="0059775B">
      <w:pPr>
        <w:spacing w:line="360" w:lineRule="auto"/>
        <w:ind w:firstLine="567"/>
        <w:jc w:val="both"/>
        <w:rPr>
          <w:rFonts w:ascii="Times New Roman" w:hAnsi="Times New Roman" w:cs="Times New Roman"/>
          <w:sz w:val="24"/>
          <w:szCs w:val="24"/>
        </w:rPr>
      </w:pPr>
      <w:r w:rsidRPr="00571728">
        <w:rPr>
          <w:rFonts w:ascii="Times New Roman" w:hAnsi="Times New Roman" w:cs="Times New Roman"/>
          <w:sz w:val="24"/>
          <w:szCs w:val="24"/>
        </w:rPr>
        <w:t xml:space="preserve">В марте 2013 года </w:t>
      </w:r>
      <w:r w:rsidR="00C87D20">
        <w:rPr>
          <w:rFonts w:ascii="Times New Roman" w:hAnsi="Times New Roman" w:cs="Times New Roman"/>
          <w:sz w:val="24"/>
          <w:szCs w:val="24"/>
        </w:rPr>
        <w:t>крупнейшая</w:t>
      </w:r>
      <w:r>
        <w:rPr>
          <w:rFonts w:ascii="Times New Roman" w:hAnsi="Times New Roman" w:cs="Times New Roman"/>
          <w:sz w:val="24"/>
          <w:szCs w:val="24"/>
        </w:rPr>
        <w:t xml:space="preserve"> </w:t>
      </w:r>
      <w:r w:rsidR="00C87D20">
        <w:rPr>
          <w:rFonts w:ascii="Times New Roman" w:hAnsi="Times New Roman" w:cs="Times New Roman"/>
          <w:sz w:val="24"/>
          <w:szCs w:val="24"/>
        </w:rPr>
        <w:t xml:space="preserve">в нефтегазовой отрасли </w:t>
      </w:r>
      <w:r>
        <w:rPr>
          <w:rFonts w:ascii="Times New Roman" w:hAnsi="Times New Roman" w:cs="Times New Roman"/>
          <w:sz w:val="24"/>
          <w:szCs w:val="24"/>
        </w:rPr>
        <w:t>ком</w:t>
      </w:r>
      <w:r w:rsidRPr="00571728">
        <w:rPr>
          <w:rFonts w:ascii="Times New Roman" w:hAnsi="Times New Roman" w:cs="Times New Roman"/>
          <w:sz w:val="24"/>
          <w:szCs w:val="24"/>
        </w:rPr>
        <w:t>пания России ОАО «</w:t>
      </w:r>
      <w:r>
        <w:rPr>
          <w:rFonts w:ascii="Times New Roman" w:hAnsi="Times New Roman" w:cs="Times New Roman"/>
          <w:sz w:val="24"/>
          <w:szCs w:val="24"/>
        </w:rPr>
        <w:t xml:space="preserve">НК «Роснефть» закрыла сделку по </w:t>
      </w:r>
      <w:r w:rsidRPr="00571728">
        <w:rPr>
          <w:rFonts w:ascii="Times New Roman" w:hAnsi="Times New Roman" w:cs="Times New Roman"/>
          <w:sz w:val="24"/>
          <w:szCs w:val="24"/>
        </w:rPr>
        <w:t xml:space="preserve">приобретению </w:t>
      </w:r>
      <w:r>
        <w:rPr>
          <w:rFonts w:ascii="Times New Roman" w:hAnsi="Times New Roman" w:cs="Times New Roman"/>
          <w:sz w:val="24"/>
          <w:szCs w:val="24"/>
        </w:rPr>
        <w:t xml:space="preserve">100% акций частной нефтегазовой компании ТНК-ВР. Общая сумма денежных средств и </w:t>
      </w:r>
      <w:r w:rsidRPr="00571728">
        <w:rPr>
          <w:rFonts w:ascii="Times New Roman" w:hAnsi="Times New Roman" w:cs="Times New Roman"/>
          <w:sz w:val="24"/>
          <w:szCs w:val="24"/>
        </w:rPr>
        <w:t>ценных бумаг, пред</w:t>
      </w:r>
      <w:r>
        <w:rPr>
          <w:rFonts w:ascii="Times New Roman" w:hAnsi="Times New Roman" w:cs="Times New Roman"/>
          <w:sz w:val="24"/>
          <w:szCs w:val="24"/>
        </w:rPr>
        <w:t xml:space="preserve">ложенных за компанию, составила </w:t>
      </w:r>
      <w:r w:rsidRPr="00571728">
        <w:rPr>
          <w:rFonts w:ascii="Times New Roman" w:hAnsi="Times New Roman" w:cs="Times New Roman"/>
          <w:sz w:val="24"/>
          <w:szCs w:val="24"/>
        </w:rPr>
        <w:t xml:space="preserve">$55,3 млрд. Из них $27,5 </w:t>
      </w:r>
      <w:proofErr w:type="gramStart"/>
      <w:r>
        <w:rPr>
          <w:rFonts w:ascii="Times New Roman" w:hAnsi="Times New Roman" w:cs="Times New Roman"/>
          <w:sz w:val="24"/>
          <w:szCs w:val="24"/>
        </w:rPr>
        <w:t>млрд</w:t>
      </w:r>
      <w:proofErr w:type="gramEnd"/>
      <w:r>
        <w:rPr>
          <w:rFonts w:ascii="Times New Roman" w:hAnsi="Times New Roman" w:cs="Times New Roman"/>
          <w:sz w:val="24"/>
          <w:szCs w:val="24"/>
        </w:rPr>
        <w:t xml:space="preserve"> достались британской </w:t>
      </w:r>
      <w:r w:rsidRPr="00571728">
        <w:rPr>
          <w:rFonts w:ascii="Times New Roman" w:hAnsi="Times New Roman" w:cs="Times New Roman"/>
          <w:sz w:val="24"/>
          <w:szCs w:val="24"/>
        </w:rPr>
        <w:t>нефтяной компании ВР (с учетом 12,84% пакета акций</w:t>
      </w:r>
      <w:r>
        <w:rPr>
          <w:rFonts w:ascii="Times New Roman" w:hAnsi="Times New Roman" w:cs="Times New Roman"/>
          <w:sz w:val="24"/>
          <w:szCs w:val="24"/>
        </w:rPr>
        <w:t xml:space="preserve"> </w:t>
      </w:r>
      <w:r w:rsidRPr="00571728">
        <w:rPr>
          <w:rFonts w:ascii="Times New Roman" w:hAnsi="Times New Roman" w:cs="Times New Roman"/>
          <w:sz w:val="24"/>
          <w:szCs w:val="24"/>
        </w:rPr>
        <w:t xml:space="preserve">«Роснефти»), а $27,7 </w:t>
      </w:r>
      <w:r>
        <w:rPr>
          <w:rFonts w:ascii="Times New Roman" w:hAnsi="Times New Roman" w:cs="Times New Roman"/>
          <w:sz w:val="24"/>
          <w:szCs w:val="24"/>
        </w:rPr>
        <w:t>млрд — второму владельцу ТНК-BP к</w:t>
      </w:r>
      <w:r w:rsidRPr="00544666">
        <w:rPr>
          <w:rFonts w:ascii="Times New Roman" w:hAnsi="Times New Roman" w:cs="Times New Roman"/>
          <w:sz w:val="24"/>
          <w:szCs w:val="24"/>
        </w:rPr>
        <w:t>онсорциум</w:t>
      </w:r>
      <w:r>
        <w:rPr>
          <w:rFonts w:ascii="Times New Roman" w:hAnsi="Times New Roman" w:cs="Times New Roman"/>
          <w:sz w:val="24"/>
          <w:szCs w:val="24"/>
        </w:rPr>
        <w:t>у</w:t>
      </w:r>
      <w:r w:rsidRPr="00544666">
        <w:rPr>
          <w:rFonts w:ascii="Times New Roman" w:hAnsi="Times New Roman" w:cs="Times New Roman"/>
          <w:sz w:val="24"/>
          <w:szCs w:val="24"/>
        </w:rPr>
        <w:t xml:space="preserve"> </w:t>
      </w:r>
      <w:r w:rsidRPr="0000717F">
        <w:rPr>
          <w:rFonts w:ascii="Times New Roman" w:hAnsi="Times New Roman" w:cs="Times New Roman"/>
          <w:sz w:val="24"/>
          <w:szCs w:val="24"/>
        </w:rPr>
        <w:t xml:space="preserve">ААР («Альфа-Групп», </w:t>
      </w:r>
      <w:proofErr w:type="spellStart"/>
      <w:r w:rsidRPr="0000717F">
        <w:rPr>
          <w:rFonts w:ascii="Times New Roman" w:hAnsi="Times New Roman" w:cs="Times New Roman"/>
          <w:sz w:val="24"/>
          <w:szCs w:val="24"/>
        </w:rPr>
        <w:t>Access</w:t>
      </w:r>
      <w:proofErr w:type="spellEnd"/>
      <w:r w:rsidRPr="0000717F">
        <w:rPr>
          <w:rFonts w:ascii="Times New Roman" w:hAnsi="Times New Roman" w:cs="Times New Roman"/>
          <w:sz w:val="24"/>
          <w:szCs w:val="24"/>
        </w:rPr>
        <w:t xml:space="preserve"> </w:t>
      </w:r>
      <w:proofErr w:type="spellStart"/>
      <w:r w:rsidRPr="0000717F">
        <w:rPr>
          <w:rFonts w:ascii="Times New Roman" w:hAnsi="Times New Roman" w:cs="Times New Roman"/>
          <w:sz w:val="24"/>
          <w:szCs w:val="24"/>
        </w:rPr>
        <w:t>Industries</w:t>
      </w:r>
      <w:proofErr w:type="spellEnd"/>
      <w:r w:rsidRPr="0000717F">
        <w:rPr>
          <w:rFonts w:ascii="Times New Roman" w:hAnsi="Times New Roman" w:cs="Times New Roman"/>
          <w:sz w:val="24"/>
          <w:szCs w:val="24"/>
        </w:rPr>
        <w:t xml:space="preserve"> и Группа Компаний «</w:t>
      </w:r>
      <w:proofErr w:type="spellStart"/>
      <w:r w:rsidRPr="0000717F">
        <w:rPr>
          <w:rFonts w:ascii="Times New Roman" w:hAnsi="Times New Roman" w:cs="Times New Roman"/>
          <w:sz w:val="24"/>
          <w:szCs w:val="24"/>
        </w:rPr>
        <w:t>Ренова</w:t>
      </w:r>
      <w:proofErr w:type="spellEnd"/>
      <w:r w:rsidRPr="0000717F">
        <w:rPr>
          <w:rFonts w:ascii="Times New Roman" w:hAnsi="Times New Roman" w:cs="Times New Roman"/>
          <w:sz w:val="24"/>
          <w:szCs w:val="24"/>
        </w:rPr>
        <w:t>»)</w:t>
      </w:r>
      <w:r>
        <w:rPr>
          <w:rFonts w:ascii="Times New Roman" w:hAnsi="Times New Roman" w:cs="Times New Roman"/>
          <w:sz w:val="24"/>
          <w:szCs w:val="24"/>
        </w:rPr>
        <w:t xml:space="preserve">. В рамках достигнутых соглашений </w:t>
      </w:r>
      <w:r w:rsidRPr="00571728">
        <w:rPr>
          <w:rFonts w:ascii="Times New Roman" w:hAnsi="Times New Roman" w:cs="Times New Roman"/>
          <w:sz w:val="24"/>
          <w:szCs w:val="24"/>
        </w:rPr>
        <w:t>ВР также приобрела 5,</w:t>
      </w:r>
      <w:r>
        <w:rPr>
          <w:rFonts w:ascii="Times New Roman" w:hAnsi="Times New Roman" w:cs="Times New Roman"/>
          <w:sz w:val="24"/>
          <w:szCs w:val="24"/>
        </w:rPr>
        <w:t>66% акций «Роснефти» у государ</w:t>
      </w:r>
      <w:r w:rsidRPr="00571728">
        <w:rPr>
          <w:rFonts w:ascii="Times New Roman" w:hAnsi="Times New Roman" w:cs="Times New Roman"/>
          <w:sz w:val="24"/>
          <w:szCs w:val="24"/>
        </w:rPr>
        <w:t>ственного ОАО «</w:t>
      </w:r>
      <w:proofErr w:type="spellStart"/>
      <w:r w:rsidRPr="00571728">
        <w:rPr>
          <w:rFonts w:ascii="Times New Roman" w:hAnsi="Times New Roman" w:cs="Times New Roman"/>
          <w:sz w:val="24"/>
          <w:szCs w:val="24"/>
        </w:rPr>
        <w:t>Роснефтега</w:t>
      </w:r>
      <w:r>
        <w:rPr>
          <w:rFonts w:ascii="Times New Roman" w:hAnsi="Times New Roman" w:cs="Times New Roman"/>
          <w:sz w:val="24"/>
          <w:szCs w:val="24"/>
        </w:rPr>
        <w:t>з</w:t>
      </w:r>
      <w:proofErr w:type="spellEnd"/>
      <w:r>
        <w:rPr>
          <w:rFonts w:ascii="Times New Roman" w:hAnsi="Times New Roman" w:cs="Times New Roman"/>
          <w:sz w:val="24"/>
          <w:szCs w:val="24"/>
        </w:rPr>
        <w:t xml:space="preserve">» за $4,87 млрд. </w:t>
      </w:r>
      <w:r w:rsidRPr="00571728">
        <w:rPr>
          <w:rFonts w:ascii="Times New Roman" w:hAnsi="Times New Roman" w:cs="Times New Roman"/>
          <w:sz w:val="24"/>
          <w:szCs w:val="24"/>
        </w:rPr>
        <w:t xml:space="preserve">В результате ВР </w:t>
      </w:r>
      <w:r>
        <w:rPr>
          <w:rFonts w:ascii="Times New Roman" w:hAnsi="Times New Roman" w:cs="Times New Roman"/>
          <w:sz w:val="24"/>
          <w:szCs w:val="24"/>
        </w:rPr>
        <w:t>стала крупнейшим после государ</w:t>
      </w:r>
      <w:r w:rsidRPr="00571728">
        <w:rPr>
          <w:rFonts w:ascii="Times New Roman" w:hAnsi="Times New Roman" w:cs="Times New Roman"/>
          <w:sz w:val="24"/>
          <w:szCs w:val="24"/>
        </w:rPr>
        <w:t xml:space="preserve">ства акционером </w:t>
      </w:r>
      <w:r>
        <w:rPr>
          <w:rFonts w:ascii="Times New Roman" w:hAnsi="Times New Roman" w:cs="Times New Roman"/>
          <w:sz w:val="24"/>
          <w:szCs w:val="24"/>
        </w:rPr>
        <w:t xml:space="preserve">«Роснефти» с долей 19,75% акций </w:t>
      </w:r>
      <w:r w:rsidRPr="00571728">
        <w:rPr>
          <w:rFonts w:ascii="Times New Roman" w:hAnsi="Times New Roman" w:cs="Times New Roman"/>
          <w:sz w:val="24"/>
          <w:szCs w:val="24"/>
        </w:rPr>
        <w:t>Компании (до сделки</w:t>
      </w:r>
      <w:r>
        <w:rPr>
          <w:rFonts w:ascii="Times New Roman" w:hAnsi="Times New Roman" w:cs="Times New Roman"/>
          <w:sz w:val="24"/>
          <w:szCs w:val="24"/>
        </w:rPr>
        <w:t xml:space="preserve"> ВР владела 1,25% акций) и пра</w:t>
      </w:r>
      <w:r w:rsidRPr="00571728">
        <w:rPr>
          <w:rFonts w:ascii="Times New Roman" w:hAnsi="Times New Roman" w:cs="Times New Roman"/>
          <w:sz w:val="24"/>
          <w:szCs w:val="24"/>
        </w:rPr>
        <w:t>вом выдвигать кандид</w:t>
      </w:r>
      <w:r>
        <w:rPr>
          <w:rFonts w:ascii="Times New Roman" w:hAnsi="Times New Roman" w:cs="Times New Roman"/>
          <w:sz w:val="24"/>
          <w:szCs w:val="24"/>
        </w:rPr>
        <w:t>атов в члены совета директоров.</w:t>
      </w:r>
      <w:r>
        <w:rPr>
          <w:rStyle w:val="a7"/>
          <w:rFonts w:ascii="Times New Roman" w:hAnsi="Times New Roman" w:cs="Times New Roman"/>
          <w:sz w:val="24"/>
          <w:szCs w:val="24"/>
        </w:rPr>
        <w:footnoteReference w:id="34"/>
      </w:r>
    </w:p>
    <w:p w:rsidR="0059775B" w:rsidRDefault="0059775B" w:rsidP="0059775B">
      <w:pPr>
        <w:spacing w:line="360" w:lineRule="auto"/>
        <w:ind w:firstLine="567"/>
        <w:jc w:val="both"/>
        <w:rPr>
          <w:rFonts w:ascii="Times New Roman" w:hAnsi="Times New Roman" w:cs="Times New Roman"/>
          <w:sz w:val="24"/>
          <w:szCs w:val="24"/>
        </w:rPr>
      </w:pPr>
      <w:r w:rsidRPr="00571728">
        <w:rPr>
          <w:rFonts w:ascii="Times New Roman" w:hAnsi="Times New Roman" w:cs="Times New Roman"/>
          <w:sz w:val="24"/>
          <w:szCs w:val="24"/>
        </w:rPr>
        <w:t>Участники сделк</w:t>
      </w:r>
      <w:r>
        <w:rPr>
          <w:rFonts w:ascii="Times New Roman" w:hAnsi="Times New Roman" w:cs="Times New Roman"/>
          <w:sz w:val="24"/>
          <w:szCs w:val="24"/>
        </w:rPr>
        <w:t xml:space="preserve">и и </w:t>
      </w:r>
      <w:r w:rsidR="00C87D20">
        <w:rPr>
          <w:rFonts w:ascii="Times New Roman" w:hAnsi="Times New Roman" w:cs="Times New Roman"/>
          <w:sz w:val="24"/>
          <w:szCs w:val="24"/>
        </w:rPr>
        <w:t>эксперты сошлись во мнении</w:t>
      </w:r>
      <w:r w:rsidRPr="00571728">
        <w:rPr>
          <w:rFonts w:ascii="Times New Roman" w:hAnsi="Times New Roman" w:cs="Times New Roman"/>
          <w:sz w:val="24"/>
          <w:szCs w:val="24"/>
        </w:rPr>
        <w:t>, что сдел</w:t>
      </w:r>
      <w:r w:rsidR="00C87D20">
        <w:rPr>
          <w:rFonts w:ascii="Times New Roman" w:hAnsi="Times New Roman" w:cs="Times New Roman"/>
          <w:sz w:val="24"/>
          <w:szCs w:val="24"/>
        </w:rPr>
        <w:t>ка в значительной степени</w:t>
      </w:r>
      <w:r>
        <w:rPr>
          <w:rFonts w:ascii="Times New Roman" w:hAnsi="Times New Roman" w:cs="Times New Roman"/>
          <w:sz w:val="24"/>
          <w:szCs w:val="24"/>
        </w:rPr>
        <w:t xml:space="preserve"> укрепила значе</w:t>
      </w:r>
      <w:r w:rsidRPr="00571728">
        <w:rPr>
          <w:rFonts w:ascii="Times New Roman" w:hAnsi="Times New Roman" w:cs="Times New Roman"/>
          <w:sz w:val="24"/>
          <w:szCs w:val="24"/>
        </w:rPr>
        <w:t>ние России на ме</w:t>
      </w:r>
      <w:r>
        <w:rPr>
          <w:rFonts w:ascii="Times New Roman" w:hAnsi="Times New Roman" w:cs="Times New Roman"/>
          <w:sz w:val="24"/>
          <w:szCs w:val="24"/>
        </w:rPr>
        <w:t xml:space="preserve">ждународном рынке </w:t>
      </w:r>
      <w:r w:rsidR="00C87D20">
        <w:rPr>
          <w:rFonts w:ascii="Times New Roman" w:hAnsi="Times New Roman" w:cs="Times New Roman"/>
          <w:sz w:val="24"/>
          <w:szCs w:val="24"/>
        </w:rPr>
        <w:t>нефти и газа</w:t>
      </w:r>
      <w:r w:rsidRPr="00571728">
        <w:rPr>
          <w:rFonts w:ascii="Times New Roman" w:hAnsi="Times New Roman" w:cs="Times New Roman"/>
          <w:sz w:val="24"/>
          <w:szCs w:val="24"/>
        </w:rPr>
        <w:t xml:space="preserve"> и в целом на пол</w:t>
      </w:r>
      <w:r w:rsidR="00C87D20">
        <w:rPr>
          <w:rFonts w:ascii="Times New Roman" w:hAnsi="Times New Roman" w:cs="Times New Roman"/>
          <w:sz w:val="24"/>
          <w:szCs w:val="24"/>
        </w:rPr>
        <w:t>итической арене.</w:t>
      </w:r>
    </w:p>
    <w:p w:rsidR="00C87D20" w:rsidRPr="00361617" w:rsidRDefault="00C87D20" w:rsidP="0059775B">
      <w:pPr>
        <w:spacing w:line="360" w:lineRule="auto"/>
        <w:ind w:firstLine="567"/>
        <w:jc w:val="both"/>
        <w:rPr>
          <w:rFonts w:ascii="Times New Roman" w:hAnsi="Times New Roman" w:cs="Times New Roman"/>
          <w:sz w:val="24"/>
          <w:szCs w:val="24"/>
        </w:rPr>
      </w:pPr>
    </w:p>
    <w:p w:rsidR="0059775B" w:rsidRPr="00662F92" w:rsidRDefault="0059775B" w:rsidP="0059775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Хронология событий</w:t>
      </w:r>
    </w:p>
    <w:p w:rsidR="0059775B" w:rsidRPr="00DB2FB3" w:rsidRDefault="0059775B" w:rsidP="0059775B">
      <w:pPr>
        <w:spacing w:line="360" w:lineRule="auto"/>
        <w:ind w:firstLine="567"/>
        <w:jc w:val="both"/>
        <w:rPr>
          <w:rFonts w:ascii="Times New Roman" w:hAnsi="Times New Roman" w:cs="Times New Roman"/>
          <w:sz w:val="24"/>
          <w:szCs w:val="24"/>
        </w:rPr>
      </w:pPr>
      <w:r w:rsidRPr="00DB2FB3">
        <w:rPr>
          <w:rFonts w:ascii="Times New Roman" w:hAnsi="Times New Roman" w:cs="Times New Roman"/>
          <w:sz w:val="24"/>
          <w:szCs w:val="24"/>
        </w:rPr>
        <w:t>В ию</w:t>
      </w:r>
      <w:r>
        <w:rPr>
          <w:rFonts w:ascii="Times New Roman" w:hAnsi="Times New Roman" w:cs="Times New Roman"/>
          <w:sz w:val="24"/>
          <w:szCs w:val="24"/>
        </w:rPr>
        <w:t>ле 2012 года ВР заявила, что собирается</w:t>
      </w:r>
      <w:r w:rsidRPr="00DB2FB3">
        <w:rPr>
          <w:rFonts w:ascii="Times New Roman" w:hAnsi="Times New Roman" w:cs="Times New Roman"/>
          <w:sz w:val="24"/>
          <w:szCs w:val="24"/>
        </w:rPr>
        <w:t xml:space="preserve"> продать долю в ТНК-ВР. НК</w:t>
      </w:r>
      <w:r>
        <w:rPr>
          <w:rFonts w:ascii="Times New Roman" w:hAnsi="Times New Roman" w:cs="Times New Roman"/>
          <w:sz w:val="24"/>
          <w:szCs w:val="24"/>
        </w:rPr>
        <w:t xml:space="preserve"> «Роснефть» первой выразила желание заключить сделку и уведомила</w:t>
      </w:r>
      <w:r w:rsidRPr="00DB2FB3">
        <w:rPr>
          <w:rFonts w:ascii="Times New Roman" w:hAnsi="Times New Roman" w:cs="Times New Roman"/>
          <w:sz w:val="24"/>
          <w:szCs w:val="24"/>
        </w:rPr>
        <w:t xml:space="preserve"> BP о своей заинтересованности в возможном приобрете</w:t>
      </w:r>
      <w:r>
        <w:rPr>
          <w:rFonts w:ascii="Times New Roman" w:hAnsi="Times New Roman" w:cs="Times New Roman"/>
          <w:sz w:val="24"/>
          <w:szCs w:val="24"/>
        </w:rPr>
        <w:t>нии указанной доли. В конечном итоге</w:t>
      </w:r>
      <w:r w:rsidRPr="00DB2FB3">
        <w:rPr>
          <w:rFonts w:ascii="Times New Roman" w:hAnsi="Times New Roman" w:cs="Times New Roman"/>
          <w:sz w:val="24"/>
          <w:szCs w:val="24"/>
        </w:rPr>
        <w:t xml:space="preserve"> стороны договорились приступить к переговорам по данному вопросу и подписали соглашение о конфиденциальности</w:t>
      </w:r>
      <w:r>
        <w:rPr>
          <w:rFonts w:ascii="Times New Roman" w:hAnsi="Times New Roman" w:cs="Times New Roman"/>
          <w:sz w:val="24"/>
          <w:szCs w:val="24"/>
        </w:rPr>
        <w:t>. НК «Роснефть» была проинформирована</w:t>
      </w:r>
      <w:r w:rsidRPr="00DB2FB3">
        <w:rPr>
          <w:rFonts w:ascii="Times New Roman" w:hAnsi="Times New Roman" w:cs="Times New Roman"/>
          <w:sz w:val="24"/>
          <w:szCs w:val="24"/>
        </w:rPr>
        <w:t>, что иные акционеры ТНК-</w:t>
      </w:r>
      <w:proofErr w:type="gramStart"/>
      <w:r w:rsidRPr="00DB2FB3">
        <w:rPr>
          <w:rFonts w:ascii="Times New Roman" w:hAnsi="Times New Roman" w:cs="Times New Roman"/>
          <w:sz w:val="24"/>
          <w:szCs w:val="24"/>
        </w:rPr>
        <w:t>BP</w:t>
      </w:r>
      <w:proofErr w:type="gramEnd"/>
      <w:r w:rsidRPr="00DB2FB3">
        <w:rPr>
          <w:rFonts w:ascii="Times New Roman" w:hAnsi="Times New Roman" w:cs="Times New Roman"/>
          <w:sz w:val="24"/>
          <w:szCs w:val="24"/>
        </w:rPr>
        <w:t xml:space="preserve"> также объявили о своей заинтересованности в приобретении всей или части доли компании BP в ТНК-BP и что</w:t>
      </w:r>
      <w:r>
        <w:rPr>
          <w:rFonts w:ascii="Times New Roman" w:hAnsi="Times New Roman" w:cs="Times New Roman"/>
          <w:sz w:val="24"/>
          <w:szCs w:val="24"/>
        </w:rPr>
        <w:t>,</w:t>
      </w:r>
      <w:r w:rsidRPr="00DB2FB3">
        <w:rPr>
          <w:rFonts w:ascii="Times New Roman" w:hAnsi="Times New Roman" w:cs="Times New Roman"/>
          <w:sz w:val="24"/>
          <w:szCs w:val="24"/>
        </w:rPr>
        <w:t xml:space="preserve"> в соответствии с акционерным соглашением</w:t>
      </w:r>
      <w:r>
        <w:rPr>
          <w:rFonts w:ascii="Times New Roman" w:hAnsi="Times New Roman" w:cs="Times New Roman"/>
          <w:sz w:val="24"/>
          <w:szCs w:val="24"/>
        </w:rPr>
        <w:t>,</w:t>
      </w:r>
      <w:r w:rsidRPr="00DB2FB3">
        <w:rPr>
          <w:rFonts w:ascii="Times New Roman" w:hAnsi="Times New Roman" w:cs="Times New Roman"/>
          <w:sz w:val="24"/>
          <w:szCs w:val="24"/>
        </w:rPr>
        <w:t xml:space="preserve"> компания BP обязана провести с ними добросовестные переговоры. НК «Роснефть» считала, что приобретение доли BP в T</w:t>
      </w:r>
      <w:proofErr w:type="gramStart"/>
      <w:r w:rsidRPr="00DB2FB3">
        <w:rPr>
          <w:rFonts w:ascii="Times New Roman" w:hAnsi="Times New Roman" w:cs="Times New Roman"/>
          <w:sz w:val="24"/>
          <w:szCs w:val="24"/>
        </w:rPr>
        <w:t>НК</w:t>
      </w:r>
      <w:proofErr w:type="gramEnd"/>
      <w:r w:rsidRPr="00DB2FB3">
        <w:rPr>
          <w:rFonts w:ascii="Times New Roman" w:hAnsi="Times New Roman" w:cs="Times New Roman"/>
          <w:sz w:val="24"/>
          <w:szCs w:val="24"/>
        </w:rPr>
        <w:t>-BP будет отвечать интересам как акционеров компании «Роснефть», так и акционеров BP и будет направлено на дальнейшее развитие ТНК-BP.</w:t>
      </w:r>
    </w:p>
    <w:p w:rsidR="0059775B" w:rsidRPr="00FA1D14" w:rsidRDefault="0059775B" w:rsidP="0059775B">
      <w:pPr>
        <w:pStyle w:val="a9"/>
        <w:shd w:val="clear" w:color="auto" w:fill="FFFFFF"/>
        <w:spacing w:before="300" w:beforeAutospacing="0" w:after="300" w:afterAutospacing="0" w:line="360" w:lineRule="auto"/>
        <w:ind w:firstLine="567"/>
        <w:jc w:val="both"/>
        <w:rPr>
          <w:color w:val="000000"/>
        </w:rPr>
      </w:pPr>
      <w:r w:rsidRPr="00DB2FB3">
        <w:t xml:space="preserve">22 Октября 2012 г. </w:t>
      </w:r>
      <w:r>
        <w:rPr>
          <w:color w:val="000000"/>
        </w:rPr>
        <w:t>ОАО «НК «Роснефть» объявила</w:t>
      </w:r>
      <w:r w:rsidRPr="00DB2FB3">
        <w:rPr>
          <w:color w:val="000000"/>
        </w:rPr>
        <w:t xml:space="preserve"> о п</w:t>
      </w:r>
      <w:r>
        <w:rPr>
          <w:color w:val="000000"/>
        </w:rPr>
        <w:t xml:space="preserve">одписании </w:t>
      </w:r>
      <w:r w:rsidR="00603DDD">
        <w:rPr>
          <w:color w:val="000000"/>
        </w:rPr>
        <w:t xml:space="preserve">с </w:t>
      </w:r>
      <w:r w:rsidR="00603DDD">
        <w:rPr>
          <w:color w:val="000000"/>
          <w:lang w:val="en-US"/>
        </w:rPr>
        <w:t>British</w:t>
      </w:r>
      <w:r w:rsidR="00603DDD" w:rsidRPr="00603DDD">
        <w:rPr>
          <w:color w:val="000000"/>
        </w:rPr>
        <w:t xml:space="preserve"> </w:t>
      </w:r>
      <w:r w:rsidR="00603DDD">
        <w:rPr>
          <w:color w:val="000000"/>
          <w:lang w:val="en-US"/>
        </w:rPr>
        <w:t>Petroleum</w:t>
      </w:r>
      <w:r w:rsidR="00603DDD" w:rsidRPr="00603DDD">
        <w:rPr>
          <w:color w:val="000000"/>
        </w:rPr>
        <w:t xml:space="preserve"> </w:t>
      </w:r>
      <w:r w:rsidR="00603DDD">
        <w:rPr>
          <w:color w:val="000000"/>
        </w:rPr>
        <w:t xml:space="preserve">соглашения </w:t>
      </w:r>
      <w:r>
        <w:rPr>
          <w:color w:val="000000"/>
        </w:rPr>
        <w:t>о первоначальных</w:t>
      </w:r>
      <w:r w:rsidR="00603DDD">
        <w:rPr>
          <w:color w:val="000000"/>
        </w:rPr>
        <w:t xml:space="preserve"> условиях сделки о покупке</w:t>
      </w:r>
      <w:r w:rsidRPr="00DB2FB3">
        <w:rPr>
          <w:color w:val="000000"/>
        </w:rPr>
        <w:t xml:space="preserve"> 50-процентной доли в ТНК-ВР в обмен на 17,1 </w:t>
      </w:r>
      <w:proofErr w:type="gramStart"/>
      <w:r w:rsidRPr="00DB2FB3">
        <w:rPr>
          <w:color w:val="000000"/>
        </w:rPr>
        <w:t>млрд</w:t>
      </w:r>
      <w:proofErr w:type="gramEnd"/>
      <w:r w:rsidRPr="00DB2FB3">
        <w:rPr>
          <w:color w:val="000000"/>
        </w:rPr>
        <w:t xml:space="preserve"> долл. денежных сре</w:t>
      </w:r>
      <w:r>
        <w:rPr>
          <w:color w:val="000000"/>
        </w:rPr>
        <w:t xml:space="preserve">дств и 12,84% акций «Роснефти». </w:t>
      </w:r>
      <w:r w:rsidRPr="001E7F32">
        <w:rPr>
          <w:color w:val="000000"/>
        </w:rPr>
        <w:t>В связи с</w:t>
      </w:r>
      <w:r w:rsidRPr="00FA1D14">
        <w:rPr>
          <w:color w:val="000000"/>
        </w:rPr>
        <w:t xml:space="preserve"> предполагаемой сделкой, ВР также сделала предложение о выкупе дополнительных 600 </w:t>
      </w:r>
      <w:proofErr w:type="gramStart"/>
      <w:r w:rsidRPr="00FA1D14">
        <w:rPr>
          <w:color w:val="000000"/>
        </w:rPr>
        <w:t>млн</w:t>
      </w:r>
      <w:proofErr w:type="gramEnd"/>
      <w:r w:rsidRPr="00FA1D14">
        <w:rPr>
          <w:color w:val="000000"/>
        </w:rPr>
        <w:t xml:space="preserve"> акций НК «Роснефть», составляющих долю в 5,66% в «Роснефти», у ее материнской компании ОАО «</w:t>
      </w:r>
      <w:proofErr w:type="spellStart"/>
      <w:r w:rsidRPr="00FA1D14">
        <w:rPr>
          <w:color w:val="000000"/>
        </w:rPr>
        <w:t>Роснефтегаз</w:t>
      </w:r>
      <w:proofErr w:type="spellEnd"/>
      <w:r w:rsidRPr="00FA1D14">
        <w:rPr>
          <w:color w:val="000000"/>
        </w:rPr>
        <w:t>», по цене 8,00 долл. за</w:t>
      </w:r>
      <w:r w:rsidRPr="001E7F32">
        <w:rPr>
          <w:color w:val="000000"/>
        </w:rPr>
        <w:t xml:space="preserve"> акцию.</w:t>
      </w:r>
      <w:r>
        <w:rPr>
          <w:rStyle w:val="a7"/>
          <w:color w:val="000000"/>
        </w:rPr>
        <w:footnoteReference w:id="35"/>
      </w:r>
    </w:p>
    <w:p w:rsidR="0059775B" w:rsidRPr="001E7F32" w:rsidRDefault="0059775B" w:rsidP="0059775B">
      <w:pPr>
        <w:shd w:val="clear" w:color="auto" w:fill="FFFFFF"/>
        <w:spacing w:before="300" w:after="300" w:line="360" w:lineRule="auto"/>
        <w:ind w:firstLine="567"/>
        <w:jc w:val="both"/>
        <w:rPr>
          <w:rFonts w:ascii="Times New Roman" w:eastAsia="Times New Roman" w:hAnsi="Times New Roman" w:cs="Times New Roman"/>
          <w:color w:val="000000"/>
          <w:sz w:val="24"/>
          <w:szCs w:val="24"/>
          <w:lang w:eastAsia="ru-RU"/>
        </w:rPr>
      </w:pPr>
      <w:r w:rsidRPr="00FA1D14">
        <w:rPr>
          <w:rFonts w:ascii="Times New Roman" w:eastAsia="Times New Roman" w:hAnsi="Times New Roman" w:cs="Times New Roman"/>
          <w:color w:val="000000"/>
          <w:sz w:val="24"/>
          <w:szCs w:val="24"/>
          <w:lang w:eastAsia="ru-RU"/>
        </w:rPr>
        <w:t xml:space="preserve">«Роснефть» и BP вступили </w:t>
      </w:r>
      <w:r>
        <w:rPr>
          <w:rFonts w:ascii="Times New Roman" w:eastAsia="Times New Roman" w:hAnsi="Times New Roman" w:cs="Times New Roman"/>
          <w:color w:val="000000"/>
          <w:sz w:val="24"/>
          <w:szCs w:val="24"/>
          <w:lang w:eastAsia="ru-RU"/>
        </w:rPr>
        <w:t>в 90-дневный период</w:t>
      </w:r>
      <w:r w:rsidRPr="00FA1D14">
        <w:rPr>
          <w:rFonts w:ascii="Times New Roman" w:eastAsia="Times New Roman" w:hAnsi="Times New Roman" w:cs="Times New Roman"/>
          <w:color w:val="000000"/>
          <w:sz w:val="24"/>
          <w:szCs w:val="24"/>
          <w:lang w:eastAsia="ru-RU"/>
        </w:rPr>
        <w:t xml:space="preserve"> переговоров</w:t>
      </w:r>
      <w:r>
        <w:rPr>
          <w:rFonts w:ascii="Times New Roman" w:eastAsia="Times New Roman" w:hAnsi="Times New Roman" w:cs="Times New Roman"/>
          <w:color w:val="000000"/>
          <w:sz w:val="24"/>
          <w:szCs w:val="24"/>
          <w:lang w:eastAsia="ru-RU"/>
        </w:rPr>
        <w:t>, итогом которых должно было стать подписание</w:t>
      </w:r>
      <w:r w:rsidRPr="00FA1D14">
        <w:rPr>
          <w:rFonts w:ascii="Times New Roman" w:eastAsia="Times New Roman" w:hAnsi="Times New Roman" w:cs="Times New Roman"/>
          <w:color w:val="000000"/>
          <w:sz w:val="24"/>
          <w:szCs w:val="24"/>
          <w:lang w:eastAsia="ru-RU"/>
        </w:rPr>
        <w:t xml:space="preserve"> окончательного договора купли-продажи в отношении ТНК-</w:t>
      </w:r>
      <w:proofErr w:type="gramStart"/>
      <w:r w:rsidRPr="00FA1D14">
        <w:rPr>
          <w:rFonts w:ascii="Times New Roman" w:eastAsia="Times New Roman" w:hAnsi="Times New Roman" w:cs="Times New Roman"/>
          <w:color w:val="000000"/>
          <w:sz w:val="24"/>
          <w:szCs w:val="24"/>
          <w:lang w:eastAsia="ru-RU"/>
        </w:rPr>
        <w:t>BP</w:t>
      </w:r>
      <w:proofErr w:type="gramEnd"/>
      <w:r w:rsidRPr="00FA1D14">
        <w:rPr>
          <w:rFonts w:ascii="Times New Roman" w:eastAsia="Times New Roman" w:hAnsi="Times New Roman" w:cs="Times New Roman"/>
          <w:color w:val="000000"/>
          <w:sz w:val="24"/>
          <w:szCs w:val="24"/>
          <w:lang w:eastAsia="ru-RU"/>
        </w:rPr>
        <w:t>. Подписание окончательной документ</w:t>
      </w:r>
      <w:r w:rsidRPr="001E7F32">
        <w:rPr>
          <w:rFonts w:ascii="Times New Roman" w:eastAsia="Times New Roman" w:hAnsi="Times New Roman" w:cs="Times New Roman"/>
          <w:color w:val="000000"/>
          <w:sz w:val="24"/>
          <w:szCs w:val="24"/>
          <w:lang w:eastAsia="ru-RU"/>
        </w:rPr>
        <w:t>ации стало</w:t>
      </w:r>
      <w:r w:rsidRPr="00FA1D14">
        <w:rPr>
          <w:rFonts w:ascii="Times New Roman" w:eastAsia="Times New Roman" w:hAnsi="Times New Roman" w:cs="Times New Roman"/>
          <w:color w:val="000000"/>
          <w:sz w:val="24"/>
          <w:szCs w:val="24"/>
          <w:lang w:eastAsia="ru-RU"/>
        </w:rPr>
        <w:t xml:space="preserve"> возможным после получения одобрения продажи 600 </w:t>
      </w:r>
      <w:proofErr w:type="gramStart"/>
      <w:r w:rsidRPr="00FA1D14">
        <w:rPr>
          <w:rFonts w:ascii="Times New Roman" w:eastAsia="Times New Roman" w:hAnsi="Times New Roman" w:cs="Times New Roman"/>
          <w:color w:val="000000"/>
          <w:sz w:val="24"/>
          <w:szCs w:val="24"/>
          <w:lang w:eastAsia="ru-RU"/>
        </w:rPr>
        <w:t>млн</w:t>
      </w:r>
      <w:proofErr w:type="gramEnd"/>
      <w:r w:rsidRPr="00FA1D14">
        <w:rPr>
          <w:rFonts w:ascii="Times New Roman" w:eastAsia="Times New Roman" w:hAnsi="Times New Roman" w:cs="Times New Roman"/>
          <w:color w:val="000000"/>
          <w:sz w:val="24"/>
          <w:szCs w:val="24"/>
          <w:lang w:eastAsia="ru-RU"/>
        </w:rPr>
        <w:t xml:space="preserve"> обыкновенных акций «Роснефти» «</w:t>
      </w:r>
      <w:proofErr w:type="spellStart"/>
      <w:r w:rsidRPr="00FA1D14">
        <w:rPr>
          <w:rFonts w:ascii="Times New Roman" w:eastAsia="Times New Roman" w:hAnsi="Times New Roman" w:cs="Times New Roman"/>
          <w:color w:val="000000"/>
          <w:sz w:val="24"/>
          <w:szCs w:val="24"/>
          <w:lang w:eastAsia="ru-RU"/>
        </w:rPr>
        <w:t>Роснефтегазом</w:t>
      </w:r>
      <w:proofErr w:type="spellEnd"/>
      <w:r w:rsidRPr="00FA1D14">
        <w:rPr>
          <w:rFonts w:ascii="Times New Roman" w:eastAsia="Times New Roman" w:hAnsi="Times New Roman" w:cs="Times New Roman"/>
          <w:color w:val="000000"/>
          <w:sz w:val="24"/>
          <w:szCs w:val="24"/>
          <w:lang w:eastAsia="ru-RU"/>
        </w:rPr>
        <w:t>», а также окончательных одобрений сделки с ТНК-ВР советами директоро</w:t>
      </w:r>
      <w:r>
        <w:rPr>
          <w:rFonts w:ascii="Times New Roman" w:eastAsia="Times New Roman" w:hAnsi="Times New Roman" w:cs="Times New Roman"/>
          <w:color w:val="000000"/>
          <w:sz w:val="24"/>
          <w:szCs w:val="24"/>
          <w:lang w:eastAsia="ru-RU"/>
        </w:rPr>
        <w:t>в «Роснефти» и ВР. К тому же</w:t>
      </w:r>
      <w:r w:rsidRPr="00FA1D14">
        <w:rPr>
          <w:rFonts w:ascii="Times New Roman" w:eastAsia="Times New Roman" w:hAnsi="Times New Roman" w:cs="Times New Roman"/>
          <w:color w:val="000000"/>
          <w:sz w:val="24"/>
          <w:szCs w:val="24"/>
          <w:lang w:eastAsia="ru-RU"/>
        </w:rPr>
        <w:t xml:space="preserve"> завершен</w:t>
      </w:r>
      <w:r w:rsidRPr="001E7F32">
        <w:rPr>
          <w:rFonts w:ascii="Times New Roman" w:eastAsia="Times New Roman" w:hAnsi="Times New Roman" w:cs="Times New Roman"/>
          <w:color w:val="000000"/>
          <w:sz w:val="24"/>
          <w:szCs w:val="24"/>
          <w:lang w:eastAsia="ru-RU"/>
        </w:rPr>
        <w:t>ие обеих сделок зависело</w:t>
      </w:r>
      <w:r w:rsidRPr="00FA1D14">
        <w:rPr>
          <w:rFonts w:ascii="Times New Roman" w:eastAsia="Times New Roman" w:hAnsi="Times New Roman" w:cs="Times New Roman"/>
          <w:color w:val="000000"/>
          <w:sz w:val="24"/>
          <w:szCs w:val="24"/>
          <w:lang w:eastAsia="ru-RU"/>
        </w:rPr>
        <w:t xml:space="preserve"> от соблюдения прочих условий, включая одобрения со стороны регулирующих органов и прочие одобрения</w:t>
      </w:r>
      <w:r w:rsidRPr="001E7F32">
        <w:rPr>
          <w:rFonts w:ascii="Times New Roman" w:eastAsia="Times New Roman" w:hAnsi="Times New Roman" w:cs="Times New Roman"/>
          <w:color w:val="000000"/>
          <w:sz w:val="24"/>
          <w:szCs w:val="24"/>
          <w:lang w:eastAsia="ru-RU"/>
        </w:rPr>
        <w:t>.</w:t>
      </w:r>
    </w:p>
    <w:p w:rsidR="0059775B" w:rsidRPr="00FA1D14" w:rsidRDefault="0059775B" w:rsidP="0059775B">
      <w:pPr>
        <w:shd w:val="clear" w:color="auto" w:fill="FFFFFF"/>
        <w:spacing w:before="300" w:after="300" w:line="360" w:lineRule="auto"/>
        <w:ind w:firstLine="567"/>
        <w:jc w:val="both"/>
        <w:rPr>
          <w:rFonts w:ascii="Times New Roman" w:eastAsia="Times New Roman" w:hAnsi="Times New Roman" w:cs="Times New Roman"/>
          <w:color w:val="000000"/>
          <w:sz w:val="24"/>
          <w:szCs w:val="24"/>
          <w:lang w:eastAsia="ru-RU"/>
        </w:rPr>
      </w:pPr>
      <w:r w:rsidRPr="00FA1D14">
        <w:rPr>
          <w:rFonts w:ascii="Times New Roman" w:eastAsia="Times New Roman" w:hAnsi="Times New Roman" w:cs="Times New Roman"/>
          <w:color w:val="000000"/>
          <w:sz w:val="24"/>
          <w:szCs w:val="24"/>
          <w:lang w:eastAsia="ru-RU"/>
        </w:rPr>
        <w:t>Приобретение 50-проце</w:t>
      </w:r>
      <w:r w:rsidRPr="001E7F32">
        <w:rPr>
          <w:rFonts w:ascii="Times New Roman" w:eastAsia="Times New Roman" w:hAnsi="Times New Roman" w:cs="Times New Roman"/>
          <w:color w:val="000000"/>
          <w:sz w:val="24"/>
          <w:szCs w:val="24"/>
          <w:lang w:eastAsia="ru-RU"/>
        </w:rPr>
        <w:t>нтной доли в ТНК-ВР представляло</w:t>
      </w:r>
      <w:r>
        <w:rPr>
          <w:rFonts w:ascii="Times New Roman" w:eastAsia="Times New Roman" w:hAnsi="Times New Roman" w:cs="Times New Roman"/>
          <w:color w:val="000000"/>
          <w:sz w:val="24"/>
          <w:szCs w:val="24"/>
          <w:lang w:eastAsia="ru-RU"/>
        </w:rPr>
        <w:t xml:space="preserve"> собой уникальную возможность существенного</w:t>
      </w:r>
      <w:r w:rsidRPr="00FA1D14">
        <w:rPr>
          <w:rFonts w:ascii="Times New Roman" w:eastAsia="Times New Roman" w:hAnsi="Times New Roman" w:cs="Times New Roman"/>
          <w:color w:val="000000"/>
          <w:sz w:val="24"/>
          <w:szCs w:val="24"/>
          <w:lang w:eastAsia="ru-RU"/>
        </w:rPr>
        <w:t xml:space="preserve"> увеличения стоимости «Роснефти» для акционеров компании.</w:t>
      </w:r>
      <w:r w:rsidRPr="001E7F32">
        <w:rPr>
          <w:rFonts w:ascii="Times New Roman" w:eastAsia="Times New Roman" w:hAnsi="Times New Roman" w:cs="Times New Roman"/>
          <w:color w:val="000000"/>
          <w:sz w:val="24"/>
          <w:szCs w:val="24"/>
          <w:lang w:eastAsia="ru-RU"/>
        </w:rPr>
        <w:t xml:space="preserve"> </w:t>
      </w:r>
      <w:r w:rsidRPr="00FA1D14">
        <w:rPr>
          <w:rFonts w:ascii="Times New Roman" w:eastAsia="Times New Roman" w:hAnsi="Times New Roman" w:cs="Times New Roman"/>
          <w:color w:val="000000"/>
          <w:sz w:val="24"/>
          <w:szCs w:val="24"/>
          <w:lang w:eastAsia="ru-RU"/>
        </w:rPr>
        <w:t xml:space="preserve">«Роснефть» </w:t>
      </w:r>
      <w:r w:rsidRPr="001E7F32">
        <w:rPr>
          <w:rFonts w:ascii="Times New Roman" w:eastAsia="Times New Roman" w:hAnsi="Times New Roman" w:cs="Times New Roman"/>
          <w:color w:val="000000"/>
          <w:sz w:val="24"/>
          <w:szCs w:val="24"/>
          <w:lang w:eastAsia="ru-RU"/>
        </w:rPr>
        <w:t xml:space="preserve">была </w:t>
      </w:r>
      <w:r>
        <w:rPr>
          <w:rFonts w:ascii="Times New Roman" w:eastAsia="Times New Roman" w:hAnsi="Times New Roman" w:cs="Times New Roman"/>
          <w:color w:val="000000"/>
          <w:sz w:val="24"/>
          <w:szCs w:val="24"/>
          <w:lang w:eastAsia="ru-RU"/>
        </w:rPr>
        <w:t>уверена</w:t>
      </w:r>
      <w:r w:rsidRPr="00FA1D14">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значительном синергетическом потенциале</w:t>
      </w:r>
      <w:r w:rsidRPr="00FA1D14">
        <w:rPr>
          <w:rFonts w:ascii="Times New Roman" w:eastAsia="Times New Roman" w:hAnsi="Times New Roman" w:cs="Times New Roman"/>
          <w:color w:val="000000"/>
          <w:sz w:val="24"/>
          <w:szCs w:val="24"/>
          <w:lang w:eastAsia="ru-RU"/>
        </w:rPr>
        <w:t xml:space="preserve"> между двумя компаниями, в частности, в сфере совместной разработки нефтегазовых месторождений, оптимизации логистики нефти и нефтепродуктов и снижения затрат.</w:t>
      </w:r>
      <w:r w:rsidRPr="001E7F32">
        <w:rPr>
          <w:rFonts w:ascii="Times New Roman" w:eastAsia="Times New Roman" w:hAnsi="Times New Roman" w:cs="Times New Roman"/>
          <w:color w:val="000000"/>
          <w:sz w:val="24"/>
          <w:szCs w:val="24"/>
          <w:lang w:eastAsia="ru-RU"/>
        </w:rPr>
        <w:t xml:space="preserve"> Д</w:t>
      </w:r>
      <w:r w:rsidRPr="00FA1D14">
        <w:rPr>
          <w:rFonts w:ascii="Times New Roman" w:eastAsia="Times New Roman" w:hAnsi="Times New Roman" w:cs="Times New Roman"/>
          <w:color w:val="000000"/>
          <w:sz w:val="24"/>
          <w:szCs w:val="24"/>
          <w:lang w:eastAsia="ru-RU"/>
        </w:rPr>
        <w:t>ля «Роснефти»</w:t>
      </w:r>
      <w:r>
        <w:rPr>
          <w:rFonts w:ascii="Times New Roman" w:eastAsia="Times New Roman" w:hAnsi="Times New Roman" w:cs="Times New Roman"/>
          <w:color w:val="000000"/>
          <w:sz w:val="24"/>
          <w:szCs w:val="24"/>
          <w:lang w:eastAsia="ru-RU"/>
        </w:rPr>
        <w:t xml:space="preserve"> ТНК-ВР была</w:t>
      </w:r>
      <w:r w:rsidRPr="001E7F32">
        <w:rPr>
          <w:rFonts w:ascii="Times New Roman" w:eastAsia="Times New Roman" w:hAnsi="Times New Roman" w:cs="Times New Roman"/>
          <w:color w:val="000000"/>
          <w:sz w:val="24"/>
          <w:szCs w:val="24"/>
          <w:lang w:eastAsia="ru-RU"/>
        </w:rPr>
        <w:t xml:space="preserve"> привлекательной инвестицией, которая, как ожидалось, привела бы</w:t>
      </w:r>
      <w:r w:rsidRPr="00FA1D14">
        <w:rPr>
          <w:rFonts w:ascii="Times New Roman" w:eastAsia="Times New Roman" w:hAnsi="Times New Roman" w:cs="Times New Roman"/>
          <w:color w:val="000000"/>
          <w:sz w:val="24"/>
          <w:szCs w:val="24"/>
          <w:lang w:eastAsia="ru-RU"/>
        </w:rPr>
        <w:t xml:space="preserve"> к увеличению прибыли на акцию с момента сделки.</w:t>
      </w:r>
      <w:r w:rsidRPr="001E7F32">
        <w:rPr>
          <w:rFonts w:ascii="Times New Roman" w:eastAsia="Times New Roman" w:hAnsi="Times New Roman" w:cs="Times New Roman"/>
          <w:color w:val="000000"/>
          <w:sz w:val="24"/>
          <w:szCs w:val="24"/>
          <w:lang w:eastAsia="ru-RU"/>
        </w:rPr>
        <w:t xml:space="preserve"> </w:t>
      </w:r>
    </w:p>
    <w:p w:rsidR="0059775B" w:rsidRPr="00976843" w:rsidRDefault="00C87D20" w:rsidP="0059775B">
      <w:pPr>
        <w:shd w:val="clear" w:color="auto" w:fill="FFFFFF"/>
        <w:spacing w:before="300" w:after="300" w:line="360" w:lineRule="auto"/>
        <w:ind w:firstLine="567"/>
        <w:jc w:val="both"/>
        <w:rPr>
          <w:rFonts w:ascii="Times New Roman" w:eastAsia="Times New Roman" w:hAnsi="Times New Roman" w:cs="Times New Roman"/>
          <w:color w:val="000000"/>
          <w:sz w:val="24"/>
          <w:szCs w:val="24"/>
          <w:lang w:eastAsia="ru-RU"/>
        </w:rPr>
      </w:pPr>
      <w:r w:rsidRPr="00FA1D14">
        <w:rPr>
          <w:rFonts w:ascii="Times New Roman" w:eastAsia="Times New Roman" w:hAnsi="Times New Roman" w:cs="Times New Roman"/>
          <w:color w:val="000000"/>
          <w:sz w:val="24"/>
          <w:szCs w:val="24"/>
          <w:lang w:eastAsia="ru-RU"/>
        </w:rPr>
        <w:lastRenderedPageBreak/>
        <w:t xml:space="preserve"> </w:t>
      </w:r>
      <w:r>
        <w:rPr>
          <w:rFonts w:ascii="Times New Roman" w:eastAsia="Times New Roman" w:hAnsi="Times New Roman" w:cs="Times New Roman"/>
          <w:color w:val="000000"/>
          <w:sz w:val="24"/>
          <w:szCs w:val="24"/>
          <w:lang w:eastAsia="ru-RU"/>
        </w:rPr>
        <w:t>«Роснефть» кроме всего обсудила</w:t>
      </w:r>
      <w:r w:rsidR="0059775B" w:rsidRPr="00FA1D14">
        <w:rPr>
          <w:rFonts w:ascii="Times New Roman" w:eastAsia="Times New Roman" w:hAnsi="Times New Roman" w:cs="Times New Roman"/>
          <w:color w:val="000000"/>
          <w:sz w:val="24"/>
          <w:szCs w:val="24"/>
          <w:lang w:eastAsia="ru-RU"/>
        </w:rPr>
        <w:t xml:space="preserve"> основные условия сделки c консорциумом ААР</w:t>
      </w:r>
      <w:r>
        <w:rPr>
          <w:rFonts w:ascii="Times New Roman" w:eastAsia="Times New Roman" w:hAnsi="Times New Roman" w:cs="Times New Roman"/>
          <w:color w:val="000000"/>
          <w:sz w:val="24"/>
          <w:szCs w:val="24"/>
          <w:lang w:eastAsia="ru-RU"/>
        </w:rPr>
        <w:t xml:space="preserve"> о</w:t>
      </w:r>
      <w:r w:rsidR="0059775B" w:rsidRPr="00FA1D14">
        <w:rPr>
          <w:rFonts w:ascii="Times New Roman" w:eastAsia="Times New Roman" w:hAnsi="Times New Roman" w:cs="Times New Roman"/>
          <w:color w:val="000000"/>
          <w:sz w:val="24"/>
          <w:szCs w:val="24"/>
          <w:lang w:eastAsia="ru-RU"/>
        </w:rPr>
        <w:t xml:space="preserve"> приобретении 50-процентной доли ААР в ТНК-ВР за </w:t>
      </w:r>
      <w:r w:rsidR="0059775B">
        <w:rPr>
          <w:rFonts w:ascii="Times New Roman" w:eastAsia="Times New Roman" w:hAnsi="Times New Roman" w:cs="Times New Roman"/>
          <w:color w:val="000000"/>
          <w:sz w:val="24"/>
          <w:szCs w:val="24"/>
          <w:lang w:eastAsia="ru-RU"/>
        </w:rPr>
        <w:t>денежные средства в размере 27,7</w:t>
      </w:r>
      <w:r w:rsidR="00976843">
        <w:rPr>
          <w:rFonts w:ascii="Times New Roman" w:eastAsia="Times New Roman" w:hAnsi="Times New Roman" w:cs="Times New Roman"/>
          <w:color w:val="000000"/>
          <w:sz w:val="24"/>
          <w:szCs w:val="24"/>
          <w:lang w:eastAsia="ru-RU"/>
        </w:rPr>
        <w:t xml:space="preserve"> </w:t>
      </w:r>
      <w:proofErr w:type="gramStart"/>
      <w:r w:rsidR="00976843">
        <w:rPr>
          <w:rFonts w:ascii="Times New Roman" w:eastAsia="Times New Roman" w:hAnsi="Times New Roman" w:cs="Times New Roman"/>
          <w:color w:val="000000"/>
          <w:sz w:val="24"/>
          <w:szCs w:val="24"/>
          <w:lang w:eastAsia="ru-RU"/>
        </w:rPr>
        <w:t>млрд</w:t>
      </w:r>
      <w:proofErr w:type="gramEnd"/>
      <w:r w:rsidR="00976843">
        <w:rPr>
          <w:rFonts w:ascii="Times New Roman" w:eastAsia="Times New Roman" w:hAnsi="Times New Roman" w:cs="Times New Roman"/>
          <w:color w:val="000000"/>
          <w:sz w:val="24"/>
          <w:szCs w:val="24"/>
          <w:lang w:eastAsia="ru-RU"/>
        </w:rPr>
        <w:t xml:space="preserve"> долл</w:t>
      </w:r>
      <w:r w:rsidR="0059775B" w:rsidRPr="00FA1D14">
        <w:rPr>
          <w:rFonts w:ascii="Times New Roman" w:eastAsia="Times New Roman" w:hAnsi="Times New Roman" w:cs="Times New Roman"/>
          <w:color w:val="000000"/>
          <w:sz w:val="24"/>
          <w:szCs w:val="24"/>
          <w:lang w:eastAsia="ru-RU"/>
        </w:rPr>
        <w:t>.</w:t>
      </w:r>
      <w:r w:rsidR="00976843">
        <w:rPr>
          <w:rFonts w:ascii="Times New Roman" w:eastAsia="Times New Roman" w:hAnsi="Times New Roman" w:cs="Times New Roman"/>
          <w:color w:val="000000"/>
          <w:sz w:val="24"/>
          <w:szCs w:val="24"/>
          <w:lang w:eastAsia="ru-RU"/>
        </w:rPr>
        <w:t xml:space="preserve"> Сделка с ААР была абсолютно</w:t>
      </w:r>
      <w:r w:rsidR="0059775B" w:rsidRPr="00FA1D14">
        <w:rPr>
          <w:rFonts w:ascii="Times New Roman" w:eastAsia="Times New Roman" w:hAnsi="Times New Roman" w:cs="Times New Roman"/>
          <w:color w:val="000000"/>
          <w:sz w:val="24"/>
          <w:szCs w:val="24"/>
          <w:lang w:eastAsia="ru-RU"/>
        </w:rPr>
        <w:t xml:space="preserve"> независимой от сделки с B</w:t>
      </w:r>
      <w:proofErr w:type="spellStart"/>
      <w:r w:rsidR="00976843">
        <w:rPr>
          <w:rFonts w:ascii="Times New Roman" w:eastAsia="Times New Roman" w:hAnsi="Times New Roman" w:cs="Times New Roman"/>
          <w:color w:val="000000"/>
          <w:sz w:val="24"/>
          <w:szCs w:val="24"/>
          <w:lang w:val="en-US" w:eastAsia="ru-RU"/>
        </w:rPr>
        <w:t>ritish</w:t>
      </w:r>
      <w:proofErr w:type="spellEnd"/>
      <w:r w:rsidR="00976843" w:rsidRPr="00976843">
        <w:rPr>
          <w:rFonts w:ascii="Times New Roman" w:eastAsia="Times New Roman" w:hAnsi="Times New Roman" w:cs="Times New Roman"/>
          <w:color w:val="000000"/>
          <w:sz w:val="24"/>
          <w:szCs w:val="24"/>
          <w:lang w:eastAsia="ru-RU"/>
        </w:rPr>
        <w:t xml:space="preserve"> </w:t>
      </w:r>
      <w:r w:rsidR="0059775B" w:rsidRPr="00FA1D14">
        <w:rPr>
          <w:rFonts w:ascii="Times New Roman" w:eastAsia="Times New Roman" w:hAnsi="Times New Roman" w:cs="Times New Roman"/>
          <w:color w:val="000000"/>
          <w:sz w:val="24"/>
          <w:szCs w:val="24"/>
          <w:lang w:eastAsia="ru-RU"/>
        </w:rPr>
        <w:t>P</w:t>
      </w:r>
      <w:proofErr w:type="spellStart"/>
      <w:r w:rsidR="00976843">
        <w:rPr>
          <w:rFonts w:ascii="Times New Roman" w:eastAsia="Times New Roman" w:hAnsi="Times New Roman" w:cs="Times New Roman"/>
          <w:color w:val="000000"/>
          <w:sz w:val="24"/>
          <w:szCs w:val="24"/>
          <w:lang w:val="en-US" w:eastAsia="ru-RU"/>
        </w:rPr>
        <w:t>etrolium</w:t>
      </w:r>
      <w:proofErr w:type="spellEnd"/>
      <w:r w:rsidR="0059775B" w:rsidRPr="00FA1D14">
        <w:rPr>
          <w:rFonts w:ascii="Times New Roman" w:eastAsia="Times New Roman" w:hAnsi="Times New Roman" w:cs="Times New Roman"/>
          <w:color w:val="000000"/>
          <w:sz w:val="24"/>
          <w:szCs w:val="24"/>
          <w:lang w:eastAsia="ru-RU"/>
        </w:rPr>
        <w:t>.</w:t>
      </w:r>
      <w:r w:rsidR="0059775B" w:rsidRPr="00066418">
        <w:rPr>
          <w:rFonts w:ascii="Times New Roman" w:eastAsia="Times New Roman" w:hAnsi="Times New Roman" w:cs="Times New Roman"/>
          <w:color w:val="000000"/>
          <w:sz w:val="24"/>
          <w:szCs w:val="24"/>
          <w:lang w:eastAsia="ru-RU"/>
        </w:rPr>
        <w:t xml:space="preserve"> </w:t>
      </w:r>
      <w:proofErr w:type="spellStart"/>
      <w:r w:rsidR="0059775B" w:rsidRPr="00FA1D14">
        <w:rPr>
          <w:rFonts w:ascii="Times New Roman" w:eastAsia="Times New Roman" w:hAnsi="Times New Roman" w:cs="Times New Roman"/>
          <w:color w:val="000000"/>
          <w:sz w:val="24"/>
          <w:szCs w:val="24"/>
          <w:lang w:eastAsia="ru-RU"/>
        </w:rPr>
        <w:t>Bank</w:t>
      </w:r>
      <w:proofErr w:type="spellEnd"/>
      <w:r w:rsidR="0059775B" w:rsidRPr="00FA1D14">
        <w:rPr>
          <w:rFonts w:ascii="Times New Roman" w:eastAsia="Times New Roman" w:hAnsi="Times New Roman" w:cs="Times New Roman"/>
          <w:color w:val="000000"/>
          <w:sz w:val="24"/>
          <w:szCs w:val="24"/>
          <w:lang w:eastAsia="ru-RU"/>
        </w:rPr>
        <w:t xml:space="preserve"> </w:t>
      </w:r>
      <w:proofErr w:type="spellStart"/>
      <w:r w:rsidR="0059775B" w:rsidRPr="00FA1D14">
        <w:rPr>
          <w:rFonts w:ascii="Times New Roman" w:eastAsia="Times New Roman" w:hAnsi="Times New Roman" w:cs="Times New Roman"/>
          <w:color w:val="000000"/>
          <w:sz w:val="24"/>
          <w:szCs w:val="24"/>
          <w:lang w:eastAsia="ru-RU"/>
        </w:rPr>
        <w:t>of</w:t>
      </w:r>
      <w:proofErr w:type="spellEnd"/>
      <w:r w:rsidR="0059775B" w:rsidRPr="00FA1D14">
        <w:rPr>
          <w:rFonts w:ascii="Times New Roman" w:eastAsia="Times New Roman" w:hAnsi="Times New Roman" w:cs="Times New Roman"/>
          <w:color w:val="000000"/>
          <w:sz w:val="24"/>
          <w:szCs w:val="24"/>
          <w:lang w:eastAsia="ru-RU"/>
        </w:rPr>
        <w:t xml:space="preserve"> </w:t>
      </w:r>
      <w:proofErr w:type="spellStart"/>
      <w:r w:rsidR="0059775B" w:rsidRPr="00FA1D14">
        <w:rPr>
          <w:rFonts w:ascii="Times New Roman" w:eastAsia="Times New Roman" w:hAnsi="Times New Roman" w:cs="Times New Roman"/>
          <w:color w:val="000000"/>
          <w:sz w:val="24"/>
          <w:szCs w:val="24"/>
          <w:lang w:eastAsia="ru-RU"/>
        </w:rPr>
        <w:t>America</w:t>
      </w:r>
      <w:proofErr w:type="spellEnd"/>
      <w:r w:rsidR="0059775B" w:rsidRPr="00FA1D14">
        <w:rPr>
          <w:rFonts w:ascii="Times New Roman" w:eastAsia="Times New Roman" w:hAnsi="Times New Roman" w:cs="Times New Roman"/>
          <w:color w:val="000000"/>
          <w:sz w:val="24"/>
          <w:szCs w:val="24"/>
          <w:lang w:eastAsia="ru-RU"/>
        </w:rPr>
        <w:t xml:space="preserve"> </w:t>
      </w:r>
      <w:proofErr w:type="spellStart"/>
      <w:r w:rsidR="0059775B" w:rsidRPr="00FA1D14">
        <w:rPr>
          <w:rFonts w:ascii="Times New Roman" w:eastAsia="Times New Roman" w:hAnsi="Times New Roman" w:cs="Times New Roman"/>
          <w:color w:val="000000"/>
          <w:sz w:val="24"/>
          <w:szCs w:val="24"/>
          <w:lang w:eastAsia="ru-RU"/>
        </w:rPr>
        <w:t>Merrill</w:t>
      </w:r>
      <w:proofErr w:type="spellEnd"/>
      <w:r w:rsidR="0059775B" w:rsidRPr="00FA1D14">
        <w:rPr>
          <w:rFonts w:ascii="Times New Roman" w:eastAsia="Times New Roman" w:hAnsi="Times New Roman" w:cs="Times New Roman"/>
          <w:color w:val="000000"/>
          <w:sz w:val="24"/>
          <w:szCs w:val="24"/>
          <w:lang w:eastAsia="ru-RU"/>
        </w:rPr>
        <w:t xml:space="preserve"> </w:t>
      </w:r>
      <w:proofErr w:type="spellStart"/>
      <w:r w:rsidR="0059775B" w:rsidRPr="00FA1D14">
        <w:rPr>
          <w:rFonts w:ascii="Times New Roman" w:eastAsia="Times New Roman" w:hAnsi="Times New Roman" w:cs="Times New Roman"/>
          <w:color w:val="000000"/>
          <w:sz w:val="24"/>
          <w:szCs w:val="24"/>
          <w:lang w:eastAsia="ru-RU"/>
        </w:rPr>
        <w:t>Lynch</w:t>
      </w:r>
      <w:proofErr w:type="spellEnd"/>
      <w:r w:rsidR="0059775B" w:rsidRPr="00FA1D14">
        <w:rPr>
          <w:rFonts w:ascii="Times New Roman" w:eastAsia="Times New Roman" w:hAnsi="Times New Roman" w:cs="Times New Roman"/>
          <w:color w:val="000000"/>
          <w:sz w:val="24"/>
          <w:szCs w:val="24"/>
          <w:lang w:eastAsia="ru-RU"/>
        </w:rPr>
        <w:t xml:space="preserve"> и </w:t>
      </w:r>
      <w:proofErr w:type="spellStart"/>
      <w:r w:rsidR="0059775B" w:rsidRPr="00FA1D14">
        <w:rPr>
          <w:rFonts w:ascii="Times New Roman" w:eastAsia="Times New Roman" w:hAnsi="Times New Roman" w:cs="Times New Roman"/>
          <w:color w:val="000000"/>
          <w:sz w:val="24"/>
          <w:szCs w:val="24"/>
          <w:lang w:eastAsia="ru-RU"/>
        </w:rPr>
        <w:t>Citigr</w:t>
      </w:r>
      <w:r w:rsidR="0059775B" w:rsidRPr="00066418">
        <w:rPr>
          <w:rFonts w:ascii="Times New Roman" w:eastAsia="Times New Roman" w:hAnsi="Times New Roman" w:cs="Times New Roman"/>
          <w:color w:val="000000"/>
          <w:sz w:val="24"/>
          <w:szCs w:val="24"/>
          <w:lang w:eastAsia="ru-RU"/>
        </w:rPr>
        <w:t>oup</w:t>
      </w:r>
      <w:proofErr w:type="spellEnd"/>
      <w:r w:rsidR="0059775B" w:rsidRPr="00066418">
        <w:rPr>
          <w:rFonts w:ascii="Times New Roman" w:eastAsia="Times New Roman" w:hAnsi="Times New Roman" w:cs="Times New Roman"/>
          <w:color w:val="000000"/>
          <w:sz w:val="24"/>
          <w:szCs w:val="24"/>
          <w:lang w:eastAsia="ru-RU"/>
        </w:rPr>
        <w:t xml:space="preserve"> </w:t>
      </w:r>
      <w:proofErr w:type="spellStart"/>
      <w:r w:rsidR="0059775B" w:rsidRPr="00066418">
        <w:rPr>
          <w:rFonts w:ascii="Times New Roman" w:eastAsia="Times New Roman" w:hAnsi="Times New Roman" w:cs="Times New Roman"/>
          <w:color w:val="000000"/>
          <w:sz w:val="24"/>
          <w:szCs w:val="24"/>
          <w:lang w:eastAsia="ru-RU"/>
        </w:rPr>
        <w:t>Global</w:t>
      </w:r>
      <w:proofErr w:type="spellEnd"/>
      <w:r w:rsidR="0059775B" w:rsidRPr="00066418">
        <w:rPr>
          <w:rFonts w:ascii="Times New Roman" w:eastAsia="Times New Roman" w:hAnsi="Times New Roman" w:cs="Times New Roman"/>
          <w:color w:val="000000"/>
          <w:sz w:val="24"/>
          <w:szCs w:val="24"/>
          <w:lang w:eastAsia="ru-RU"/>
        </w:rPr>
        <w:t xml:space="preserve"> </w:t>
      </w:r>
      <w:proofErr w:type="spellStart"/>
      <w:r w:rsidR="0059775B" w:rsidRPr="00066418">
        <w:rPr>
          <w:rFonts w:ascii="Times New Roman" w:eastAsia="Times New Roman" w:hAnsi="Times New Roman" w:cs="Times New Roman"/>
          <w:color w:val="000000"/>
          <w:sz w:val="24"/>
          <w:szCs w:val="24"/>
          <w:lang w:eastAsia="ru-RU"/>
        </w:rPr>
        <w:t>Markets</w:t>
      </w:r>
      <w:proofErr w:type="spellEnd"/>
      <w:r w:rsidR="0059775B" w:rsidRPr="00066418">
        <w:rPr>
          <w:rFonts w:ascii="Times New Roman" w:eastAsia="Times New Roman" w:hAnsi="Times New Roman" w:cs="Times New Roman"/>
          <w:color w:val="000000"/>
          <w:sz w:val="24"/>
          <w:szCs w:val="24"/>
          <w:lang w:eastAsia="ru-RU"/>
        </w:rPr>
        <w:t xml:space="preserve"> </w:t>
      </w:r>
      <w:proofErr w:type="spellStart"/>
      <w:r w:rsidR="0059775B" w:rsidRPr="00066418">
        <w:rPr>
          <w:rFonts w:ascii="Times New Roman" w:eastAsia="Times New Roman" w:hAnsi="Times New Roman" w:cs="Times New Roman"/>
          <w:color w:val="000000"/>
          <w:sz w:val="24"/>
          <w:szCs w:val="24"/>
          <w:lang w:eastAsia="ru-RU"/>
        </w:rPr>
        <w:t>Ltd</w:t>
      </w:r>
      <w:proofErr w:type="spellEnd"/>
      <w:r w:rsidR="0059775B" w:rsidRPr="00066418">
        <w:rPr>
          <w:rFonts w:ascii="Times New Roman" w:eastAsia="Times New Roman" w:hAnsi="Times New Roman" w:cs="Times New Roman"/>
          <w:color w:val="000000"/>
          <w:sz w:val="24"/>
          <w:szCs w:val="24"/>
          <w:lang w:eastAsia="ru-RU"/>
        </w:rPr>
        <w:t xml:space="preserve"> выступили</w:t>
      </w:r>
      <w:r w:rsidR="00976843">
        <w:rPr>
          <w:rFonts w:ascii="Times New Roman" w:eastAsia="Times New Roman" w:hAnsi="Times New Roman" w:cs="Times New Roman"/>
          <w:color w:val="000000"/>
          <w:sz w:val="24"/>
          <w:szCs w:val="24"/>
          <w:lang w:eastAsia="ru-RU"/>
        </w:rPr>
        <w:t xml:space="preserve"> в </w:t>
      </w:r>
      <w:proofErr w:type="spellStart"/>
      <w:r w:rsidR="00976843">
        <w:rPr>
          <w:rFonts w:ascii="Times New Roman" w:eastAsia="Times New Roman" w:hAnsi="Times New Roman" w:cs="Times New Roman"/>
          <w:color w:val="000000"/>
          <w:sz w:val="24"/>
          <w:szCs w:val="24"/>
          <w:lang w:val="en-US" w:eastAsia="ru-RU"/>
        </w:rPr>
        <w:t>rfxtcndt</w:t>
      </w:r>
      <w:proofErr w:type="spellEnd"/>
      <w:r w:rsidR="0059775B" w:rsidRPr="00FA1D14">
        <w:rPr>
          <w:rFonts w:ascii="Times New Roman" w:eastAsia="Times New Roman" w:hAnsi="Times New Roman" w:cs="Times New Roman"/>
          <w:color w:val="000000"/>
          <w:sz w:val="24"/>
          <w:szCs w:val="24"/>
          <w:lang w:eastAsia="ru-RU"/>
        </w:rPr>
        <w:t xml:space="preserve"> финансовых консультантов</w:t>
      </w:r>
      <w:r w:rsidR="0059775B" w:rsidRPr="00066418">
        <w:rPr>
          <w:rFonts w:ascii="Times New Roman" w:eastAsia="Times New Roman" w:hAnsi="Times New Roman" w:cs="Times New Roman"/>
          <w:color w:val="000000"/>
          <w:sz w:val="24"/>
          <w:szCs w:val="24"/>
          <w:lang w:eastAsia="ru-RU"/>
        </w:rPr>
        <w:t xml:space="preserve">, а </w:t>
      </w:r>
      <w:proofErr w:type="spellStart"/>
      <w:r w:rsidR="0059775B" w:rsidRPr="00066418">
        <w:rPr>
          <w:rFonts w:ascii="Times New Roman" w:eastAsia="Times New Roman" w:hAnsi="Times New Roman" w:cs="Times New Roman"/>
          <w:color w:val="000000"/>
          <w:sz w:val="24"/>
          <w:szCs w:val="24"/>
          <w:lang w:eastAsia="ru-RU"/>
        </w:rPr>
        <w:t>Cleary</w:t>
      </w:r>
      <w:proofErr w:type="spellEnd"/>
      <w:r w:rsidR="0059775B" w:rsidRPr="00066418">
        <w:rPr>
          <w:rFonts w:ascii="Times New Roman" w:eastAsia="Times New Roman" w:hAnsi="Times New Roman" w:cs="Times New Roman"/>
          <w:color w:val="000000"/>
          <w:sz w:val="24"/>
          <w:szCs w:val="24"/>
          <w:lang w:eastAsia="ru-RU"/>
        </w:rPr>
        <w:t xml:space="preserve"> </w:t>
      </w:r>
      <w:proofErr w:type="spellStart"/>
      <w:r w:rsidR="0059775B" w:rsidRPr="00066418">
        <w:rPr>
          <w:rFonts w:ascii="Times New Roman" w:eastAsia="Times New Roman" w:hAnsi="Times New Roman" w:cs="Times New Roman"/>
          <w:color w:val="000000"/>
          <w:sz w:val="24"/>
          <w:szCs w:val="24"/>
          <w:lang w:eastAsia="ru-RU"/>
        </w:rPr>
        <w:t>Gottlieb</w:t>
      </w:r>
      <w:proofErr w:type="spellEnd"/>
      <w:r w:rsidR="0059775B" w:rsidRPr="00066418">
        <w:rPr>
          <w:rFonts w:ascii="Times New Roman" w:eastAsia="Times New Roman" w:hAnsi="Times New Roman" w:cs="Times New Roman"/>
          <w:color w:val="000000"/>
          <w:sz w:val="24"/>
          <w:szCs w:val="24"/>
          <w:lang w:eastAsia="ru-RU"/>
        </w:rPr>
        <w:t xml:space="preserve"> </w:t>
      </w:r>
      <w:proofErr w:type="spellStart"/>
      <w:r w:rsidR="0059775B" w:rsidRPr="00066418">
        <w:rPr>
          <w:rFonts w:ascii="Times New Roman" w:eastAsia="Times New Roman" w:hAnsi="Times New Roman" w:cs="Times New Roman"/>
          <w:color w:val="000000"/>
          <w:sz w:val="24"/>
          <w:szCs w:val="24"/>
          <w:lang w:eastAsia="ru-RU"/>
        </w:rPr>
        <w:t>Steen</w:t>
      </w:r>
      <w:proofErr w:type="spellEnd"/>
      <w:r w:rsidR="0059775B" w:rsidRPr="00066418">
        <w:rPr>
          <w:rFonts w:ascii="Times New Roman" w:eastAsia="Times New Roman" w:hAnsi="Times New Roman" w:cs="Times New Roman"/>
          <w:color w:val="000000"/>
          <w:sz w:val="24"/>
          <w:szCs w:val="24"/>
          <w:lang w:eastAsia="ru-RU"/>
        </w:rPr>
        <w:t xml:space="preserve"> &amp; </w:t>
      </w:r>
      <w:proofErr w:type="spellStart"/>
      <w:r w:rsidR="0059775B" w:rsidRPr="00066418">
        <w:rPr>
          <w:rFonts w:ascii="Times New Roman" w:eastAsia="Times New Roman" w:hAnsi="Times New Roman" w:cs="Times New Roman"/>
          <w:color w:val="000000"/>
          <w:sz w:val="24"/>
          <w:szCs w:val="24"/>
          <w:lang w:eastAsia="ru-RU"/>
        </w:rPr>
        <w:t>Hamilton</w:t>
      </w:r>
      <w:proofErr w:type="spellEnd"/>
      <w:r w:rsidR="0059775B" w:rsidRPr="00066418">
        <w:rPr>
          <w:rFonts w:ascii="Times New Roman" w:eastAsia="Times New Roman" w:hAnsi="Times New Roman" w:cs="Times New Roman"/>
          <w:color w:val="000000"/>
          <w:sz w:val="24"/>
          <w:szCs w:val="24"/>
          <w:lang w:eastAsia="ru-RU"/>
        </w:rPr>
        <w:t xml:space="preserve"> LLP выступила в роли юридического консультанта</w:t>
      </w:r>
      <w:r w:rsidR="00976843">
        <w:rPr>
          <w:rFonts w:ascii="Times New Roman" w:eastAsia="Times New Roman" w:hAnsi="Times New Roman" w:cs="Times New Roman"/>
          <w:color w:val="000000"/>
          <w:sz w:val="24"/>
          <w:szCs w:val="24"/>
          <w:lang w:eastAsia="ru-RU"/>
        </w:rPr>
        <w:t xml:space="preserve"> «Роснефти»</w:t>
      </w:r>
      <w:r w:rsidR="00976843" w:rsidRPr="00976843">
        <w:rPr>
          <w:rFonts w:ascii="Times New Roman" w:eastAsia="Times New Roman" w:hAnsi="Times New Roman" w:cs="Times New Roman"/>
          <w:color w:val="000000"/>
          <w:sz w:val="24"/>
          <w:szCs w:val="24"/>
          <w:lang w:eastAsia="ru-RU"/>
        </w:rPr>
        <w:t>/</w:t>
      </w:r>
    </w:p>
    <w:p w:rsidR="0059775B" w:rsidRPr="00FA1D14" w:rsidRDefault="0059775B" w:rsidP="0059775B">
      <w:pPr>
        <w:shd w:val="clear" w:color="auto" w:fill="FFFFFF"/>
        <w:spacing w:before="300" w:after="300" w:line="360" w:lineRule="auto"/>
        <w:ind w:firstLine="567"/>
        <w:jc w:val="both"/>
        <w:rPr>
          <w:rFonts w:ascii="Times New Roman" w:eastAsia="Times New Roman" w:hAnsi="Times New Roman" w:cs="Times New Roman"/>
          <w:color w:val="000000"/>
          <w:sz w:val="24"/>
          <w:szCs w:val="24"/>
          <w:lang w:eastAsia="ru-RU"/>
        </w:rPr>
      </w:pPr>
      <w:r w:rsidRPr="0026288E">
        <w:rPr>
          <w:rFonts w:ascii="Times New Roman" w:eastAsia="Times New Roman" w:hAnsi="Times New Roman" w:cs="Times New Roman"/>
          <w:sz w:val="24"/>
          <w:szCs w:val="24"/>
          <w:shd w:val="clear" w:color="auto" w:fill="FFFFFF"/>
          <w:lang w:eastAsia="ru-RU"/>
        </w:rPr>
        <w:t>22 Ноября 2012</w:t>
      </w:r>
      <w:r w:rsidRPr="0026288E">
        <w:rPr>
          <w:rFonts w:ascii="Times New Roman" w:eastAsia="Times New Roman" w:hAnsi="Times New Roman" w:cs="Times New Roman"/>
          <w:sz w:val="24"/>
          <w:szCs w:val="24"/>
          <w:lang w:eastAsia="ru-RU"/>
        </w:rPr>
        <w:t xml:space="preserve"> </w:t>
      </w:r>
      <w:r w:rsidRPr="00FA1D14">
        <w:rPr>
          <w:rFonts w:ascii="Times New Roman" w:eastAsia="Times New Roman" w:hAnsi="Times New Roman" w:cs="Times New Roman"/>
          <w:color w:val="000000"/>
          <w:sz w:val="24"/>
          <w:szCs w:val="24"/>
          <w:lang w:eastAsia="ru-RU"/>
        </w:rPr>
        <w:t xml:space="preserve">Роснефть» подписала </w:t>
      </w:r>
      <w:r w:rsidR="00976843">
        <w:rPr>
          <w:rFonts w:ascii="Times New Roman" w:eastAsia="Times New Roman" w:hAnsi="Times New Roman" w:cs="Times New Roman"/>
          <w:color w:val="000000"/>
          <w:sz w:val="24"/>
          <w:szCs w:val="24"/>
          <w:lang w:eastAsia="ru-RU"/>
        </w:rPr>
        <w:t>финальные соглашения с ВР о покупке</w:t>
      </w:r>
      <w:r w:rsidRPr="00FA1D14">
        <w:rPr>
          <w:rFonts w:ascii="Times New Roman" w:eastAsia="Times New Roman" w:hAnsi="Times New Roman" w:cs="Times New Roman"/>
          <w:color w:val="000000"/>
          <w:sz w:val="24"/>
          <w:szCs w:val="24"/>
          <w:lang w:eastAsia="ru-RU"/>
        </w:rPr>
        <w:t xml:space="preserve"> 50-процентной доли в ТНК-ВР в обмен на 17,1 </w:t>
      </w:r>
      <w:proofErr w:type="gramStart"/>
      <w:r w:rsidRPr="00FA1D14">
        <w:rPr>
          <w:rFonts w:ascii="Times New Roman" w:eastAsia="Times New Roman" w:hAnsi="Times New Roman" w:cs="Times New Roman"/>
          <w:color w:val="000000"/>
          <w:sz w:val="24"/>
          <w:szCs w:val="24"/>
          <w:lang w:eastAsia="ru-RU"/>
        </w:rPr>
        <w:t>млрд</w:t>
      </w:r>
      <w:proofErr w:type="gramEnd"/>
      <w:r w:rsidRPr="00FA1D14">
        <w:rPr>
          <w:rFonts w:ascii="Times New Roman" w:eastAsia="Times New Roman" w:hAnsi="Times New Roman" w:cs="Times New Roman"/>
          <w:color w:val="000000"/>
          <w:sz w:val="24"/>
          <w:szCs w:val="24"/>
          <w:lang w:eastAsia="ru-RU"/>
        </w:rPr>
        <w:t xml:space="preserve"> долл. денежных средств и 12,84% казначейских акций «Роснефти». </w:t>
      </w:r>
      <w:r w:rsidR="00976843">
        <w:rPr>
          <w:rFonts w:ascii="Times New Roman" w:eastAsia="Times New Roman" w:hAnsi="Times New Roman" w:cs="Times New Roman"/>
          <w:color w:val="000000"/>
          <w:sz w:val="24"/>
          <w:szCs w:val="24"/>
          <w:lang w:eastAsia="ru-RU"/>
        </w:rPr>
        <w:t>Окончание</w:t>
      </w:r>
      <w:r>
        <w:rPr>
          <w:rFonts w:ascii="Times New Roman" w:eastAsia="Times New Roman" w:hAnsi="Times New Roman" w:cs="Times New Roman"/>
          <w:color w:val="000000"/>
          <w:sz w:val="24"/>
          <w:szCs w:val="24"/>
          <w:lang w:eastAsia="ru-RU"/>
        </w:rPr>
        <w:t xml:space="preserve"> сделок зависело</w:t>
      </w:r>
      <w:r w:rsidRPr="00FA1D14">
        <w:rPr>
          <w:rFonts w:ascii="Times New Roman" w:eastAsia="Times New Roman" w:hAnsi="Times New Roman" w:cs="Times New Roman"/>
          <w:color w:val="000000"/>
          <w:sz w:val="24"/>
          <w:szCs w:val="24"/>
          <w:lang w:eastAsia="ru-RU"/>
        </w:rPr>
        <w:t xml:space="preserve"> от получения одобрения </w:t>
      </w:r>
      <w:r>
        <w:rPr>
          <w:rFonts w:ascii="Times New Roman" w:eastAsia="Times New Roman" w:hAnsi="Times New Roman" w:cs="Times New Roman"/>
          <w:color w:val="000000"/>
          <w:sz w:val="24"/>
          <w:szCs w:val="24"/>
          <w:lang w:eastAsia="ru-RU"/>
        </w:rPr>
        <w:t>со стороны регулирующих органов.</w:t>
      </w:r>
    </w:p>
    <w:p w:rsidR="0059775B" w:rsidRPr="00FA1D14" w:rsidRDefault="00976843" w:rsidP="0059775B">
      <w:pPr>
        <w:shd w:val="clear" w:color="auto" w:fill="FFFFFF"/>
        <w:spacing w:before="300" w:after="30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Также</w:t>
      </w:r>
      <w:r w:rsidR="0059775B" w:rsidRPr="00FA1D14">
        <w:rPr>
          <w:rFonts w:ascii="Times New Roman" w:eastAsia="Times New Roman" w:hAnsi="Times New Roman" w:cs="Times New Roman"/>
          <w:color w:val="000000"/>
          <w:sz w:val="24"/>
          <w:szCs w:val="24"/>
          <w:lang w:eastAsia="ru-RU"/>
        </w:rPr>
        <w:t xml:space="preserve"> ВР зак</w:t>
      </w:r>
      <w:r>
        <w:rPr>
          <w:rFonts w:ascii="Times New Roman" w:eastAsia="Times New Roman" w:hAnsi="Times New Roman" w:cs="Times New Roman"/>
          <w:color w:val="000000"/>
          <w:sz w:val="24"/>
          <w:szCs w:val="24"/>
          <w:lang w:eastAsia="ru-RU"/>
        </w:rPr>
        <w:t>лючила соглашение о покупке</w:t>
      </w:r>
      <w:r w:rsidR="0059775B" w:rsidRPr="00FA1D14">
        <w:rPr>
          <w:rFonts w:ascii="Times New Roman" w:eastAsia="Times New Roman" w:hAnsi="Times New Roman" w:cs="Times New Roman"/>
          <w:color w:val="000000"/>
          <w:sz w:val="24"/>
          <w:szCs w:val="24"/>
          <w:lang w:eastAsia="ru-RU"/>
        </w:rPr>
        <w:t xml:space="preserve"> у ОАО «</w:t>
      </w:r>
      <w:proofErr w:type="spellStart"/>
      <w:r w:rsidR="0059775B" w:rsidRPr="00FA1D14">
        <w:rPr>
          <w:rFonts w:ascii="Times New Roman" w:eastAsia="Times New Roman" w:hAnsi="Times New Roman" w:cs="Times New Roman"/>
          <w:color w:val="000000"/>
          <w:sz w:val="24"/>
          <w:szCs w:val="24"/>
          <w:lang w:eastAsia="ru-RU"/>
        </w:rPr>
        <w:t>Роснефтегаз</w:t>
      </w:r>
      <w:proofErr w:type="spellEnd"/>
      <w:r w:rsidR="0059775B" w:rsidRPr="00FA1D14">
        <w:rPr>
          <w:rFonts w:ascii="Times New Roman" w:eastAsia="Times New Roman" w:hAnsi="Times New Roman" w:cs="Times New Roman"/>
          <w:color w:val="000000"/>
          <w:sz w:val="24"/>
          <w:szCs w:val="24"/>
          <w:lang w:eastAsia="ru-RU"/>
        </w:rPr>
        <w:t xml:space="preserve">», материнской компании «Роснефти», дополнительных 600 </w:t>
      </w:r>
      <w:proofErr w:type="gramStart"/>
      <w:r w:rsidR="0059775B" w:rsidRPr="00FA1D14">
        <w:rPr>
          <w:rFonts w:ascii="Times New Roman" w:eastAsia="Times New Roman" w:hAnsi="Times New Roman" w:cs="Times New Roman"/>
          <w:color w:val="000000"/>
          <w:sz w:val="24"/>
          <w:szCs w:val="24"/>
          <w:lang w:eastAsia="ru-RU"/>
        </w:rPr>
        <w:t>млн</w:t>
      </w:r>
      <w:proofErr w:type="gramEnd"/>
      <w:r w:rsidR="0059775B" w:rsidRPr="00FA1D14">
        <w:rPr>
          <w:rFonts w:ascii="Times New Roman" w:eastAsia="Times New Roman" w:hAnsi="Times New Roman" w:cs="Times New Roman"/>
          <w:color w:val="000000"/>
          <w:sz w:val="24"/>
          <w:szCs w:val="24"/>
          <w:lang w:eastAsia="ru-RU"/>
        </w:rPr>
        <w:t xml:space="preserve"> а</w:t>
      </w:r>
      <w:r>
        <w:rPr>
          <w:rFonts w:ascii="Times New Roman" w:eastAsia="Times New Roman" w:hAnsi="Times New Roman" w:cs="Times New Roman"/>
          <w:color w:val="000000"/>
          <w:sz w:val="24"/>
          <w:szCs w:val="24"/>
          <w:lang w:eastAsia="ru-RU"/>
        </w:rPr>
        <w:t>кций НК «Роснефть», которые составляли</w:t>
      </w:r>
      <w:r w:rsidR="0059775B" w:rsidRPr="00FA1D14">
        <w:rPr>
          <w:rFonts w:ascii="Times New Roman" w:eastAsia="Times New Roman" w:hAnsi="Times New Roman" w:cs="Times New Roman"/>
          <w:color w:val="000000"/>
          <w:sz w:val="24"/>
          <w:szCs w:val="24"/>
          <w:lang w:eastAsia="ru-RU"/>
        </w:rPr>
        <w:t xml:space="preserve"> долю в 5,66% в «Роснефти», по цене 8,00 долл. за акцию.</w:t>
      </w:r>
    </w:p>
    <w:p w:rsidR="0059775B" w:rsidRPr="00FA1D14" w:rsidRDefault="00976843" w:rsidP="0059775B">
      <w:pPr>
        <w:shd w:val="clear" w:color="auto" w:fill="FFFFFF"/>
        <w:spacing w:before="300" w:after="30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окончании</w:t>
      </w:r>
      <w:r w:rsidR="0059775B">
        <w:rPr>
          <w:rFonts w:ascii="Times New Roman" w:eastAsia="Times New Roman" w:hAnsi="Times New Roman" w:cs="Times New Roman"/>
          <w:color w:val="000000"/>
          <w:sz w:val="24"/>
          <w:szCs w:val="24"/>
          <w:lang w:eastAsia="ru-RU"/>
        </w:rPr>
        <w:t xml:space="preserve"> данных сделок ВР владела</w:t>
      </w:r>
      <w:r w:rsidR="0059775B" w:rsidRPr="00FA1D14">
        <w:rPr>
          <w:rFonts w:ascii="Times New Roman" w:eastAsia="Times New Roman" w:hAnsi="Times New Roman" w:cs="Times New Roman"/>
          <w:color w:val="000000"/>
          <w:sz w:val="24"/>
          <w:szCs w:val="24"/>
          <w:lang w:eastAsia="ru-RU"/>
        </w:rPr>
        <w:t xml:space="preserve"> 19,75% акций «Роснефти», включая уже имеющуюся у ВР долю в 1,25%.</w:t>
      </w:r>
      <w:r w:rsidR="0059775B">
        <w:rPr>
          <w:rStyle w:val="a7"/>
          <w:rFonts w:ascii="Times New Roman" w:eastAsia="Times New Roman" w:hAnsi="Times New Roman" w:cs="Times New Roman"/>
          <w:color w:val="000000"/>
          <w:sz w:val="24"/>
          <w:szCs w:val="24"/>
          <w:lang w:eastAsia="ru-RU"/>
        </w:rPr>
        <w:footnoteReference w:id="36"/>
      </w:r>
    </w:p>
    <w:p w:rsidR="00976843" w:rsidRDefault="0059775B" w:rsidP="00976843">
      <w:pPr>
        <w:spacing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 декабря</w:t>
      </w:r>
      <w:r w:rsidRPr="00FA1D14">
        <w:rPr>
          <w:rFonts w:ascii="Times New Roman" w:eastAsia="Times New Roman" w:hAnsi="Times New Roman" w:cs="Times New Roman"/>
          <w:color w:val="000000"/>
          <w:sz w:val="24"/>
          <w:szCs w:val="24"/>
          <w:lang w:eastAsia="ru-RU"/>
        </w:rPr>
        <w:t xml:space="preserve"> компания «Роснефть» и консорциум </w:t>
      </w:r>
      <w:r>
        <w:rPr>
          <w:rFonts w:ascii="Times New Roman" w:eastAsia="Times New Roman" w:hAnsi="Times New Roman" w:cs="Times New Roman"/>
          <w:color w:val="000000"/>
          <w:sz w:val="24"/>
          <w:szCs w:val="24"/>
          <w:lang w:eastAsia="ru-RU"/>
        </w:rPr>
        <w:t>ААР</w:t>
      </w:r>
      <w:r w:rsidRPr="00FA1D14">
        <w:rPr>
          <w:rFonts w:ascii="Times New Roman" w:eastAsia="Times New Roman" w:hAnsi="Times New Roman" w:cs="Times New Roman"/>
          <w:color w:val="000000"/>
          <w:sz w:val="24"/>
          <w:szCs w:val="24"/>
          <w:lang w:eastAsia="ru-RU"/>
        </w:rPr>
        <w:t xml:space="preserve"> в Мюнхене подписали договор купли-продажи 50-процентной доли в ТНК-ВР. Сумма сделки определена исходя из базовой оценки принад</w:t>
      </w:r>
      <w:r>
        <w:rPr>
          <w:rFonts w:ascii="Times New Roman" w:eastAsia="Times New Roman" w:hAnsi="Times New Roman" w:cs="Times New Roman"/>
          <w:color w:val="000000"/>
          <w:sz w:val="24"/>
          <w:szCs w:val="24"/>
          <w:lang w:eastAsia="ru-RU"/>
        </w:rPr>
        <w:t>лежащей «ААР» доли в ТНК-ВР в 27,7</w:t>
      </w:r>
      <w:r w:rsidRPr="00FA1D14">
        <w:rPr>
          <w:rFonts w:ascii="Times New Roman" w:eastAsia="Times New Roman" w:hAnsi="Times New Roman" w:cs="Times New Roman"/>
          <w:color w:val="000000"/>
          <w:sz w:val="24"/>
          <w:szCs w:val="24"/>
          <w:lang w:eastAsia="ru-RU"/>
        </w:rPr>
        <w:t xml:space="preserve"> </w:t>
      </w:r>
      <w:proofErr w:type="gramStart"/>
      <w:r w:rsidRPr="00FA1D14">
        <w:rPr>
          <w:rFonts w:ascii="Times New Roman" w:eastAsia="Times New Roman" w:hAnsi="Times New Roman" w:cs="Times New Roman"/>
          <w:color w:val="000000"/>
          <w:sz w:val="24"/>
          <w:szCs w:val="24"/>
          <w:lang w:eastAsia="ru-RU"/>
        </w:rPr>
        <w:t>млрд</w:t>
      </w:r>
      <w:proofErr w:type="gramEnd"/>
      <w:r w:rsidRPr="00FA1D14">
        <w:rPr>
          <w:rFonts w:ascii="Times New Roman" w:eastAsia="Times New Roman" w:hAnsi="Times New Roman" w:cs="Times New Roman"/>
          <w:color w:val="000000"/>
          <w:sz w:val="24"/>
          <w:szCs w:val="24"/>
          <w:lang w:eastAsia="ru-RU"/>
        </w:rPr>
        <w:t xml:space="preserve"> долл. США. </w:t>
      </w:r>
      <w:r w:rsidRPr="00412313">
        <w:rPr>
          <w:rFonts w:ascii="Times New Roman" w:eastAsia="Times New Roman" w:hAnsi="Times New Roman" w:cs="Times New Roman"/>
          <w:color w:val="000000"/>
          <w:sz w:val="24"/>
          <w:szCs w:val="24"/>
          <w:lang w:eastAsia="ru-RU"/>
        </w:rPr>
        <w:t>Завершение сделки, как ожидалось</w:t>
      </w:r>
      <w:r w:rsidRPr="00FA1D1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должно было состоя</w:t>
      </w:r>
      <w:r w:rsidRPr="00FA1D14">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ь</w:t>
      </w:r>
      <w:r w:rsidRPr="00FA1D14">
        <w:rPr>
          <w:rFonts w:ascii="Times New Roman" w:eastAsia="Times New Roman" w:hAnsi="Times New Roman" w:cs="Times New Roman"/>
          <w:color w:val="000000"/>
          <w:sz w:val="24"/>
          <w:szCs w:val="24"/>
          <w:lang w:eastAsia="ru-RU"/>
        </w:rPr>
        <w:t>ся в первой половине 2013 г. после получения одобрения на ее проведение со стороны российских и европейских антимонопольных органов.</w:t>
      </w:r>
    </w:p>
    <w:p w:rsidR="0059775B" w:rsidRPr="0057765F" w:rsidRDefault="0059775B" w:rsidP="00976843">
      <w:pPr>
        <w:spacing w:after="0" w:line="360" w:lineRule="auto"/>
        <w:ind w:firstLine="567"/>
        <w:jc w:val="both"/>
        <w:rPr>
          <w:rFonts w:ascii="Times New Roman" w:eastAsia="Times New Roman" w:hAnsi="Times New Roman" w:cs="Times New Roman"/>
          <w:sz w:val="24"/>
          <w:szCs w:val="24"/>
          <w:lang w:eastAsia="ru-RU"/>
        </w:rPr>
      </w:pPr>
      <w:r w:rsidRPr="00850C83">
        <w:rPr>
          <w:rFonts w:ascii="Times New Roman" w:eastAsia="Times New Roman" w:hAnsi="Times New Roman" w:cs="Times New Roman"/>
          <w:sz w:val="24"/>
          <w:szCs w:val="24"/>
          <w:lang w:eastAsia="ru-RU"/>
        </w:rPr>
        <w:t xml:space="preserve">21 Марта 2013 </w:t>
      </w:r>
      <w:r w:rsidRPr="0057765F">
        <w:rPr>
          <w:rFonts w:ascii="Times New Roman" w:eastAsia="Times New Roman" w:hAnsi="Times New Roman" w:cs="Times New Roman"/>
          <w:color w:val="000000"/>
          <w:sz w:val="24"/>
          <w:szCs w:val="24"/>
          <w:lang w:eastAsia="ru-RU"/>
        </w:rPr>
        <w:t>«Роснефть» объявила о завершении сделок по приобретению ТНК-</w:t>
      </w:r>
      <w:proofErr w:type="gramStart"/>
      <w:r w:rsidRPr="0057765F">
        <w:rPr>
          <w:rFonts w:ascii="Times New Roman" w:eastAsia="Times New Roman" w:hAnsi="Times New Roman" w:cs="Times New Roman"/>
          <w:color w:val="000000"/>
          <w:sz w:val="24"/>
          <w:szCs w:val="24"/>
          <w:lang w:eastAsia="ru-RU"/>
        </w:rPr>
        <w:t>BP</w:t>
      </w:r>
      <w:proofErr w:type="gramEnd"/>
      <w:r w:rsidRPr="0057765F">
        <w:rPr>
          <w:rFonts w:ascii="Times New Roman" w:eastAsia="Times New Roman" w:hAnsi="Times New Roman" w:cs="Times New Roman"/>
          <w:color w:val="000000"/>
          <w:sz w:val="24"/>
          <w:szCs w:val="24"/>
          <w:lang w:eastAsia="ru-RU"/>
        </w:rPr>
        <w:t>. Компани</w:t>
      </w:r>
      <w:r w:rsidR="00976843">
        <w:rPr>
          <w:rFonts w:ascii="Times New Roman" w:eastAsia="Times New Roman" w:hAnsi="Times New Roman" w:cs="Times New Roman"/>
          <w:color w:val="000000"/>
          <w:sz w:val="24"/>
          <w:szCs w:val="24"/>
          <w:lang w:eastAsia="ru-RU"/>
        </w:rPr>
        <w:t>я закрыла сделки по покупке</w:t>
      </w:r>
      <w:r w:rsidRPr="0057765F">
        <w:rPr>
          <w:rFonts w:ascii="Times New Roman" w:eastAsia="Times New Roman" w:hAnsi="Times New Roman" w:cs="Times New Roman"/>
          <w:color w:val="000000"/>
          <w:sz w:val="24"/>
          <w:szCs w:val="24"/>
          <w:lang w:eastAsia="ru-RU"/>
        </w:rPr>
        <w:t xml:space="preserve"> 50% доли ВР в ТНК-ВР за 16,65 </w:t>
      </w:r>
      <w:proofErr w:type="gramStart"/>
      <w:r w:rsidRPr="0057765F">
        <w:rPr>
          <w:rFonts w:ascii="Times New Roman" w:eastAsia="Times New Roman" w:hAnsi="Times New Roman" w:cs="Times New Roman"/>
          <w:color w:val="000000"/>
          <w:sz w:val="24"/>
          <w:szCs w:val="24"/>
          <w:lang w:eastAsia="ru-RU"/>
        </w:rPr>
        <w:t>млрд</w:t>
      </w:r>
      <w:proofErr w:type="gramEnd"/>
      <w:r w:rsidRPr="0057765F">
        <w:rPr>
          <w:rFonts w:ascii="Times New Roman" w:eastAsia="Times New Roman" w:hAnsi="Times New Roman" w:cs="Times New Roman"/>
          <w:color w:val="000000"/>
          <w:sz w:val="24"/>
          <w:szCs w:val="24"/>
          <w:lang w:eastAsia="ru-RU"/>
        </w:rPr>
        <w:t xml:space="preserve"> </w:t>
      </w:r>
      <w:r w:rsidR="00976843">
        <w:rPr>
          <w:rFonts w:ascii="Times New Roman" w:eastAsia="Times New Roman" w:hAnsi="Times New Roman" w:cs="Times New Roman"/>
          <w:color w:val="000000"/>
          <w:sz w:val="24"/>
          <w:szCs w:val="24"/>
          <w:lang w:eastAsia="ru-RU"/>
        </w:rPr>
        <w:t>долл. США</w:t>
      </w:r>
      <w:r w:rsidRPr="0057765F">
        <w:rPr>
          <w:rFonts w:ascii="Times New Roman" w:eastAsia="Times New Roman" w:hAnsi="Times New Roman" w:cs="Times New Roman"/>
          <w:color w:val="000000"/>
          <w:sz w:val="24"/>
          <w:szCs w:val="24"/>
          <w:lang w:eastAsia="ru-RU"/>
        </w:rPr>
        <w:t xml:space="preserve"> и 12,84% ак</w:t>
      </w:r>
      <w:r w:rsidR="00976843">
        <w:rPr>
          <w:rFonts w:ascii="Times New Roman" w:eastAsia="Times New Roman" w:hAnsi="Times New Roman" w:cs="Times New Roman"/>
          <w:color w:val="000000"/>
          <w:sz w:val="24"/>
          <w:szCs w:val="24"/>
          <w:lang w:eastAsia="ru-RU"/>
        </w:rPr>
        <w:t>ций ОАО «НК «Роснефть». Более того</w:t>
      </w:r>
      <w:r w:rsidRPr="0057765F">
        <w:rPr>
          <w:rFonts w:ascii="Times New Roman" w:eastAsia="Times New Roman" w:hAnsi="Times New Roman" w:cs="Times New Roman"/>
          <w:color w:val="000000"/>
          <w:sz w:val="24"/>
          <w:szCs w:val="24"/>
          <w:lang w:eastAsia="ru-RU"/>
        </w:rPr>
        <w:t>, ВР приобрела 5,66 % акций ОАО «НК «Роснефть» по сделке с ОАО «</w:t>
      </w:r>
      <w:proofErr w:type="spellStart"/>
      <w:r>
        <w:rPr>
          <w:rFonts w:ascii="Times New Roman" w:eastAsia="Times New Roman" w:hAnsi="Times New Roman" w:cs="Times New Roman"/>
          <w:color w:val="000000"/>
          <w:sz w:val="24"/>
          <w:szCs w:val="24"/>
          <w:lang w:eastAsia="ru-RU"/>
        </w:rPr>
        <w:t>Роснефтегаз</w:t>
      </w:r>
      <w:proofErr w:type="spellEnd"/>
      <w:r w:rsidRPr="0057765F">
        <w:rPr>
          <w:rFonts w:ascii="Times New Roman" w:eastAsia="Times New Roman" w:hAnsi="Times New Roman" w:cs="Times New Roman"/>
          <w:color w:val="000000"/>
          <w:sz w:val="24"/>
          <w:szCs w:val="24"/>
          <w:lang w:eastAsia="ru-RU"/>
        </w:rPr>
        <w:t>».</w:t>
      </w:r>
    </w:p>
    <w:p w:rsidR="0059775B" w:rsidRPr="0057765F" w:rsidRDefault="0059775B" w:rsidP="0059775B">
      <w:pPr>
        <w:shd w:val="clear" w:color="auto" w:fill="FFFFFF"/>
        <w:spacing w:before="300" w:after="30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результате </w:t>
      </w:r>
      <w:r w:rsidRPr="0057765F">
        <w:rPr>
          <w:rFonts w:ascii="Times New Roman" w:eastAsia="Times New Roman" w:hAnsi="Times New Roman" w:cs="Times New Roman"/>
          <w:color w:val="000000"/>
          <w:sz w:val="24"/>
          <w:szCs w:val="24"/>
          <w:lang w:eastAsia="ru-RU"/>
        </w:rPr>
        <w:t xml:space="preserve">выше </w:t>
      </w:r>
      <w:r w:rsidRPr="00E215A2">
        <w:rPr>
          <w:rFonts w:ascii="Times New Roman" w:eastAsia="Times New Roman" w:hAnsi="Times New Roman" w:cs="Times New Roman"/>
          <w:color w:val="000000"/>
          <w:sz w:val="24"/>
          <w:szCs w:val="24"/>
          <w:lang w:eastAsia="ru-RU"/>
        </w:rPr>
        <w:t xml:space="preserve">упомянутых </w:t>
      </w:r>
      <w:r w:rsidRPr="0057765F">
        <w:rPr>
          <w:rFonts w:ascii="Times New Roman" w:eastAsia="Times New Roman" w:hAnsi="Times New Roman" w:cs="Times New Roman"/>
          <w:color w:val="000000"/>
          <w:sz w:val="24"/>
          <w:szCs w:val="24"/>
          <w:lang w:eastAsia="ru-RU"/>
        </w:rPr>
        <w:t>сделок ВР получила 1</w:t>
      </w:r>
      <w:r w:rsidR="00976843">
        <w:rPr>
          <w:rFonts w:ascii="Times New Roman" w:eastAsia="Times New Roman" w:hAnsi="Times New Roman" w:cs="Times New Roman"/>
          <w:color w:val="000000"/>
          <w:sz w:val="24"/>
          <w:szCs w:val="24"/>
          <w:lang w:eastAsia="ru-RU"/>
        </w:rPr>
        <w:t xml:space="preserve">2,48 </w:t>
      </w:r>
      <w:proofErr w:type="gramStart"/>
      <w:r w:rsidR="00976843">
        <w:rPr>
          <w:rFonts w:ascii="Times New Roman" w:eastAsia="Times New Roman" w:hAnsi="Times New Roman" w:cs="Times New Roman"/>
          <w:color w:val="000000"/>
          <w:sz w:val="24"/>
          <w:szCs w:val="24"/>
          <w:lang w:eastAsia="ru-RU"/>
        </w:rPr>
        <w:t>млрд</w:t>
      </w:r>
      <w:proofErr w:type="gramEnd"/>
      <w:r w:rsidR="00976843">
        <w:rPr>
          <w:rFonts w:ascii="Times New Roman" w:eastAsia="Times New Roman" w:hAnsi="Times New Roman" w:cs="Times New Roman"/>
          <w:color w:val="000000"/>
          <w:sz w:val="24"/>
          <w:szCs w:val="24"/>
          <w:lang w:eastAsia="ru-RU"/>
        </w:rPr>
        <w:t xml:space="preserve"> долл. (в том числе дивиденды на сумму</w:t>
      </w:r>
      <w:r w:rsidRPr="0057765F">
        <w:rPr>
          <w:rFonts w:ascii="Times New Roman" w:eastAsia="Times New Roman" w:hAnsi="Times New Roman" w:cs="Times New Roman"/>
          <w:color w:val="000000"/>
          <w:sz w:val="24"/>
          <w:szCs w:val="24"/>
          <w:lang w:eastAsia="ru-RU"/>
        </w:rPr>
        <w:t xml:space="preserve"> 0,71 млрд долл. США, </w:t>
      </w:r>
      <w:r w:rsidR="00976843">
        <w:rPr>
          <w:rFonts w:ascii="Times New Roman" w:eastAsia="Times New Roman" w:hAnsi="Times New Roman" w:cs="Times New Roman"/>
          <w:color w:val="000000"/>
          <w:sz w:val="24"/>
          <w:szCs w:val="24"/>
          <w:lang w:eastAsia="ru-RU"/>
        </w:rPr>
        <w:t>которые были получены</w:t>
      </w:r>
      <w:r w:rsidRPr="0057765F">
        <w:rPr>
          <w:rFonts w:ascii="Times New Roman" w:eastAsia="Times New Roman" w:hAnsi="Times New Roman" w:cs="Times New Roman"/>
          <w:color w:val="000000"/>
          <w:sz w:val="24"/>
          <w:szCs w:val="24"/>
          <w:lang w:eastAsia="ru-RU"/>
        </w:rPr>
        <w:t xml:space="preserve"> в декабре 2012 г. от </w:t>
      </w:r>
      <w:r w:rsidRPr="0057765F">
        <w:rPr>
          <w:rFonts w:ascii="Times New Roman" w:eastAsia="Times New Roman" w:hAnsi="Times New Roman" w:cs="Times New Roman"/>
          <w:color w:val="000000"/>
          <w:sz w:val="24"/>
          <w:szCs w:val="24"/>
          <w:lang w:eastAsia="ru-RU"/>
        </w:rPr>
        <w:lastRenderedPageBreak/>
        <w:t>ТНК-ВР), и с учетом уже принадлежащих ВР 1,25% акций «Роснефти» стала владельцем 19,75% акций ОАО «НК «Роснефть».</w:t>
      </w:r>
      <w:r>
        <w:rPr>
          <w:rStyle w:val="a7"/>
          <w:rFonts w:ascii="Times New Roman" w:eastAsia="Times New Roman" w:hAnsi="Times New Roman" w:cs="Times New Roman"/>
          <w:color w:val="000000"/>
          <w:sz w:val="24"/>
          <w:szCs w:val="24"/>
          <w:lang w:eastAsia="ru-RU"/>
        </w:rPr>
        <w:footnoteReference w:id="37"/>
      </w:r>
    </w:p>
    <w:p w:rsidR="0059775B" w:rsidRPr="0057765F" w:rsidRDefault="0059775B" w:rsidP="0059775B">
      <w:pPr>
        <w:shd w:val="clear" w:color="auto" w:fill="FFFFFF"/>
        <w:spacing w:before="300" w:after="300" w:line="360" w:lineRule="auto"/>
        <w:ind w:firstLine="567"/>
        <w:jc w:val="both"/>
        <w:rPr>
          <w:rFonts w:ascii="Times New Roman" w:eastAsia="Times New Roman" w:hAnsi="Times New Roman" w:cs="Times New Roman"/>
          <w:color w:val="000000"/>
          <w:sz w:val="24"/>
          <w:szCs w:val="24"/>
          <w:lang w:eastAsia="ru-RU"/>
        </w:rPr>
      </w:pPr>
      <w:r w:rsidRPr="0057765F">
        <w:rPr>
          <w:rFonts w:ascii="Times New Roman" w:eastAsia="Times New Roman" w:hAnsi="Times New Roman" w:cs="Times New Roman"/>
          <w:color w:val="000000"/>
          <w:sz w:val="24"/>
          <w:szCs w:val="24"/>
          <w:lang w:eastAsia="ru-RU"/>
        </w:rPr>
        <w:t xml:space="preserve">В соответствии с отдельными договоренностями «Роснефть» завершила сделку по приобретению доли ААР в ТНК-ВР за 27,73 </w:t>
      </w:r>
      <w:proofErr w:type="gramStart"/>
      <w:r w:rsidRPr="0057765F">
        <w:rPr>
          <w:rFonts w:ascii="Times New Roman" w:eastAsia="Times New Roman" w:hAnsi="Times New Roman" w:cs="Times New Roman"/>
          <w:color w:val="000000"/>
          <w:sz w:val="24"/>
          <w:szCs w:val="24"/>
          <w:lang w:eastAsia="ru-RU"/>
        </w:rPr>
        <w:t>млрд</w:t>
      </w:r>
      <w:proofErr w:type="gramEnd"/>
      <w:r w:rsidRPr="0057765F">
        <w:rPr>
          <w:rFonts w:ascii="Times New Roman" w:eastAsia="Times New Roman" w:hAnsi="Times New Roman" w:cs="Times New Roman"/>
          <w:color w:val="000000"/>
          <w:sz w:val="24"/>
          <w:szCs w:val="24"/>
          <w:lang w:eastAsia="ru-RU"/>
        </w:rPr>
        <w:t xml:space="preserve"> долл. США денежных средств.</w:t>
      </w:r>
    </w:p>
    <w:p w:rsidR="0059775B" w:rsidRDefault="0059775B" w:rsidP="0059775B">
      <w:pPr>
        <w:shd w:val="clear" w:color="auto" w:fill="FFFFFF"/>
        <w:spacing w:before="300" w:after="300" w:line="360" w:lineRule="auto"/>
        <w:ind w:firstLine="567"/>
        <w:jc w:val="both"/>
        <w:rPr>
          <w:rFonts w:ascii="Times New Roman" w:eastAsia="Times New Roman" w:hAnsi="Times New Roman" w:cs="Times New Roman"/>
          <w:color w:val="000000"/>
          <w:sz w:val="24"/>
          <w:szCs w:val="24"/>
          <w:lang w:eastAsia="ru-RU"/>
        </w:rPr>
      </w:pPr>
      <w:r w:rsidRPr="0057765F">
        <w:rPr>
          <w:rFonts w:ascii="Times New Roman" w:eastAsia="Times New Roman" w:hAnsi="Times New Roman" w:cs="Times New Roman"/>
          <w:color w:val="000000"/>
          <w:sz w:val="24"/>
          <w:szCs w:val="24"/>
          <w:lang w:eastAsia="ru-RU"/>
        </w:rPr>
        <w:t>Указанные выше суммы приобр</w:t>
      </w:r>
      <w:r>
        <w:rPr>
          <w:rFonts w:ascii="Times New Roman" w:eastAsia="Times New Roman" w:hAnsi="Times New Roman" w:cs="Times New Roman"/>
          <w:color w:val="000000"/>
          <w:sz w:val="24"/>
          <w:szCs w:val="24"/>
          <w:lang w:eastAsia="ru-RU"/>
        </w:rPr>
        <w:t>етения долей в ТНК-</w:t>
      </w:r>
      <w:proofErr w:type="gramStart"/>
      <w:r>
        <w:rPr>
          <w:rFonts w:ascii="Times New Roman" w:eastAsia="Times New Roman" w:hAnsi="Times New Roman" w:cs="Times New Roman"/>
          <w:color w:val="000000"/>
          <w:sz w:val="24"/>
          <w:szCs w:val="24"/>
          <w:lang w:eastAsia="ru-RU"/>
        </w:rPr>
        <w:t>BP</w:t>
      </w:r>
      <w:proofErr w:type="gramEnd"/>
      <w:r>
        <w:rPr>
          <w:rFonts w:ascii="Times New Roman" w:eastAsia="Times New Roman" w:hAnsi="Times New Roman" w:cs="Times New Roman"/>
          <w:color w:val="000000"/>
          <w:sz w:val="24"/>
          <w:szCs w:val="24"/>
          <w:lang w:eastAsia="ru-RU"/>
        </w:rPr>
        <w:t xml:space="preserve"> у BP и AAР</w:t>
      </w:r>
      <w:r w:rsidRPr="0057765F">
        <w:rPr>
          <w:rFonts w:ascii="Times New Roman" w:eastAsia="Times New Roman" w:hAnsi="Times New Roman" w:cs="Times New Roman"/>
          <w:color w:val="000000"/>
          <w:sz w:val="24"/>
          <w:szCs w:val="24"/>
          <w:lang w:eastAsia="ru-RU"/>
        </w:rPr>
        <w:t xml:space="preserve"> рассчитаны исходя из условий формирования покупной цены, предусмотренных в соответствующих договорах купли-продажи.</w:t>
      </w:r>
      <w:r w:rsidRPr="00850C83">
        <w:rPr>
          <w:rFonts w:ascii="Times New Roman" w:eastAsia="Times New Roman" w:hAnsi="Times New Roman" w:cs="Times New Roman"/>
          <w:color w:val="000000"/>
          <w:sz w:val="24"/>
          <w:szCs w:val="24"/>
          <w:lang w:eastAsia="ru-RU"/>
        </w:rPr>
        <w:t xml:space="preserve"> Так, в октябре 2012 г. «Роснефть» и ВР согласовали основные условия соглашения о приобретении «Роснефтью» 50-процентной доли ВР в ТНК-ВР за 17,12 </w:t>
      </w:r>
      <w:proofErr w:type="gramStart"/>
      <w:r w:rsidRPr="00850C83">
        <w:rPr>
          <w:rFonts w:ascii="Times New Roman" w:eastAsia="Times New Roman" w:hAnsi="Times New Roman" w:cs="Times New Roman"/>
          <w:color w:val="000000"/>
          <w:sz w:val="24"/>
          <w:szCs w:val="24"/>
          <w:lang w:eastAsia="ru-RU"/>
        </w:rPr>
        <w:t>млрд</w:t>
      </w:r>
      <w:proofErr w:type="gramEnd"/>
      <w:r w:rsidRPr="00850C83">
        <w:rPr>
          <w:rFonts w:ascii="Times New Roman" w:eastAsia="Times New Roman" w:hAnsi="Times New Roman" w:cs="Times New Roman"/>
          <w:color w:val="000000"/>
          <w:sz w:val="24"/>
          <w:szCs w:val="24"/>
          <w:lang w:eastAsia="ru-RU"/>
        </w:rPr>
        <w:t xml:space="preserve"> долл. США денежных средств и 12,84% акций «Роснефти». Но в соответствии с условиями расчета цены по договору купли-продажи, в том числе за вычетом дивидендов в размере 0,71 </w:t>
      </w:r>
      <w:proofErr w:type="gramStart"/>
      <w:r w:rsidRPr="00850C83">
        <w:rPr>
          <w:rFonts w:ascii="Times New Roman" w:eastAsia="Times New Roman" w:hAnsi="Times New Roman" w:cs="Times New Roman"/>
          <w:color w:val="000000"/>
          <w:sz w:val="24"/>
          <w:szCs w:val="24"/>
          <w:lang w:eastAsia="ru-RU"/>
        </w:rPr>
        <w:t>млрд</w:t>
      </w:r>
      <w:proofErr w:type="gramEnd"/>
      <w:r w:rsidRPr="00850C83">
        <w:rPr>
          <w:rFonts w:ascii="Times New Roman" w:eastAsia="Times New Roman" w:hAnsi="Times New Roman" w:cs="Times New Roman"/>
          <w:color w:val="000000"/>
          <w:sz w:val="24"/>
          <w:szCs w:val="24"/>
          <w:lang w:eastAsia="ru-RU"/>
        </w:rPr>
        <w:t xml:space="preserve"> долл. США, полученных ВР от ТНК-ВР в декабре 2012 г., «Роснефть» выплатила ВР сумму в размере 16,65 млрд долл. США.</w:t>
      </w:r>
    </w:p>
    <w:p w:rsidR="00891653" w:rsidRPr="004D6A9F" w:rsidRDefault="0059775B" w:rsidP="00290002">
      <w:pPr>
        <w:shd w:val="clear" w:color="auto" w:fill="FFFFFF"/>
        <w:spacing w:before="300" w:after="300" w:line="360" w:lineRule="auto"/>
        <w:ind w:firstLine="567"/>
        <w:jc w:val="both"/>
        <w:rPr>
          <w:rFonts w:ascii="Times New Roman" w:eastAsia="Times New Roman" w:hAnsi="Times New Roman" w:cs="Times New Roman"/>
          <w:color w:val="000000"/>
          <w:sz w:val="24"/>
          <w:szCs w:val="24"/>
          <w:lang w:eastAsia="ru-RU"/>
        </w:rPr>
      </w:pPr>
      <w:r w:rsidRPr="0057765F">
        <w:rPr>
          <w:rFonts w:ascii="Times New Roman" w:eastAsia="Times New Roman" w:hAnsi="Times New Roman" w:cs="Times New Roman"/>
          <w:color w:val="000000"/>
          <w:sz w:val="24"/>
          <w:szCs w:val="24"/>
          <w:lang w:eastAsia="ru-RU"/>
        </w:rPr>
        <w:t>По завершении ряда независимых сделок «Роснефть» консолидировал</w:t>
      </w:r>
      <w:r w:rsidR="00976843">
        <w:rPr>
          <w:rFonts w:ascii="Times New Roman" w:eastAsia="Times New Roman" w:hAnsi="Times New Roman" w:cs="Times New Roman"/>
          <w:color w:val="000000"/>
          <w:sz w:val="24"/>
          <w:szCs w:val="24"/>
          <w:lang w:eastAsia="ru-RU"/>
        </w:rPr>
        <w:t>а 100% ТНК-ВР и стала компанией-гигантом в нефтегазовом секторе</w:t>
      </w:r>
      <w:r w:rsidRPr="0057765F">
        <w:rPr>
          <w:rFonts w:ascii="Times New Roman" w:eastAsia="Times New Roman" w:hAnsi="Times New Roman" w:cs="Times New Roman"/>
          <w:color w:val="000000"/>
          <w:sz w:val="24"/>
          <w:szCs w:val="24"/>
          <w:lang w:eastAsia="ru-RU"/>
        </w:rPr>
        <w:t xml:space="preserve"> по объемам добычи и запасов углеводородов.</w:t>
      </w:r>
    </w:p>
    <w:p w:rsidR="0059775B" w:rsidRPr="00603DDD" w:rsidRDefault="0059775B" w:rsidP="0059775B">
      <w:pPr>
        <w:pStyle w:val="2"/>
        <w:spacing w:after="240"/>
        <w:jc w:val="center"/>
        <w:rPr>
          <w:rFonts w:ascii="Times New Roman" w:eastAsia="Times New Roman" w:hAnsi="Times New Roman" w:cs="Times New Roman"/>
          <w:color w:val="000000" w:themeColor="text1"/>
          <w:sz w:val="24"/>
        </w:rPr>
      </w:pPr>
      <w:bookmarkStart w:id="15" w:name="_Toc469372285"/>
      <w:bookmarkStart w:id="16" w:name="_Toc482547521"/>
      <w:r>
        <w:rPr>
          <w:rFonts w:ascii="Times New Roman" w:eastAsia="Times New Roman" w:hAnsi="Times New Roman" w:cs="Times New Roman"/>
          <w:color w:val="000000" w:themeColor="text1"/>
          <w:sz w:val="24"/>
        </w:rPr>
        <w:t xml:space="preserve">3.2 </w:t>
      </w:r>
      <w:r w:rsidRPr="003A1A25">
        <w:rPr>
          <w:rFonts w:ascii="Times New Roman" w:eastAsia="Times New Roman" w:hAnsi="Times New Roman" w:cs="Times New Roman"/>
          <w:color w:val="000000" w:themeColor="text1"/>
          <w:sz w:val="24"/>
        </w:rPr>
        <w:t xml:space="preserve">Оценка эффективности поглощения методом </w:t>
      </w:r>
      <w:bookmarkEnd w:id="15"/>
      <w:r w:rsidR="00603DDD">
        <w:rPr>
          <w:rFonts w:ascii="Times New Roman" w:eastAsia="Times New Roman" w:hAnsi="Times New Roman" w:cs="Times New Roman"/>
          <w:color w:val="000000" w:themeColor="text1"/>
          <w:sz w:val="24"/>
          <w:lang w:val="en-US"/>
        </w:rPr>
        <w:t>Discounted</w:t>
      </w:r>
      <w:r w:rsidR="00603DDD" w:rsidRPr="00603DDD">
        <w:rPr>
          <w:rFonts w:ascii="Times New Roman" w:eastAsia="Times New Roman" w:hAnsi="Times New Roman" w:cs="Times New Roman"/>
          <w:color w:val="000000" w:themeColor="text1"/>
          <w:sz w:val="24"/>
        </w:rPr>
        <w:t xml:space="preserve"> </w:t>
      </w:r>
      <w:r w:rsidR="00603DDD">
        <w:rPr>
          <w:rFonts w:ascii="Times New Roman" w:eastAsia="Times New Roman" w:hAnsi="Times New Roman" w:cs="Times New Roman"/>
          <w:color w:val="000000" w:themeColor="text1"/>
          <w:sz w:val="24"/>
          <w:lang w:val="en-US"/>
        </w:rPr>
        <w:t>Cash</w:t>
      </w:r>
      <w:r w:rsidR="00603DDD" w:rsidRPr="00603DDD">
        <w:rPr>
          <w:rFonts w:ascii="Times New Roman" w:eastAsia="Times New Roman" w:hAnsi="Times New Roman" w:cs="Times New Roman"/>
          <w:color w:val="000000" w:themeColor="text1"/>
          <w:sz w:val="24"/>
        </w:rPr>
        <w:t xml:space="preserve"> </w:t>
      </w:r>
      <w:r w:rsidR="00603DDD">
        <w:rPr>
          <w:rFonts w:ascii="Times New Roman" w:eastAsia="Times New Roman" w:hAnsi="Times New Roman" w:cs="Times New Roman"/>
          <w:color w:val="000000" w:themeColor="text1"/>
          <w:sz w:val="24"/>
          <w:lang w:val="en-US"/>
        </w:rPr>
        <w:t>Flaw</w:t>
      </w:r>
      <w:r w:rsidR="00603DDD" w:rsidRPr="00603DDD">
        <w:rPr>
          <w:rFonts w:ascii="Times New Roman" w:eastAsia="Times New Roman" w:hAnsi="Times New Roman" w:cs="Times New Roman"/>
          <w:color w:val="000000" w:themeColor="text1"/>
          <w:sz w:val="24"/>
        </w:rPr>
        <w:t xml:space="preserve"> (</w:t>
      </w:r>
      <w:r w:rsidR="00603DDD">
        <w:rPr>
          <w:rFonts w:ascii="Times New Roman" w:eastAsia="Times New Roman" w:hAnsi="Times New Roman" w:cs="Times New Roman"/>
          <w:color w:val="000000" w:themeColor="text1"/>
          <w:sz w:val="24"/>
          <w:lang w:val="en-US"/>
        </w:rPr>
        <w:t>DCF</w:t>
      </w:r>
      <w:r w:rsidR="00603DDD" w:rsidRPr="00603DDD">
        <w:rPr>
          <w:rFonts w:ascii="Times New Roman" w:eastAsia="Times New Roman" w:hAnsi="Times New Roman" w:cs="Times New Roman"/>
          <w:color w:val="000000" w:themeColor="text1"/>
          <w:sz w:val="24"/>
        </w:rPr>
        <w:t>)</w:t>
      </w:r>
      <w:bookmarkEnd w:id="16"/>
    </w:p>
    <w:p w:rsidR="0059775B" w:rsidRPr="00A83402" w:rsidRDefault="0059775B" w:rsidP="0059775B">
      <w:pPr>
        <w:spacing w:line="360" w:lineRule="auto"/>
        <w:ind w:firstLine="567"/>
        <w:jc w:val="both"/>
        <w:rPr>
          <w:rFonts w:ascii="Times New Roman" w:hAnsi="Times New Roman" w:cs="Times New Roman"/>
          <w:color w:val="000000" w:themeColor="text1"/>
          <w:sz w:val="24"/>
          <w:szCs w:val="24"/>
        </w:rPr>
      </w:pPr>
      <w:r w:rsidRPr="00A83402">
        <w:rPr>
          <w:rFonts w:ascii="Times New Roman" w:hAnsi="Times New Roman" w:cs="Times New Roman"/>
          <w:color w:val="000000" w:themeColor="text1"/>
          <w:sz w:val="24"/>
          <w:szCs w:val="24"/>
        </w:rPr>
        <w:t>Для оценки рассматриваемой сделки восполь</w:t>
      </w:r>
      <w:r>
        <w:rPr>
          <w:rFonts w:ascii="Times New Roman" w:hAnsi="Times New Roman" w:cs="Times New Roman"/>
          <w:color w:val="000000" w:themeColor="text1"/>
          <w:sz w:val="24"/>
          <w:szCs w:val="24"/>
        </w:rPr>
        <w:t xml:space="preserve">зуемся методом </w:t>
      </w:r>
      <w:r w:rsidR="00174926">
        <w:rPr>
          <w:rFonts w:ascii="Times New Roman" w:eastAsia="Times New Roman" w:hAnsi="Times New Roman" w:cs="Times New Roman"/>
          <w:color w:val="000000" w:themeColor="text1"/>
          <w:sz w:val="24"/>
          <w:lang w:val="en-US"/>
        </w:rPr>
        <w:t>Discounted</w:t>
      </w:r>
      <w:r w:rsidR="00174926" w:rsidRPr="00603DDD">
        <w:rPr>
          <w:rFonts w:ascii="Times New Roman" w:eastAsia="Times New Roman" w:hAnsi="Times New Roman" w:cs="Times New Roman"/>
          <w:color w:val="000000" w:themeColor="text1"/>
          <w:sz w:val="24"/>
        </w:rPr>
        <w:t xml:space="preserve"> </w:t>
      </w:r>
      <w:r w:rsidR="00174926">
        <w:rPr>
          <w:rFonts w:ascii="Times New Roman" w:eastAsia="Times New Roman" w:hAnsi="Times New Roman" w:cs="Times New Roman"/>
          <w:color w:val="000000" w:themeColor="text1"/>
          <w:sz w:val="24"/>
          <w:lang w:val="en-US"/>
        </w:rPr>
        <w:t>Cash</w:t>
      </w:r>
      <w:r w:rsidR="00174926" w:rsidRPr="00603DDD">
        <w:rPr>
          <w:rFonts w:ascii="Times New Roman" w:eastAsia="Times New Roman" w:hAnsi="Times New Roman" w:cs="Times New Roman"/>
          <w:color w:val="000000" w:themeColor="text1"/>
          <w:sz w:val="24"/>
        </w:rPr>
        <w:t xml:space="preserve"> </w:t>
      </w:r>
      <w:r w:rsidR="00174926">
        <w:rPr>
          <w:rFonts w:ascii="Times New Roman" w:eastAsia="Times New Roman" w:hAnsi="Times New Roman" w:cs="Times New Roman"/>
          <w:color w:val="000000" w:themeColor="text1"/>
          <w:sz w:val="24"/>
          <w:lang w:val="en-US"/>
        </w:rPr>
        <w:t>Flaw</w:t>
      </w:r>
      <w:r w:rsidR="00174926" w:rsidRPr="00603DDD">
        <w:rPr>
          <w:rFonts w:ascii="Times New Roman" w:eastAsia="Times New Roman" w:hAnsi="Times New Roman" w:cs="Times New Roman"/>
          <w:color w:val="000000" w:themeColor="text1"/>
          <w:sz w:val="24"/>
        </w:rPr>
        <w:t xml:space="preserve"> </w:t>
      </w:r>
      <w:r w:rsidR="00174926" w:rsidRPr="00174926">
        <w:rPr>
          <w:rFonts w:ascii="Times New Roman" w:eastAsia="Times New Roman" w:hAnsi="Times New Roman" w:cs="Times New Roman"/>
          <w:color w:val="000000" w:themeColor="text1"/>
          <w:sz w:val="24"/>
        </w:rPr>
        <w:t>(</w:t>
      </w:r>
      <w:r>
        <w:rPr>
          <w:rFonts w:ascii="Times New Roman" w:hAnsi="Times New Roman" w:cs="Times New Roman"/>
          <w:color w:val="000000" w:themeColor="text1"/>
          <w:sz w:val="24"/>
          <w:szCs w:val="24"/>
        </w:rPr>
        <w:t>дисконтированных денежных потоков</w:t>
      </w:r>
      <w:r w:rsidR="00174926" w:rsidRPr="00174926">
        <w:rPr>
          <w:rFonts w:ascii="Times New Roman" w:hAnsi="Times New Roman" w:cs="Times New Roman"/>
          <w:color w:val="000000" w:themeColor="text1"/>
          <w:sz w:val="24"/>
          <w:szCs w:val="24"/>
        </w:rPr>
        <w:t>)</w:t>
      </w:r>
      <w:r w:rsidR="00174926">
        <w:rPr>
          <w:rFonts w:ascii="Times New Roman" w:hAnsi="Times New Roman" w:cs="Times New Roman"/>
          <w:color w:val="000000" w:themeColor="text1"/>
          <w:sz w:val="24"/>
          <w:szCs w:val="24"/>
        </w:rPr>
        <w:t>. Представим формулу для оценки NPV поглощения</w:t>
      </w:r>
      <w:r w:rsidRPr="00A83402">
        <w:rPr>
          <w:rFonts w:ascii="Times New Roman" w:hAnsi="Times New Roman" w:cs="Times New Roman"/>
          <w:color w:val="000000" w:themeColor="text1"/>
          <w:sz w:val="24"/>
          <w:szCs w:val="24"/>
        </w:rPr>
        <w:t>:</w:t>
      </w:r>
    </w:p>
    <w:p w:rsidR="0059775B" w:rsidRPr="00290002" w:rsidRDefault="0059775B" w:rsidP="0059775B">
      <w:pPr>
        <w:spacing w:line="360" w:lineRule="auto"/>
        <w:ind w:firstLine="567"/>
        <w:jc w:val="both"/>
        <w:rPr>
          <w:rFonts w:ascii="Times New Roman" w:hAnsi="Times New Roman" w:cs="Times New Roman"/>
          <w:color w:val="000000" w:themeColor="text1"/>
          <w:sz w:val="28"/>
          <w:szCs w:val="24"/>
        </w:rPr>
      </w:pPr>
      <w:r w:rsidRPr="00E50871">
        <w:rPr>
          <w:rFonts w:ascii="Times New Roman" w:hAnsi="Times New Roman" w:cs="Times New Roman"/>
          <w:i/>
          <w:color w:val="000000" w:themeColor="text1"/>
          <w:sz w:val="24"/>
          <w:szCs w:val="24"/>
          <w:lang w:val="en-US"/>
        </w:rPr>
        <w:t>NPV</w:t>
      </w:r>
      <w:r w:rsidRPr="00E50871">
        <w:rPr>
          <w:rFonts w:ascii="Times New Roman" w:hAnsi="Times New Roman" w:cs="Times New Roman"/>
          <w:i/>
          <w:color w:val="000000" w:themeColor="text1"/>
          <w:sz w:val="24"/>
          <w:szCs w:val="24"/>
        </w:rPr>
        <w:t xml:space="preserve"> = </w:t>
      </w:r>
      <w:r w:rsidRPr="00E50871">
        <w:rPr>
          <w:rFonts w:ascii="Times New Roman" w:hAnsi="Times New Roman" w:cs="Times New Roman"/>
          <w:i/>
          <w:color w:val="000000" w:themeColor="text1"/>
          <w:sz w:val="24"/>
          <w:szCs w:val="24"/>
          <w:lang w:val="en-US"/>
        </w:rPr>
        <w:t>PV</w:t>
      </w:r>
      <w:r w:rsidRPr="00E50871">
        <w:rPr>
          <w:rFonts w:ascii="Times New Roman" w:hAnsi="Times New Roman" w:cs="Times New Roman"/>
          <w:i/>
          <w:color w:val="000000" w:themeColor="text1"/>
          <w:sz w:val="24"/>
          <w:szCs w:val="24"/>
        </w:rPr>
        <w:t xml:space="preserve"> консолидированной компании – </w:t>
      </w:r>
      <w:r w:rsidRPr="00E50871">
        <w:rPr>
          <w:rFonts w:ascii="Times New Roman" w:hAnsi="Times New Roman" w:cs="Times New Roman"/>
          <w:i/>
          <w:color w:val="000000" w:themeColor="text1"/>
          <w:sz w:val="24"/>
          <w:szCs w:val="24"/>
          <w:lang w:val="en-US"/>
        </w:rPr>
        <w:t>PV</w:t>
      </w:r>
      <w:r w:rsidRPr="00E50871">
        <w:rPr>
          <w:rFonts w:ascii="Times New Roman" w:hAnsi="Times New Roman" w:cs="Times New Roman"/>
          <w:i/>
          <w:color w:val="000000" w:themeColor="text1"/>
          <w:sz w:val="24"/>
          <w:szCs w:val="24"/>
        </w:rPr>
        <w:t xml:space="preserve"> Роснефти – средства, </w:t>
      </w:r>
      <w:r w:rsidR="00174926">
        <w:rPr>
          <w:rFonts w:ascii="Times New Roman" w:hAnsi="Times New Roman" w:cs="Times New Roman"/>
          <w:i/>
          <w:color w:val="000000" w:themeColor="text1"/>
          <w:sz w:val="24"/>
          <w:szCs w:val="24"/>
        </w:rPr>
        <w:t xml:space="preserve">которые были уплачены </w:t>
      </w:r>
      <w:r w:rsidRPr="00E50871">
        <w:rPr>
          <w:rFonts w:ascii="Times New Roman" w:hAnsi="Times New Roman" w:cs="Times New Roman"/>
          <w:i/>
          <w:color w:val="000000" w:themeColor="text1"/>
          <w:sz w:val="24"/>
          <w:szCs w:val="24"/>
        </w:rPr>
        <w:t>за ТНК-ВР</w:t>
      </w:r>
      <w:r w:rsidR="00290002">
        <w:rPr>
          <w:rFonts w:ascii="Times New Roman" w:hAnsi="Times New Roman" w:cs="Times New Roman"/>
          <w:i/>
          <w:color w:val="000000" w:themeColor="text1"/>
          <w:sz w:val="24"/>
          <w:szCs w:val="24"/>
        </w:rPr>
        <w:tab/>
      </w:r>
      <w:r w:rsidR="00290002">
        <w:rPr>
          <w:rFonts w:ascii="Times New Roman" w:hAnsi="Times New Roman" w:cs="Times New Roman"/>
          <w:i/>
          <w:color w:val="000000" w:themeColor="text1"/>
          <w:sz w:val="24"/>
          <w:szCs w:val="24"/>
        </w:rPr>
        <w:tab/>
      </w:r>
      <w:r w:rsidR="00290002">
        <w:rPr>
          <w:rFonts w:ascii="Times New Roman" w:hAnsi="Times New Roman" w:cs="Times New Roman"/>
          <w:i/>
          <w:color w:val="000000" w:themeColor="text1"/>
          <w:sz w:val="24"/>
          <w:szCs w:val="24"/>
        </w:rPr>
        <w:tab/>
      </w:r>
      <w:r w:rsidR="00290002">
        <w:rPr>
          <w:rFonts w:ascii="Times New Roman" w:hAnsi="Times New Roman" w:cs="Times New Roman"/>
          <w:i/>
          <w:color w:val="000000" w:themeColor="text1"/>
          <w:sz w:val="24"/>
          <w:szCs w:val="24"/>
        </w:rPr>
        <w:tab/>
      </w:r>
      <w:r w:rsidR="00290002">
        <w:rPr>
          <w:rFonts w:ascii="Times New Roman" w:hAnsi="Times New Roman" w:cs="Times New Roman"/>
          <w:i/>
          <w:color w:val="000000" w:themeColor="text1"/>
          <w:sz w:val="24"/>
          <w:szCs w:val="24"/>
        </w:rPr>
        <w:tab/>
      </w:r>
      <w:r w:rsidR="00290002">
        <w:rPr>
          <w:rFonts w:ascii="Times New Roman" w:hAnsi="Times New Roman" w:cs="Times New Roman"/>
          <w:i/>
          <w:color w:val="000000" w:themeColor="text1"/>
          <w:sz w:val="24"/>
          <w:szCs w:val="24"/>
        </w:rPr>
        <w:tab/>
      </w:r>
      <w:r w:rsidR="00290002">
        <w:rPr>
          <w:rFonts w:ascii="Times New Roman" w:hAnsi="Times New Roman" w:cs="Times New Roman"/>
          <w:i/>
          <w:color w:val="000000" w:themeColor="text1"/>
          <w:sz w:val="24"/>
          <w:szCs w:val="24"/>
        </w:rPr>
        <w:tab/>
      </w:r>
      <w:r w:rsidR="00290002">
        <w:rPr>
          <w:rFonts w:ascii="Times New Roman" w:hAnsi="Times New Roman" w:cs="Times New Roman"/>
          <w:i/>
          <w:color w:val="000000" w:themeColor="text1"/>
          <w:sz w:val="24"/>
          <w:szCs w:val="24"/>
        </w:rPr>
        <w:tab/>
      </w:r>
      <w:r w:rsidR="00290002">
        <w:rPr>
          <w:rFonts w:ascii="Times New Roman" w:hAnsi="Times New Roman" w:cs="Times New Roman"/>
          <w:i/>
          <w:color w:val="000000" w:themeColor="text1"/>
          <w:sz w:val="24"/>
          <w:szCs w:val="24"/>
        </w:rPr>
        <w:tab/>
      </w:r>
      <w:r w:rsidR="00290002">
        <w:rPr>
          <w:rFonts w:ascii="Times New Roman" w:hAnsi="Times New Roman" w:cs="Times New Roman"/>
          <w:i/>
          <w:color w:val="000000" w:themeColor="text1"/>
          <w:sz w:val="24"/>
          <w:szCs w:val="24"/>
        </w:rPr>
        <w:tab/>
      </w:r>
      <w:r w:rsidR="00290002" w:rsidRPr="002F4269">
        <w:rPr>
          <w:rFonts w:ascii="Times New Roman" w:hAnsi="Times New Roman" w:cs="Times New Roman"/>
          <w:color w:val="000000" w:themeColor="text1"/>
          <w:sz w:val="24"/>
          <w:szCs w:val="24"/>
        </w:rPr>
        <w:t>(6)</w:t>
      </w:r>
    </w:p>
    <w:p w:rsidR="0059775B" w:rsidRPr="00A83402" w:rsidRDefault="00174926"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того</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чтобы вычислить</w:t>
      </w:r>
      <w:r w:rsidR="0059775B" w:rsidRPr="00A83402">
        <w:rPr>
          <w:rFonts w:ascii="Times New Roman" w:hAnsi="Times New Roman" w:cs="Times New Roman"/>
          <w:color w:val="000000" w:themeColor="text1"/>
          <w:sz w:val="24"/>
          <w:szCs w:val="24"/>
        </w:rPr>
        <w:t xml:space="preserve"> приведённую ст</w:t>
      </w:r>
      <w:r>
        <w:rPr>
          <w:rFonts w:ascii="Times New Roman" w:hAnsi="Times New Roman" w:cs="Times New Roman"/>
          <w:color w:val="000000" w:themeColor="text1"/>
          <w:sz w:val="24"/>
          <w:szCs w:val="24"/>
        </w:rPr>
        <w:t>оимость предприятий,</w:t>
      </w:r>
      <w:r w:rsidR="0059775B" w:rsidRPr="00A83402">
        <w:rPr>
          <w:rFonts w:ascii="Times New Roman" w:hAnsi="Times New Roman" w:cs="Times New Roman"/>
          <w:color w:val="000000" w:themeColor="text1"/>
          <w:sz w:val="24"/>
          <w:szCs w:val="24"/>
        </w:rPr>
        <w:t xml:space="preserve"> п</w:t>
      </w:r>
      <w:r w:rsidR="0059775B">
        <w:rPr>
          <w:rFonts w:ascii="Times New Roman" w:hAnsi="Times New Roman" w:cs="Times New Roman"/>
          <w:color w:val="000000" w:themeColor="text1"/>
          <w:sz w:val="24"/>
          <w:szCs w:val="24"/>
        </w:rPr>
        <w:t xml:space="preserve">остроим финансовые модели в </w:t>
      </w:r>
      <w:r>
        <w:rPr>
          <w:rFonts w:ascii="Times New Roman" w:hAnsi="Times New Roman" w:cs="Times New Roman"/>
          <w:color w:val="000000" w:themeColor="text1"/>
          <w:sz w:val="24"/>
          <w:szCs w:val="24"/>
        </w:rPr>
        <w:t xml:space="preserve">программе MS </w:t>
      </w:r>
      <w:proofErr w:type="spellStart"/>
      <w:r>
        <w:rPr>
          <w:rFonts w:ascii="Times New Roman" w:hAnsi="Times New Roman" w:cs="Times New Roman"/>
          <w:color w:val="000000" w:themeColor="text1"/>
          <w:sz w:val="24"/>
          <w:szCs w:val="24"/>
        </w:rPr>
        <w:t>Excel</w:t>
      </w:r>
      <w:proofErr w:type="spellEnd"/>
      <w:r>
        <w:rPr>
          <w:rFonts w:ascii="Times New Roman" w:hAnsi="Times New Roman" w:cs="Times New Roman"/>
          <w:color w:val="000000" w:themeColor="text1"/>
          <w:sz w:val="24"/>
          <w:szCs w:val="24"/>
        </w:rPr>
        <w:t>. Для этого</w:t>
      </w:r>
      <w:r w:rsidR="0059775B" w:rsidRPr="00A83402">
        <w:rPr>
          <w:rFonts w:ascii="Times New Roman" w:hAnsi="Times New Roman" w:cs="Times New Roman"/>
          <w:color w:val="000000" w:themeColor="text1"/>
          <w:sz w:val="24"/>
          <w:szCs w:val="24"/>
        </w:rPr>
        <w:t xml:space="preserve"> будем </w:t>
      </w:r>
      <w:r>
        <w:rPr>
          <w:rFonts w:ascii="Times New Roman" w:hAnsi="Times New Roman" w:cs="Times New Roman"/>
          <w:color w:val="000000" w:themeColor="text1"/>
          <w:sz w:val="24"/>
          <w:szCs w:val="24"/>
        </w:rPr>
        <w:t>действовать следующим образом</w:t>
      </w:r>
      <w:r w:rsidR="0059775B">
        <w:rPr>
          <w:rFonts w:ascii="Times New Roman" w:hAnsi="Times New Roman" w:cs="Times New Roman"/>
          <w:color w:val="000000" w:themeColor="text1"/>
          <w:sz w:val="24"/>
          <w:szCs w:val="24"/>
        </w:rPr>
        <w:t>:</w:t>
      </w:r>
    </w:p>
    <w:p w:rsidR="0059775B" w:rsidRPr="00A83402" w:rsidRDefault="00174926"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t>составление прогноза</w:t>
      </w:r>
      <w:r w:rsidR="0059775B" w:rsidRPr="00A83402">
        <w:rPr>
          <w:rFonts w:ascii="Times New Roman" w:hAnsi="Times New Roman" w:cs="Times New Roman"/>
          <w:color w:val="000000" w:themeColor="text1"/>
          <w:sz w:val="24"/>
          <w:szCs w:val="24"/>
        </w:rPr>
        <w:t xml:space="preserve"> будущей </w:t>
      </w:r>
      <w:proofErr w:type="gramStart"/>
      <w:r>
        <w:rPr>
          <w:rFonts w:ascii="Times New Roman" w:hAnsi="Times New Roman" w:cs="Times New Roman"/>
          <w:color w:val="000000" w:themeColor="text1"/>
          <w:sz w:val="24"/>
          <w:szCs w:val="24"/>
        </w:rPr>
        <w:t>выручки</w:t>
      </w:r>
      <w:proofErr w:type="gramEnd"/>
      <w:r>
        <w:rPr>
          <w:rFonts w:ascii="Times New Roman" w:hAnsi="Times New Roman" w:cs="Times New Roman"/>
          <w:color w:val="000000" w:themeColor="text1"/>
          <w:sz w:val="24"/>
          <w:szCs w:val="24"/>
        </w:rPr>
        <w:t xml:space="preserve"> по периодам исходя из</w:t>
      </w:r>
      <w:r w:rsidR="0059775B" w:rsidRPr="00A83402">
        <w:rPr>
          <w:rFonts w:ascii="Times New Roman" w:hAnsi="Times New Roman" w:cs="Times New Roman"/>
          <w:color w:val="000000" w:themeColor="text1"/>
          <w:sz w:val="24"/>
          <w:szCs w:val="24"/>
        </w:rPr>
        <w:t xml:space="preserve"> исторически</w:t>
      </w:r>
      <w:r>
        <w:rPr>
          <w:rFonts w:ascii="Times New Roman" w:hAnsi="Times New Roman" w:cs="Times New Roman"/>
          <w:color w:val="000000" w:themeColor="text1"/>
          <w:sz w:val="24"/>
          <w:szCs w:val="24"/>
        </w:rPr>
        <w:t>х данных</w:t>
      </w:r>
      <w:r w:rsidR="0059775B">
        <w:rPr>
          <w:rFonts w:ascii="Times New Roman" w:hAnsi="Times New Roman" w:cs="Times New Roman"/>
          <w:color w:val="000000" w:themeColor="text1"/>
          <w:sz w:val="24"/>
          <w:szCs w:val="24"/>
        </w:rPr>
        <w:t xml:space="preserve"> и экспертных оценок</w:t>
      </w:r>
      <w:r>
        <w:rPr>
          <w:rFonts w:ascii="Times New Roman" w:hAnsi="Times New Roman" w:cs="Times New Roman"/>
          <w:color w:val="000000" w:themeColor="text1"/>
          <w:sz w:val="24"/>
          <w:szCs w:val="24"/>
        </w:rPr>
        <w:t xml:space="preserve"> и предположений</w:t>
      </w:r>
      <w:r w:rsidR="0059775B">
        <w:rPr>
          <w:rFonts w:ascii="Times New Roman" w:hAnsi="Times New Roman" w:cs="Times New Roman"/>
          <w:color w:val="000000" w:themeColor="text1"/>
          <w:sz w:val="24"/>
          <w:szCs w:val="24"/>
        </w:rPr>
        <w:t>;</w:t>
      </w:r>
    </w:p>
    <w:p w:rsidR="0059775B" w:rsidRPr="00A83402" w:rsidRDefault="0059775B"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t>с</w:t>
      </w:r>
      <w:r w:rsidRPr="00A83402">
        <w:rPr>
          <w:rFonts w:ascii="Times New Roman" w:hAnsi="Times New Roman" w:cs="Times New Roman"/>
          <w:color w:val="000000" w:themeColor="text1"/>
          <w:sz w:val="24"/>
          <w:szCs w:val="24"/>
        </w:rPr>
        <w:t xml:space="preserve">оставление отчёта </w:t>
      </w:r>
      <w:r w:rsidR="00174926">
        <w:rPr>
          <w:rFonts w:ascii="Times New Roman" w:hAnsi="Times New Roman" w:cs="Times New Roman"/>
          <w:color w:val="000000" w:themeColor="text1"/>
          <w:sz w:val="24"/>
          <w:szCs w:val="24"/>
        </w:rPr>
        <w:t>ОПУ</w:t>
      </w:r>
      <w:r>
        <w:rPr>
          <w:rFonts w:ascii="Times New Roman" w:hAnsi="Times New Roman" w:cs="Times New Roman"/>
          <w:color w:val="000000" w:themeColor="text1"/>
          <w:sz w:val="24"/>
          <w:szCs w:val="24"/>
        </w:rPr>
        <w:t xml:space="preserve"> на прогнозный период;</w:t>
      </w:r>
    </w:p>
    <w:p w:rsidR="0059775B" w:rsidRPr="00A83402" w:rsidRDefault="00174926"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t>вычисление значения</w:t>
      </w:r>
      <w:r w:rsidR="0059775B" w:rsidRPr="00A83402">
        <w:rPr>
          <w:rFonts w:ascii="Times New Roman" w:hAnsi="Times New Roman" w:cs="Times New Roman"/>
          <w:color w:val="000000" w:themeColor="text1"/>
          <w:sz w:val="24"/>
          <w:szCs w:val="24"/>
        </w:rPr>
        <w:t xml:space="preserve"> сред</w:t>
      </w:r>
      <w:r w:rsidR="0059775B">
        <w:rPr>
          <w:rFonts w:ascii="Times New Roman" w:hAnsi="Times New Roman" w:cs="Times New Roman"/>
          <w:color w:val="000000" w:themeColor="text1"/>
          <w:sz w:val="24"/>
          <w:szCs w:val="24"/>
        </w:rPr>
        <w:t>невзвешенной стоимости капитала;</w:t>
      </w:r>
    </w:p>
    <w:p w:rsidR="0059775B" w:rsidRPr="00A83402" w:rsidRDefault="00174926"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r>
        <w:rPr>
          <w:rFonts w:ascii="Times New Roman" w:hAnsi="Times New Roman" w:cs="Times New Roman"/>
          <w:color w:val="000000" w:themeColor="text1"/>
          <w:sz w:val="24"/>
          <w:szCs w:val="24"/>
        </w:rPr>
        <w:tab/>
        <w:t>создание</w:t>
      </w:r>
      <w:r w:rsidR="0059775B" w:rsidRPr="00A83402">
        <w:rPr>
          <w:rFonts w:ascii="Times New Roman" w:hAnsi="Times New Roman" w:cs="Times New Roman"/>
          <w:color w:val="000000" w:themeColor="text1"/>
          <w:sz w:val="24"/>
          <w:szCs w:val="24"/>
        </w:rPr>
        <w:t xml:space="preserve"> финансовой модели и расчёт свободного денежн</w:t>
      </w:r>
      <w:r w:rsidR="0059775B">
        <w:rPr>
          <w:rFonts w:ascii="Times New Roman" w:hAnsi="Times New Roman" w:cs="Times New Roman"/>
          <w:color w:val="000000" w:themeColor="text1"/>
          <w:sz w:val="24"/>
          <w:szCs w:val="24"/>
        </w:rPr>
        <w:t xml:space="preserve">ого потока для каждого </w:t>
      </w:r>
      <w:r>
        <w:rPr>
          <w:rFonts w:ascii="Times New Roman" w:hAnsi="Times New Roman" w:cs="Times New Roman"/>
          <w:color w:val="000000" w:themeColor="text1"/>
          <w:sz w:val="24"/>
          <w:szCs w:val="24"/>
        </w:rPr>
        <w:t>из рассматриваемых периодов</w:t>
      </w:r>
      <w:r w:rsidR="0059775B">
        <w:rPr>
          <w:rFonts w:ascii="Times New Roman" w:hAnsi="Times New Roman" w:cs="Times New Roman"/>
          <w:color w:val="000000" w:themeColor="text1"/>
          <w:sz w:val="24"/>
          <w:szCs w:val="24"/>
        </w:rPr>
        <w:t>;</w:t>
      </w:r>
    </w:p>
    <w:p w:rsidR="0059775B" w:rsidRPr="00A83402" w:rsidRDefault="00174926"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t xml:space="preserve">вычисление </w:t>
      </w:r>
      <w:r>
        <w:rPr>
          <w:rFonts w:ascii="Times New Roman" w:hAnsi="Times New Roman" w:cs="Times New Roman"/>
          <w:color w:val="000000" w:themeColor="text1"/>
          <w:sz w:val="24"/>
          <w:szCs w:val="24"/>
          <w:lang w:val="en-US"/>
        </w:rPr>
        <w:t>Terminal</w:t>
      </w:r>
      <w:r w:rsidRPr="001749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value</w:t>
      </w:r>
      <w:r w:rsidRPr="001749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компании</w:t>
      </w:r>
      <w:r w:rsidR="0059775B">
        <w:rPr>
          <w:rFonts w:ascii="Times New Roman" w:hAnsi="Times New Roman" w:cs="Times New Roman"/>
          <w:color w:val="000000" w:themeColor="text1"/>
          <w:sz w:val="24"/>
          <w:szCs w:val="24"/>
        </w:rPr>
        <w:t>;</w:t>
      </w:r>
    </w:p>
    <w:p w:rsidR="0059775B" w:rsidRPr="00A83402" w:rsidRDefault="0059775B"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ab/>
        <w:t>п</w:t>
      </w:r>
      <w:r w:rsidR="00174926">
        <w:rPr>
          <w:rFonts w:ascii="Times New Roman" w:hAnsi="Times New Roman" w:cs="Times New Roman"/>
          <w:color w:val="000000" w:themeColor="text1"/>
          <w:sz w:val="24"/>
          <w:szCs w:val="24"/>
        </w:rPr>
        <w:t xml:space="preserve">риведение </w:t>
      </w:r>
      <w:r w:rsidR="00174926">
        <w:rPr>
          <w:rFonts w:ascii="Times New Roman" w:hAnsi="Times New Roman" w:cs="Times New Roman"/>
          <w:color w:val="000000" w:themeColor="text1"/>
          <w:sz w:val="24"/>
          <w:szCs w:val="24"/>
          <w:lang w:val="en-US"/>
        </w:rPr>
        <w:t>FCF</w:t>
      </w:r>
      <w:r w:rsidR="00174926">
        <w:rPr>
          <w:rFonts w:ascii="Times New Roman" w:hAnsi="Times New Roman" w:cs="Times New Roman"/>
          <w:color w:val="000000" w:themeColor="text1"/>
          <w:sz w:val="24"/>
          <w:szCs w:val="24"/>
        </w:rPr>
        <w:t xml:space="preserve"> и </w:t>
      </w:r>
      <w:r w:rsidR="00174926">
        <w:rPr>
          <w:rFonts w:ascii="Times New Roman" w:hAnsi="Times New Roman" w:cs="Times New Roman"/>
          <w:color w:val="000000" w:themeColor="text1"/>
          <w:sz w:val="24"/>
          <w:szCs w:val="24"/>
          <w:lang w:val="en-US"/>
        </w:rPr>
        <w:t>TV</w:t>
      </w:r>
      <w:r>
        <w:rPr>
          <w:rFonts w:ascii="Times New Roman" w:hAnsi="Times New Roman" w:cs="Times New Roman"/>
          <w:color w:val="000000" w:themeColor="text1"/>
          <w:sz w:val="24"/>
          <w:szCs w:val="24"/>
        </w:rPr>
        <w:t xml:space="preserve"> к нулевому периоду;</w:t>
      </w:r>
    </w:p>
    <w:p w:rsidR="0059775B" w:rsidRPr="00A83402" w:rsidRDefault="00174926"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ab/>
        <w:t xml:space="preserve">вычисление </w:t>
      </w:r>
      <w:proofErr w:type="spellStart"/>
      <w:r>
        <w:rPr>
          <w:rFonts w:ascii="Times New Roman" w:hAnsi="Times New Roman" w:cs="Times New Roman"/>
          <w:color w:val="000000" w:themeColor="text1"/>
          <w:sz w:val="24"/>
          <w:szCs w:val="24"/>
        </w:rPr>
        <w:t>Enterprise</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v</w:t>
      </w:r>
      <w:proofErr w:type="spellStart"/>
      <w:r>
        <w:rPr>
          <w:rFonts w:ascii="Times New Roman" w:hAnsi="Times New Roman" w:cs="Times New Roman"/>
          <w:color w:val="000000" w:themeColor="text1"/>
          <w:sz w:val="24"/>
          <w:szCs w:val="24"/>
        </w:rPr>
        <w:t>alue</w:t>
      </w:r>
      <w:proofErr w:type="spellEnd"/>
      <w:r>
        <w:rPr>
          <w:rFonts w:ascii="Times New Roman" w:hAnsi="Times New Roman" w:cs="Times New Roman"/>
          <w:color w:val="000000" w:themeColor="text1"/>
          <w:sz w:val="24"/>
          <w:szCs w:val="24"/>
        </w:rPr>
        <w:t xml:space="preserve"> (стоимости компании)</w:t>
      </w:r>
      <w:r w:rsidR="0059775B">
        <w:rPr>
          <w:rFonts w:ascii="Times New Roman" w:hAnsi="Times New Roman" w:cs="Times New Roman"/>
          <w:color w:val="000000" w:themeColor="text1"/>
          <w:sz w:val="24"/>
          <w:szCs w:val="24"/>
        </w:rPr>
        <w:t>;</w:t>
      </w:r>
    </w:p>
    <w:p w:rsidR="0059775B" w:rsidRDefault="00174926"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ab/>
        <w:t>расчёт</w:t>
      </w:r>
      <w:r w:rsidR="0059775B" w:rsidRPr="00A83402">
        <w:rPr>
          <w:rFonts w:ascii="Times New Roman" w:hAnsi="Times New Roman" w:cs="Times New Roman"/>
          <w:color w:val="000000" w:themeColor="text1"/>
          <w:sz w:val="24"/>
          <w:szCs w:val="24"/>
        </w:rPr>
        <w:t xml:space="preserve"> рыночной капитализации и ожидаемой цены акции.</w:t>
      </w:r>
    </w:p>
    <w:p w:rsidR="0059775B" w:rsidRPr="00D70FB7" w:rsidRDefault="00174926"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Учитывая тот факт, что предприятие имеет значительные</w:t>
      </w:r>
      <w:r w:rsidR="007A3D8E">
        <w:rPr>
          <w:rFonts w:ascii="Times New Roman" w:hAnsi="Times New Roman" w:cs="Times New Roman"/>
          <w:color w:val="000000" w:themeColor="text1"/>
          <w:sz w:val="24"/>
          <w:szCs w:val="24"/>
        </w:rPr>
        <w:t xml:space="preserve"> темпы роста, для проведения оценки конкретно данной сделки было принято решение взять</w:t>
      </w:r>
      <w:r w:rsidR="0059775B" w:rsidRPr="00D70FB7">
        <w:rPr>
          <w:rFonts w:ascii="Times New Roman" w:hAnsi="Times New Roman" w:cs="Times New Roman"/>
          <w:color w:val="000000" w:themeColor="text1"/>
          <w:sz w:val="24"/>
          <w:szCs w:val="24"/>
        </w:rPr>
        <w:t xml:space="preserve"> горизо</w:t>
      </w:r>
      <w:r w:rsidR="007A3D8E">
        <w:rPr>
          <w:rFonts w:ascii="Times New Roman" w:hAnsi="Times New Roman" w:cs="Times New Roman"/>
          <w:color w:val="000000" w:themeColor="text1"/>
          <w:sz w:val="24"/>
          <w:szCs w:val="24"/>
        </w:rPr>
        <w:t>нт планирования, равный 6 годам</w:t>
      </w:r>
      <w:r w:rsidR="0059775B">
        <w:rPr>
          <w:rFonts w:ascii="Times New Roman" w:hAnsi="Times New Roman" w:cs="Times New Roman"/>
          <w:color w:val="000000" w:themeColor="text1"/>
          <w:sz w:val="24"/>
          <w:szCs w:val="24"/>
        </w:rPr>
        <w:t>.</w:t>
      </w:r>
    </w:p>
    <w:p w:rsidR="0059775B" w:rsidRPr="00D70FB7" w:rsidRDefault="007A3D8E"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помощи</w:t>
      </w:r>
      <w:r w:rsidR="0059775B" w:rsidRPr="00D70FB7">
        <w:rPr>
          <w:rFonts w:ascii="Times New Roman" w:hAnsi="Times New Roman" w:cs="Times New Roman"/>
          <w:color w:val="000000" w:themeColor="text1"/>
          <w:sz w:val="24"/>
          <w:szCs w:val="24"/>
        </w:rPr>
        <w:t xml:space="preserve"> анализа исторических темпов роста</w:t>
      </w:r>
      <w:r>
        <w:rPr>
          <w:rFonts w:ascii="Times New Roman" w:hAnsi="Times New Roman" w:cs="Times New Roman"/>
          <w:color w:val="000000" w:themeColor="text1"/>
          <w:sz w:val="24"/>
          <w:szCs w:val="24"/>
        </w:rPr>
        <w:t xml:space="preserve"> рассматриваемых компаний было спрогнозировано значение </w:t>
      </w:r>
      <w:r w:rsidRPr="007A3D8E">
        <w:rPr>
          <w:rFonts w:ascii="Times New Roman" w:hAnsi="Times New Roman" w:cs="Times New Roman"/>
          <w:color w:val="000000" w:themeColor="text1"/>
          <w:sz w:val="24"/>
          <w:szCs w:val="24"/>
        </w:rPr>
        <w:t>будущей выручки «Роснефти» до и после совершения сделки</w:t>
      </w:r>
      <w:r>
        <w:rPr>
          <w:rFonts w:ascii="Times New Roman" w:hAnsi="Times New Roman" w:cs="Times New Roman"/>
          <w:color w:val="000000" w:themeColor="text1"/>
          <w:sz w:val="24"/>
          <w:szCs w:val="24"/>
        </w:rPr>
        <w:t>. Далее полученные прогнозные показатели</w:t>
      </w:r>
      <w:r w:rsidR="0059775B" w:rsidRPr="00D70FB7">
        <w:rPr>
          <w:rFonts w:ascii="Times New Roman" w:hAnsi="Times New Roman" w:cs="Times New Roman"/>
          <w:color w:val="000000" w:themeColor="text1"/>
          <w:sz w:val="24"/>
          <w:szCs w:val="24"/>
        </w:rPr>
        <w:t xml:space="preserve"> выручки были консолидированы</w:t>
      </w:r>
      <w:r>
        <w:rPr>
          <w:rFonts w:ascii="Times New Roman" w:hAnsi="Times New Roman" w:cs="Times New Roman"/>
          <w:color w:val="000000" w:themeColor="text1"/>
          <w:sz w:val="24"/>
          <w:szCs w:val="24"/>
        </w:rPr>
        <w:t xml:space="preserve">, после чего, исходя из данных значений, </w:t>
      </w:r>
      <w:r w:rsidR="0059775B">
        <w:rPr>
          <w:rFonts w:ascii="Times New Roman" w:hAnsi="Times New Roman" w:cs="Times New Roman"/>
          <w:color w:val="000000" w:themeColor="text1"/>
          <w:sz w:val="24"/>
          <w:szCs w:val="24"/>
        </w:rPr>
        <w:t>были</w:t>
      </w:r>
      <w:r w:rsidR="0059775B" w:rsidRPr="00D70FB7">
        <w:rPr>
          <w:rFonts w:ascii="Times New Roman" w:hAnsi="Times New Roman" w:cs="Times New Roman"/>
          <w:color w:val="000000" w:themeColor="text1"/>
          <w:sz w:val="24"/>
          <w:szCs w:val="24"/>
        </w:rPr>
        <w:t xml:space="preserve"> рассчитаны темпы роста общей выручки по годам. </w:t>
      </w:r>
    </w:p>
    <w:p w:rsidR="0059775B" w:rsidRDefault="007A3D8E"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составлении отчёта ОПУ </w:t>
      </w:r>
      <w:r w:rsidR="0059775B" w:rsidRPr="00D70FB7">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 xml:space="preserve">построении </w:t>
      </w:r>
      <w:r w:rsidR="0059775B" w:rsidRPr="00D70FB7">
        <w:rPr>
          <w:rFonts w:ascii="Times New Roman" w:hAnsi="Times New Roman" w:cs="Times New Roman"/>
          <w:color w:val="000000" w:themeColor="text1"/>
          <w:sz w:val="24"/>
          <w:szCs w:val="24"/>
        </w:rPr>
        <w:t>финансовой модели на</w:t>
      </w:r>
      <w:r>
        <w:rPr>
          <w:rFonts w:ascii="Times New Roman" w:hAnsi="Times New Roman" w:cs="Times New Roman"/>
          <w:color w:val="000000" w:themeColor="text1"/>
          <w:sz w:val="24"/>
          <w:szCs w:val="24"/>
        </w:rPr>
        <w:t xml:space="preserve"> прогнозируемый период</w:t>
      </w:r>
      <w:r w:rsidR="0059775B" w:rsidRPr="00D70FB7">
        <w:rPr>
          <w:rFonts w:ascii="Times New Roman" w:hAnsi="Times New Roman" w:cs="Times New Roman"/>
          <w:color w:val="000000" w:themeColor="text1"/>
          <w:sz w:val="24"/>
          <w:szCs w:val="24"/>
        </w:rPr>
        <w:t xml:space="preserve"> были сдел</w:t>
      </w:r>
      <w:r w:rsidR="0059775B">
        <w:rPr>
          <w:rFonts w:ascii="Times New Roman" w:hAnsi="Times New Roman" w:cs="Times New Roman"/>
          <w:color w:val="000000" w:themeColor="text1"/>
          <w:sz w:val="24"/>
          <w:szCs w:val="24"/>
        </w:rPr>
        <w:t>аны следующие предположения.</w:t>
      </w:r>
    </w:p>
    <w:p w:rsidR="0059775B" w:rsidRPr="00D908E1" w:rsidRDefault="007A3D8E" w:rsidP="0059775B">
      <w:pPr>
        <w:pStyle w:val="a3"/>
        <w:numPr>
          <w:ilvl w:val="0"/>
          <w:numId w:val="18"/>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FCF</w:t>
      </w:r>
      <w:r w:rsidR="0059775B" w:rsidRPr="00D908E1">
        <w:rPr>
          <w:rFonts w:ascii="Times New Roman" w:hAnsi="Times New Roman" w:cs="Times New Roman"/>
          <w:color w:val="000000" w:themeColor="text1"/>
          <w:sz w:val="24"/>
          <w:szCs w:val="24"/>
        </w:rPr>
        <w:t xml:space="preserve"> рас</w:t>
      </w:r>
      <w:r>
        <w:rPr>
          <w:rFonts w:ascii="Times New Roman" w:hAnsi="Times New Roman" w:cs="Times New Roman"/>
          <w:color w:val="000000" w:themeColor="text1"/>
          <w:sz w:val="24"/>
          <w:szCs w:val="24"/>
        </w:rPr>
        <w:t>считывались следующим образом</w:t>
      </w:r>
      <w:r w:rsidR="0059775B" w:rsidRPr="00D908E1">
        <w:rPr>
          <w:rFonts w:ascii="Times New Roman" w:hAnsi="Times New Roman" w:cs="Times New Roman"/>
          <w:color w:val="000000" w:themeColor="text1"/>
          <w:sz w:val="24"/>
          <w:szCs w:val="24"/>
        </w:rPr>
        <w:t>:</w:t>
      </w:r>
    </w:p>
    <w:p w:rsidR="0059775B" w:rsidRDefault="0059775B"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Свободный денежный поток = Прибыль до вычета налогов и процентов (</w:t>
      </w:r>
      <w:r>
        <w:rPr>
          <w:rFonts w:ascii="Times New Roman" w:hAnsi="Times New Roman" w:cs="Times New Roman"/>
          <w:color w:val="000000" w:themeColor="text1"/>
          <w:sz w:val="24"/>
          <w:szCs w:val="24"/>
          <w:lang w:val="en-US"/>
        </w:rPr>
        <w:t>EBIT</w:t>
      </w:r>
      <w:r w:rsidRPr="001F00A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 (1 –Налоговая ставка) + Амортизация – Капитальные затраты – Изменение чистого рабочего капитала.</w:t>
      </w:r>
      <w:r w:rsidR="00290002">
        <w:rPr>
          <w:rFonts w:ascii="Times New Roman" w:hAnsi="Times New Roman" w:cs="Times New Roman"/>
          <w:color w:val="000000" w:themeColor="text1"/>
          <w:sz w:val="24"/>
          <w:szCs w:val="24"/>
        </w:rPr>
        <w:tab/>
      </w:r>
      <w:r w:rsidR="00290002">
        <w:rPr>
          <w:rFonts w:ascii="Times New Roman" w:hAnsi="Times New Roman" w:cs="Times New Roman"/>
          <w:color w:val="000000" w:themeColor="text1"/>
          <w:sz w:val="24"/>
          <w:szCs w:val="24"/>
        </w:rPr>
        <w:tab/>
      </w:r>
      <w:r w:rsidR="00290002">
        <w:rPr>
          <w:rFonts w:ascii="Times New Roman" w:hAnsi="Times New Roman" w:cs="Times New Roman"/>
          <w:color w:val="000000" w:themeColor="text1"/>
          <w:sz w:val="24"/>
          <w:szCs w:val="24"/>
        </w:rPr>
        <w:tab/>
      </w:r>
      <w:r w:rsidR="00290002">
        <w:rPr>
          <w:rFonts w:ascii="Times New Roman" w:hAnsi="Times New Roman" w:cs="Times New Roman"/>
          <w:color w:val="000000" w:themeColor="text1"/>
          <w:sz w:val="24"/>
          <w:szCs w:val="24"/>
        </w:rPr>
        <w:tab/>
      </w:r>
      <w:r w:rsidR="00290002">
        <w:rPr>
          <w:rFonts w:ascii="Times New Roman" w:hAnsi="Times New Roman" w:cs="Times New Roman"/>
          <w:color w:val="000000" w:themeColor="text1"/>
          <w:sz w:val="24"/>
          <w:szCs w:val="24"/>
        </w:rPr>
        <w:tab/>
      </w:r>
      <w:r w:rsidR="00290002">
        <w:rPr>
          <w:rFonts w:ascii="Times New Roman" w:hAnsi="Times New Roman" w:cs="Times New Roman"/>
          <w:color w:val="000000" w:themeColor="text1"/>
          <w:sz w:val="24"/>
          <w:szCs w:val="24"/>
        </w:rPr>
        <w:tab/>
      </w:r>
      <w:r w:rsidR="00290002">
        <w:rPr>
          <w:rFonts w:ascii="Times New Roman" w:hAnsi="Times New Roman" w:cs="Times New Roman"/>
          <w:color w:val="000000" w:themeColor="text1"/>
          <w:sz w:val="24"/>
          <w:szCs w:val="24"/>
        </w:rPr>
        <w:tab/>
      </w:r>
      <w:r w:rsidR="00290002">
        <w:rPr>
          <w:rFonts w:ascii="Times New Roman" w:hAnsi="Times New Roman" w:cs="Times New Roman"/>
          <w:color w:val="000000" w:themeColor="text1"/>
          <w:sz w:val="24"/>
          <w:szCs w:val="24"/>
        </w:rPr>
        <w:tab/>
      </w:r>
      <w:r w:rsidR="00290002">
        <w:rPr>
          <w:rFonts w:ascii="Times New Roman" w:hAnsi="Times New Roman" w:cs="Times New Roman"/>
          <w:color w:val="000000" w:themeColor="text1"/>
          <w:sz w:val="24"/>
          <w:szCs w:val="24"/>
        </w:rPr>
        <w:tab/>
      </w:r>
      <w:r w:rsidR="00290002">
        <w:rPr>
          <w:rFonts w:ascii="Times New Roman" w:hAnsi="Times New Roman" w:cs="Times New Roman"/>
          <w:color w:val="000000" w:themeColor="text1"/>
          <w:sz w:val="24"/>
          <w:szCs w:val="24"/>
        </w:rPr>
        <w:tab/>
      </w:r>
      <w:r w:rsidR="00290002">
        <w:rPr>
          <w:rFonts w:ascii="Times New Roman" w:hAnsi="Times New Roman" w:cs="Times New Roman"/>
          <w:color w:val="000000" w:themeColor="text1"/>
          <w:sz w:val="24"/>
          <w:szCs w:val="24"/>
        </w:rPr>
        <w:tab/>
      </w:r>
      <w:r w:rsidR="00290002">
        <w:rPr>
          <w:rFonts w:ascii="Times New Roman" w:hAnsi="Times New Roman" w:cs="Times New Roman"/>
          <w:color w:val="000000" w:themeColor="text1"/>
          <w:sz w:val="24"/>
          <w:szCs w:val="24"/>
        </w:rPr>
        <w:tab/>
        <w:t>(7)</w:t>
      </w:r>
    </w:p>
    <w:p w:rsidR="0059775B" w:rsidRDefault="0059775B" w:rsidP="0059775B">
      <w:pPr>
        <w:pStyle w:val="a3"/>
        <w:numPr>
          <w:ilvl w:val="0"/>
          <w:numId w:val="18"/>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Все значения показателей с 2013 по 2018 г. </w:t>
      </w:r>
      <w:r w:rsidRPr="00E50871">
        <w:rPr>
          <w:rFonts w:ascii="Times New Roman" w:hAnsi="Times New Roman" w:cs="Times New Roman"/>
          <w:color w:val="000000" w:themeColor="text1"/>
          <w:sz w:val="24"/>
          <w:szCs w:val="24"/>
        </w:rPr>
        <w:t>были спрогнозированы, принимая во внимание исторические средние темпы роста данных показателей.</w:t>
      </w:r>
    </w:p>
    <w:p w:rsidR="0059775B" w:rsidRDefault="0042413A" w:rsidP="0059775B">
      <w:pPr>
        <w:pStyle w:val="a3"/>
        <w:numPr>
          <w:ilvl w:val="0"/>
          <w:numId w:val="18"/>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вычисления</w:t>
      </w:r>
      <w:r w:rsidR="0059775B" w:rsidRPr="00175A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Weighted</w:t>
      </w:r>
      <w:r w:rsidRPr="004241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Average</w:t>
      </w:r>
      <w:r w:rsidRPr="004241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Cost</w:t>
      </w:r>
      <w:r w:rsidRPr="004241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of</w:t>
      </w:r>
      <w:r w:rsidRPr="0042413A">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С</w:t>
      </w:r>
      <w:proofErr w:type="spellStart"/>
      <w:proofErr w:type="gramEnd"/>
      <w:r>
        <w:rPr>
          <w:rFonts w:ascii="Times New Roman" w:hAnsi="Times New Roman" w:cs="Times New Roman"/>
          <w:color w:val="000000" w:themeColor="text1"/>
          <w:sz w:val="24"/>
          <w:szCs w:val="24"/>
          <w:lang w:val="en-US"/>
        </w:rPr>
        <w:t>apital</w:t>
      </w:r>
      <w:proofErr w:type="spellEnd"/>
      <w:r w:rsidR="008F43FC" w:rsidRPr="008F43FC">
        <w:rPr>
          <w:rFonts w:ascii="Times New Roman" w:hAnsi="Times New Roman" w:cs="Times New Roman"/>
          <w:color w:val="000000" w:themeColor="text1"/>
          <w:sz w:val="24"/>
          <w:szCs w:val="24"/>
        </w:rPr>
        <w:t xml:space="preserve"> (</w:t>
      </w:r>
      <w:r w:rsidR="008F43FC">
        <w:rPr>
          <w:rFonts w:ascii="Times New Roman" w:hAnsi="Times New Roman" w:cs="Times New Roman"/>
          <w:color w:val="000000" w:themeColor="text1"/>
          <w:sz w:val="24"/>
          <w:szCs w:val="24"/>
          <w:lang w:val="en-US"/>
        </w:rPr>
        <w:t>WACC</w:t>
      </w:r>
      <w:r w:rsidR="008F43FC" w:rsidRPr="008F43FC">
        <w:rPr>
          <w:rFonts w:ascii="Times New Roman" w:hAnsi="Times New Roman" w:cs="Times New Roman"/>
          <w:color w:val="000000" w:themeColor="text1"/>
          <w:sz w:val="24"/>
          <w:szCs w:val="24"/>
        </w:rPr>
        <w:t>)</w:t>
      </w:r>
      <w:r w:rsidR="0059775B" w:rsidRPr="00175AAB">
        <w:rPr>
          <w:rFonts w:ascii="Times New Roman" w:hAnsi="Times New Roman" w:cs="Times New Roman"/>
          <w:color w:val="000000" w:themeColor="text1"/>
          <w:sz w:val="24"/>
          <w:szCs w:val="24"/>
        </w:rPr>
        <w:t xml:space="preserve"> премия за рыночный риск в качестве </w:t>
      </w:r>
      <w:proofErr w:type="spellStart"/>
      <w:r w:rsidR="0059775B" w:rsidRPr="00175AAB">
        <w:rPr>
          <w:rFonts w:ascii="Times New Roman" w:hAnsi="Times New Roman" w:cs="Times New Roman"/>
          <w:color w:val="000000" w:themeColor="text1"/>
          <w:sz w:val="24"/>
          <w:szCs w:val="24"/>
        </w:rPr>
        <w:t>безрисковой</w:t>
      </w:r>
      <w:proofErr w:type="spellEnd"/>
      <w:r w:rsidR="0059775B" w:rsidRPr="00175AAB">
        <w:rPr>
          <w:rFonts w:ascii="Times New Roman" w:hAnsi="Times New Roman" w:cs="Times New Roman"/>
          <w:color w:val="000000" w:themeColor="text1"/>
          <w:sz w:val="24"/>
          <w:szCs w:val="24"/>
        </w:rPr>
        <w:t xml:space="preserve"> ставки была взята доходность по 10-летним государственным облигациям США. Премия за рыночный риск учтена на основе расчётов </w:t>
      </w:r>
      <w:proofErr w:type="spellStart"/>
      <w:r w:rsidR="0059775B" w:rsidRPr="00175AAB">
        <w:rPr>
          <w:rFonts w:ascii="Times New Roman" w:hAnsi="Times New Roman" w:cs="Times New Roman"/>
          <w:color w:val="000000" w:themeColor="text1"/>
          <w:sz w:val="24"/>
          <w:szCs w:val="24"/>
        </w:rPr>
        <w:t>Асвата</w:t>
      </w:r>
      <w:proofErr w:type="spellEnd"/>
      <w:r w:rsidR="0059775B" w:rsidRPr="00175AAB">
        <w:rPr>
          <w:rFonts w:ascii="Times New Roman" w:hAnsi="Times New Roman" w:cs="Times New Roman"/>
          <w:color w:val="000000" w:themeColor="text1"/>
          <w:sz w:val="24"/>
          <w:szCs w:val="24"/>
        </w:rPr>
        <w:t xml:space="preserve"> </w:t>
      </w:r>
      <w:proofErr w:type="spellStart"/>
      <w:r w:rsidR="0059775B" w:rsidRPr="00175AAB">
        <w:rPr>
          <w:rFonts w:ascii="Times New Roman" w:hAnsi="Times New Roman" w:cs="Times New Roman"/>
          <w:color w:val="000000" w:themeColor="text1"/>
          <w:sz w:val="24"/>
          <w:szCs w:val="24"/>
        </w:rPr>
        <w:t>Дамодарана</w:t>
      </w:r>
      <w:proofErr w:type="spellEnd"/>
      <w:r w:rsidR="0059775B" w:rsidRPr="00175AAB">
        <w:rPr>
          <w:rFonts w:ascii="Times New Roman" w:hAnsi="Times New Roman" w:cs="Times New Roman"/>
          <w:color w:val="000000" w:themeColor="text1"/>
          <w:sz w:val="24"/>
          <w:szCs w:val="24"/>
        </w:rPr>
        <w:t>.</w:t>
      </w:r>
    </w:p>
    <w:p w:rsidR="00290002" w:rsidRPr="00290002" w:rsidRDefault="0059775B" w:rsidP="0042413A">
      <w:pPr>
        <w:pStyle w:val="a3"/>
        <w:numPr>
          <w:ilvl w:val="0"/>
          <w:numId w:val="18"/>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0042413A" w:rsidRPr="0042413A">
        <w:rPr>
          <w:rFonts w:ascii="Times New Roman" w:hAnsi="Times New Roman" w:cs="Times New Roman"/>
          <w:color w:val="000000" w:themeColor="text1"/>
          <w:sz w:val="24"/>
          <w:szCs w:val="24"/>
        </w:rPr>
        <w:t>Cost</w:t>
      </w:r>
      <w:proofErr w:type="spellEnd"/>
      <w:r w:rsidR="0042413A" w:rsidRPr="0042413A">
        <w:rPr>
          <w:rFonts w:ascii="Times New Roman" w:hAnsi="Times New Roman" w:cs="Times New Roman"/>
          <w:color w:val="000000" w:themeColor="text1"/>
          <w:sz w:val="24"/>
          <w:szCs w:val="24"/>
        </w:rPr>
        <w:t xml:space="preserve"> </w:t>
      </w:r>
      <w:proofErr w:type="spellStart"/>
      <w:r w:rsidR="0042413A" w:rsidRPr="0042413A">
        <w:rPr>
          <w:rFonts w:ascii="Times New Roman" w:hAnsi="Times New Roman" w:cs="Times New Roman"/>
          <w:color w:val="000000" w:themeColor="text1"/>
          <w:sz w:val="24"/>
          <w:szCs w:val="24"/>
        </w:rPr>
        <w:t>of</w:t>
      </w:r>
      <w:proofErr w:type="spellEnd"/>
      <w:r w:rsidR="0042413A" w:rsidRPr="0042413A">
        <w:rPr>
          <w:rFonts w:ascii="Times New Roman" w:hAnsi="Times New Roman" w:cs="Times New Roman"/>
          <w:color w:val="000000" w:themeColor="text1"/>
          <w:sz w:val="24"/>
          <w:szCs w:val="24"/>
        </w:rPr>
        <w:t xml:space="preserve"> </w:t>
      </w:r>
      <w:proofErr w:type="spellStart"/>
      <w:r w:rsidR="0042413A" w:rsidRPr="0042413A">
        <w:rPr>
          <w:rFonts w:ascii="Times New Roman" w:hAnsi="Times New Roman" w:cs="Times New Roman"/>
          <w:color w:val="000000" w:themeColor="text1"/>
          <w:sz w:val="24"/>
          <w:szCs w:val="24"/>
        </w:rPr>
        <w:t>Equity</w:t>
      </w:r>
      <w:proofErr w:type="spellEnd"/>
      <w:r w:rsidR="0042413A" w:rsidRPr="004241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рассчитывалась по формуле: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e</m:t>
            </m:r>
          </m:sub>
        </m:sSub>
        <m:r>
          <w:rPr>
            <w:rFonts w:ascii="Cambria Math" w:hAnsi="Cambria Math" w:cs="Times New Roman"/>
            <w:color w:val="000000" w:themeColor="text1"/>
            <w:sz w:val="24"/>
            <w:szCs w:val="24"/>
          </w:rPr>
          <m:t xml:space="preserve"> =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f</m:t>
            </m:r>
          </m:sub>
        </m:sSub>
        <m:r>
          <w:rPr>
            <w:rFonts w:ascii="Cambria Math" w:hAnsi="Cambria Math" w:cs="Times New Roman"/>
            <w:color w:val="000000" w:themeColor="text1"/>
            <w:sz w:val="24"/>
            <w:szCs w:val="24"/>
          </w:rPr>
          <m:t>+ β*</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f</m:t>
                </m:r>
              </m:sub>
            </m:sSub>
          </m:e>
        </m:d>
      </m:oMath>
      <w:r>
        <w:rPr>
          <w:rFonts w:ascii="Times New Roman" w:eastAsiaTheme="minorEastAsia" w:hAnsi="Times New Roman" w:cs="Times New Roman"/>
          <w:color w:val="000000" w:themeColor="text1"/>
          <w:sz w:val="24"/>
          <w:szCs w:val="24"/>
        </w:rPr>
        <w:t>,</w:t>
      </w:r>
      <w:r w:rsidRPr="00FF4F21">
        <w:rPr>
          <w:rFonts w:ascii="Times New Roman" w:eastAsiaTheme="minorEastAsia" w:hAnsi="Times New Roman" w:cs="Times New Roman"/>
          <w:color w:val="000000" w:themeColor="text1"/>
          <w:sz w:val="24"/>
          <w:szCs w:val="24"/>
        </w:rPr>
        <w:t xml:space="preserve"> </w:t>
      </w:r>
      <w:r w:rsidR="00290002">
        <w:rPr>
          <w:rFonts w:ascii="Times New Roman" w:eastAsiaTheme="minorEastAsia" w:hAnsi="Times New Roman" w:cs="Times New Roman"/>
          <w:color w:val="000000" w:themeColor="text1"/>
          <w:sz w:val="24"/>
          <w:szCs w:val="24"/>
        </w:rPr>
        <w:tab/>
      </w:r>
      <w:r w:rsidR="00290002">
        <w:rPr>
          <w:rFonts w:ascii="Times New Roman" w:eastAsiaTheme="minorEastAsia" w:hAnsi="Times New Roman" w:cs="Times New Roman"/>
          <w:color w:val="000000" w:themeColor="text1"/>
          <w:sz w:val="24"/>
          <w:szCs w:val="24"/>
        </w:rPr>
        <w:tab/>
        <w:t>(8)</w:t>
      </w:r>
    </w:p>
    <w:p w:rsidR="0059775B" w:rsidRPr="00FF4F21" w:rsidRDefault="0042413A" w:rsidP="0042413A">
      <w:pPr>
        <w:pStyle w:val="a3"/>
        <w:numPr>
          <w:ilvl w:val="0"/>
          <w:numId w:val="18"/>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где в качестве коэффициента </w:t>
      </w:r>
      <w:r w:rsidRPr="0042413A">
        <w:rPr>
          <w:rFonts w:ascii="Times New Roman" w:hAnsi="Times New Roman" w:cs="Times New Roman"/>
          <w:color w:val="000000" w:themeColor="text1"/>
          <w:sz w:val="24"/>
          <w:szCs w:val="24"/>
        </w:rPr>
        <w:t>β</w:t>
      </w:r>
      <w:r>
        <w:rPr>
          <w:rFonts w:ascii="Times New Roman" w:hAnsi="Times New Roman" w:cs="Times New Roman"/>
          <w:color w:val="000000" w:themeColor="text1"/>
          <w:sz w:val="24"/>
          <w:szCs w:val="24"/>
        </w:rPr>
        <w:t xml:space="preserve"> использовалась </w:t>
      </w:r>
      <w:proofErr w:type="gramStart"/>
      <w:r>
        <w:rPr>
          <w:rFonts w:ascii="Times New Roman" w:hAnsi="Times New Roman" w:cs="Times New Roman"/>
          <w:color w:val="000000" w:themeColor="text1"/>
          <w:sz w:val="24"/>
          <w:szCs w:val="24"/>
        </w:rPr>
        <w:t>скорректированная</w:t>
      </w:r>
      <w:proofErr w:type="gramEnd"/>
      <w:r>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β</m:t>
        </m:r>
      </m:oMath>
      <w:r>
        <w:rPr>
          <w:rFonts w:ascii="Times New Roman" w:hAnsi="Times New Roman" w:cs="Times New Roman"/>
          <w:color w:val="000000" w:themeColor="text1"/>
          <w:sz w:val="24"/>
          <w:szCs w:val="24"/>
        </w:rPr>
        <w:t xml:space="preserve"> из</w:t>
      </w:r>
      <w:r w:rsidR="0059775B" w:rsidRPr="00FF4F21">
        <w:rPr>
          <w:rFonts w:ascii="Times New Roman" w:hAnsi="Times New Roman" w:cs="Times New Roman"/>
          <w:color w:val="000000" w:themeColor="text1"/>
          <w:sz w:val="24"/>
          <w:szCs w:val="24"/>
        </w:rPr>
        <w:t xml:space="preserve"> </w:t>
      </w:r>
      <w:r w:rsidR="0059775B" w:rsidRPr="00FF4F21">
        <w:rPr>
          <w:rFonts w:ascii="Times New Roman" w:hAnsi="Times New Roman" w:cs="Times New Roman"/>
          <w:color w:val="000000" w:themeColor="text1"/>
          <w:sz w:val="24"/>
          <w:szCs w:val="24"/>
          <w:lang w:val="en-US"/>
        </w:rPr>
        <w:t>Bloomberg</w:t>
      </w:r>
      <w:r w:rsidR="0059775B" w:rsidRPr="00FF4F21">
        <w:rPr>
          <w:rFonts w:ascii="Times New Roman" w:hAnsi="Times New Roman" w:cs="Times New Roman"/>
          <w:color w:val="000000" w:themeColor="text1"/>
          <w:sz w:val="24"/>
          <w:szCs w:val="24"/>
        </w:rPr>
        <w:t xml:space="preserve"> </w:t>
      </w:r>
      <w:r w:rsidR="0059775B" w:rsidRPr="00FF4F21">
        <w:rPr>
          <w:rFonts w:ascii="Times New Roman" w:hAnsi="Times New Roman" w:cs="Times New Roman"/>
          <w:color w:val="000000" w:themeColor="text1"/>
          <w:sz w:val="24"/>
          <w:szCs w:val="24"/>
          <w:lang w:val="en-US"/>
        </w:rPr>
        <w:t>Terminal</w:t>
      </w:r>
      <w:r w:rsidR="0059775B" w:rsidRPr="00FF4F21">
        <w:rPr>
          <w:rFonts w:ascii="Times New Roman" w:hAnsi="Times New Roman" w:cs="Times New Roman"/>
          <w:color w:val="000000" w:themeColor="text1"/>
          <w:sz w:val="24"/>
          <w:szCs w:val="24"/>
        </w:rPr>
        <w:t>;</w:t>
      </w:r>
    </w:p>
    <w:p w:rsidR="0059775B" w:rsidRPr="00800BFF" w:rsidRDefault="008F43FC" w:rsidP="0059775B">
      <w:pPr>
        <w:pStyle w:val="a3"/>
        <w:numPr>
          <w:ilvl w:val="0"/>
          <w:numId w:val="18"/>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Вычисление </w:t>
      </w:r>
      <w:r>
        <w:rPr>
          <w:rFonts w:ascii="Times New Roman" w:hAnsi="Times New Roman" w:cs="Times New Roman"/>
          <w:color w:val="000000" w:themeColor="text1"/>
          <w:sz w:val="24"/>
          <w:szCs w:val="24"/>
          <w:lang w:val="en-US"/>
        </w:rPr>
        <w:t>WACC</w:t>
      </w:r>
      <w:r w:rsidR="0059775B" w:rsidRPr="00175A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приведен</w:t>
      </w:r>
      <w:proofErr w:type="gramStart"/>
      <w:r>
        <w:rPr>
          <w:rFonts w:ascii="Times New Roman" w:hAnsi="Times New Roman" w:cs="Times New Roman"/>
          <w:color w:val="000000" w:themeColor="text1"/>
          <w:sz w:val="24"/>
          <w:szCs w:val="24"/>
          <w:lang w:val="en-US"/>
        </w:rPr>
        <w:t>o</w:t>
      </w:r>
      <w:proofErr w:type="gramEnd"/>
      <w:r w:rsidR="0059775B">
        <w:rPr>
          <w:rFonts w:ascii="Times New Roman" w:hAnsi="Times New Roman" w:cs="Times New Roman"/>
          <w:color w:val="000000" w:themeColor="text1"/>
          <w:sz w:val="24"/>
          <w:szCs w:val="24"/>
        </w:rPr>
        <w:t xml:space="preserve"> в таблицах:</w:t>
      </w:r>
    </w:p>
    <w:p w:rsidR="0059775B" w:rsidRDefault="007C1744"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Таблица 6</w:t>
      </w:r>
      <w:r w:rsidR="0059775B">
        <w:rPr>
          <w:rFonts w:ascii="Times New Roman" w:hAnsi="Times New Roman" w:cs="Times New Roman"/>
          <w:color w:val="000000" w:themeColor="text1"/>
          <w:sz w:val="24"/>
          <w:szCs w:val="24"/>
        </w:rPr>
        <w:t xml:space="preserve"> </w:t>
      </w:r>
      <w:r w:rsidR="0059775B" w:rsidRPr="00485347">
        <w:rPr>
          <w:rFonts w:ascii="Times New Roman" w:hAnsi="Times New Roman" w:cs="Times New Roman"/>
          <w:color w:val="000000" w:themeColor="text1"/>
          <w:sz w:val="24"/>
          <w:szCs w:val="24"/>
        </w:rPr>
        <w:t>Расчет средневзвешенной ставки дисконтирования для консолидированной компании</w:t>
      </w:r>
    </w:p>
    <w:tbl>
      <w:tblPr>
        <w:tblW w:w="7087" w:type="dxa"/>
        <w:tblInd w:w="1515" w:type="dxa"/>
        <w:tblLook w:val="04A0" w:firstRow="1" w:lastRow="0" w:firstColumn="1" w:lastColumn="0" w:noHBand="0" w:noVBand="1"/>
      </w:tblPr>
      <w:tblGrid>
        <w:gridCol w:w="3827"/>
        <w:gridCol w:w="3260"/>
      </w:tblGrid>
      <w:tr w:rsidR="0059775B" w:rsidRPr="00CE71E9" w:rsidTr="00E11D2C">
        <w:trPr>
          <w:trHeight w:val="330"/>
        </w:trPr>
        <w:tc>
          <w:tcPr>
            <w:tcW w:w="7087" w:type="dxa"/>
            <w:gridSpan w:val="2"/>
            <w:tcBorders>
              <w:top w:val="single" w:sz="18" w:space="0" w:color="auto"/>
              <w:left w:val="nil"/>
              <w:bottom w:val="single" w:sz="12" w:space="0" w:color="auto"/>
              <w:right w:val="nil"/>
            </w:tcBorders>
            <w:shd w:val="clear" w:color="000000" w:fill="FFFFFF"/>
            <w:vAlign w:val="bottom"/>
            <w:hideMark/>
          </w:tcPr>
          <w:p w:rsidR="0059775B" w:rsidRPr="00CE71E9" w:rsidRDefault="0059775B" w:rsidP="00E11D2C">
            <w:pPr>
              <w:spacing w:after="0" w:line="240" w:lineRule="auto"/>
              <w:jc w:val="center"/>
              <w:rPr>
                <w:rFonts w:ascii="Times New Roman" w:eastAsia="Times New Roman" w:hAnsi="Times New Roman" w:cs="Times New Roman"/>
                <w:b/>
                <w:bCs/>
                <w:color w:val="000000"/>
                <w:sz w:val="24"/>
                <w:szCs w:val="20"/>
                <w:u w:val="single"/>
                <w:lang w:eastAsia="ru-RU"/>
              </w:rPr>
            </w:pPr>
            <w:r w:rsidRPr="00CE71E9">
              <w:rPr>
                <w:rFonts w:ascii="Times New Roman" w:eastAsia="Times New Roman" w:hAnsi="Times New Roman" w:cs="Times New Roman"/>
                <w:b/>
                <w:bCs/>
                <w:color w:val="000000"/>
                <w:sz w:val="24"/>
                <w:szCs w:val="20"/>
                <w:u w:val="single"/>
                <w:lang w:eastAsia="ru-RU"/>
              </w:rPr>
              <w:t xml:space="preserve">WACC </w:t>
            </w:r>
            <w:proofErr w:type="spellStart"/>
            <w:r w:rsidRPr="00CE71E9">
              <w:rPr>
                <w:rFonts w:ascii="Times New Roman" w:eastAsia="Times New Roman" w:hAnsi="Times New Roman" w:cs="Times New Roman"/>
                <w:b/>
                <w:bCs/>
                <w:color w:val="000000"/>
                <w:sz w:val="24"/>
                <w:szCs w:val="20"/>
                <w:u w:val="single"/>
                <w:lang w:eastAsia="ru-RU"/>
              </w:rPr>
              <w:t>Calculation</w:t>
            </w:r>
            <w:proofErr w:type="spellEnd"/>
          </w:p>
        </w:tc>
      </w:tr>
      <w:tr w:rsidR="0059775B" w:rsidRPr="00CE71E9" w:rsidTr="00E11D2C">
        <w:trPr>
          <w:trHeight w:val="330"/>
        </w:trPr>
        <w:tc>
          <w:tcPr>
            <w:tcW w:w="3827" w:type="dxa"/>
            <w:tcBorders>
              <w:top w:val="single" w:sz="18" w:space="0" w:color="auto"/>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b/>
                <w:bCs/>
                <w:i/>
                <w:iCs/>
                <w:color w:val="000000"/>
                <w:sz w:val="24"/>
                <w:szCs w:val="20"/>
                <w:lang w:eastAsia="ru-RU"/>
              </w:rPr>
            </w:pPr>
            <w:proofErr w:type="spellStart"/>
            <w:r w:rsidRPr="00CE71E9">
              <w:rPr>
                <w:rFonts w:ascii="Times New Roman" w:eastAsia="Times New Roman" w:hAnsi="Times New Roman" w:cs="Times New Roman"/>
                <w:b/>
                <w:bCs/>
                <w:i/>
                <w:iCs/>
                <w:color w:val="000000"/>
                <w:sz w:val="24"/>
                <w:szCs w:val="20"/>
                <w:lang w:eastAsia="ru-RU"/>
              </w:rPr>
              <w:t>Capital</w:t>
            </w:r>
            <w:proofErr w:type="spellEnd"/>
            <w:r w:rsidRPr="00CE71E9">
              <w:rPr>
                <w:rFonts w:ascii="Times New Roman" w:eastAsia="Times New Roman" w:hAnsi="Times New Roman" w:cs="Times New Roman"/>
                <w:b/>
                <w:bCs/>
                <w:i/>
                <w:iCs/>
                <w:color w:val="000000"/>
                <w:sz w:val="24"/>
                <w:szCs w:val="20"/>
                <w:lang w:eastAsia="ru-RU"/>
              </w:rPr>
              <w:t xml:space="preserve"> </w:t>
            </w:r>
            <w:proofErr w:type="spellStart"/>
            <w:r w:rsidRPr="00CE71E9">
              <w:rPr>
                <w:rFonts w:ascii="Times New Roman" w:eastAsia="Times New Roman" w:hAnsi="Times New Roman" w:cs="Times New Roman"/>
                <w:b/>
                <w:bCs/>
                <w:i/>
                <w:iCs/>
                <w:color w:val="000000"/>
                <w:sz w:val="24"/>
                <w:szCs w:val="20"/>
                <w:lang w:eastAsia="ru-RU"/>
              </w:rPr>
              <w:t>Structure</w:t>
            </w:r>
            <w:proofErr w:type="spellEnd"/>
          </w:p>
        </w:tc>
        <w:tc>
          <w:tcPr>
            <w:tcW w:w="3260" w:type="dxa"/>
            <w:tcBorders>
              <w:top w:val="single" w:sz="18" w:space="0" w:color="auto"/>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color w:val="000000"/>
                <w:sz w:val="24"/>
                <w:szCs w:val="24"/>
                <w:lang w:eastAsia="ru-RU"/>
              </w:rPr>
            </w:pPr>
            <w:r w:rsidRPr="00CE71E9">
              <w:rPr>
                <w:rFonts w:ascii="Times New Roman" w:eastAsia="Times New Roman" w:hAnsi="Times New Roman" w:cs="Times New Roman"/>
                <w:color w:val="000000"/>
                <w:sz w:val="24"/>
                <w:szCs w:val="24"/>
                <w:lang w:eastAsia="ru-RU"/>
              </w:rPr>
              <w:t> </w:t>
            </w:r>
          </w:p>
        </w:tc>
      </w:tr>
      <w:tr w:rsidR="0059775B" w:rsidRPr="00CE71E9" w:rsidTr="00E11D2C">
        <w:trPr>
          <w:trHeight w:val="255"/>
        </w:trPr>
        <w:tc>
          <w:tcPr>
            <w:tcW w:w="3827"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color w:val="000000"/>
                <w:sz w:val="24"/>
                <w:szCs w:val="20"/>
                <w:lang w:eastAsia="ru-RU"/>
              </w:rPr>
            </w:pPr>
            <w:proofErr w:type="spellStart"/>
            <w:r w:rsidRPr="00CE71E9">
              <w:rPr>
                <w:rFonts w:ascii="Times New Roman" w:eastAsia="Times New Roman" w:hAnsi="Times New Roman" w:cs="Times New Roman"/>
                <w:color w:val="000000"/>
                <w:sz w:val="24"/>
                <w:szCs w:val="20"/>
                <w:lang w:eastAsia="ru-RU"/>
              </w:rPr>
              <w:t>Debt-to-Total</w:t>
            </w:r>
            <w:proofErr w:type="spellEnd"/>
            <w:r w:rsidRPr="00CE71E9">
              <w:rPr>
                <w:rFonts w:ascii="Times New Roman" w:eastAsia="Times New Roman" w:hAnsi="Times New Roman" w:cs="Times New Roman"/>
                <w:color w:val="000000"/>
                <w:sz w:val="24"/>
                <w:szCs w:val="20"/>
                <w:lang w:eastAsia="ru-RU"/>
              </w:rPr>
              <w:t xml:space="preserve"> </w:t>
            </w:r>
            <w:proofErr w:type="spellStart"/>
            <w:r w:rsidRPr="00CE71E9">
              <w:rPr>
                <w:rFonts w:ascii="Times New Roman" w:eastAsia="Times New Roman" w:hAnsi="Times New Roman" w:cs="Times New Roman"/>
                <w:color w:val="000000"/>
                <w:sz w:val="24"/>
                <w:szCs w:val="20"/>
                <w:lang w:eastAsia="ru-RU"/>
              </w:rPr>
              <w:t>Capitalization</w:t>
            </w:r>
            <w:proofErr w:type="spellEnd"/>
          </w:p>
        </w:tc>
        <w:tc>
          <w:tcPr>
            <w:tcW w:w="3260"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37,8%</w:t>
            </w:r>
          </w:p>
        </w:tc>
      </w:tr>
      <w:tr w:rsidR="0059775B" w:rsidRPr="00CE71E9" w:rsidTr="00E11D2C">
        <w:trPr>
          <w:trHeight w:val="270"/>
        </w:trPr>
        <w:tc>
          <w:tcPr>
            <w:tcW w:w="3827" w:type="dxa"/>
            <w:tcBorders>
              <w:top w:val="nil"/>
              <w:left w:val="nil"/>
              <w:bottom w:val="single" w:sz="18" w:space="0" w:color="auto"/>
              <w:right w:val="nil"/>
            </w:tcBorders>
            <w:shd w:val="clear" w:color="000000" w:fill="FFFFFF"/>
            <w:noWrap/>
            <w:hideMark/>
          </w:tcPr>
          <w:p w:rsidR="0059775B" w:rsidRPr="00CE71E9" w:rsidRDefault="0059775B" w:rsidP="00E11D2C">
            <w:pPr>
              <w:spacing w:after="0" w:line="240" w:lineRule="auto"/>
              <w:rPr>
                <w:rFonts w:ascii="Times New Roman" w:eastAsia="Times New Roman" w:hAnsi="Times New Roman" w:cs="Times New Roman"/>
                <w:sz w:val="24"/>
                <w:szCs w:val="20"/>
                <w:lang w:eastAsia="ru-RU"/>
              </w:rPr>
            </w:pPr>
            <w:proofErr w:type="spellStart"/>
            <w:r w:rsidRPr="00CE71E9">
              <w:rPr>
                <w:rFonts w:ascii="Times New Roman" w:eastAsia="Times New Roman" w:hAnsi="Times New Roman" w:cs="Times New Roman"/>
                <w:sz w:val="24"/>
                <w:szCs w:val="20"/>
                <w:lang w:eastAsia="ru-RU"/>
              </w:rPr>
              <w:t>Equity-to-Total</w:t>
            </w:r>
            <w:proofErr w:type="spellEnd"/>
            <w:r w:rsidRPr="00CE71E9">
              <w:rPr>
                <w:rFonts w:ascii="Times New Roman" w:eastAsia="Times New Roman" w:hAnsi="Times New Roman" w:cs="Times New Roman"/>
                <w:sz w:val="24"/>
                <w:szCs w:val="20"/>
                <w:lang w:eastAsia="ru-RU"/>
              </w:rPr>
              <w:t xml:space="preserve"> </w:t>
            </w:r>
            <w:proofErr w:type="spellStart"/>
            <w:r w:rsidRPr="00CE71E9">
              <w:rPr>
                <w:rFonts w:ascii="Times New Roman" w:eastAsia="Times New Roman" w:hAnsi="Times New Roman" w:cs="Times New Roman"/>
                <w:sz w:val="24"/>
                <w:szCs w:val="20"/>
                <w:lang w:eastAsia="ru-RU"/>
              </w:rPr>
              <w:t>Capitalization</w:t>
            </w:r>
            <w:proofErr w:type="spellEnd"/>
          </w:p>
        </w:tc>
        <w:tc>
          <w:tcPr>
            <w:tcW w:w="3260" w:type="dxa"/>
            <w:tcBorders>
              <w:top w:val="nil"/>
              <w:left w:val="nil"/>
              <w:bottom w:val="single" w:sz="12" w:space="0" w:color="auto"/>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62,2%</w:t>
            </w:r>
          </w:p>
        </w:tc>
      </w:tr>
      <w:tr w:rsidR="0059775B" w:rsidRPr="00CE71E9" w:rsidTr="00E11D2C">
        <w:trPr>
          <w:trHeight w:val="270"/>
        </w:trPr>
        <w:tc>
          <w:tcPr>
            <w:tcW w:w="3827" w:type="dxa"/>
            <w:tcBorders>
              <w:top w:val="single" w:sz="18" w:space="0" w:color="auto"/>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b/>
                <w:bCs/>
                <w:i/>
                <w:iCs/>
                <w:color w:val="000000"/>
                <w:sz w:val="24"/>
                <w:szCs w:val="20"/>
                <w:lang w:eastAsia="ru-RU"/>
              </w:rPr>
            </w:pPr>
            <w:proofErr w:type="spellStart"/>
            <w:r w:rsidRPr="00CE71E9">
              <w:rPr>
                <w:rFonts w:ascii="Times New Roman" w:eastAsia="Times New Roman" w:hAnsi="Times New Roman" w:cs="Times New Roman"/>
                <w:b/>
                <w:bCs/>
                <w:i/>
                <w:iCs/>
                <w:color w:val="000000"/>
                <w:sz w:val="24"/>
                <w:szCs w:val="20"/>
                <w:lang w:eastAsia="ru-RU"/>
              </w:rPr>
              <w:t>Cost</w:t>
            </w:r>
            <w:proofErr w:type="spellEnd"/>
            <w:r w:rsidRPr="00CE71E9">
              <w:rPr>
                <w:rFonts w:ascii="Times New Roman" w:eastAsia="Times New Roman" w:hAnsi="Times New Roman" w:cs="Times New Roman"/>
                <w:b/>
                <w:bCs/>
                <w:i/>
                <w:iCs/>
                <w:color w:val="000000"/>
                <w:sz w:val="24"/>
                <w:szCs w:val="20"/>
                <w:lang w:eastAsia="ru-RU"/>
              </w:rPr>
              <w:t xml:space="preserve"> </w:t>
            </w:r>
            <w:proofErr w:type="spellStart"/>
            <w:r w:rsidRPr="00CE71E9">
              <w:rPr>
                <w:rFonts w:ascii="Times New Roman" w:eastAsia="Times New Roman" w:hAnsi="Times New Roman" w:cs="Times New Roman"/>
                <w:b/>
                <w:bCs/>
                <w:i/>
                <w:iCs/>
                <w:color w:val="000000"/>
                <w:sz w:val="24"/>
                <w:szCs w:val="20"/>
                <w:lang w:eastAsia="ru-RU"/>
              </w:rPr>
              <w:t>of</w:t>
            </w:r>
            <w:proofErr w:type="spellEnd"/>
            <w:r w:rsidRPr="00CE71E9">
              <w:rPr>
                <w:rFonts w:ascii="Times New Roman" w:eastAsia="Times New Roman" w:hAnsi="Times New Roman" w:cs="Times New Roman"/>
                <w:b/>
                <w:bCs/>
                <w:i/>
                <w:iCs/>
                <w:color w:val="000000"/>
                <w:sz w:val="24"/>
                <w:szCs w:val="20"/>
                <w:lang w:eastAsia="ru-RU"/>
              </w:rPr>
              <w:t xml:space="preserve"> </w:t>
            </w:r>
            <w:proofErr w:type="spellStart"/>
            <w:r w:rsidRPr="00CE71E9">
              <w:rPr>
                <w:rFonts w:ascii="Times New Roman" w:eastAsia="Times New Roman" w:hAnsi="Times New Roman" w:cs="Times New Roman"/>
                <w:b/>
                <w:bCs/>
                <w:i/>
                <w:iCs/>
                <w:color w:val="000000"/>
                <w:sz w:val="24"/>
                <w:szCs w:val="20"/>
                <w:lang w:eastAsia="ru-RU"/>
              </w:rPr>
              <w:t>Debt</w:t>
            </w:r>
            <w:proofErr w:type="spellEnd"/>
          </w:p>
        </w:tc>
        <w:tc>
          <w:tcPr>
            <w:tcW w:w="3260" w:type="dxa"/>
            <w:tcBorders>
              <w:top w:val="single" w:sz="18" w:space="0" w:color="auto"/>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w:t>
            </w:r>
          </w:p>
        </w:tc>
      </w:tr>
      <w:tr w:rsidR="0059775B" w:rsidRPr="00CE71E9" w:rsidTr="00E11D2C">
        <w:trPr>
          <w:trHeight w:val="255"/>
        </w:trPr>
        <w:tc>
          <w:tcPr>
            <w:tcW w:w="3827"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color w:val="000000"/>
                <w:sz w:val="24"/>
                <w:szCs w:val="20"/>
                <w:lang w:eastAsia="ru-RU"/>
              </w:rPr>
            </w:pPr>
            <w:proofErr w:type="spellStart"/>
            <w:r w:rsidRPr="00CE71E9">
              <w:rPr>
                <w:rFonts w:ascii="Times New Roman" w:eastAsia="Times New Roman" w:hAnsi="Times New Roman" w:cs="Times New Roman"/>
                <w:color w:val="000000"/>
                <w:sz w:val="24"/>
                <w:szCs w:val="20"/>
                <w:lang w:eastAsia="ru-RU"/>
              </w:rPr>
              <w:t>Cost</w:t>
            </w:r>
            <w:proofErr w:type="spellEnd"/>
            <w:r w:rsidRPr="00CE71E9">
              <w:rPr>
                <w:rFonts w:ascii="Times New Roman" w:eastAsia="Times New Roman" w:hAnsi="Times New Roman" w:cs="Times New Roman"/>
                <w:color w:val="000000"/>
                <w:sz w:val="24"/>
                <w:szCs w:val="20"/>
                <w:lang w:eastAsia="ru-RU"/>
              </w:rPr>
              <w:t xml:space="preserve"> </w:t>
            </w:r>
            <w:proofErr w:type="spellStart"/>
            <w:r w:rsidRPr="00CE71E9">
              <w:rPr>
                <w:rFonts w:ascii="Times New Roman" w:eastAsia="Times New Roman" w:hAnsi="Times New Roman" w:cs="Times New Roman"/>
                <w:color w:val="000000"/>
                <w:sz w:val="24"/>
                <w:szCs w:val="20"/>
                <w:lang w:eastAsia="ru-RU"/>
              </w:rPr>
              <w:t>of</w:t>
            </w:r>
            <w:proofErr w:type="spellEnd"/>
            <w:r w:rsidRPr="00CE71E9">
              <w:rPr>
                <w:rFonts w:ascii="Times New Roman" w:eastAsia="Times New Roman" w:hAnsi="Times New Roman" w:cs="Times New Roman"/>
                <w:color w:val="000000"/>
                <w:sz w:val="24"/>
                <w:szCs w:val="20"/>
                <w:lang w:eastAsia="ru-RU"/>
              </w:rPr>
              <w:t xml:space="preserve"> </w:t>
            </w:r>
            <w:proofErr w:type="spellStart"/>
            <w:r w:rsidRPr="00CE71E9">
              <w:rPr>
                <w:rFonts w:ascii="Times New Roman" w:eastAsia="Times New Roman" w:hAnsi="Times New Roman" w:cs="Times New Roman"/>
                <w:color w:val="000000"/>
                <w:sz w:val="24"/>
                <w:szCs w:val="20"/>
                <w:lang w:eastAsia="ru-RU"/>
              </w:rPr>
              <w:t>Debt</w:t>
            </w:r>
            <w:proofErr w:type="spellEnd"/>
          </w:p>
        </w:tc>
        <w:tc>
          <w:tcPr>
            <w:tcW w:w="3260"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4,5%</w:t>
            </w:r>
          </w:p>
        </w:tc>
      </w:tr>
      <w:tr w:rsidR="0059775B" w:rsidRPr="00CE71E9" w:rsidTr="00E11D2C">
        <w:trPr>
          <w:trHeight w:val="255"/>
        </w:trPr>
        <w:tc>
          <w:tcPr>
            <w:tcW w:w="3827"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color w:val="000000"/>
                <w:sz w:val="24"/>
                <w:szCs w:val="20"/>
                <w:lang w:eastAsia="ru-RU"/>
              </w:rPr>
            </w:pPr>
            <w:proofErr w:type="spellStart"/>
            <w:r w:rsidRPr="00CE71E9">
              <w:rPr>
                <w:rFonts w:ascii="Times New Roman" w:eastAsia="Times New Roman" w:hAnsi="Times New Roman" w:cs="Times New Roman"/>
                <w:color w:val="000000"/>
                <w:sz w:val="24"/>
                <w:szCs w:val="20"/>
                <w:lang w:eastAsia="ru-RU"/>
              </w:rPr>
              <w:t>Tax</w:t>
            </w:r>
            <w:proofErr w:type="spellEnd"/>
            <w:r w:rsidRPr="00CE71E9">
              <w:rPr>
                <w:rFonts w:ascii="Times New Roman" w:eastAsia="Times New Roman" w:hAnsi="Times New Roman" w:cs="Times New Roman"/>
                <w:color w:val="000000"/>
                <w:sz w:val="24"/>
                <w:szCs w:val="20"/>
                <w:lang w:eastAsia="ru-RU"/>
              </w:rPr>
              <w:t xml:space="preserve"> </w:t>
            </w:r>
            <w:proofErr w:type="spellStart"/>
            <w:r w:rsidRPr="00CE71E9">
              <w:rPr>
                <w:rFonts w:ascii="Times New Roman" w:eastAsia="Times New Roman" w:hAnsi="Times New Roman" w:cs="Times New Roman"/>
                <w:color w:val="000000"/>
                <w:sz w:val="24"/>
                <w:szCs w:val="20"/>
                <w:lang w:eastAsia="ru-RU"/>
              </w:rPr>
              <w:t>Rate</w:t>
            </w:r>
            <w:proofErr w:type="spellEnd"/>
          </w:p>
        </w:tc>
        <w:tc>
          <w:tcPr>
            <w:tcW w:w="3260"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24,6%</w:t>
            </w:r>
          </w:p>
        </w:tc>
      </w:tr>
      <w:tr w:rsidR="0059775B" w:rsidRPr="00CE71E9" w:rsidTr="00E11D2C">
        <w:trPr>
          <w:trHeight w:val="270"/>
        </w:trPr>
        <w:tc>
          <w:tcPr>
            <w:tcW w:w="3827" w:type="dxa"/>
            <w:tcBorders>
              <w:top w:val="single" w:sz="4" w:space="0" w:color="auto"/>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b/>
                <w:bCs/>
                <w:color w:val="000000"/>
                <w:sz w:val="24"/>
                <w:szCs w:val="20"/>
                <w:lang w:val="en-US" w:eastAsia="ru-RU"/>
              </w:rPr>
            </w:pPr>
            <w:r w:rsidRPr="00CE71E9">
              <w:rPr>
                <w:rFonts w:ascii="Times New Roman" w:eastAsia="Times New Roman" w:hAnsi="Times New Roman" w:cs="Times New Roman"/>
                <w:b/>
                <w:bCs/>
                <w:color w:val="000000"/>
                <w:sz w:val="24"/>
                <w:szCs w:val="20"/>
                <w:lang w:val="en-US" w:eastAsia="ru-RU"/>
              </w:rPr>
              <w:t xml:space="preserve">   After-tax Cost of Debt</w:t>
            </w:r>
          </w:p>
        </w:tc>
        <w:tc>
          <w:tcPr>
            <w:tcW w:w="3260" w:type="dxa"/>
            <w:tcBorders>
              <w:top w:val="single" w:sz="4" w:space="0" w:color="auto"/>
              <w:left w:val="nil"/>
              <w:bottom w:val="single" w:sz="18" w:space="0" w:color="auto"/>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sidRPr="00CE71E9">
              <w:rPr>
                <w:rFonts w:ascii="Times New Roman" w:eastAsia="Times New Roman" w:hAnsi="Times New Roman" w:cs="Times New Roman"/>
                <w:b/>
                <w:bCs/>
                <w:color w:val="000000"/>
                <w:sz w:val="24"/>
                <w:szCs w:val="20"/>
                <w:lang w:val="en-US" w:eastAsia="ru-RU"/>
              </w:rPr>
              <w:t xml:space="preserve">                 </w:t>
            </w:r>
            <w:r w:rsidRPr="00CE71E9">
              <w:rPr>
                <w:rFonts w:ascii="Times New Roman" w:eastAsia="Times New Roman" w:hAnsi="Times New Roman" w:cs="Times New Roman"/>
                <w:b/>
                <w:bCs/>
                <w:color w:val="000000"/>
                <w:sz w:val="24"/>
                <w:szCs w:val="20"/>
                <w:lang w:eastAsia="ru-RU"/>
              </w:rPr>
              <w:t>3,4%</w:t>
            </w:r>
          </w:p>
        </w:tc>
      </w:tr>
      <w:tr w:rsidR="0059775B" w:rsidRPr="00CE71E9" w:rsidTr="00E11D2C">
        <w:trPr>
          <w:trHeight w:val="270"/>
        </w:trPr>
        <w:tc>
          <w:tcPr>
            <w:tcW w:w="3827" w:type="dxa"/>
            <w:tcBorders>
              <w:top w:val="single" w:sz="18" w:space="0" w:color="auto"/>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b/>
                <w:bCs/>
                <w:i/>
                <w:iCs/>
                <w:color w:val="000000"/>
                <w:sz w:val="24"/>
                <w:szCs w:val="20"/>
                <w:lang w:eastAsia="ru-RU"/>
              </w:rPr>
            </w:pPr>
            <w:proofErr w:type="spellStart"/>
            <w:r w:rsidRPr="00CE71E9">
              <w:rPr>
                <w:rFonts w:ascii="Times New Roman" w:eastAsia="Times New Roman" w:hAnsi="Times New Roman" w:cs="Times New Roman"/>
                <w:b/>
                <w:bCs/>
                <w:i/>
                <w:iCs/>
                <w:color w:val="000000"/>
                <w:sz w:val="24"/>
                <w:szCs w:val="20"/>
                <w:lang w:eastAsia="ru-RU"/>
              </w:rPr>
              <w:t>Cost</w:t>
            </w:r>
            <w:proofErr w:type="spellEnd"/>
            <w:r w:rsidRPr="00CE71E9">
              <w:rPr>
                <w:rFonts w:ascii="Times New Roman" w:eastAsia="Times New Roman" w:hAnsi="Times New Roman" w:cs="Times New Roman"/>
                <w:b/>
                <w:bCs/>
                <w:i/>
                <w:iCs/>
                <w:color w:val="000000"/>
                <w:sz w:val="24"/>
                <w:szCs w:val="20"/>
                <w:lang w:eastAsia="ru-RU"/>
              </w:rPr>
              <w:t xml:space="preserve"> </w:t>
            </w:r>
            <w:proofErr w:type="spellStart"/>
            <w:r w:rsidRPr="00CE71E9">
              <w:rPr>
                <w:rFonts w:ascii="Times New Roman" w:eastAsia="Times New Roman" w:hAnsi="Times New Roman" w:cs="Times New Roman"/>
                <w:b/>
                <w:bCs/>
                <w:i/>
                <w:iCs/>
                <w:color w:val="000000"/>
                <w:sz w:val="24"/>
                <w:szCs w:val="20"/>
                <w:lang w:eastAsia="ru-RU"/>
              </w:rPr>
              <w:t>of</w:t>
            </w:r>
            <w:proofErr w:type="spellEnd"/>
            <w:r w:rsidRPr="00CE71E9">
              <w:rPr>
                <w:rFonts w:ascii="Times New Roman" w:eastAsia="Times New Roman" w:hAnsi="Times New Roman" w:cs="Times New Roman"/>
                <w:b/>
                <w:bCs/>
                <w:i/>
                <w:iCs/>
                <w:color w:val="000000"/>
                <w:sz w:val="24"/>
                <w:szCs w:val="20"/>
                <w:lang w:eastAsia="ru-RU"/>
              </w:rPr>
              <w:t xml:space="preserve"> </w:t>
            </w:r>
            <w:proofErr w:type="spellStart"/>
            <w:r w:rsidRPr="00CE71E9">
              <w:rPr>
                <w:rFonts w:ascii="Times New Roman" w:eastAsia="Times New Roman" w:hAnsi="Times New Roman" w:cs="Times New Roman"/>
                <w:b/>
                <w:bCs/>
                <w:i/>
                <w:iCs/>
                <w:color w:val="000000"/>
                <w:sz w:val="24"/>
                <w:szCs w:val="20"/>
                <w:lang w:eastAsia="ru-RU"/>
              </w:rPr>
              <w:t>Equity</w:t>
            </w:r>
            <w:proofErr w:type="spellEnd"/>
          </w:p>
        </w:tc>
        <w:tc>
          <w:tcPr>
            <w:tcW w:w="3260" w:type="dxa"/>
            <w:tcBorders>
              <w:top w:val="single" w:sz="18" w:space="0" w:color="auto"/>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w:t>
            </w:r>
          </w:p>
        </w:tc>
      </w:tr>
      <w:tr w:rsidR="0059775B" w:rsidRPr="00CE71E9" w:rsidTr="00E11D2C">
        <w:trPr>
          <w:trHeight w:val="285"/>
        </w:trPr>
        <w:tc>
          <w:tcPr>
            <w:tcW w:w="3827"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sz w:val="24"/>
                <w:szCs w:val="20"/>
                <w:lang w:eastAsia="ru-RU"/>
              </w:rPr>
            </w:pPr>
            <w:proofErr w:type="spellStart"/>
            <w:r w:rsidRPr="00CE71E9">
              <w:rPr>
                <w:rFonts w:ascii="Times New Roman" w:eastAsia="Times New Roman" w:hAnsi="Times New Roman" w:cs="Times New Roman"/>
                <w:sz w:val="24"/>
                <w:szCs w:val="20"/>
                <w:lang w:eastAsia="ru-RU"/>
              </w:rPr>
              <w:t>Risk-free</w:t>
            </w:r>
            <w:proofErr w:type="spellEnd"/>
            <w:r w:rsidRPr="00CE71E9">
              <w:rPr>
                <w:rFonts w:ascii="Times New Roman" w:eastAsia="Times New Roman" w:hAnsi="Times New Roman" w:cs="Times New Roman"/>
                <w:sz w:val="24"/>
                <w:szCs w:val="20"/>
                <w:lang w:eastAsia="ru-RU"/>
              </w:rPr>
              <w:t xml:space="preserve"> </w:t>
            </w:r>
            <w:proofErr w:type="spellStart"/>
            <w:r w:rsidRPr="00CE71E9">
              <w:rPr>
                <w:rFonts w:ascii="Times New Roman" w:eastAsia="Times New Roman" w:hAnsi="Times New Roman" w:cs="Times New Roman"/>
                <w:sz w:val="24"/>
                <w:szCs w:val="20"/>
                <w:lang w:eastAsia="ru-RU"/>
              </w:rPr>
              <w:t>Rate</w:t>
            </w:r>
            <w:proofErr w:type="spellEnd"/>
            <w:r>
              <w:rPr>
                <w:rStyle w:val="a7"/>
                <w:rFonts w:ascii="Times New Roman" w:eastAsia="Times New Roman" w:hAnsi="Times New Roman" w:cs="Times New Roman"/>
                <w:sz w:val="24"/>
                <w:lang w:eastAsia="ru-RU"/>
              </w:rPr>
              <w:footnoteReference w:id="38"/>
            </w:r>
          </w:p>
        </w:tc>
        <w:tc>
          <w:tcPr>
            <w:tcW w:w="3260"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2,8%</w:t>
            </w:r>
          </w:p>
        </w:tc>
      </w:tr>
      <w:tr w:rsidR="0059775B" w:rsidRPr="00CE71E9" w:rsidTr="00E11D2C">
        <w:trPr>
          <w:trHeight w:val="285"/>
        </w:trPr>
        <w:tc>
          <w:tcPr>
            <w:tcW w:w="3827"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sz w:val="24"/>
                <w:szCs w:val="20"/>
                <w:lang w:eastAsia="ru-RU"/>
              </w:rPr>
            </w:pPr>
            <w:proofErr w:type="spellStart"/>
            <w:r w:rsidRPr="00CE71E9">
              <w:rPr>
                <w:rFonts w:ascii="Times New Roman" w:eastAsia="Times New Roman" w:hAnsi="Times New Roman" w:cs="Times New Roman"/>
                <w:sz w:val="24"/>
                <w:szCs w:val="20"/>
                <w:lang w:eastAsia="ru-RU"/>
              </w:rPr>
              <w:t>Market</w:t>
            </w:r>
            <w:proofErr w:type="spellEnd"/>
            <w:r w:rsidRPr="00CE71E9">
              <w:rPr>
                <w:rFonts w:ascii="Times New Roman" w:eastAsia="Times New Roman" w:hAnsi="Times New Roman" w:cs="Times New Roman"/>
                <w:sz w:val="24"/>
                <w:szCs w:val="20"/>
                <w:lang w:eastAsia="ru-RU"/>
              </w:rPr>
              <w:t xml:space="preserve"> </w:t>
            </w:r>
            <w:proofErr w:type="spellStart"/>
            <w:r w:rsidRPr="00CE71E9">
              <w:rPr>
                <w:rFonts w:ascii="Times New Roman" w:eastAsia="Times New Roman" w:hAnsi="Times New Roman" w:cs="Times New Roman"/>
                <w:sz w:val="24"/>
                <w:szCs w:val="20"/>
                <w:lang w:eastAsia="ru-RU"/>
              </w:rPr>
              <w:t>Risk</w:t>
            </w:r>
            <w:proofErr w:type="spellEnd"/>
            <w:r w:rsidRPr="00CE71E9">
              <w:rPr>
                <w:rFonts w:ascii="Times New Roman" w:eastAsia="Times New Roman" w:hAnsi="Times New Roman" w:cs="Times New Roman"/>
                <w:sz w:val="24"/>
                <w:szCs w:val="20"/>
                <w:lang w:eastAsia="ru-RU"/>
              </w:rPr>
              <w:t xml:space="preserve"> </w:t>
            </w:r>
            <w:proofErr w:type="spellStart"/>
            <w:r w:rsidRPr="00CE71E9">
              <w:rPr>
                <w:rFonts w:ascii="Times New Roman" w:eastAsia="Times New Roman" w:hAnsi="Times New Roman" w:cs="Times New Roman"/>
                <w:sz w:val="24"/>
                <w:szCs w:val="20"/>
                <w:lang w:eastAsia="ru-RU"/>
              </w:rPr>
              <w:t>Premium</w:t>
            </w:r>
            <w:proofErr w:type="spellEnd"/>
            <w:r>
              <w:rPr>
                <w:rStyle w:val="a7"/>
                <w:rFonts w:ascii="Times New Roman" w:eastAsia="Times New Roman" w:hAnsi="Times New Roman" w:cs="Times New Roman"/>
                <w:sz w:val="24"/>
                <w:lang w:eastAsia="ru-RU"/>
              </w:rPr>
              <w:footnoteReference w:id="39"/>
            </w:r>
          </w:p>
        </w:tc>
        <w:tc>
          <w:tcPr>
            <w:tcW w:w="3260"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9,9%</w:t>
            </w:r>
          </w:p>
        </w:tc>
      </w:tr>
      <w:tr w:rsidR="0059775B" w:rsidRPr="00CE71E9" w:rsidTr="00E11D2C">
        <w:trPr>
          <w:trHeight w:val="255"/>
        </w:trPr>
        <w:tc>
          <w:tcPr>
            <w:tcW w:w="3827" w:type="dxa"/>
            <w:tcBorders>
              <w:top w:val="nil"/>
              <w:left w:val="nil"/>
              <w:bottom w:val="nil"/>
              <w:right w:val="nil"/>
            </w:tcBorders>
            <w:shd w:val="clear" w:color="000000" w:fill="FFFFFF"/>
            <w:noWrap/>
            <w:vAlign w:val="center"/>
            <w:hideMark/>
          </w:tcPr>
          <w:p w:rsidR="0059775B" w:rsidRPr="00CE71E9" w:rsidRDefault="0059775B" w:rsidP="00E11D2C">
            <w:pPr>
              <w:spacing w:after="0" w:line="240" w:lineRule="auto"/>
              <w:rPr>
                <w:rFonts w:ascii="Times New Roman" w:eastAsia="Times New Roman" w:hAnsi="Times New Roman" w:cs="Times New Roman"/>
                <w:sz w:val="24"/>
                <w:szCs w:val="20"/>
                <w:lang w:eastAsia="ru-RU"/>
              </w:rPr>
            </w:pPr>
            <w:proofErr w:type="spellStart"/>
            <w:r w:rsidRPr="00CE71E9">
              <w:rPr>
                <w:rFonts w:ascii="Times New Roman" w:eastAsia="Times New Roman" w:hAnsi="Times New Roman" w:cs="Times New Roman"/>
                <w:sz w:val="24"/>
                <w:szCs w:val="20"/>
                <w:lang w:eastAsia="ru-RU"/>
              </w:rPr>
              <w:t>Levered</w:t>
            </w:r>
            <w:proofErr w:type="spellEnd"/>
            <w:r w:rsidRPr="00CE71E9">
              <w:rPr>
                <w:rFonts w:ascii="Times New Roman" w:eastAsia="Times New Roman" w:hAnsi="Times New Roman" w:cs="Times New Roman"/>
                <w:sz w:val="24"/>
                <w:szCs w:val="20"/>
                <w:lang w:eastAsia="ru-RU"/>
              </w:rPr>
              <w:t xml:space="preserve"> </w:t>
            </w:r>
            <w:proofErr w:type="spellStart"/>
            <w:r w:rsidRPr="00CE71E9">
              <w:rPr>
                <w:rFonts w:ascii="Times New Roman" w:eastAsia="Times New Roman" w:hAnsi="Times New Roman" w:cs="Times New Roman"/>
                <w:sz w:val="24"/>
                <w:szCs w:val="20"/>
                <w:lang w:eastAsia="ru-RU"/>
              </w:rPr>
              <w:t>Beta</w:t>
            </w:r>
            <w:proofErr w:type="spellEnd"/>
          </w:p>
        </w:tc>
        <w:tc>
          <w:tcPr>
            <w:tcW w:w="3260"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0,81 </w:t>
            </w:r>
          </w:p>
        </w:tc>
      </w:tr>
      <w:tr w:rsidR="0059775B" w:rsidRPr="00CE71E9" w:rsidTr="00E11D2C">
        <w:trPr>
          <w:trHeight w:val="270"/>
        </w:trPr>
        <w:tc>
          <w:tcPr>
            <w:tcW w:w="3827" w:type="dxa"/>
            <w:tcBorders>
              <w:top w:val="nil"/>
              <w:left w:val="nil"/>
              <w:bottom w:val="nil"/>
              <w:right w:val="nil"/>
            </w:tcBorders>
            <w:shd w:val="clear" w:color="000000" w:fill="FFFFFF"/>
            <w:noWrap/>
            <w:vAlign w:val="center"/>
            <w:hideMark/>
          </w:tcPr>
          <w:p w:rsidR="0059775B" w:rsidRPr="00CE71E9" w:rsidRDefault="0059775B" w:rsidP="00E11D2C">
            <w:pPr>
              <w:spacing w:after="0" w:line="240" w:lineRule="auto"/>
              <w:rPr>
                <w:rFonts w:ascii="Times New Roman" w:eastAsia="Times New Roman" w:hAnsi="Times New Roman" w:cs="Times New Roman"/>
                <w:sz w:val="24"/>
                <w:szCs w:val="20"/>
                <w:lang w:eastAsia="ru-RU"/>
              </w:rPr>
            </w:pPr>
            <w:proofErr w:type="spellStart"/>
            <w:r w:rsidRPr="00CE71E9">
              <w:rPr>
                <w:rFonts w:ascii="Times New Roman" w:eastAsia="Times New Roman" w:hAnsi="Times New Roman" w:cs="Times New Roman"/>
                <w:sz w:val="24"/>
                <w:szCs w:val="20"/>
                <w:lang w:eastAsia="ru-RU"/>
              </w:rPr>
              <w:t>Size</w:t>
            </w:r>
            <w:proofErr w:type="spellEnd"/>
            <w:r w:rsidRPr="00CE71E9">
              <w:rPr>
                <w:rFonts w:ascii="Times New Roman" w:eastAsia="Times New Roman" w:hAnsi="Times New Roman" w:cs="Times New Roman"/>
                <w:sz w:val="24"/>
                <w:szCs w:val="20"/>
                <w:lang w:eastAsia="ru-RU"/>
              </w:rPr>
              <w:t xml:space="preserve"> </w:t>
            </w:r>
            <w:proofErr w:type="spellStart"/>
            <w:r w:rsidRPr="00CE71E9">
              <w:rPr>
                <w:rFonts w:ascii="Times New Roman" w:eastAsia="Times New Roman" w:hAnsi="Times New Roman" w:cs="Times New Roman"/>
                <w:sz w:val="24"/>
                <w:szCs w:val="20"/>
                <w:lang w:eastAsia="ru-RU"/>
              </w:rPr>
              <w:t>premium</w:t>
            </w:r>
            <w:proofErr w:type="spellEnd"/>
          </w:p>
        </w:tc>
        <w:tc>
          <w:tcPr>
            <w:tcW w:w="3260"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 % </w:t>
            </w:r>
          </w:p>
        </w:tc>
      </w:tr>
      <w:tr w:rsidR="0059775B" w:rsidRPr="00CE71E9" w:rsidTr="00E11D2C">
        <w:trPr>
          <w:trHeight w:val="285"/>
        </w:trPr>
        <w:tc>
          <w:tcPr>
            <w:tcW w:w="3827" w:type="dxa"/>
            <w:tcBorders>
              <w:top w:val="single" w:sz="12" w:space="0" w:color="auto"/>
              <w:left w:val="nil"/>
              <w:bottom w:val="single" w:sz="12" w:space="0" w:color="auto"/>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b/>
                <w:bCs/>
                <w:color w:val="000000"/>
                <w:sz w:val="24"/>
                <w:szCs w:val="20"/>
                <w:lang w:eastAsia="ru-RU"/>
              </w:rPr>
            </w:pPr>
            <w:r w:rsidRPr="00CE71E9">
              <w:rPr>
                <w:rFonts w:ascii="Times New Roman" w:eastAsia="Times New Roman" w:hAnsi="Times New Roman" w:cs="Times New Roman"/>
                <w:b/>
                <w:bCs/>
                <w:color w:val="000000"/>
                <w:sz w:val="24"/>
                <w:szCs w:val="20"/>
                <w:lang w:eastAsia="ru-RU"/>
              </w:rPr>
              <w:t xml:space="preserve">   </w:t>
            </w:r>
            <w:proofErr w:type="spellStart"/>
            <w:r w:rsidRPr="00CE71E9">
              <w:rPr>
                <w:rFonts w:ascii="Times New Roman" w:eastAsia="Times New Roman" w:hAnsi="Times New Roman" w:cs="Times New Roman"/>
                <w:b/>
                <w:bCs/>
                <w:color w:val="000000"/>
                <w:sz w:val="24"/>
                <w:szCs w:val="20"/>
                <w:lang w:eastAsia="ru-RU"/>
              </w:rPr>
              <w:t>Cost</w:t>
            </w:r>
            <w:proofErr w:type="spellEnd"/>
            <w:r w:rsidRPr="00CE71E9">
              <w:rPr>
                <w:rFonts w:ascii="Times New Roman" w:eastAsia="Times New Roman" w:hAnsi="Times New Roman" w:cs="Times New Roman"/>
                <w:b/>
                <w:bCs/>
                <w:color w:val="000000"/>
                <w:sz w:val="24"/>
                <w:szCs w:val="20"/>
                <w:lang w:eastAsia="ru-RU"/>
              </w:rPr>
              <w:t xml:space="preserve"> </w:t>
            </w:r>
            <w:proofErr w:type="spellStart"/>
            <w:r w:rsidRPr="00CE71E9">
              <w:rPr>
                <w:rFonts w:ascii="Times New Roman" w:eastAsia="Times New Roman" w:hAnsi="Times New Roman" w:cs="Times New Roman"/>
                <w:b/>
                <w:bCs/>
                <w:color w:val="000000"/>
                <w:sz w:val="24"/>
                <w:szCs w:val="20"/>
                <w:lang w:eastAsia="ru-RU"/>
              </w:rPr>
              <w:t>of</w:t>
            </w:r>
            <w:proofErr w:type="spellEnd"/>
            <w:r w:rsidRPr="00CE71E9">
              <w:rPr>
                <w:rFonts w:ascii="Times New Roman" w:eastAsia="Times New Roman" w:hAnsi="Times New Roman" w:cs="Times New Roman"/>
                <w:b/>
                <w:bCs/>
                <w:color w:val="000000"/>
                <w:sz w:val="24"/>
                <w:szCs w:val="20"/>
                <w:lang w:eastAsia="ru-RU"/>
              </w:rPr>
              <w:t xml:space="preserve"> </w:t>
            </w:r>
            <w:proofErr w:type="spellStart"/>
            <w:r w:rsidRPr="00CE71E9">
              <w:rPr>
                <w:rFonts w:ascii="Times New Roman" w:eastAsia="Times New Roman" w:hAnsi="Times New Roman" w:cs="Times New Roman"/>
                <w:b/>
                <w:bCs/>
                <w:color w:val="000000"/>
                <w:sz w:val="24"/>
                <w:szCs w:val="20"/>
                <w:lang w:eastAsia="ru-RU"/>
              </w:rPr>
              <w:t>Equity</w:t>
            </w:r>
            <w:proofErr w:type="spellEnd"/>
          </w:p>
        </w:tc>
        <w:tc>
          <w:tcPr>
            <w:tcW w:w="3260" w:type="dxa"/>
            <w:tcBorders>
              <w:top w:val="single" w:sz="12" w:space="0" w:color="auto"/>
              <w:left w:val="nil"/>
              <w:bottom w:val="single" w:sz="18" w:space="0" w:color="auto"/>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sidRPr="00CE71E9">
              <w:rPr>
                <w:rFonts w:ascii="Times New Roman" w:eastAsia="Times New Roman" w:hAnsi="Times New Roman" w:cs="Times New Roman"/>
                <w:b/>
                <w:bCs/>
                <w:color w:val="000000"/>
                <w:sz w:val="24"/>
                <w:szCs w:val="20"/>
                <w:lang w:eastAsia="ru-RU"/>
              </w:rPr>
              <w:t xml:space="preserve">               10,8%</w:t>
            </w:r>
          </w:p>
        </w:tc>
      </w:tr>
      <w:tr w:rsidR="0059775B" w:rsidRPr="00CE71E9" w:rsidTr="00E11D2C">
        <w:trPr>
          <w:trHeight w:val="285"/>
        </w:trPr>
        <w:tc>
          <w:tcPr>
            <w:tcW w:w="3827" w:type="dxa"/>
            <w:tcBorders>
              <w:top w:val="single" w:sz="18" w:space="0" w:color="auto"/>
              <w:left w:val="nil"/>
              <w:bottom w:val="single" w:sz="18" w:space="0" w:color="auto"/>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b/>
                <w:bCs/>
                <w:color w:val="000000"/>
                <w:sz w:val="24"/>
                <w:szCs w:val="20"/>
                <w:lang w:eastAsia="ru-RU"/>
              </w:rPr>
            </w:pPr>
            <w:r w:rsidRPr="00CE71E9">
              <w:rPr>
                <w:rFonts w:ascii="Times New Roman" w:eastAsia="Times New Roman" w:hAnsi="Times New Roman" w:cs="Times New Roman"/>
                <w:b/>
                <w:bCs/>
                <w:color w:val="000000"/>
                <w:sz w:val="24"/>
                <w:szCs w:val="20"/>
                <w:lang w:eastAsia="ru-RU"/>
              </w:rPr>
              <w:t xml:space="preserve">   WACC</w:t>
            </w:r>
          </w:p>
        </w:tc>
        <w:tc>
          <w:tcPr>
            <w:tcW w:w="3260" w:type="dxa"/>
            <w:tcBorders>
              <w:top w:val="single" w:sz="18" w:space="0" w:color="auto"/>
              <w:left w:val="nil"/>
              <w:bottom w:val="single" w:sz="18" w:space="0" w:color="auto"/>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b/>
                <w:bCs/>
                <w:sz w:val="24"/>
                <w:szCs w:val="20"/>
                <w:lang w:eastAsia="ru-RU"/>
              </w:rPr>
            </w:pPr>
            <w:r w:rsidRPr="00CE71E9">
              <w:rPr>
                <w:rFonts w:ascii="Times New Roman" w:eastAsia="Times New Roman" w:hAnsi="Times New Roman" w:cs="Times New Roman"/>
                <w:b/>
                <w:bCs/>
                <w:sz w:val="24"/>
                <w:szCs w:val="20"/>
                <w:lang w:eastAsia="ru-RU"/>
              </w:rPr>
              <w:t xml:space="preserve">                 8,0%</w:t>
            </w:r>
          </w:p>
        </w:tc>
      </w:tr>
    </w:tbl>
    <w:p w:rsidR="0059775B" w:rsidRPr="00201694" w:rsidRDefault="0059775B" w:rsidP="0059775B">
      <w:pPr>
        <w:spacing w:before="240" w:line="360" w:lineRule="auto"/>
        <w:jc w:val="both"/>
        <w:rPr>
          <w:rFonts w:ascii="Times New Roman" w:hAnsi="Times New Roman" w:cs="Times New Roman"/>
          <w:sz w:val="24"/>
          <w:szCs w:val="24"/>
        </w:rPr>
      </w:pPr>
      <w:r w:rsidRPr="00201694">
        <w:rPr>
          <w:rFonts w:ascii="Times New Roman" w:hAnsi="Times New Roman" w:cs="Times New Roman"/>
          <w:sz w:val="24"/>
          <w:szCs w:val="24"/>
        </w:rPr>
        <w:t xml:space="preserve">Рассчитано по: Консолидированные финансовые отчетности </w:t>
      </w:r>
      <w:r>
        <w:rPr>
          <w:rFonts w:ascii="Times New Roman" w:hAnsi="Times New Roman" w:cs="Times New Roman"/>
          <w:sz w:val="24"/>
          <w:szCs w:val="24"/>
        </w:rPr>
        <w:t>компаний «Роснефть» и ТНК-ВР</w:t>
      </w:r>
    </w:p>
    <w:p w:rsidR="0059775B" w:rsidRDefault="007C1744" w:rsidP="0059775B">
      <w:pPr>
        <w:spacing w:line="360" w:lineRule="auto"/>
        <w:jc w:val="both"/>
        <w:rPr>
          <w:rFonts w:ascii="Times New Roman" w:hAnsi="Times New Roman" w:cs="Times New Roman"/>
          <w:sz w:val="24"/>
          <w:szCs w:val="24"/>
        </w:rPr>
      </w:pPr>
      <w:r>
        <w:rPr>
          <w:rFonts w:ascii="Times New Roman" w:hAnsi="Times New Roman" w:cs="Times New Roman"/>
          <w:sz w:val="24"/>
          <w:szCs w:val="24"/>
        </w:rPr>
        <w:t>Таблица 7</w:t>
      </w:r>
      <w:r w:rsidR="0059775B">
        <w:rPr>
          <w:rFonts w:ascii="Times New Roman" w:hAnsi="Times New Roman" w:cs="Times New Roman"/>
          <w:sz w:val="24"/>
          <w:szCs w:val="24"/>
        </w:rPr>
        <w:t xml:space="preserve"> </w:t>
      </w:r>
      <w:r w:rsidR="0059775B" w:rsidRPr="00485347">
        <w:rPr>
          <w:rFonts w:ascii="Times New Roman" w:hAnsi="Times New Roman" w:cs="Times New Roman"/>
          <w:sz w:val="24"/>
          <w:szCs w:val="24"/>
        </w:rPr>
        <w:t>Расчет средневзвешенной ставки дисконтирования для компании «Роснефть»  до поглощения</w:t>
      </w:r>
    </w:p>
    <w:tbl>
      <w:tblPr>
        <w:tblW w:w="7087" w:type="dxa"/>
        <w:tblInd w:w="1526" w:type="dxa"/>
        <w:tblLook w:val="04A0" w:firstRow="1" w:lastRow="0" w:firstColumn="1" w:lastColumn="0" w:noHBand="0" w:noVBand="1"/>
      </w:tblPr>
      <w:tblGrid>
        <w:gridCol w:w="4038"/>
        <w:gridCol w:w="3049"/>
      </w:tblGrid>
      <w:tr w:rsidR="0059775B" w:rsidRPr="00CE71E9" w:rsidTr="00E11D2C">
        <w:trPr>
          <w:trHeight w:val="300"/>
        </w:trPr>
        <w:tc>
          <w:tcPr>
            <w:tcW w:w="7087" w:type="dxa"/>
            <w:gridSpan w:val="2"/>
            <w:tcBorders>
              <w:top w:val="single" w:sz="18" w:space="0" w:color="auto"/>
              <w:left w:val="nil"/>
              <w:bottom w:val="nil"/>
              <w:right w:val="nil"/>
            </w:tcBorders>
            <w:shd w:val="clear" w:color="000000" w:fill="FFFFFF"/>
            <w:noWrap/>
            <w:vAlign w:val="bottom"/>
            <w:hideMark/>
          </w:tcPr>
          <w:p w:rsidR="0059775B" w:rsidRPr="00CE71E9" w:rsidRDefault="0059775B" w:rsidP="00E11D2C">
            <w:pPr>
              <w:spacing w:after="0" w:line="240" w:lineRule="auto"/>
              <w:jc w:val="center"/>
              <w:rPr>
                <w:rFonts w:ascii="Times New Roman" w:eastAsia="Times New Roman" w:hAnsi="Times New Roman" w:cs="Times New Roman"/>
                <w:b/>
                <w:bCs/>
                <w:color w:val="000000"/>
                <w:sz w:val="24"/>
                <w:szCs w:val="20"/>
                <w:u w:val="single"/>
                <w:lang w:eastAsia="ru-RU"/>
              </w:rPr>
            </w:pPr>
            <w:r w:rsidRPr="00CE71E9">
              <w:rPr>
                <w:rFonts w:ascii="Times New Roman" w:eastAsia="Times New Roman" w:hAnsi="Times New Roman" w:cs="Times New Roman"/>
                <w:b/>
                <w:bCs/>
                <w:color w:val="000000"/>
                <w:sz w:val="24"/>
                <w:szCs w:val="20"/>
                <w:u w:val="single"/>
                <w:lang w:eastAsia="ru-RU"/>
              </w:rPr>
              <w:t xml:space="preserve">WACC </w:t>
            </w:r>
            <w:proofErr w:type="spellStart"/>
            <w:r w:rsidRPr="00CE71E9">
              <w:rPr>
                <w:rFonts w:ascii="Times New Roman" w:eastAsia="Times New Roman" w:hAnsi="Times New Roman" w:cs="Times New Roman"/>
                <w:b/>
                <w:bCs/>
                <w:color w:val="000000"/>
                <w:sz w:val="24"/>
                <w:szCs w:val="20"/>
                <w:u w:val="single"/>
                <w:lang w:eastAsia="ru-RU"/>
              </w:rPr>
              <w:t>Calculation</w:t>
            </w:r>
            <w:proofErr w:type="spellEnd"/>
          </w:p>
        </w:tc>
      </w:tr>
      <w:tr w:rsidR="0059775B" w:rsidRPr="00CE71E9" w:rsidTr="00E11D2C">
        <w:trPr>
          <w:trHeight w:val="315"/>
        </w:trPr>
        <w:tc>
          <w:tcPr>
            <w:tcW w:w="4038" w:type="dxa"/>
            <w:tcBorders>
              <w:top w:val="single" w:sz="18" w:space="0" w:color="auto"/>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b/>
                <w:bCs/>
                <w:i/>
                <w:iCs/>
                <w:color w:val="000000"/>
                <w:sz w:val="24"/>
                <w:szCs w:val="20"/>
                <w:lang w:eastAsia="ru-RU"/>
              </w:rPr>
            </w:pPr>
            <w:proofErr w:type="spellStart"/>
            <w:r w:rsidRPr="00CE71E9">
              <w:rPr>
                <w:rFonts w:ascii="Times New Roman" w:eastAsia="Times New Roman" w:hAnsi="Times New Roman" w:cs="Times New Roman"/>
                <w:b/>
                <w:bCs/>
                <w:i/>
                <w:iCs/>
                <w:color w:val="000000"/>
                <w:sz w:val="24"/>
                <w:szCs w:val="20"/>
                <w:lang w:eastAsia="ru-RU"/>
              </w:rPr>
              <w:t>Capital</w:t>
            </w:r>
            <w:proofErr w:type="spellEnd"/>
            <w:r w:rsidRPr="00CE71E9">
              <w:rPr>
                <w:rFonts w:ascii="Times New Roman" w:eastAsia="Times New Roman" w:hAnsi="Times New Roman" w:cs="Times New Roman"/>
                <w:b/>
                <w:bCs/>
                <w:i/>
                <w:iCs/>
                <w:color w:val="000000"/>
                <w:sz w:val="24"/>
                <w:szCs w:val="20"/>
                <w:lang w:eastAsia="ru-RU"/>
              </w:rPr>
              <w:t xml:space="preserve"> </w:t>
            </w:r>
            <w:proofErr w:type="spellStart"/>
            <w:r w:rsidRPr="00CE71E9">
              <w:rPr>
                <w:rFonts w:ascii="Times New Roman" w:eastAsia="Times New Roman" w:hAnsi="Times New Roman" w:cs="Times New Roman"/>
                <w:b/>
                <w:bCs/>
                <w:i/>
                <w:iCs/>
                <w:color w:val="000000"/>
                <w:sz w:val="24"/>
                <w:szCs w:val="20"/>
                <w:lang w:eastAsia="ru-RU"/>
              </w:rPr>
              <w:t>Structure</w:t>
            </w:r>
            <w:proofErr w:type="spellEnd"/>
          </w:p>
        </w:tc>
        <w:tc>
          <w:tcPr>
            <w:tcW w:w="3049" w:type="dxa"/>
            <w:tcBorders>
              <w:top w:val="single" w:sz="18" w:space="0" w:color="auto"/>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color w:val="000000"/>
                <w:sz w:val="24"/>
                <w:szCs w:val="24"/>
                <w:lang w:eastAsia="ru-RU"/>
              </w:rPr>
            </w:pPr>
            <w:r w:rsidRPr="00CE71E9">
              <w:rPr>
                <w:rFonts w:ascii="Times New Roman" w:eastAsia="Times New Roman" w:hAnsi="Times New Roman" w:cs="Times New Roman"/>
                <w:color w:val="000000"/>
                <w:sz w:val="24"/>
                <w:szCs w:val="24"/>
                <w:lang w:eastAsia="ru-RU"/>
              </w:rPr>
              <w:t> </w:t>
            </w:r>
          </w:p>
        </w:tc>
      </w:tr>
      <w:tr w:rsidR="0059775B" w:rsidRPr="00CE71E9" w:rsidTr="00E11D2C">
        <w:trPr>
          <w:trHeight w:val="255"/>
        </w:trPr>
        <w:tc>
          <w:tcPr>
            <w:tcW w:w="4038"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color w:val="000000"/>
                <w:sz w:val="24"/>
                <w:szCs w:val="20"/>
                <w:lang w:eastAsia="ru-RU"/>
              </w:rPr>
            </w:pPr>
            <w:proofErr w:type="spellStart"/>
            <w:r w:rsidRPr="00CE71E9">
              <w:rPr>
                <w:rFonts w:ascii="Times New Roman" w:eastAsia="Times New Roman" w:hAnsi="Times New Roman" w:cs="Times New Roman"/>
                <w:color w:val="000000"/>
                <w:sz w:val="24"/>
                <w:szCs w:val="20"/>
                <w:lang w:eastAsia="ru-RU"/>
              </w:rPr>
              <w:t>Debt-to-Total</w:t>
            </w:r>
            <w:proofErr w:type="spellEnd"/>
            <w:r w:rsidRPr="00CE71E9">
              <w:rPr>
                <w:rFonts w:ascii="Times New Roman" w:eastAsia="Times New Roman" w:hAnsi="Times New Roman" w:cs="Times New Roman"/>
                <w:color w:val="000000"/>
                <w:sz w:val="24"/>
                <w:szCs w:val="20"/>
                <w:lang w:eastAsia="ru-RU"/>
              </w:rPr>
              <w:t xml:space="preserve"> </w:t>
            </w:r>
            <w:proofErr w:type="spellStart"/>
            <w:r w:rsidRPr="00CE71E9">
              <w:rPr>
                <w:rFonts w:ascii="Times New Roman" w:eastAsia="Times New Roman" w:hAnsi="Times New Roman" w:cs="Times New Roman"/>
                <w:color w:val="000000"/>
                <w:sz w:val="24"/>
                <w:szCs w:val="20"/>
                <w:lang w:eastAsia="ru-RU"/>
              </w:rPr>
              <w:t>Capitalization</w:t>
            </w:r>
            <w:proofErr w:type="spellEnd"/>
          </w:p>
        </w:tc>
        <w:tc>
          <w:tcPr>
            <w:tcW w:w="3049"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15,6%</w:t>
            </w:r>
          </w:p>
        </w:tc>
      </w:tr>
      <w:tr w:rsidR="0059775B" w:rsidRPr="00CE71E9" w:rsidTr="00E11D2C">
        <w:trPr>
          <w:trHeight w:val="255"/>
        </w:trPr>
        <w:tc>
          <w:tcPr>
            <w:tcW w:w="4038" w:type="dxa"/>
            <w:tcBorders>
              <w:top w:val="nil"/>
              <w:left w:val="nil"/>
              <w:bottom w:val="single" w:sz="18" w:space="0" w:color="auto"/>
              <w:right w:val="nil"/>
            </w:tcBorders>
            <w:shd w:val="clear" w:color="000000" w:fill="FFFFFF"/>
            <w:noWrap/>
            <w:hideMark/>
          </w:tcPr>
          <w:p w:rsidR="0059775B" w:rsidRPr="00CE71E9" w:rsidRDefault="0059775B" w:rsidP="00E11D2C">
            <w:pPr>
              <w:spacing w:after="0" w:line="240" w:lineRule="auto"/>
              <w:rPr>
                <w:rFonts w:ascii="Times New Roman" w:eastAsia="Times New Roman" w:hAnsi="Times New Roman" w:cs="Times New Roman"/>
                <w:sz w:val="24"/>
                <w:szCs w:val="20"/>
                <w:lang w:eastAsia="ru-RU"/>
              </w:rPr>
            </w:pPr>
            <w:proofErr w:type="spellStart"/>
            <w:r w:rsidRPr="00CE71E9">
              <w:rPr>
                <w:rFonts w:ascii="Times New Roman" w:eastAsia="Times New Roman" w:hAnsi="Times New Roman" w:cs="Times New Roman"/>
                <w:sz w:val="24"/>
                <w:szCs w:val="20"/>
                <w:lang w:eastAsia="ru-RU"/>
              </w:rPr>
              <w:t>Equity-to-Total</w:t>
            </w:r>
            <w:proofErr w:type="spellEnd"/>
            <w:r w:rsidRPr="00CE71E9">
              <w:rPr>
                <w:rFonts w:ascii="Times New Roman" w:eastAsia="Times New Roman" w:hAnsi="Times New Roman" w:cs="Times New Roman"/>
                <w:sz w:val="24"/>
                <w:szCs w:val="20"/>
                <w:lang w:eastAsia="ru-RU"/>
              </w:rPr>
              <w:t xml:space="preserve"> </w:t>
            </w:r>
            <w:proofErr w:type="spellStart"/>
            <w:r w:rsidRPr="00CE71E9">
              <w:rPr>
                <w:rFonts w:ascii="Times New Roman" w:eastAsia="Times New Roman" w:hAnsi="Times New Roman" w:cs="Times New Roman"/>
                <w:sz w:val="24"/>
                <w:szCs w:val="20"/>
                <w:lang w:eastAsia="ru-RU"/>
              </w:rPr>
              <w:t>Capitalization</w:t>
            </w:r>
            <w:proofErr w:type="spellEnd"/>
          </w:p>
        </w:tc>
        <w:tc>
          <w:tcPr>
            <w:tcW w:w="3049" w:type="dxa"/>
            <w:tcBorders>
              <w:top w:val="nil"/>
              <w:left w:val="nil"/>
              <w:bottom w:val="single" w:sz="18" w:space="0" w:color="auto"/>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84,4%</w:t>
            </w:r>
          </w:p>
        </w:tc>
      </w:tr>
      <w:tr w:rsidR="0059775B" w:rsidRPr="00CE71E9" w:rsidTr="00E11D2C">
        <w:trPr>
          <w:trHeight w:val="255"/>
        </w:trPr>
        <w:tc>
          <w:tcPr>
            <w:tcW w:w="4038" w:type="dxa"/>
            <w:tcBorders>
              <w:top w:val="single" w:sz="18" w:space="0" w:color="auto"/>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b/>
                <w:bCs/>
                <w:i/>
                <w:iCs/>
                <w:color w:val="000000"/>
                <w:sz w:val="24"/>
                <w:szCs w:val="20"/>
                <w:lang w:eastAsia="ru-RU"/>
              </w:rPr>
            </w:pPr>
            <w:proofErr w:type="spellStart"/>
            <w:r w:rsidRPr="00CE71E9">
              <w:rPr>
                <w:rFonts w:ascii="Times New Roman" w:eastAsia="Times New Roman" w:hAnsi="Times New Roman" w:cs="Times New Roman"/>
                <w:b/>
                <w:bCs/>
                <w:i/>
                <w:iCs/>
                <w:color w:val="000000"/>
                <w:sz w:val="24"/>
                <w:szCs w:val="20"/>
                <w:lang w:eastAsia="ru-RU"/>
              </w:rPr>
              <w:t>Cost</w:t>
            </w:r>
            <w:proofErr w:type="spellEnd"/>
            <w:r w:rsidRPr="00CE71E9">
              <w:rPr>
                <w:rFonts w:ascii="Times New Roman" w:eastAsia="Times New Roman" w:hAnsi="Times New Roman" w:cs="Times New Roman"/>
                <w:b/>
                <w:bCs/>
                <w:i/>
                <w:iCs/>
                <w:color w:val="000000"/>
                <w:sz w:val="24"/>
                <w:szCs w:val="20"/>
                <w:lang w:eastAsia="ru-RU"/>
              </w:rPr>
              <w:t xml:space="preserve"> </w:t>
            </w:r>
            <w:proofErr w:type="spellStart"/>
            <w:r w:rsidRPr="00CE71E9">
              <w:rPr>
                <w:rFonts w:ascii="Times New Roman" w:eastAsia="Times New Roman" w:hAnsi="Times New Roman" w:cs="Times New Roman"/>
                <w:b/>
                <w:bCs/>
                <w:i/>
                <w:iCs/>
                <w:color w:val="000000"/>
                <w:sz w:val="24"/>
                <w:szCs w:val="20"/>
                <w:lang w:eastAsia="ru-RU"/>
              </w:rPr>
              <w:t>of</w:t>
            </w:r>
            <w:proofErr w:type="spellEnd"/>
            <w:r w:rsidRPr="00CE71E9">
              <w:rPr>
                <w:rFonts w:ascii="Times New Roman" w:eastAsia="Times New Roman" w:hAnsi="Times New Roman" w:cs="Times New Roman"/>
                <w:b/>
                <w:bCs/>
                <w:i/>
                <w:iCs/>
                <w:color w:val="000000"/>
                <w:sz w:val="24"/>
                <w:szCs w:val="20"/>
                <w:lang w:eastAsia="ru-RU"/>
              </w:rPr>
              <w:t xml:space="preserve"> </w:t>
            </w:r>
            <w:proofErr w:type="spellStart"/>
            <w:r w:rsidRPr="00CE71E9">
              <w:rPr>
                <w:rFonts w:ascii="Times New Roman" w:eastAsia="Times New Roman" w:hAnsi="Times New Roman" w:cs="Times New Roman"/>
                <w:b/>
                <w:bCs/>
                <w:i/>
                <w:iCs/>
                <w:color w:val="000000"/>
                <w:sz w:val="24"/>
                <w:szCs w:val="20"/>
                <w:lang w:eastAsia="ru-RU"/>
              </w:rPr>
              <w:t>Debt</w:t>
            </w:r>
            <w:proofErr w:type="spellEnd"/>
          </w:p>
        </w:tc>
        <w:tc>
          <w:tcPr>
            <w:tcW w:w="3049" w:type="dxa"/>
            <w:tcBorders>
              <w:top w:val="single" w:sz="18" w:space="0" w:color="auto"/>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w:t>
            </w:r>
          </w:p>
        </w:tc>
      </w:tr>
      <w:tr w:rsidR="0059775B" w:rsidRPr="00CE71E9" w:rsidTr="00E11D2C">
        <w:trPr>
          <w:trHeight w:val="255"/>
        </w:trPr>
        <w:tc>
          <w:tcPr>
            <w:tcW w:w="4038"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color w:val="000000"/>
                <w:sz w:val="24"/>
                <w:szCs w:val="20"/>
                <w:lang w:eastAsia="ru-RU"/>
              </w:rPr>
            </w:pPr>
            <w:proofErr w:type="spellStart"/>
            <w:r w:rsidRPr="00CE71E9">
              <w:rPr>
                <w:rFonts w:ascii="Times New Roman" w:eastAsia="Times New Roman" w:hAnsi="Times New Roman" w:cs="Times New Roman"/>
                <w:color w:val="000000"/>
                <w:sz w:val="24"/>
                <w:szCs w:val="20"/>
                <w:lang w:eastAsia="ru-RU"/>
              </w:rPr>
              <w:t>Cost</w:t>
            </w:r>
            <w:proofErr w:type="spellEnd"/>
            <w:r w:rsidRPr="00CE71E9">
              <w:rPr>
                <w:rFonts w:ascii="Times New Roman" w:eastAsia="Times New Roman" w:hAnsi="Times New Roman" w:cs="Times New Roman"/>
                <w:color w:val="000000"/>
                <w:sz w:val="24"/>
                <w:szCs w:val="20"/>
                <w:lang w:eastAsia="ru-RU"/>
              </w:rPr>
              <w:t xml:space="preserve"> </w:t>
            </w:r>
            <w:proofErr w:type="spellStart"/>
            <w:r w:rsidRPr="00CE71E9">
              <w:rPr>
                <w:rFonts w:ascii="Times New Roman" w:eastAsia="Times New Roman" w:hAnsi="Times New Roman" w:cs="Times New Roman"/>
                <w:color w:val="000000"/>
                <w:sz w:val="24"/>
                <w:szCs w:val="20"/>
                <w:lang w:eastAsia="ru-RU"/>
              </w:rPr>
              <w:t>of</w:t>
            </w:r>
            <w:proofErr w:type="spellEnd"/>
            <w:r w:rsidRPr="00CE71E9">
              <w:rPr>
                <w:rFonts w:ascii="Times New Roman" w:eastAsia="Times New Roman" w:hAnsi="Times New Roman" w:cs="Times New Roman"/>
                <w:color w:val="000000"/>
                <w:sz w:val="24"/>
                <w:szCs w:val="20"/>
                <w:lang w:eastAsia="ru-RU"/>
              </w:rPr>
              <w:t xml:space="preserve"> </w:t>
            </w:r>
            <w:proofErr w:type="spellStart"/>
            <w:r w:rsidRPr="00CE71E9">
              <w:rPr>
                <w:rFonts w:ascii="Times New Roman" w:eastAsia="Times New Roman" w:hAnsi="Times New Roman" w:cs="Times New Roman"/>
                <w:color w:val="000000"/>
                <w:sz w:val="24"/>
                <w:szCs w:val="20"/>
                <w:lang w:eastAsia="ru-RU"/>
              </w:rPr>
              <w:t>Debt</w:t>
            </w:r>
            <w:proofErr w:type="spellEnd"/>
          </w:p>
        </w:tc>
        <w:tc>
          <w:tcPr>
            <w:tcW w:w="3049"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4,5%</w:t>
            </w:r>
          </w:p>
        </w:tc>
      </w:tr>
      <w:tr w:rsidR="0059775B" w:rsidRPr="00CE71E9" w:rsidTr="00E11D2C">
        <w:trPr>
          <w:trHeight w:val="255"/>
        </w:trPr>
        <w:tc>
          <w:tcPr>
            <w:tcW w:w="4038" w:type="dxa"/>
            <w:tcBorders>
              <w:top w:val="nil"/>
              <w:left w:val="nil"/>
              <w:bottom w:val="single" w:sz="8" w:space="0" w:color="auto"/>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color w:val="000000"/>
                <w:sz w:val="24"/>
                <w:szCs w:val="20"/>
                <w:lang w:eastAsia="ru-RU"/>
              </w:rPr>
            </w:pPr>
            <w:proofErr w:type="spellStart"/>
            <w:r w:rsidRPr="00CE71E9">
              <w:rPr>
                <w:rFonts w:ascii="Times New Roman" w:eastAsia="Times New Roman" w:hAnsi="Times New Roman" w:cs="Times New Roman"/>
                <w:color w:val="000000"/>
                <w:sz w:val="24"/>
                <w:szCs w:val="20"/>
                <w:lang w:eastAsia="ru-RU"/>
              </w:rPr>
              <w:t>Tax</w:t>
            </w:r>
            <w:proofErr w:type="spellEnd"/>
            <w:r w:rsidRPr="00CE71E9">
              <w:rPr>
                <w:rFonts w:ascii="Times New Roman" w:eastAsia="Times New Roman" w:hAnsi="Times New Roman" w:cs="Times New Roman"/>
                <w:color w:val="000000"/>
                <w:sz w:val="24"/>
                <w:szCs w:val="20"/>
                <w:lang w:eastAsia="ru-RU"/>
              </w:rPr>
              <w:t xml:space="preserve"> </w:t>
            </w:r>
            <w:proofErr w:type="spellStart"/>
            <w:r w:rsidRPr="00CE71E9">
              <w:rPr>
                <w:rFonts w:ascii="Times New Roman" w:eastAsia="Times New Roman" w:hAnsi="Times New Roman" w:cs="Times New Roman"/>
                <w:color w:val="000000"/>
                <w:sz w:val="24"/>
                <w:szCs w:val="20"/>
                <w:lang w:eastAsia="ru-RU"/>
              </w:rPr>
              <w:t>Rate</w:t>
            </w:r>
            <w:proofErr w:type="spellEnd"/>
          </w:p>
        </w:tc>
        <w:tc>
          <w:tcPr>
            <w:tcW w:w="3049" w:type="dxa"/>
            <w:tcBorders>
              <w:top w:val="nil"/>
              <w:left w:val="nil"/>
              <w:bottom w:val="single" w:sz="8" w:space="0" w:color="auto"/>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24,6%</w:t>
            </w:r>
          </w:p>
        </w:tc>
      </w:tr>
      <w:tr w:rsidR="0059775B" w:rsidRPr="00CE71E9" w:rsidTr="00E11D2C">
        <w:trPr>
          <w:trHeight w:val="255"/>
        </w:trPr>
        <w:tc>
          <w:tcPr>
            <w:tcW w:w="4038" w:type="dxa"/>
            <w:tcBorders>
              <w:top w:val="single" w:sz="8" w:space="0" w:color="auto"/>
              <w:left w:val="nil"/>
              <w:bottom w:val="single" w:sz="18" w:space="0" w:color="auto"/>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b/>
                <w:bCs/>
                <w:color w:val="000000"/>
                <w:sz w:val="24"/>
                <w:szCs w:val="20"/>
                <w:lang w:val="en-US" w:eastAsia="ru-RU"/>
              </w:rPr>
            </w:pPr>
            <w:r w:rsidRPr="00CE71E9">
              <w:rPr>
                <w:rFonts w:ascii="Times New Roman" w:eastAsia="Times New Roman" w:hAnsi="Times New Roman" w:cs="Times New Roman"/>
                <w:b/>
                <w:bCs/>
                <w:color w:val="000000"/>
                <w:sz w:val="24"/>
                <w:szCs w:val="20"/>
                <w:lang w:val="en-US" w:eastAsia="ru-RU"/>
              </w:rPr>
              <w:t xml:space="preserve">   After-tax Cost of Debt</w:t>
            </w:r>
          </w:p>
        </w:tc>
        <w:tc>
          <w:tcPr>
            <w:tcW w:w="3049" w:type="dxa"/>
            <w:tcBorders>
              <w:top w:val="single" w:sz="8" w:space="0" w:color="auto"/>
              <w:left w:val="nil"/>
              <w:bottom w:val="single" w:sz="18" w:space="0" w:color="auto"/>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sidRPr="00CE71E9">
              <w:rPr>
                <w:rFonts w:ascii="Times New Roman" w:eastAsia="Times New Roman" w:hAnsi="Times New Roman" w:cs="Times New Roman"/>
                <w:b/>
                <w:bCs/>
                <w:color w:val="000000"/>
                <w:sz w:val="24"/>
                <w:szCs w:val="20"/>
                <w:lang w:val="en-US" w:eastAsia="ru-RU"/>
              </w:rPr>
              <w:t xml:space="preserve">                 </w:t>
            </w:r>
            <w:r w:rsidRPr="00CE71E9">
              <w:rPr>
                <w:rFonts w:ascii="Times New Roman" w:eastAsia="Times New Roman" w:hAnsi="Times New Roman" w:cs="Times New Roman"/>
                <w:b/>
                <w:bCs/>
                <w:color w:val="000000"/>
                <w:sz w:val="24"/>
                <w:szCs w:val="20"/>
                <w:lang w:eastAsia="ru-RU"/>
              </w:rPr>
              <w:t>3,4%</w:t>
            </w:r>
          </w:p>
        </w:tc>
      </w:tr>
      <w:tr w:rsidR="0059775B" w:rsidRPr="00CE71E9" w:rsidTr="00E11D2C">
        <w:trPr>
          <w:trHeight w:val="255"/>
        </w:trPr>
        <w:tc>
          <w:tcPr>
            <w:tcW w:w="4038" w:type="dxa"/>
            <w:tcBorders>
              <w:top w:val="single" w:sz="18" w:space="0" w:color="auto"/>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b/>
                <w:bCs/>
                <w:i/>
                <w:iCs/>
                <w:color w:val="000000"/>
                <w:sz w:val="24"/>
                <w:szCs w:val="20"/>
                <w:lang w:eastAsia="ru-RU"/>
              </w:rPr>
            </w:pPr>
            <w:proofErr w:type="spellStart"/>
            <w:r w:rsidRPr="00CE71E9">
              <w:rPr>
                <w:rFonts w:ascii="Times New Roman" w:eastAsia="Times New Roman" w:hAnsi="Times New Roman" w:cs="Times New Roman"/>
                <w:b/>
                <w:bCs/>
                <w:i/>
                <w:iCs/>
                <w:color w:val="000000"/>
                <w:sz w:val="24"/>
                <w:szCs w:val="20"/>
                <w:lang w:eastAsia="ru-RU"/>
              </w:rPr>
              <w:t>Cost</w:t>
            </w:r>
            <w:proofErr w:type="spellEnd"/>
            <w:r w:rsidRPr="00CE71E9">
              <w:rPr>
                <w:rFonts w:ascii="Times New Roman" w:eastAsia="Times New Roman" w:hAnsi="Times New Roman" w:cs="Times New Roman"/>
                <w:b/>
                <w:bCs/>
                <w:i/>
                <w:iCs/>
                <w:color w:val="000000"/>
                <w:sz w:val="24"/>
                <w:szCs w:val="20"/>
                <w:lang w:eastAsia="ru-RU"/>
              </w:rPr>
              <w:t xml:space="preserve"> </w:t>
            </w:r>
            <w:proofErr w:type="spellStart"/>
            <w:r w:rsidRPr="00CE71E9">
              <w:rPr>
                <w:rFonts w:ascii="Times New Roman" w:eastAsia="Times New Roman" w:hAnsi="Times New Roman" w:cs="Times New Roman"/>
                <w:b/>
                <w:bCs/>
                <w:i/>
                <w:iCs/>
                <w:color w:val="000000"/>
                <w:sz w:val="24"/>
                <w:szCs w:val="20"/>
                <w:lang w:eastAsia="ru-RU"/>
              </w:rPr>
              <w:t>of</w:t>
            </w:r>
            <w:proofErr w:type="spellEnd"/>
            <w:r w:rsidRPr="00CE71E9">
              <w:rPr>
                <w:rFonts w:ascii="Times New Roman" w:eastAsia="Times New Roman" w:hAnsi="Times New Roman" w:cs="Times New Roman"/>
                <w:b/>
                <w:bCs/>
                <w:i/>
                <w:iCs/>
                <w:color w:val="000000"/>
                <w:sz w:val="24"/>
                <w:szCs w:val="20"/>
                <w:lang w:eastAsia="ru-RU"/>
              </w:rPr>
              <w:t xml:space="preserve"> </w:t>
            </w:r>
            <w:proofErr w:type="spellStart"/>
            <w:r w:rsidRPr="00CE71E9">
              <w:rPr>
                <w:rFonts w:ascii="Times New Roman" w:eastAsia="Times New Roman" w:hAnsi="Times New Roman" w:cs="Times New Roman"/>
                <w:b/>
                <w:bCs/>
                <w:i/>
                <w:iCs/>
                <w:color w:val="000000"/>
                <w:sz w:val="24"/>
                <w:szCs w:val="20"/>
                <w:lang w:eastAsia="ru-RU"/>
              </w:rPr>
              <w:t>Equity</w:t>
            </w:r>
            <w:proofErr w:type="spellEnd"/>
          </w:p>
        </w:tc>
        <w:tc>
          <w:tcPr>
            <w:tcW w:w="3049" w:type="dxa"/>
            <w:tcBorders>
              <w:top w:val="single" w:sz="18" w:space="0" w:color="auto"/>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w:t>
            </w:r>
          </w:p>
        </w:tc>
      </w:tr>
      <w:tr w:rsidR="0059775B" w:rsidRPr="00CE71E9" w:rsidTr="00E11D2C">
        <w:trPr>
          <w:trHeight w:val="285"/>
        </w:trPr>
        <w:tc>
          <w:tcPr>
            <w:tcW w:w="4038"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sz w:val="24"/>
                <w:szCs w:val="20"/>
                <w:lang w:eastAsia="ru-RU"/>
              </w:rPr>
            </w:pPr>
            <w:proofErr w:type="spellStart"/>
            <w:r w:rsidRPr="00CE71E9">
              <w:rPr>
                <w:rFonts w:ascii="Times New Roman" w:eastAsia="Times New Roman" w:hAnsi="Times New Roman" w:cs="Times New Roman"/>
                <w:sz w:val="24"/>
                <w:szCs w:val="20"/>
                <w:lang w:eastAsia="ru-RU"/>
              </w:rPr>
              <w:t>Risk-free</w:t>
            </w:r>
            <w:proofErr w:type="spellEnd"/>
            <w:r w:rsidRPr="00CE71E9">
              <w:rPr>
                <w:rFonts w:ascii="Times New Roman" w:eastAsia="Times New Roman" w:hAnsi="Times New Roman" w:cs="Times New Roman"/>
                <w:sz w:val="24"/>
                <w:szCs w:val="20"/>
                <w:lang w:eastAsia="ru-RU"/>
              </w:rPr>
              <w:t xml:space="preserve"> </w:t>
            </w:r>
            <w:proofErr w:type="spellStart"/>
            <w:r w:rsidRPr="00CE71E9">
              <w:rPr>
                <w:rFonts w:ascii="Times New Roman" w:eastAsia="Times New Roman" w:hAnsi="Times New Roman" w:cs="Times New Roman"/>
                <w:sz w:val="24"/>
                <w:szCs w:val="20"/>
                <w:lang w:eastAsia="ru-RU"/>
              </w:rPr>
              <w:t>Rate</w:t>
            </w:r>
            <w:proofErr w:type="spellEnd"/>
            <w:r>
              <w:rPr>
                <w:rStyle w:val="a7"/>
                <w:rFonts w:ascii="Times New Roman" w:eastAsia="Times New Roman" w:hAnsi="Times New Roman" w:cs="Times New Roman"/>
                <w:sz w:val="24"/>
                <w:lang w:eastAsia="ru-RU"/>
              </w:rPr>
              <w:footnoteReference w:id="40"/>
            </w:r>
          </w:p>
        </w:tc>
        <w:tc>
          <w:tcPr>
            <w:tcW w:w="3049"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2,8%</w:t>
            </w:r>
          </w:p>
        </w:tc>
      </w:tr>
      <w:tr w:rsidR="0059775B" w:rsidRPr="00CE71E9" w:rsidTr="00E11D2C">
        <w:trPr>
          <w:trHeight w:val="285"/>
        </w:trPr>
        <w:tc>
          <w:tcPr>
            <w:tcW w:w="4038"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sz w:val="24"/>
                <w:szCs w:val="20"/>
                <w:lang w:eastAsia="ru-RU"/>
              </w:rPr>
            </w:pPr>
            <w:proofErr w:type="spellStart"/>
            <w:r w:rsidRPr="00CE71E9">
              <w:rPr>
                <w:rFonts w:ascii="Times New Roman" w:eastAsia="Times New Roman" w:hAnsi="Times New Roman" w:cs="Times New Roman"/>
                <w:sz w:val="24"/>
                <w:szCs w:val="20"/>
                <w:lang w:eastAsia="ru-RU"/>
              </w:rPr>
              <w:t>Market</w:t>
            </w:r>
            <w:proofErr w:type="spellEnd"/>
            <w:r w:rsidRPr="00CE71E9">
              <w:rPr>
                <w:rFonts w:ascii="Times New Roman" w:eastAsia="Times New Roman" w:hAnsi="Times New Roman" w:cs="Times New Roman"/>
                <w:sz w:val="24"/>
                <w:szCs w:val="20"/>
                <w:lang w:eastAsia="ru-RU"/>
              </w:rPr>
              <w:t xml:space="preserve"> </w:t>
            </w:r>
            <w:proofErr w:type="spellStart"/>
            <w:r w:rsidRPr="00CE71E9">
              <w:rPr>
                <w:rFonts w:ascii="Times New Roman" w:eastAsia="Times New Roman" w:hAnsi="Times New Roman" w:cs="Times New Roman"/>
                <w:sz w:val="24"/>
                <w:szCs w:val="20"/>
                <w:lang w:eastAsia="ru-RU"/>
              </w:rPr>
              <w:t>Risk</w:t>
            </w:r>
            <w:proofErr w:type="spellEnd"/>
            <w:r w:rsidRPr="00CE71E9">
              <w:rPr>
                <w:rFonts w:ascii="Times New Roman" w:eastAsia="Times New Roman" w:hAnsi="Times New Roman" w:cs="Times New Roman"/>
                <w:sz w:val="24"/>
                <w:szCs w:val="20"/>
                <w:lang w:eastAsia="ru-RU"/>
              </w:rPr>
              <w:t xml:space="preserve"> </w:t>
            </w:r>
            <w:proofErr w:type="spellStart"/>
            <w:r w:rsidRPr="00CE71E9">
              <w:rPr>
                <w:rFonts w:ascii="Times New Roman" w:eastAsia="Times New Roman" w:hAnsi="Times New Roman" w:cs="Times New Roman"/>
                <w:sz w:val="24"/>
                <w:szCs w:val="20"/>
                <w:lang w:eastAsia="ru-RU"/>
              </w:rPr>
              <w:t>Premium</w:t>
            </w:r>
            <w:proofErr w:type="spellEnd"/>
            <w:r>
              <w:rPr>
                <w:rStyle w:val="a7"/>
                <w:rFonts w:ascii="Times New Roman" w:eastAsia="Times New Roman" w:hAnsi="Times New Roman" w:cs="Times New Roman"/>
                <w:sz w:val="24"/>
                <w:lang w:eastAsia="ru-RU"/>
              </w:rPr>
              <w:footnoteReference w:id="41"/>
            </w:r>
          </w:p>
        </w:tc>
        <w:tc>
          <w:tcPr>
            <w:tcW w:w="3049"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9,9%</w:t>
            </w:r>
          </w:p>
        </w:tc>
      </w:tr>
      <w:tr w:rsidR="0059775B" w:rsidRPr="00CE71E9" w:rsidTr="00E11D2C">
        <w:trPr>
          <w:trHeight w:val="255"/>
        </w:trPr>
        <w:tc>
          <w:tcPr>
            <w:tcW w:w="4038" w:type="dxa"/>
            <w:tcBorders>
              <w:top w:val="nil"/>
              <w:left w:val="nil"/>
              <w:bottom w:val="nil"/>
              <w:right w:val="nil"/>
            </w:tcBorders>
            <w:shd w:val="clear" w:color="000000" w:fill="FFFFFF"/>
            <w:noWrap/>
            <w:vAlign w:val="center"/>
            <w:hideMark/>
          </w:tcPr>
          <w:p w:rsidR="0059775B" w:rsidRPr="00CE71E9" w:rsidRDefault="0059775B" w:rsidP="00E11D2C">
            <w:pPr>
              <w:spacing w:after="0" w:line="240" w:lineRule="auto"/>
              <w:rPr>
                <w:rFonts w:ascii="Times New Roman" w:eastAsia="Times New Roman" w:hAnsi="Times New Roman" w:cs="Times New Roman"/>
                <w:sz w:val="24"/>
                <w:szCs w:val="20"/>
                <w:lang w:eastAsia="ru-RU"/>
              </w:rPr>
            </w:pPr>
            <w:proofErr w:type="spellStart"/>
            <w:r w:rsidRPr="00CE71E9">
              <w:rPr>
                <w:rFonts w:ascii="Times New Roman" w:eastAsia="Times New Roman" w:hAnsi="Times New Roman" w:cs="Times New Roman"/>
                <w:sz w:val="24"/>
                <w:szCs w:val="20"/>
                <w:lang w:eastAsia="ru-RU"/>
              </w:rPr>
              <w:t>Levered</w:t>
            </w:r>
            <w:proofErr w:type="spellEnd"/>
            <w:r w:rsidRPr="00CE71E9">
              <w:rPr>
                <w:rFonts w:ascii="Times New Roman" w:eastAsia="Times New Roman" w:hAnsi="Times New Roman" w:cs="Times New Roman"/>
                <w:sz w:val="24"/>
                <w:szCs w:val="20"/>
                <w:lang w:eastAsia="ru-RU"/>
              </w:rPr>
              <w:t xml:space="preserve"> </w:t>
            </w:r>
            <w:proofErr w:type="spellStart"/>
            <w:r w:rsidRPr="00CE71E9">
              <w:rPr>
                <w:rFonts w:ascii="Times New Roman" w:eastAsia="Times New Roman" w:hAnsi="Times New Roman" w:cs="Times New Roman"/>
                <w:sz w:val="24"/>
                <w:szCs w:val="20"/>
                <w:lang w:eastAsia="ru-RU"/>
              </w:rPr>
              <w:t>Beta</w:t>
            </w:r>
            <w:proofErr w:type="spellEnd"/>
          </w:p>
        </w:tc>
        <w:tc>
          <w:tcPr>
            <w:tcW w:w="3049"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0,81 </w:t>
            </w:r>
          </w:p>
        </w:tc>
      </w:tr>
      <w:tr w:rsidR="0059775B" w:rsidRPr="00CE71E9" w:rsidTr="00E11D2C">
        <w:trPr>
          <w:trHeight w:val="255"/>
        </w:trPr>
        <w:tc>
          <w:tcPr>
            <w:tcW w:w="4038" w:type="dxa"/>
            <w:tcBorders>
              <w:top w:val="nil"/>
              <w:left w:val="nil"/>
              <w:bottom w:val="single" w:sz="8" w:space="0" w:color="auto"/>
              <w:right w:val="nil"/>
            </w:tcBorders>
            <w:shd w:val="clear" w:color="000000" w:fill="FFFFFF"/>
            <w:noWrap/>
            <w:vAlign w:val="center"/>
            <w:hideMark/>
          </w:tcPr>
          <w:p w:rsidR="0059775B" w:rsidRPr="00CE71E9" w:rsidRDefault="0059775B" w:rsidP="00E11D2C">
            <w:pPr>
              <w:spacing w:after="0" w:line="240" w:lineRule="auto"/>
              <w:rPr>
                <w:rFonts w:ascii="Times New Roman" w:eastAsia="Times New Roman" w:hAnsi="Times New Roman" w:cs="Times New Roman"/>
                <w:sz w:val="24"/>
                <w:szCs w:val="20"/>
                <w:lang w:eastAsia="ru-RU"/>
              </w:rPr>
            </w:pPr>
            <w:proofErr w:type="spellStart"/>
            <w:r w:rsidRPr="00CE71E9">
              <w:rPr>
                <w:rFonts w:ascii="Times New Roman" w:eastAsia="Times New Roman" w:hAnsi="Times New Roman" w:cs="Times New Roman"/>
                <w:sz w:val="24"/>
                <w:szCs w:val="20"/>
                <w:lang w:eastAsia="ru-RU"/>
              </w:rPr>
              <w:t>Size</w:t>
            </w:r>
            <w:proofErr w:type="spellEnd"/>
            <w:r w:rsidRPr="00CE71E9">
              <w:rPr>
                <w:rFonts w:ascii="Times New Roman" w:eastAsia="Times New Roman" w:hAnsi="Times New Roman" w:cs="Times New Roman"/>
                <w:sz w:val="24"/>
                <w:szCs w:val="20"/>
                <w:lang w:eastAsia="ru-RU"/>
              </w:rPr>
              <w:t xml:space="preserve"> </w:t>
            </w:r>
            <w:proofErr w:type="spellStart"/>
            <w:r w:rsidRPr="00CE71E9">
              <w:rPr>
                <w:rFonts w:ascii="Times New Roman" w:eastAsia="Times New Roman" w:hAnsi="Times New Roman" w:cs="Times New Roman"/>
                <w:sz w:val="24"/>
                <w:szCs w:val="20"/>
                <w:lang w:eastAsia="ru-RU"/>
              </w:rPr>
              <w:t>premium</w:t>
            </w:r>
            <w:proofErr w:type="spellEnd"/>
          </w:p>
        </w:tc>
        <w:tc>
          <w:tcPr>
            <w:tcW w:w="3049" w:type="dxa"/>
            <w:tcBorders>
              <w:top w:val="nil"/>
              <w:left w:val="nil"/>
              <w:bottom w:val="single" w:sz="8" w:space="0" w:color="auto"/>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 % </w:t>
            </w:r>
          </w:p>
        </w:tc>
      </w:tr>
      <w:tr w:rsidR="0059775B" w:rsidRPr="00CE71E9" w:rsidTr="00E11D2C">
        <w:trPr>
          <w:trHeight w:val="255"/>
        </w:trPr>
        <w:tc>
          <w:tcPr>
            <w:tcW w:w="4038" w:type="dxa"/>
            <w:tcBorders>
              <w:top w:val="single" w:sz="8" w:space="0" w:color="auto"/>
              <w:left w:val="nil"/>
              <w:bottom w:val="single" w:sz="18" w:space="0" w:color="auto"/>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b/>
                <w:bCs/>
                <w:color w:val="000000"/>
                <w:sz w:val="24"/>
                <w:szCs w:val="20"/>
                <w:lang w:eastAsia="ru-RU"/>
              </w:rPr>
            </w:pPr>
            <w:r w:rsidRPr="00CE71E9">
              <w:rPr>
                <w:rFonts w:ascii="Times New Roman" w:eastAsia="Times New Roman" w:hAnsi="Times New Roman" w:cs="Times New Roman"/>
                <w:b/>
                <w:bCs/>
                <w:color w:val="000000"/>
                <w:sz w:val="24"/>
                <w:szCs w:val="20"/>
                <w:lang w:eastAsia="ru-RU"/>
              </w:rPr>
              <w:t xml:space="preserve">   </w:t>
            </w:r>
            <w:proofErr w:type="spellStart"/>
            <w:r w:rsidRPr="00CE71E9">
              <w:rPr>
                <w:rFonts w:ascii="Times New Roman" w:eastAsia="Times New Roman" w:hAnsi="Times New Roman" w:cs="Times New Roman"/>
                <w:b/>
                <w:bCs/>
                <w:color w:val="000000"/>
                <w:sz w:val="24"/>
                <w:szCs w:val="20"/>
                <w:lang w:eastAsia="ru-RU"/>
              </w:rPr>
              <w:t>Cost</w:t>
            </w:r>
            <w:proofErr w:type="spellEnd"/>
            <w:r w:rsidRPr="00CE71E9">
              <w:rPr>
                <w:rFonts w:ascii="Times New Roman" w:eastAsia="Times New Roman" w:hAnsi="Times New Roman" w:cs="Times New Roman"/>
                <w:b/>
                <w:bCs/>
                <w:color w:val="000000"/>
                <w:sz w:val="24"/>
                <w:szCs w:val="20"/>
                <w:lang w:eastAsia="ru-RU"/>
              </w:rPr>
              <w:t xml:space="preserve"> </w:t>
            </w:r>
            <w:proofErr w:type="spellStart"/>
            <w:r w:rsidRPr="00CE71E9">
              <w:rPr>
                <w:rFonts w:ascii="Times New Roman" w:eastAsia="Times New Roman" w:hAnsi="Times New Roman" w:cs="Times New Roman"/>
                <w:b/>
                <w:bCs/>
                <w:color w:val="000000"/>
                <w:sz w:val="24"/>
                <w:szCs w:val="20"/>
                <w:lang w:eastAsia="ru-RU"/>
              </w:rPr>
              <w:t>of</w:t>
            </w:r>
            <w:proofErr w:type="spellEnd"/>
            <w:r w:rsidRPr="00CE71E9">
              <w:rPr>
                <w:rFonts w:ascii="Times New Roman" w:eastAsia="Times New Roman" w:hAnsi="Times New Roman" w:cs="Times New Roman"/>
                <w:b/>
                <w:bCs/>
                <w:color w:val="000000"/>
                <w:sz w:val="24"/>
                <w:szCs w:val="20"/>
                <w:lang w:eastAsia="ru-RU"/>
              </w:rPr>
              <w:t xml:space="preserve"> </w:t>
            </w:r>
            <w:proofErr w:type="spellStart"/>
            <w:r w:rsidRPr="00CE71E9">
              <w:rPr>
                <w:rFonts w:ascii="Times New Roman" w:eastAsia="Times New Roman" w:hAnsi="Times New Roman" w:cs="Times New Roman"/>
                <w:b/>
                <w:bCs/>
                <w:color w:val="000000"/>
                <w:sz w:val="24"/>
                <w:szCs w:val="20"/>
                <w:lang w:eastAsia="ru-RU"/>
              </w:rPr>
              <w:t>Equity</w:t>
            </w:r>
            <w:proofErr w:type="spellEnd"/>
          </w:p>
        </w:tc>
        <w:tc>
          <w:tcPr>
            <w:tcW w:w="3049" w:type="dxa"/>
            <w:tcBorders>
              <w:top w:val="single" w:sz="8" w:space="0" w:color="auto"/>
              <w:left w:val="nil"/>
              <w:bottom w:val="single" w:sz="18" w:space="0" w:color="auto"/>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sidRPr="00CE71E9">
              <w:rPr>
                <w:rFonts w:ascii="Times New Roman" w:eastAsia="Times New Roman" w:hAnsi="Times New Roman" w:cs="Times New Roman"/>
                <w:b/>
                <w:bCs/>
                <w:color w:val="000000"/>
                <w:sz w:val="24"/>
                <w:szCs w:val="20"/>
                <w:lang w:eastAsia="ru-RU"/>
              </w:rPr>
              <w:t xml:space="preserve">               10,8%</w:t>
            </w:r>
          </w:p>
        </w:tc>
      </w:tr>
      <w:tr w:rsidR="0059775B" w:rsidRPr="00CE71E9" w:rsidTr="00E11D2C">
        <w:trPr>
          <w:trHeight w:val="255"/>
        </w:trPr>
        <w:tc>
          <w:tcPr>
            <w:tcW w:w="4038" w:type="dxa"/>
            <w:tcBorders>
              <w:top w:val="single" w:sz="18" w:space="0" w:color="auto"/>
              <w:left w:val="nil"/>
              <w:bottom w:val="single" w:sz="18" w:space="0" w:color="auto"/>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b/>
                <w:bCs/>
                <w:color w:val="000000"/>
                <w:sz w:val="24"/>
                <w:szCs w:val="20"/>
                <w:lang w:eastAsia="ru-RU"/>
              </w:rPr>
            </w:pPr>
            <w:r w:rsidRPr="00CE71E9">
              <w:rPr>
                <w:rFonts w:ascii="Times New Roman" w:eastAsia="Times New Roman" w:hAnsi="Times New Roman" w:cs="Times New Roman"/>
                <w:b/>
                <w:bCs/>
                <w:color w:val="000000"/>
                <w:sz w:val="24"/>
                <w:szCs w:val="20"/>
                <w:lang w:eastAsia="ru-RU"/>
              </w:rPr>
              <w:t xml:space="preserve">   WACC</w:t>
            </w:r>
          </w:p>
        </w:tc>
        <w:tc>
          <w:tcPr>
            <w:tcW w:w="3049" w:type="dxa"/>
            <w:tcBorders>
              <w:top w:val="single" w:sz="18" w:space="0" w:color="auto"/>
              <w:left w:val="nil"/>
              <w:bottom w:val="single" w:sz="18" w:space="0" w:color="auto"/>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sidRPr="00CE71E9">
              <w:rPr>
                <w:rFonts w:ascii="Times New Roman" w:eastAsia="Times New Roman" w:hAnsi="Times New Roman" w:cs="Times New Roman"/>
                <w:b/>
                <w:bCs/>
                <w:color w:val="000000"/>
                <w:sz w:val="24"/>
                <w:szCs w:val="20"/>
                <w:lang w:eastAsia="ru-RU"/>
              </w:rPr>
              <w:t xml:space="preserve">                 9,6%</w:t>
            </w:r>
          </w:p>
        </w:tc>
      </w:tr>
    </w:tbl>
    <w:p w:rsidR="0059775B" w:rsidRPr="001B4B2B" w:rsidRDefault="0059775B" w:rsidP="0059775B">
      <w:pPr>
        <w:spacing w:before="240" w:line="360" w:lineRule="auto"/>
        <w:jc w:val="both"/>
        <w:rPr>
          <w:rFonts w:ascii="Times New Roman" w:hAnsi="Times New Roman" w:cs="Times New Roman"/>
          <w:sz w:val="24"/>
          <w:szCs w:val="24"/>
        </w:rPr>
      </w:pPr>
      <w:r w:rsidRPr="001B4B2B">
        <w:rPr>
          <w:rFonts w:ascii="Times New Roman" w:hAnsi="Times New Roman" w:cs="Times New Roman"/>
          <w:sz w:val="24"/>
          <w:szCs w:val="24"/>
        </w:rPr>
        <w:lastRenderedPageBreak/>
        <w:t>Рассчитано по: Консолидированная финансовая отчетность компании «Роснефть»</w:t>
      </w:r>
    </w:p>
    <w:p w:rsidR="0059775B" w:rsidRPr="00FC6D1D" w:rsidRDefault="008F43FC" w:rsidP="0059775B">
      <w:pPr>
        <w:pStyle w:val="a3"/>
        <w:numPr>
          <w:ilvl w:val="0"/>
          <w:numId w:val="18"/>
        </w:numPr>
        <w:spacing w:line="36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Для расчёта </w:t>
      </w:r>
      <w:proofErr w:type="spellStart"/>
      <w:r w:rsidR="0059775B" w:rsidRPr="00FC6D1D">
        <w:rPr>
          <w:rFonts w:ascii="Times New Roman" w:hAnsi="Times New Roman" w:cs="Times New Roman"/>
          <w:color w:val="000000" w:themeColor="text1"/>
          <w:sz w:val="24"/>
          <w:szCs w:val="24"/>
        </w:rPr>
        <w:t>Terminal</w:t>
      </w:r>
      <w:proofErr w:type="spellEnd"/>
      <w:r w:rsidR="0059775B" w:rsidRPr="00FC6D1D">
        <w:rPr>
          <w:rFonts w:ascii="Times New Roman" w:hAnsi="Times New Roman" w:cs="Times New Roman"/>
          <w:color w:val="000000" w:themeColor="text1"/>
          <w:sz w:val="24"/>
          <w:szCs w:val="24"/>
        </w:rPr>
        <w:t xml:space="preserve"> </w:t>
      </w:r>
      <w:proofErr w:type="spellStart"/>
      <w:r w:rsidR="0059775B" w:rsidRPr="00FC6D1D">
        <w:rPr>
          <w:rFonts w:ascii="Times New Roman" w:hAnsi="Times New Roman" w:cs="Times New Roman"/>
          <w:color w:val="000000" w:themeColor="text1"/>
          <w:sz w:val="24"/>
          <w:szCs w:val="24"/>
        </w:rPr>
        <w:t>Value</w:t>
      </w:r>
      <w:proofErr w:type="spellEnd"/>
      <w:r w:rsidR="0059775B" w:rsidRPr="00FC6D1D">
        <w:rPr>
          <w:rFonts w:ascii="Times New Roman" w:hAnsi="Times New Roman" w:cs="Times New Roman"/>
          <w:color w:val="000000" w:themeColor="text1"/>
          <w:sz w:val="24"/>
          <w:szCs w:val="24"/>
        </w:rPr>
        <w:t xml:space="preserve"> долгосрочный рост компании </w:t>
      </w:r>
      <w:r>
        <w:rPr>
          <w:rFonts w:ascii="Times New Roman" w:hAnsi="Times New Roman" w:cs="Times New Roman"/>
          <w:color w:val="000000" w:themeColor="text1"/>
          <w:sz w:val="24"/>
          <w:szCs w:val="24"/>
        </w:rPr>
        <w:t>был взят равным</w:t>
      </w:r>
      <w:r w:rsidR="0059775B" w:rsidRPr="00FC6D1D">
        <w:rPr>
          <w:rFonts w:ascii="Times New Roman" w:hAnsi="Times New Roman" w:cs="Times New Roman"/>
          <w:color w:val="000000" w:themeColor="text1"/>
          <w:sz w:val="24"/>
          <w:szCs w:val="24"/>
        </w:rPr>
        <w:t xml:space="preserve"> 1,5%,</w:t>
      </w:r>
      <w:proofErr w:type="gramEnd"/>
    </w:p>
    <w:p w:rsidR="0059775B" w:rsidRPr="00290002" w:rsidRDefault="0059775B" w:rsidP="0059775B">
      <w:pPr>
        <w:spacing w:line="360" w:lineRule="auto"/>
        <w:jc w:val="both"/>
        <w:rPr>
          <w:rFonts w:ascii="Times New Roman" w:eastAsiaTheme="minorEastAsia" w:hAnsi="Times New Roman" w:cs="Times New Roman"/>
          <w:color w:val="000000" w:themeColor="text1"/>
          <w:sz w:val="28"/>
          <w:szCs w:val="24"/>
        </w:rPr>
      </w:pPr>
      <m:oMath>
        <m:r>
          <w:rPr>
            <w:rFonts w:ascii="Cambria Math" w:hAnsi="Cambria Math" w:cs="Times New Roman"/>
            <w:color w:val="000000" w:themeColor="text1"/>
            <w:sz w:val="28"/>
            <w:szCs w:val="24"/>
          </w:rPr>
          <m:t xml:space="preserve">Терминальная стоимость= </m:t>
        </m:r>
        <m:f>
          <m:fPr>
            <m:ctrlPr>
              <w:rPr>
                <w:rFonts w:ascii="Cambria Math" w:hAnsi="Cambria Math" w:cs="Times New Roman"/>
                <w:i/>
                <w:color w:val="000000" w:themeColor="text1"/>
                <w:sz w:val="28"/>
                <w:szCs w:val="24"/>
              </w:rPr>
            </m:ctrlPr>
          </m:fPr>
          <m:num>
            <m:r>
              <w:rPr>
                <w:rFonts w:ascii="Cambria Math" w:hAnsi="Cambria Math" w:cs="Times New Roman"/>
                <w:color w:val="000000" w:themeColor="text1"/>
                <w:sz w:val="28"/>
                <w:szCs w:val="24"/>
              </w:rPr>
              <m:t>Терминальный свободный денежный поток*(1+</m:t>
            </m:r>
            <m:r>
              <w:rPr>
                <w:rFonts w:ascii="Cambria Math" w:hAnsi="Cambria Math" w:cs="Times New Roman"/>
                <w:color w:val="000000" w:themeColor="text1"/>
                <w:sz w:val="28"/>
                <w:szCs w:val="24"/>
                <w:lang w:val="en-US"/>
              </w:rPr>
              <m:t>g</m:t>
            </m:r>
            <m:r>
              <w:rPr>
                <w:rFonts w:ascii="Cambria Math" w:hAnsi="Cambria Math" w:cs="Times New Roman"/>
                <w:color w:val="000000" w:themeColor="text1"/>
                <w:sz w:val="28"/>
                <w:szCs w:val="24"/>
              </w:rPr>
              <m:t>)</m:t>
            </m:r>
          </m:num>
          <m:den>
            <m:r>
              <w:rPr>
                <w:rFonts w:ascii="Cambria Math" w:hAnsi="Cambria Math" w:cs="Times New Roman"/>
                <w:color w:val="000000" w:themeColor="text1"/>
                <w:sz w:val="28"/>
                <w:szCs w:val="24"/>
              </w:rPr>
              <m:t>WACC-g</m:t>
            </m:r>
          </m:den>
        </m:f>
      </m:oMath>
      <w:r w:rsidR="00290002" w:rsidRPr="00290002">
        <w:rPr>
          <w:rFonts w:ascii="Times New Roman" w:eastAsiaTheme="minorEastAsia" w:hAnsi="Times New Roman" w:cs="Times New Roman"/>
          <w:color w:val="000000" w:themeColor="text1"/>
          <w:sz w:val="28"/>
          <w:szCs w:val="24"/>
        </w:rPr>
        <w:tab/>
      </w:r>
      <w:r w:rsidR="00290002">
        <w:rPr>
          <w:rFonts w:ascii="Times New Roman" w:eastAsiaTheme="minorEastAsia" w:hAnsi="Times New Roman" w:cs="Times New Roman"/>
          <w:color w:val="000000" w:themeColor="text1"/>
          <w:sz w:val="28"/>
          <w:szCs w:val="24"/>
        </w:rPr>
        <w:tab/>
      </w:r>
      <w:r w:rsidR="00290002" w:rsidRPr="002F4269">
        <w:rPr>
          <w:rFonts w:ascii="Times New Roman" w:eastAsiaTheme="minorEastAsia" w:hAnsi="Times New Roman" w:cs="Times New Roman"/>
          <w:color w:val="000000" w:themeColor="text1"/>
          <w:sz w:val="24"/>
          <w:szCs w:val="24"/>
        </w:rPr>
        <w:t>(9)</w:t>
      </w:r>
    </w:p>
    <w:p w:rsidR="0059775B" w:rsidRDefault="008F43FC" w:rsidP="0059775B">
      <w:pPr>
        <w:pStyle w:val="a3"/>
        <w:numPr>
          <w:ilvl w:val="0"/>
          <w:numId w:val="18"/>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EV</w:t>
      </w:r>
      <w:r w:rsidRPr="008F43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компании</w:t>
      </w:r>
      <w:r w:rsidR="0059775B">
        <w:rPr>
          <w:rFonts w:ascii="Times New Roman" w:hAnsi="Times New Roman" w:cs="Times New Roman"/>
          <w:color w:val="000000" w:themeColor="text1"/>
          <w:sz w:val="24"/>
          <w:szCs w:val="24"/>
        </w:rPr>
        <w:t xml:space="preserve"> бы</w:t>
      </w:r>
      <w:r>
        <w:rPr>
          <w:rFonts w:ascii="Times New Roman" w:hAnsi="Times New Roman" w:cs="Times New Roman"/>
          <w:color w:val="000000" w:themeColor="text1"/>
          <w:sz w:val="24"/>
          <w:szCs w:val="24"/>
        </w:rPr>
        <w:t>ла рассчитана следующим образом</w:t>
      </w:r>
      <w:r w:rsidR="0059775B">
        <w:rPr>
          <w:rFonts w:ascii="Times New Roman" w:hAnsi="Times New Roman" w:cs="Times New Roman"/>
          <w:color w:val="000000" w:themeColor="text1"/>
          <w:sz w:val="24"/>
          <w:szCs w:val="24"/>
        </w:rPr>
        <w:t>:</w:t>
      </w:r>
    </w:p>
    <w:p w:rsidR="0059775B" w:rsidRPr="005B51C9" w:rsidRDefault="0059775B" w:rsidP="00290002">
      <w:pPr>
        <w:spacing w:line="360" w:lineRule="auto"/>
        <w:ind w:firstLine="567"/>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 xml:space="preserve">Enterprise Value=PV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Terminal value</m:t>
            </m:r>
          </m:e>
        </m:d>
        <m:r>
          <w:rPr>
            <w:rFonts w:ascii="Cambria Math" w:hAnsi="Cambria Math" w:cs="Times New Roman"/>
            <w:color w:val="000000" w:themeColor="text1"/>
            <w:sz w:val="24"/>
            <w:szCs w:val="24"/>
          </w:rPr>
          <m:t>+PV (CF over next 6 years)</m:t>
        </m:r>
      </m:oMath>
      <w:r w:rsidR="00290002">
        <w:rPr>
          <w:rFonts w:ascii="Times New Roman" w:eastAsiaTheme="minorEastAsia" w:hAnsi="Times New Roman" w:cs="Times New Roman"/>
          <w:color w:val="000000" w:themeColor="text1"/>
          <w:sz w:val="24"/>
          <w:szCs w:val="24"/>
        </w:rPr>
        <w:tab/>
      </w:r>
      <w:r w:rsidR="00290002">
        <w:rPr>
          <w:rFonts w:ascii="Times New Roman" w:eastAsiaTheme="minorEastAsia" w:hAnsi="Times New Roman" w:cs="Times New Roman"/>
          <w:color w:val="000000" w:themeColor="text1"/>
          <w:sz w:val="24"/>
          <w:szCs w:val="24"/>
        </w:rPr>
        <w:tab/>
        <w:t>(10)</w:t>
      </w:r>
    </w:p>
    <w:p w:rsidR="0059775B" w:rsidRPr="00FF4F21" w:rsidRDefault="0059775B" w:rsidP="0059775B">
      <w:pPr>
        <w:pStyle w:val="a3"/>
        <w:numPr>
          <w:ilvl w:val="0"/>
          <w:numId w:val="18"/>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Показатель рыночной капитализации был рассчитан по формуле:</w:t>
      </w:r>
    </w:p>
    <w:p w:rsidR="0059775B" w:rsidRPr="005B51C9" w:rsidRDefault="0059775B" w:rsidP="00290002">
      <w:pPr>
        <w:spacing w:line="360" w:lineRule="auto"/>
        <w:ind w:firstLine="708"/>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Value of equity=Enterprise Value-Debt+Cash</m:t>
        </m:r>
      </m:oMath>
      <w:r w:rsidR="00290002">
        <w:rPr>
          <w:rFonts w:ascii="Times New Roman" w:eastAsiaTheme="minorEastAsia" w:hAnsi="Times New Roman" w:cs="Times New Roman"/>
          <w:color w:val="000000" w:themeColor="text1"/>
          <w:sz w:val="24"/>
          <w:szCs w:val="24"/>
        </w:rPr>
        <w:tab/>
      </w:r>
      <w:r w:rsidR="00290002">
        <w:rPr>
          <w:rFonts w:ascii="Times New Roman" w:eastAsiaTheme="minorEastAsia" w:hAnsi="Times New Roman" w:cs="Times New Roman"/>
          <w:color w:val="000000" w:themeColor="text1"/>
          <w:sz w:val="24"/>
          <w:szCs w:val="24"/>
        </w:rPr>
        <w:tab/>
      </w:r>
      <w:r w:rsidR="00290002">
        <w:rPr>
          <w:rFonts w:ascii="Times New Roman" w:eastAsiaTheme="minorEastAsia" w:hAnsi="Times New Roman" w:cs="Times New Roman"/>
          <w:color w:val="000000" w:themeColor="text1"/>
          <w:sz w:val="24"/>
          <w:szCs w:val="24"/>
        </w:rPr>
        <w:tab/>
      </w:r>
      <w:r w:rsidR="00290002">
        <w:rPr>
          <w:rFonts w:ascii="Times New Roman" w:eastAsiaTheme="minorEastAsia" w:hAnsi="Times New Roman" w:cs="Times New Roman"/>
          <w:color w:val="000000" w:themeColor="text1"/>
          <w:sz w:val="24"/>
          <w:szCs w:val="24"/>
        </w:rPr>
        <w:tab/>
      </w:r>
      <w:r w:rsidR="00290002">
        <w:rPr>
          <w:rFonts w:ascii="Times New Roman" w:eastAsiaTheme="minorEastAsia" w:hAnsi="Times New Roman" w:cs="Times New Roman"/>
          <w:color w:val="000000" w:themeColor="text1"/>
          <w:sz w:val="24"/>
          <w:szCs w:val="24"/>
        </w:rPr>
        <w:tab/>
        <w:t>(11)</w:t>
      </w:r>
    </w:p>
    <w:p w:rsidR="0059775B" w:rsidRDefault="008F43FC" w:rsidP="0059775B">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Построенные</w:t>
      </w:r>
      <w:r w:rsidR="0059775B" w:rsidRPr="00FF4F21">
        <w:rPr>
          <w:rFonts w:ascii="Times New Roman" w:hAnsi="Times New Roman" w:cs="Times New Roman"/>
          <w:color w:val="000000" w:themeColor="text1"/>
          <w:sz w:val="24"/>
          <w:szCs w:val="24"/>
        </w:rPr>
        <w:t xml:space="preserve"> финансовые мод</w:t>
      </w:r>
      <w:r>
        <w:rPr>
          <w:rFonts w:ascii="Times New Roman" w:hAnsi="Times New Roman" w:cs="Times New Roman"/>
          <w:color w:val="000000" w:themeColor="text1"/>
          <w:sz w:val="24"/>
          <w:szCs w:val="24"/>
        </w:rPr>
        <w:t>ели можно увидеть</w:t>
      </w:r>
      <w:r w:rsidR="0059775B">
        <w:rPr>
          <w:rFonts w:ascii="Times New Roman" w:hAnsi="Times New Roman" w:cs="Times New Roman"/>
          <w:color w:val="000000" w:themeColor="text1"/>
          <w:sz w:val="24"/>
          <w:szCs w:val="24"/>
        </w:rPr>
        <w:t xml:space="preserve"> в приложениях </w:t>
      </w:r>
      <w:r w:rsidRPr="008F43FC">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 xml:space="preserve"> данной работы. В ниже представленных </w:t>
      </w:r>
      <w:r w:rsidR="0059775B">
        <w:rPr>
          <w:rFonts w:ascii="Times New Roman" w:hAnsi="Times New Roman" w:cs="Times New Roman"/>
          <w:color w:val="000000" w:themeColor="text1"/>
          <w:sz w:val="24"/>
          <w:szCs w:val="24"/>
        </w:rPr>
        <w:t>таблицах</w:t>
      </w:r>
      <w:r>
        <w:rPr>
          <w:rFonts w:ascii="Times New Roman" w:hAnsi="Times New Roman" w:cs="Times New Roman"/>
          <w:color w:val="000000" w:themeColor="text1"/>
          <w:sz w:val="24"/>
          <w:szCs w:val="24"/>
        </w:rPr>
        <w:t xml:space="preserve"> приведены результаты вычисления</w:t>
      </w:r>
      <w:r w:rsidR="0059775B" w:rsidRPr="00FF4F21">
        <w:rPr>
          <w:rFonts w:ascii="Times New Roman" w:hAnsi="Times New Roman" w:cs="Times New Roman"/>
          <w:color w:val="000000" w:themeColor="text1"/>
          <w:sz w:val="24"/>
          <w:szCs w:val="24"/>
        </w:rPr>
        <w:t xml:space="preserve"> рыночной капитализации и ожидаемой цены </w:t>
      </w:r>
      <w:r>
        <w:rPr>
          <w:rFonts w:ascii="Times New Roman" w:hAnsi="Times New Roman" w:cs="Times New Roman"/>
          <w:color w:val="000000" w:themeColor="text1"/>
          <w:sz w:val="24"/>
          <w:szCs w:val="24"/>
        </w:rPr>
        <w:t>на акцию</w:t>
      </w:r>
      <w:r w:rsidR="0059775B" w:rsidRPr="00FF4F21">
        <w:rPr>
          <w:rFonts w:ascii="Times New Roman" w:hAnsi="Times New Roman" w:cs="Times New Roman"/>
          <w:color w:val="000000" w:themeColor="text1"/>
          <w:sz w:val="24"/>
          <w:szCs w:val="24"/>
        </w:rPr>
        <w:t xml:space="preserve"> консолидированной компании и компании </w:t>
      </w:r>
      <w:r w:rsidR="0059775B">
        <w:rPr>
          <w:rFonts w:ascii="Times New Roman" w:hAnsi="Times New Roman" w:cs="Times New Roman"/>
          <w:color w:val="000000" w:themeColor="text1"/>
          <w:sz w:val="24"/>
          <w:szCs w:val="24"/>
        </w:rPr>
        <w:t>«Роснефть»</w:t>
      </w:r>
      <w:r>
        <w:rPr>
          <w:rFonts w:ascii="Times New Roman" w:hAnsi="Times New Roman" w:cs="Times New Roman"/>
          <w:color w:val="000000" w:themeColor="text1"/>
          <w:sz w:val="24"/>
          <w:szCs w:val="24"/>
        </w:rPr>
        <w:t xml:space="preserve"> до совершения сделки</w:t>
      </w:r>
      <w:r w:rsidR="0059775B" w:rsidRPr="00FF4F21">
        <w:rPr>
          <w:rFonts w:ascii="Times New Roman" w:hAnsi="Times New Roman" w:cs="Times New Roman"/>
          <w:color w:val="000000" w:themeColor="text1"/>
          <w:sz w:val="24"/>
          <w:szCs w:val="24"/>
        </w:rPr>
        <w:t>:</w:t>
      </w:r>
    </w:p>
    <w:p w:rsidR="0059775B" w:rsidRDefault="007C1744" w:rsidP="0059775B">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8</w:t>
      </w:r>
      <w:r w:rsidR="0059775B">
        <w:rPr>
          <w:rFonts w:ascii="Times New Roman" w:hAnsi="Times New Roman" w:cs="Times New Roman"/>
          <w:color w:val="000000" w:themeColor="text1"/>
          <w:sz w:val="24"/>
          <w:szCs w:val="24"/>
        </w:rPr>
        <w:t xml:space="preserve"> </w:t>
      </w:r>
      <w:r w:rsidR="0059775B" w:rsidRPr="00FC6D1D">
        <w:rPr>
          <w:rFonts w:ascii="Times New Roman" w:hAnsi="Times New Roman" w:cs="Times New Roman"/>
          <w:color w:val="000000" w:themeColor="text1"/>
          <w:sz w:val="24"/>
          <w:szCs w:val="24"/>
        </w:rPr>
        <w:t>Результаты оценк</w:t>
      </w:r>
      <w:r w:rsidR="008F43FC">
        <w:rPr>
          <w:rFonts w:ascii="Times New Roman" w:hAnsi="Times New Roman" w:cs="Times New Roman"/>
          <w:color w:val="000000" w:themeColor="text1"/>
          <w:sz w:val="24"/>
          <w:szCs w:val="24"/>
        </w:rPr>
        <w:t xml:space="preserve">и консолидированной компании, </w:t>
      </w:r>
      <w:proofErr w:type="gramStart"/>
      <w:r w:rsidR="0059775B" w:rsidRPr="00FC6D1D">
        <w:rPr>
          <w:rFonts w:ascii="Times New Roman" w:hAnsi="Times New Roman" w:cs="Times New Roman"/>
          <w:color w:val="000000" w:themeColor="text1"/>
          <w:sz w:val="24"/>
          <w:szCs w:val="24"/>
        </w:rPr>
        <w:t>млн</w:t>
      </w:r>
      <w:proofErr w:type="gramEnd"/>
      <w:r w:rsidR="0059775B" w:rsidRPr="00FC6D1D">
        <w:rPr>
          <w:rFonts w:ascii="Times New Roman" w:hAnsi="Times New Roman" w:cs="Times New Roman"/>
          <w:color w:val="000000" w:themeColor="text1"/>
          <w:sz w:val="24"/>
          <w:szCs w:val="24"/>
        </w:rPr>
        <w:t xml:space="preserve"> долл. США</w:t>
      </w:r>
    </w:p>
    <w:tbl>
      <w:tblPr>
        <w:tblW w:w="7103" w:type="dxa"/>
        <w:tblInd w:w="1329" w:type="dxa"/>
        <w:tblLook w:val="04A0" w:firstRow="1" w:lastRow="0" w:firstColumn="1" w:lastColumn="0" w:noHBand="0" w:noVBand="1"/>
      </w:tblPr>
      <w:tblGrid>
        <w:gridCol w:w="3803"/>
        <w:gridCol w:w="276"/>
        <w:gridCol w:w="3024"/>
      </w:tblGrid>
      <w:tr w:rsidR="0059775B" w:rsidRPr="00F12908" w:rsidTr="00E11D2C">
        <w:trPr>
          <w:trHeight w:val="330"/>
        </w:trPr>
        <w:tc>
          <w:tcPr>
            <w:tcW w:w="7103" w:type="dxa"/>
            <w:gridSpan w:val="3"/>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jc w:val="center"/>
              <w:rPr>
                <w:rFonts w:ascii="Times New Roman" w:eastAsia="Times New Roman" w:hAnsi="Times New Roman" w:cs="Times New Roman"/>
                <w:color w:val="000000"/>
                <w:sz w:val="24"/>
                <w:szCs w:val="24"/>
                <w:u w:val="single"/>
                <w:lang w:eastAsia="ru-RU"/>
              </w:rPr>
            </w:pPr>
            <w:proofErr w:type="spellStart"/>
            <w:r w:rsidRPr="00F12908">
              <w:rPr>
                <w:rFonts w:ascii="Times New Roman" w:eastAsia="Times New Roman" w:hAnsi="Times New Roman" w:cs="Times New Roman"/>
                <w:color w:val="000000"/>
                <w:sz w:val="24"/>
                <w:szCs w:val="24"/>
                <w:u w:val="single"/>
                <w:lang w:eastAsia="ru-RU"/>
              </w:rPr>
              <w:t>Implied</w:t>
            </w:r>
            <w:proofErr w:type="spellEnd"/>
            <w:r w:rsidRPr="00F12908">
              <w:rPr>
                <w:rFonts w:ascii="Times New Roman" w:eastAsia="Times New Roman" w:hAnsi="Times New Roman" w:cs="Times New Roman"/>
                <w:color w:val="000000"/>
                <w:sz w:val="24"/>
                <w:szCs w:val="24"/>
                <w:u w:val="single"/>
                <w:lang w:eastAsia="ru-RU"/>
              </w:rPr>
              <w:t xml:space="preserve"> </w:t>
            </w:r>
            <w:proofErr w:type="spellStart"/>
            <w:r w:rsidRPr="00F12908">
              <w:rPr>
                <w:rFonts w:ascii="Times New Roman" w:eastAsia="Times New Roman" w:hAnsi="Times New Roman" w:cs="Times New Roman"/>
                <w:color w:val="000000"/>
                <w:sz w:val="24"/>
                <w:szCs w:val="24"/>
                <w:u w:val="single"/>
                <w:lang w:eastAsia="ru-RU"/>
              </w:rPr>
              <w:t>Valuation</w:t>
            </w:r>
            <w:proofErr w:type="spellEnd"/>
          </w:p>
        </w:tc>
      </w:tr>
      <w:tr w:rsidR="0059775B" w:rsidRPr="00F12908" w:rsidTr="00E11D2C">
        <w:trPr>
          <w:trHeight w:val="330"/>
        </w:trPr>
        <w:tc>
          <w:tcPr>
            <w:tcW w:w="3803"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4"/>
                <w:lang w:val="en-US" w:eastAsia="ru-RU"/>
              </w:rPr>
            </w:pPr>
            <w:r w:rsidRPr="00F12908">
              <w:rPr>
                <w:rFonts w:ascii="Times New Roman" w:eastAsia="Times New Roman" w:hAnsi="Times New Roman" w:cs="Times New Roman"/>
                <w:color w:val="000000"/>
                <w:sz w:val="24"/>
                <w:szCs w:val="24"/>
                <w:lang w:val="en-US" w:eastAsia="ru-RU"/>
              </w:rPr>
              <w:t>Weighted Average Cost of Capital</w:t>
            </w:r>
          </w:p>
        </w:tc>
        <w:tc>
          <w:tcPr>
            <w:tcW w:w="276"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4"/>
                <w:lang w:val="en-US" w:eastAsia="ru-RU"/>
              </w:rPr>
            </w:pPr>
            <w:r w:rsidRPr="00F12908">
              <w:rPr>
                <w:rFonts w:ascii="Times New Roman" w:eastAsia="Times New Roman" w:hAnsi="Times New Roman" w:cs="Times New Roman"/>
                <w:color w:val="000000"/>
                <w:sz w:val="24"/>
                <w:szCs w:val="24"/>
                <w:lang w:val="en-US" w:eastAsia="ru-RU"/>
              </w:rPr>
              <w:t> </w:t>
            </w:r>
          </w:p>
        </w:tc>
        <w:tc>
          <w:tcPr>
            <w:tcW w:w="3024"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color w:val="000000"/>
                <w:sz w:val="24"/>
                <w:szCs w:val="24"/>
                <w:lang w:eastAsia="ru-RU"/>
              </w:rPr>
            </w:pPr>
            <w:r w:rsidRPr="00F12908">
              <w:rPr>
                <w:rFonts w:ascii="Times New Roman" w:eastAsia="Times New Roman" w:hAnsi="Times New Roman" w:cs="Times New Roman"/>
                <w:color w:val="000000"/>
                <w:sz w:val="24"/>
                <w:szCs w:val="24"/>
                <w:lang w:eastAsia="ru-RU"/>
              </w:rPr>
              <w:t>8%</w:t>
            </w:r>
          </w:p>
        </w:tc>
      </w:tr>
      <w:tr w:rsidR="0059775B" w:rsidRPr="00F12908" w:rsidTr="00E11D2C">
        <w:trPr>
          <w:trHeight w:val="255"/>
        </w:trPr>
        <w:tc>
          <w:tcPr>
            <w:tcW w:w="3803"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4"/>
                <w:lang w:eastAsia="ru-RU"/>
              </w:rPr>
            </w:pPr>
            <w:proofErr w:type="spellStart"/>
            <w:r w:rsidRPr="00F12908">
              <w:rPr>
                <w:rFonts w:ascii="Times New Roman" w:eastAsia="Times New Roman" w:hAnsi="Times New Roman" w:cs="Times New Roman"/>
                <w:color w:val="000000"/>
                <w:sz w:val="24"/>
                <w:szCs w:val="24"/>
                <w:lang w:eastAsia="ru-RU"/>
              </w:rPr>
              <w:t>Long-Term</w:t>
            </w:r>
            <w:proofErr w:type="spellEnd"/>
            <w:r w:rsidRPr="00F12908">
              <w:rPr>
                <w:rFonts w:ascii="Times New Roman" w:eastAsia="Times New Roman" w:hAnsi="Times New Roman" w:cs="Times New Roman"/>
                <w:color w:val="000000"/>
                <w:sz w:val="24"/>
                <w:szCs w:val="24"/>
                <w:lang w:eastAsia="ru-RU"/>
              </w:rPr>
              <w:t xml:space="preserve"> </w:t>
            </w:r>
            <w:proofErr w:type="spellStart"/>
            <w:r w:rsidRPr="00F12908">
              <w:rPr>
                <w:rFonts w:ascii="Times New Roman" w:eastAsia="Times New Roman" w:hAnsi="Times New Roman" w:cs="Times New Roman"/>
                <w:color w:val="000000"/>
                <w:sz w:val="24"/>
                <w:szCs w:val="24"/>
                <w:lang w:eastAsia="ru-RU"/>
              </w:rPr>
              <w:t>Growth</w:t>
            </w:r>
            <w:proofErr w:type="spellEnd"/>
            <w:r w:rsidRPr="00F12908">
              <w:rPr>
                <w:rFonts w:ascii="Times New Roman" w:eastAsia="Times New Roman" w:hAnsi="Times New Roman" w:cs="Times New Roman"/>
                <w:color w:val="000000"/>
                <w:sz w:val="24"/>
                <w:szCs w:val="24"/>
                <w:lang w:eastAsia="ru-RU"/>
              </w:rPr>
              <w:t xml:space="preserve"> </w:t>
            </w:r>
            <w:proofErr w:type="spellStart"/>
            <w:r w:rsidRPr="00F12908">
              <w:rPr>
                <w:rFonts w:ascii="Times New Roman" w:eastAsia="Times New Roman" w:hAnsi="Times New Roman" w:cs="Times New Roman"/>
                <w:color w:val="000000"/>
                <w:sz w:val="24"/>
                <w:szCs w:val="24"/>
                <w:lang w:eastAsia="ru-RU"/>
              </w:rPr>
              <w:t>Rate</w:t>
            </w:r>
            <w:proofErr w:type="spellEnd"/>
          </w:p>
        </w:tc>
        <w:tc>
          <w:tcPr>
            <w:tcW w:w="276"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4"/>
                <w:lang w:eastAsia="ru-RU"/>
              </w:rPr>
            </w:pPr>
            <w:r w:rsidRPr="00F12908">
              <w:rPr>
                <w:rFonts w:ascii="Times New Roman" w:eastAsia="Times New Roman" w:hAnsi="Times New Roman" w:cs="Times New Roman"/>
                <w:color w:val="000000"/>
                <w:sz w:val="24"/>
                <w:szCs w:val="24"/>
                <w:lang w:eastAsia="ru-RU"/>
              </w:rPr>
              <w:t> </w:t>
            </w:r>
          </w:p>
        </w:tc>
        <w:tc>
          <w:tcPr>
            <w:tcW w:w="3024"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color w:val="000000"/>
                <w:sz w:val="24"/>
                <w:szCs w:val="24"/>
                <w:lang w:eastAsia="ru-RU"/>
              </w:rPr>
            </w:pPr>
            <w:r w:rsidRPr="00F12908">
              <w:rPr>
                <w:rFonts w:ascii="Times New Roman" w:eastAsia="Times New Roman" w:hAnsi="Times New Roman" w:cs="Times New Roman"/>
                <w:color w:val="000000"/>
                <w:sz w:val="24"/>
                <w:szCs w:val="24"/>
                <w:lang w:eastAsia="ru-RU"/>
              </w:rPr>
              <w:t>1,5%</w:t>
            </w:r>
          </w:p>
        </w:tc>
      </w:tr>
      <w:tr w:rsidR="0059775B" w:rsidRPr="00F12908" w:rsidTr="00E11D2C">
        <w:trPr>
          <w:trHeight w:val="270"/>
        </w:trPr>
        <w:tc>
          <w:tcPr>
            <w:tcW w:w="3803"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b/>
                <w:bCs/>
                <w:color w:val="000000"/>
                <w:sz w:val="24"/>
                <w:szCs w:val="24"/>
                <w:lang w:eastAsia="ru-RU"/>
              </w:rPr>
            </w:pPr>
            <w:proofErr w:type="spellStart"/>
            <w:r w:rsidRPr="00F12908">
              <w:rPr>
                <w:rFonts w:ascii="Times New Roman" w:eastAsia="Times New Roman" w:hAnsi="Times New Roman" w:cs="Times New Roman"/>
                <w:b/>
                <w:bCs/>
                <w:color w:val="000000"/>
                <w:sz w:val="24"/>
                <w:szCs w:val="24"/>
                <w:lang w:eastAsia="ru-RU"/>
              </w:rPr>
              <w:t>Terminal</w:t>
            </w:r>
            <w:proofErr w:type="spellEnd"/>
            <w:r w:rsidRPr="00F12908">
              <w:rPr>
                <w:rFonts w:ascii="Times New Roman" w:eastAsia="Times New Roman" w:hAnsi="Times New Roman" w:cs="Times New Roman"/>
                <w:b/>
                <w:bCs/>
                <w:color w:val="000000"/>
                <w:sz w:val="24"/>
                <w:szCs w:val="24"/>
                <w:lang w:eastAsia="ru-RU"/>
              </w:rPr>
              <w:t xml:space="preserve"> </w:t>
            </w:r>
            <w:proofErr w:type="spellStart"/>
            <w:r w:rsidRPr="00F12908">
              <w:rPr>
                <w:rFonts w:ascii="Times New Roman" w:eastAsia="Times New Roman" w:hAnsi="Times New Roman" w:cs="Times New Roman"/>
                <w:b/>
                <w:bCs/>
                <w:color w:val="000000"/>
                <w:sz w:val="24"/>
                <w:szCs w:val="24"/>
                <w:lang w:eastAsia="ru-RU"/>
              </w:rPr>
              <w:t>value</w:t>
            </w:r>
            <w:proofErr w:type="spellEnd"/>
          </w:p>
        </w:tc>
        <w:tc>
          <w:tcPr>
            <w:tcW w:w="276"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b/>
                <w:bCs/>
                <w:color w:val="000000"/>
                <w:sz w:val="24"/>
                <w:szCs w:val="24"/>
                <w:lang w:eastAsia="ru-RU"/>
              </w:rPr>
            </w:pPr>
            <w:r w:rsidRPr="00F12908">
              <w:rPr>
                <w:rFonts w:ascii="Times New Roman" w:eastAsia="Times New Roman" w:hAnsi="Times New Roman" w:cs="Times New Roman"/>
                <w:b/>
                <w:bCs/>
                <w:color w:val="000000"/>
                <w:sz w:val="24"/>
                <w:szCs w:val="24"/>
                <w:lang w:eastAsia="ru-RU"/>
              </w:rPr>
              <w:t> </w:t>
            </w:r>
          </w:p>
        </w:tc>
        <w:tc>
          <w:tcPr>
            <w:tcW w:w="3024"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b/>
                <w:bCs/>
                <w:color w:val="000000"/>
                <w:sz w:val="24"/>
                <w:szCs w:val="24"/>
                <w:lang w:eastAsia="ru-RU"/>
              </w:rPr>
            </w:pPr>
            <w:r w:rsidRPr="00F12908">
              <w:rPr>
                <w:rFonts w:ascii="Times New Roman" w:eastAsia="Times New Roman" w:hAnsi="Times New Roman" w:cs="Times New Roman"/>
                <w:b/>
                <w:bCs/>
                <w:color w:val="000000"/>
                <w:sz w:val="24"/>
                <w:szCs w:val="24"/>
                <w:lang w:eastAsia="ru-RU"/>
              </w:rPr>
              <w:t xml:space="preserve"> $125 698 </w:t>
            </w:r>
          </w:p>
        </w:tc>
      </w:tr>
      <w:tr w:rsidR="0059775B" w:rsidRPr="00F12908" w:rsidTr="00E11D2C">
        <w:trPr>
          <w:trHeight w:val="270"/>
        </w:trPr>
        <w:tc>
          <w:tcPr>
            <w:tcW w:w="3803"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4"/>
                <w:lang w:eastAsia="ru-RU"/>
              </w:rPr>
            </w:pPr>
            <w:r w:rsidRPr="00F12908">
              <w:rPr>
                <w:rFonts w:ascii="Times New Roman" w:eastAsia="Times New Roman" w:hAnsi="Times New Roman" w:cs="Times New Roman"/>
                <w:color w:val="000000"/>
                <w:sz w:val="24"/>
                <w:szCs w:val="24"/>
                <w:lang w:eastAsia="ru-RU"/>
              </w:rPr>
              <w:t>PV(</w:t>
            </w:r>
            <w:proofErr w:type="spellStart"/>
            <w:r w:rsidRPr="00F12908">
              <w:rPr>
                <w:rFonts w:ascii="Times New Roman" w:eastAsia="Times New Roman" w:hAnsi="Times New Roman" w:cs="Times New Roman"/>
                <w:color w:val="000000"/>
                <w:sz w:val="24"/>
                <w:szCs w:val="24"/>
                <w:lang w:eastAsia="ru-RU"/>
              </w:rPr>
              <w:t>Terminal</w:t>
            </w:r>
            <w:proofErr w:type="spellEnd"/>
            <w:r w:rsidRPr="00F12908">
              <w:rPr>
                <w:rFonts w:ascii="Times New Roman" w:eastAsia="Times New Roman" w:hAnsi="Times New Roman" w:cs="Times New Roman"/>
                <w:color w:val="000000"/>
                <w:sz w:val="24"/>
                <w:szCs w:val="24"/>
                <w:lang w:eastAsia="ru-RU"/>
              </w:rPr>
              <w:t xml:space="preserve"> </w:t>
            </w:r>
            <w:proofErr w:type="spellStart"/>
            <w:r w:rsidRPr="00F12908">
              <w:rPr>
                <w:rFonts w:ascii="Times New Roman" w:eastAsia="Times New Roman" w:hAnsi="Times New Roman" w:cs="Times New Roman"/>
                <w:color w:val="000000"/>
                <w:sz w:val="24"/>
                <w:szCs w:val="24"/>
                <w:lang w:eastAsia="ru-RU"/>
              </w:rPr>
              <w:t>value</w:t>
            </w:r>
            <w:proofErr w:type="spellEnd"/>
            <w:r w:rsidRPr="00F12908">
              <w:rPr>
                <w:rFonts w:ascii="Times New Roman" w:eastAsia="Times New Roman" w:hAnsi="Times New Roman" w:cs="Times New Roman"/>
                <w:color w:val="000000"/>
                <w:sz w:val="24"/>
                <w:szCs w:val="24"/>
                <w:lang w:eastAsia="ru-RU"/>
              </w:rPr>
              <w:t>)</w:t>
            </w:r>
          </w:p>
        </w:tc>
        <w:tc>
          <w:tcPr>
            <w:tcW w:w="276"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4"/>
                <w:lang w:eastAsia="ru-RU"/>
              </w:rPr>
            </w:pPr>
            <w:r w:rsidRPr="00F12908">
              <w:rPr>
                <w:rFonts w:ascii="Times New Roman" w:eastAsia="Times New Roman" w:hAnsi="Times New Roman" w:cs="Times New Roman"/>
                <w:color w:val="000000"/>
                <w:sz w:val="24"/>
                <w:szCs w:val="24"/>
                <w:lang w:eastAsia="ru-RU"/>
              </w:rPr>
              <w:t> </w:t>
            </w:r>
          </w:p>
        </w:tc>
        <w:tc>
          <w:tcPr>
            <w:tcW w:w="3024"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color w:val="000000"/>
                <w:sz w:val="24"/>
                <w:szCs w:val="24"/>
                <w:lang w:eastAsia="ru-RU"/>
              </w:rPr>
            </w:pPr>
            <w:r w:rsidRPr="00F12908">
              <w:rPr>
                <w:rFonts w:ascii="Times New Roman" w:eastAsia="Times New Roman" w:hAnsi="Times New Roman" w:cs="Times New Roman"/>
                <w:color w:val="000000"/>
                <w:sz w:val="24"/>
                <w:szCs w:val="24"/>
                <w:lang w:eastAsia="ru-RU"/>
              </w:rPr>
              <w:t xml:space="preserve">     85 622 </w:t>
            </w:r>
          </w:p>
        </w:tc>
      </w:tr>
      <w:tr w:rsidR="0059775B" w:rsidRPr="00F12908" w:rsidTr="00E11D2C">
        <w:trPr>
          <w:trHeight w:val="255"/>
        </w:trPr>
        <w:tc>
          <w:tcPr>
            <w:tcW w:w="3803" w:type="dxa"/>
            <w:tcBorders>
              <w:top w:val="nil"/>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4"/>
                <w:lang w:val="en-US" w:eastAsia="ru-RU"/>
              </w:rPr>
            </w:pPr>
            <w:r w:rsidRPr="00F12908">
              <w:rPr>
                <w:rFonts w:ascii="Times New Roman" w:eastAsia="Times New Roman" w:hAnsi="Times New Roman" w:cs="Times New Roman"/>
                <w:color w:val="000000"/>
                <w:sz w:val="24"/>
                <w:szCs w:val="24"/>
                <w:lang w:val="en-US" w:eastAsia="ru-RU"/>
              </w:rPr>
              <w:t>PV (CF over next 6 years)</w:t>
            </w:r>
          </w:p>
        </w:tc>
        <w:tc>
          <w:tcPr>
            <w:tcW w:w="276"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4"/>
                <w:lang w:val="en-US" w:eastAsia="ru-RU"/>
              </w:rPr>
            </w:pPr>
            <w:r w:rsidRPr="00F12908">
              <w:rPr>
                <w:rFonts w:ascii="Times New Roman" w:eastAsia="Times New Roman" w:hAnsi="Times New Roman" w:cs="Times New Roman"/>
                <w:color w:val="000000"/>
                <w:sz w:val="24"/>
                <w:szCs w:val="24"/>
                <w:lang w:val="en-US" w:eastAsia="ru-RU"/>
              </w:rPr>
              <w:t> </w:t>
            </w:r>
          </w:p>
        </w:tc>
        <w:tc>
          <w:tcPr>
            <w:tcW w:w="3024"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color w:val="000000"/>
                <w:sz w:val="24"/>
                <w:szCs w:val="24"/>
                <w:lang w:eastAsia="ru-RU"/>
              </w:rPr>
            </w:pPr>
            <w:r w:rsidRPr="00F12908">
              <w:rPr>
                <w:rFonts w:ascii="Times New Roman" w:eastAsia="Times New Roman" w:hAnsi="Times New Roman" w:cs="Times New Roman"/>
                <w:color w:val="000000"/>
                <w:sz w:val="24"/>
                <w:szCs w:val="24"/>
                <w:lang w:val="en-US" w:eastAsia="ru-RU"/>
              </w:rPr>
              <w:t xml:space="preserve">     </w:t>
            </w:r>
            <w:r w:rsidRPr="00F12908">
              <w:rPr>
                <w:rFonts w:ascii="Times New Roman" w:eastAsia="Times New Roman" w:hAnsi="Times New Roman" w:cs="Times New Roman"/>
                <w:color w:val="000000"/>
                <w:sz w:val="24"/>
                <w:szCs w:val="24"/>
                <w:lang w:eastAsia="ru-RU"/>
              </w:rPr>
              <w:t xml:space="preserve">37 599 </w:t>
            </w:r>
          </w:p>
        </w:tc>
      </w:tr>
      <w:tr w:rsidR="0059775B" w:rsidRPr="00F12908" w:rsidTr="00E11D2C">
        <w:trPr>
          <w:trHeight w:val="255"/>
        </w:trPr>
        <w:tc>
          <w:tcPr>
            <w:tcW w:w="3803"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b/>
                <w:bCs/>
                <w:color w:val="000000"/>
                <w:sz w:val="24"/>
                <w:szCs w:val="24"/>
                <w:lang w:eastAsia="ru-RU"/>
              </w:rPr>
            </w:pPr>
            <w:proofErr w:type="spellStart"/>
            <w:r w:rsidRPr="00F12908">
              <w:rPr>
                <w:rFonts w:ascii="Times New Roman" w:eastAsia="Times New Roman" w:hAnsi="Times New Roman" w:cs="Times New Roman"/>
                <w:b/>
                <w:bCs/>
                <w:color w:val="000000"/>
                <w:sz w:val="24"/>
                <w:szCs w:val="24"/>
                <w:lang w:eastAsia="ru-RU"/>
              </w:rPr>
              <w:t>Enterprise</w:t>
            </w:r>
            <w:proofErr w:type="spellEnd"/>
            <w:r w:rsidRPr="00F12908">
              <w:rPr>
                <w:rFonts w:ascii="Times New Roman" w:eastAsia="Times New Roman" w:hAnsi="Times New Roman" w:cs="Times New Roman"/>
                <w:b/>
                <w:bCs/>
                <w:color w:val="000000"/>
                <w:sz w:val="24"/>
                <w:szCs w:val="24"/>
                <w:lang w:eastAsia="ru-RU"/>
              </w:rPr>
              <w:t xml:space="preserve"> </w:t>
            </w:r>
            <w:proofErr w:type="spellStart"/>
            <w:r w:rsidRPr="00F12908">
              <w:rPr>
                <w:rFonts w:ascii="Times New Roman" w:eastAsia="Times New Roman" w:hAnsi="Times New Roman" w:cs="Times New Roman"/>
                <w:b/>
                <w:bCs/>
                <w:color w:val="000000"/>
                <w:sz w:val="24"/>
                <w:szCs w:val="24"/>
                <w:lang w:eastAsia="ru-RU"/>
              </w:rPr>
              <w:t>value</w:t>
            </w:r>
            <w:proofErr w:type="spellEnd"/>
            <w:r w:rsidRPr="00F12908">
              <w:rPr>
                <w:rFonts w:ascii="Times New Roman" w:eastAsia="Times New Roman" w:hAnsi="Times New Roman" w:cs="Times New Roman"/>
                <w:b/>
                <w:bCs/>
                <w:color w:val="000000"/>
                <w:sz w:val="24"/>
                <w:szCs w:val="24"/>
                <w:lang w:eastAsia="ru-RU"/>
              </w:rPr>
              <w:t xml:space="preserve"> </w:t>
            </w:r>
          </w:p>
        </w:tc>
        <w:tc>
          <w:tcPr>
            <w:tcW w:w="276"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b/>
                <w:bCs/>
                <w:color w:val="000000"/>
                <w:sz w:val="24"/>
                <w:szCs w:val="24"/>
                <w:lang w:eastAsia="ru-RU"/>
              </w:rPr>
            </w:pPr>
            <w:r w:rsidRPr="00F12908">
              <w:rPr>
                <w:rFonts w:ascii="Times New Roman" w:eastAsia="Times New Roman" w:hAnsi="Times New Roman" w:cs="Times New Roman"/>
                <w:b/>
                <w:bCs/>
                <w:color w:val="000000"/>
                <w:sz w:val="24"/>
                <w:szCs w:val="24"/>
                <w:lang w:eastAsia="ru-RU"/>
              </w:rPr>
              <w:t> </w:t>
            </w:r>
          </w:p>
        </w:tc>
        <w:tc>
          <w:tcPr>
            <w:tcW w:w="3024"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b/>
                <w:bCs/>
                <w:color w:val="000000"/>
                <w:sz w:val="24"/>
                <w:szCs w:val="24"/>
                <w:lang w:eastAsia="ru-RU"/>
              </w:rPr>
            </w:pPr>
            <w:r w:rsidRPr="00F12908">
              <w:rPr>
                <w:rFonts w:ascii="Times New Roman" w:eastAsia="Times New Roman" w:hAnsi="Times New Roman" w:cs="Times New Roman"/>
                <w:b/>
                <w:bCs/>
                <w:color w:val="000000"/>
                <w:sz w:val="24"/>
                <w:szCs w:val="24"/>
                <w:lang w:eastAsia="ru-RU"/>
              </w:rPr>
              <w:t xml:space="preserve"> $123 221 </w:t>
            </w:r>
          </w:p>
        </w:tc>
      </w:tr>
      <w:tr w:rsidR="0059775B" w:rsidRPr="00F12908" w:rsidTr="00E11D2C">
        <w:trPr>
          <w:trHeight w:val="270"/>
        </w:trPr>
        <w:tc>
          <w:tcPr>
            <w:tcW w:w="3803"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4"/>
                <w:lang w:eastAsia="ru-RU"/>
              </w:rPr>
            </w:pPr>
            <w:r w:rsidRPr="00F12908">
              <w:rPr>
                <w:rFonts w:ascii="Times New Roman" w:eastAsia="Times New Roman" w:hAnsi="Times New Roman" w:cs="Times New Roman"/>
                <w:color w:val="000000"/>
                <w:sz w:val="24"/>
                <w:szCs w:val="24"/>
                <w:lang w:eastAsia="ru-RU"/>
              </w:rPr>
              <w:t xml:space="preserve"> - </w:t>
            </w:r>
            <w:proofErr w:type="spellStart"/>
            <w:r w:rsidRPr="00F12908">
              <w:rPr>
                <w:rFonts w:ascii="Times New Roman" w:eastAsia="Times New Roman" w:hAnsi="Times New Roman" w:cs="Times New Roman"/>
                <w:color w:val="000000"/>
                <w:sz w:val="24"/>
                <w:szCs w:val="24"/>
                <w:lang w:eastAsia="ru-RU"/>
              </w:rPr>
              <w:t>Debt</w:t>
            </w:r>
            <w:proofErr w:type="spellEnd"/>
          </w:p>
        </w:tc>
        <w:tc>
          <w:tcPr>
            <w:tcW w:w="276"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4"/>
                <w:lang w:eastAsia="ru-RU"/>
              </w:rPr>
            </w:pPr>
            <w:r w:rsidRPr="00F12908">
              <w:rPr>
                <w:rFonts w:ascii="Times New Roman" w:eastAsia="Times New Roman" w:hAnsi="Times New Roman" w:cs="Times New Roman"/>
                <w:color w:val="000000"/>
                <w:sz w:val="24"/>
                <w:szCs w:val="24"/>
                <w:lang w:eastAsia="ru-RU"/>
              </w:rPr>
              <w:t> </w:t>
            </w:r>
          </w:p>
        </w:tc>
        <w:tc>
          <w:tcPr>
            <w:tcW w:w="3024"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color w:val="000000"/>
                <w:sz w:val="24"/>
                <w:szCs w:val="24"/>
                <w:lang w:eastAsia="ru-RU"/>
              </w:rPr>
            </w:pPr>
            <w:r w:rsidRPr="00F12908">
              <w:rPr>
                <w:rFonts w:ascii="Times New Roman" w:eastAsia="Times New Roman" w:hAnsi="Times New Roman" w:cs="Times New Roman"/>
                <w:color w:val="000000"/>
                <w:sz w:val="24"/>
                <w:szCs w:val="24"/>
                <w:lang w:eastAsia="ru-RU"/>
              </w:rPr>
              <w:t xml:space="preserve">     44 500 </w:t>
            </w:r>
          </w:p>
        </w:tc>
      </w:tr>
      <w:tr w:rsidR="0059775B" w:rsidRPr="00F12908" w:rsidTr="00E11D2C">
        <w:trPr>
          <w:trHeight w:val="270"/>
        </w:trPr>
        <w:tc>
          <w:tcPr>
            <w:tcW w:w="3803" w:type="dxa"/>
            <w:tcBorders>
              <w:top w:val="nil"/>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4"/>
                <w:lang w:eastAsia="ru-RU"/>
              </w:rPr>
            </w:pPr>
            <w:r w:rsidRPr="00F12908">
              <w:rPr>
                <w:rFonts w:ascii="Times New Roman" w:eastAsia="Times New Roman" w:hAnsi="Times New Roman" w:cs="Times New Roman"/>
                <w:color w:val="000000"/>
                <w:sz w:val="24"/>
                <w:szCs w:val="24"/>
                <w:lang w:eastAsia="ru-RU"/>
              </w:rPr>
              <w:t xml:space="preserve"> +  </w:t>
            </w:r>
            <w:proofErr w:type="spellStart"/>
            <w:r w:rsidRPr="00F12908">
              <w:rPr>
                <w:rFonts w:ascii="Times New Roman" w:eastAsia="Times New Roman" w:hAnsi="Times New Roman" w:cs="Times New Roman"/>
                <w:color w:val="000000"/>
                <w:sz w:val="24"/>
                <w:szCs w:val="24"/>
                <w:lang w:eastAsia="ru-RU"/>
              </w:rPr>
              <w:t>Cash</w:t>
            </w:r>
            <w:proofErr w:type="spellEnd"/>
          </w:p>
        </w:tc>
        <w:tc>
          <w:tcPr>
            <w:tcW w:w="276"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4"/>
                <w:lang w:eastAsia="ru-RU"/>
              </w:rPr>
            </w:pPr>
            <w:r w:rsidRPr="00F12908">
              <w:rPr>
                <w:rFonts w:ascii="Times New Roman" w:eastAsia="Times New Roman" w:hAnsi="Times New Roman" w:cs="Times New Roman"/>
                <w:color w:val="000000"/>
                <w:sz w:val="24"/>
                <w:szCs w:val="24"/>
                <w:lang w:eastAsia="ru-RU"/>
              </w:rPr>
              <w:t> </w:t>
            </w:r>
          </w:p>
        </w:tc>
        <w:tc>
          <w:tcPr>
            <w:tcW w:w="3024"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color w:val="000000"/>
                <w:sz w:val="24"/>
                <w:szCs w:val="24"/>
                <w:lang w:eastAsia="ru-RU"/>
              </w:rPr>
            </w:pPr>
            <w:r w:rsidRPr="00F12908">
              <w:rPr>
                <w:rFonts w:ascii="Times New Roman" w:eastAsia="Times New Roman" w:hAnsi="Times New Roman" w:cs="Times New Roman"/>
                <w:color w:val="000000"/>
                <w:sz w:val="24"/>
                <w:szCs w:val="24"/>
                <w:lang w:eastAsia="ru-RU"/>
              </w:rPr>
              <w:t xml:space="preserve">     11 454 </w:t>
            </w:r>
          </w:p>
        </w:tc>
      </w:tr>
      <w:tr w:rsidR="0059775B" w:rsidRPr="00F12908" w:rsidTr="00E11D2C">
        <w:trPr>
          <w:trHeight w:val="285"/>
        </w:trPr>
        <w:tc>
          <w:tcPr>
            <w:tcW w:w="3803"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b/>
                <w:bCs/>
                <w:color w:val="000000"/>
                <w:sz w:val="24"/>
                <w:szCs w:val="24"/>
                <w:lang w:eastAsia="ru-RU"/>
              </w:rPr>
            </w:pPr>
            <w:proofErr w:type="spellStart"/>
            <w:r w:rsidRPr="00F12908">
              <w:rPr>
                <w:rFonts w:ascii="Times New Roman" w:eastAsia="Times New Roman" w:hAnsi="Times New Roman" w:cs="Times New Roman"/>
                <w:b/>
                <w:bCs/>
                <w:color w:val="000000"/>
                <w:sz w:val="24"/>
                <w:szCs w:val="24"/>
                <w:lang w:eastAsia="ru-RU"/>
              </w:rPr>
              <w:t>Value</w:t>
            </w:r>
            <w:proofErr w:type="spellEnd"/>
            <w:r w:rsidRPr="00F12908">
              <w:rPr>
                <w:rFonts w:ascii="Times New Roman" w:eastAsia="Times New Roman" w:hAnsi="Times New Roman" w:cs="Times New Roman"/>
                <w:b/>
                <w:bCs/>
                <w:color w:val="000000"/>
                <w:sz w:val="24"/>
                <w:szCs w:val="24"/>
                <w:lang w:eastAsia="ru-RU"/>
              </w:rPr>
              <w:t xml:space="preserve"> </w:t>
            </w:r>
            <w:proofErr w:type="spellStart"/>
            <w:r w:rsidRPr="00F12908">
              <w:rPr>
                <w:rFonts w:ascii="Times New Roman" w:eastAsia="Times New Roman" w:hAnsi="Times New Roman" w:cs="Times New Roman"/>
                <w:b/>
                <w:bCs/>
                <w:color w:val="000000"/>
                <w:sz w:val="24"/>
                <w:szCs w:val="24"/>
                <w:lang w:eastAsia="ru-RU"/>
              </w:rPr>
              <w:t>of</w:t>
            </w:r>
            <w:proofErr w:type="spellEnd"/>
            <w:r w:rsidRPr="00F12908">
              <w:rPr>
                <w:rFonts w:ascii="Times New Roman" w:eastAsia="Times New Roman" w:hAnsi="Times New Roman" w:cs="Times New Roman"/>
                <w:b/>
                <w:bCs/>
                <w:color w:val="000000"/>
                <w:sz w:val="24"/>
                <w:szCs w:val="24"/>
                <w:lang w:eastAsia="ru-RU"/>
              </w:rPr>
              <w:t xml:space="preserve"> </w:t>
            </w:r>
            <w:proofErr w:type="spellStart"/>
            <w:r w:rsidRPr="00F12908">
              <w:rPr>
                <w:rFonts w:ascii="Times New Roman" w:eastAsia="Times New Roman" w:hAnsi="Times New Roman" w:cs="Times New Roman"/>
                <w:b/>
                <w:bCs/>
                <w:color w:val="000000"/>
                <w:sz w:val="24"/>
                <w:szCs w:val="24"/>
                <w:lang w:eastAsia="ru-RU"/>
              </w:rPr>
              <w:t>equity</w:t>
            </w:r>
            <w:proofErr w:type="spellEnd"/>
          </w:p>
        </w:tc>
        <w:tc>
          <w:tcPr>
            <w:tcW w:w="276"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b/>
                <w:bCs/>
                <w:color w:val="000000"/>
                <w:sz w:val="24"/>
                <w:szCs w:val="24"/>
                <w:lang w:eastAsia="ru-RU"/>
              </w:rPr>
            </w:pPr>
            <w:r w:rsidRPr="00F12908">
              <w:rPr>
                <w:rFonts w:ascii="Times New Roman" w:eastAsia="Times New Roman" w:hAnsi="Times New Roman" w:cs="Times New Roman"/>
                <w:b/>
                <w:bCs/>
                <w:color w:val="000000"/>
                <w:sz w:val="24"/>
                <w:szCs w:val="24"/>
                <w:lang w:eastAsia="ru-RU"/>
              </w:rPr>
              <w:t> </w:t>
            </w:r>
          </w:p>
        </w:tc>
        <w:tc>
          <w:tcPr>
            <w:tcW w:w="3024"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b/>
                <w:bCs/>
                <w:color w:val="000000"/>
                <w:sz w:val="24"/>
                <w:szCs w:val="24"/>
                <w:lang w:eastAsia="ru-RU"/>
              </w:rPr>
            </w:pPr>
            <w:r w:rsidRPr="00F12908">
              <w:rPr>
                <w:rFonts w:ascii="Times New Roman" w:eastAsia="Times New Roman" w:hAnsi="Times New Roman" w:cs="Times New Roman"/>
                <w:b/>
                <w:bCs/>
                <w:color w:val="000000"/>
                <w:sz w:val="24"/>
                <w:szCs w:val="24"/>
                <w:lang w:eastAsia="ru-RU"/>
              </w:rPr>
              <w:t xml:space="preserve"> $  90 175 </w:t>
            </w:r>
          </w:p>
        </w:tc>
      </w:tr>
      <w:tr w:rsidR="0059775B" w:rsidRPr="00F12908" w:rsidTr="00E11D2C">
        <w:trPr>
          <w:trHeight w:val="285"/>
        </w:trPr>
        <w:tc>
          <w:tcPr>
            <w:tcW w:w="3803"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4"/>
                <w:lang w:eastAsia="ru-RU"/>
              </w:rPr>
            </w:pPr>
            <w:proofErr w:type="spellStart"/>
            <w:r w:rsidRPr="00F12908">
              <w:rPr>
                <w:rFonts w:ascii="Times New Roman" w:eastAsia="Times New Roman" w:hAnsi="Times New Roman" w:cs="Times New Roman"/>
                <w:color w:val="000000"/>
                <w:sz w:val="24"/>
                <w:szCs w:val="24"/>
                <w:lang w:eastAsia="ru-RU"/>
              </w:rPr>
              <w:t>Number</w:t>
            </w:r>
            <w:proofErr w:type="spellEnd"/>
            <w:r w:rsidRPr="00F12908">
              <w:rPr>
                <w:rFonts w:ascii="Times New Roman" w:eastAsia="Times New Roman" w:hAnsi="Times New Roman" w:cs="Times New Roman"/>
                <w:color w:val="000000"/>
                <w:sz w:val="24"/>
                <w:szCs w:val="24"/>
                <w:lang w:eastAsia="ru-RU"/>
              </w:rPr>
              <w:t xml:space="preserve"> </w:t>
            </w:r>
            <w:proofErr w:type="spellStart"/>
            <w:r w:rsidRPr="00F12908">
              <w:rPr>
                <w:rFonts w:ascii="Times New Roman" w:eastAsia="Times New Roman" w:hAnsi="Times New Roman" w:cs="Times New Roman"/>
                <w:color w:val="000000"/>
                <w:sz w:val="24"/>
                <w:szCs w:val="24"/>
                <w:lang w:eastAsia="ru-RU"/>
              </w:rPr>
              <w:t>of</w:t>
            </w:r>
            <w:proofErr w:type="spellEnd"/>
            <w:r w:rsidRPr="00F12908">
              <w:rPr>
                <w:rFonts w:ascii="Times New Roman" w:eastAsia="Times New Roman" w:hAnsi="Times New Roman" w:cs="Times New Roman"/>
                <w:color w:val="000000"/>
                <w:sz w:val="24"/>
                <w:szCs w:val="24"/>
                <w:lang w:eastAsia="ru-RU"/>
              </w:rPr>
              <w:t xml:space="preserve"> </w:t>
            </w:r>
            <w:proofErr w:type="spellStart"/>
            <w:r w:rsidRPr="00F12908">
              <w:rPr>
                <w:rFonts w:ascii="Times New Roman" w:eastAsia="Times New Roman" w:hAnsi="Times New Roman" w:cs="Times New Roman"/>
                <w:color w:val="000000"/>
                <w:sz w:val="24"/>
                <w:szCs w:val="24"/>
                <w:lang w:eastAsia="ru-RU"/>
              </w:rPr>
              <w:t>shares</w:t>
            </w:r>
            <w:proofErr w:type="spellEnd"/>
          </w:p>
        </w:tc>
        <w:tc>
          <w:tcPr>
            <w:tcW w:w="276"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4"/>
                <w:lang w:eastAsia="ru-RU"/>
              </w:rPr>
            </w:pPr>
            <w:r w:rsidRPr="00F12908">
              <w:rPr>
                <w:rFonts w:ascii="Times New Roman" w:eastAsia="Times New Roman" w:hAnsi="Times New Roman" w:cs="Times New Roman"/>
                <w:color w:val="000000"/>
                <w:sz w:val="24"/>
                <w:szCs w:val="24"/>
                <w:lang w:eastAsia="ru-RU"/>
              </w:rPr>
              <w:t> </w:t>
            </w:r>
          </w:p>
        </w:tc>
        <w:tc>
          <w:tcPr>
            <w:tcW w:w="3024"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color w:val="000000"/>
                <w:sz w:val="24"/>
                <w:szCs w:val="24"/>
                <w:lang w:eastAsia="ru-RU"/>
              </w:rPr>
            </w:pPr>
            <w:r w:rsidRPr="00F12908">
              <w:rPr>
                <w:rFonts w:ascii="Times New Roman" w:eastAsia="Times New Roman" w:hAnsi="Times New Roman" w:cs="Times New Roman"/>
                <w:color w:val="000000"/>
                <w:sz w:val="24"/>
                <w:szCs w:val="24"/>
                <w:lang w:eastAsia="ru-RU"/>
              </w:rPr>
              <w:t>9238</w:t>
            </w:r>
          </w:p>
        </w:tc>
      </w:tr>
      <w:tr w:rsidR="0059775B" w:rsidRPr="00F12908" w:rsidTr="00E11D2C">
        <w:trPr>
          <w:trHeight w:val="255"/>
        </w:trPr>
        <w:tc>
          <w:tcPr>
            <w:tcW w:w="3803"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b/>
                <w:bCs/>
                <w:color w:val="000000"/>
                <w:sz w:val="24"/>
                <w:szCs w:val="24"/>
                <w:lang w:eastAsia="ru-RU"/>
              </w:rPr>
            </w:pPr>
            <w:r w:rsidRPr="00F12908">
              <w:rPr>
                <w:rFonts w:ascii="Times New Roman" w:eastAsia="Times New Roman" w:hAnsi="Times New Roman" w:cs="Times New Roman"/>
                <w:b/>
                <w:bCs/>
                <w:color w:val="000000"/>
                <w:sz w:val="24"/>
                <w:szCs w:val="24"/>
                <w:lang w:eastAsia="ru-RU"/>
              </w:rPr>
              <w:t xml:space="preserve"> </w:t>
            </w:r>
            <w:proofErr w:type="spellStart"/>
            <w:r w:rsidRPr="00F12908">
              <w:rPr>
                <w:rFonts w:ascii="Times New Roman" w:eastAsia="Times New Roman" w:hAnsi="Times New Roman" w:cs="Times New Roman"/>
                <w:b/>
                <w:bCs/>
                <w:color w:val="000000"/>
                <w:sz w:val="24"/>
                <w:szCs w:val="24"/>
                <w:lang w:eastAsia="ru-RU"/>
              </w:rPr>
              <w:t>Estimated</w:t>
            </w:r>
            <w:proofErr w:type="spellEnd"/>
            <w:r w:rsidRPr="00F12908">
              <w:rPr>
                <w:rFonts w:ascii="Times New Roman" w:eastAsia="Times New Roman" w:hAnsi="Times New Roman" w:cs="Times New Roman"/>
                <w:b/>
                <w:bCs/>
                <w:color w:val="000000"/>
                <w:sz w:val="24"/>
                <w:szCs w:val="24"/>
                <w:lang w:eastAsia="ru-RU"/>
              </w:rPr>
              <w:t xml:space="preserve"> </w:t>
            </w:r>
            <w:proofErr w:type="spellStart"/>
            <w:r w:rsidRPr="00F12908">
              <w:rPr>
                <w:rFonts w:ascii="Times New Roman" w:eastAsia="Times New Roman" w:hAnsi="Times New Roman" w:cs="Times New Roman"/>
                <w:b/>
                <w:bCs/>
                <w:color w:val="000000"/>
                <w:sz w:val="24"/>
                <w:szCs w:val="24"/>
                <w:lang w:eastAsia="ru-RU"/>
              </w:rPr>
              <w:t>Price</w:t>
            </w:r>
            <w:proofErr w:type="spellEnd"/>
            <w:r w:rsidRPr="00F12908">
              <w:rPr>
                <w:rFonts w:ascii="Times New Roman" w:eastAsia="Times New Roman" w:hAnsi="Times New Roman" w:cs="Times New Roman"/>
                <w:b/>
                <w:bCs/>
                <w:color w:val="000000"/>
                <w:sz w:val="24"/>
                <w:szCs w:val="24"/>
                <w:lang w:eastAsia="ru-RU"/>
              </w:rPr>
              <w:t xml:space="preserve"> </w:t>
            </w:r>
          </w:p>
        </w:tc>
        <w:tc>
          <w:tcPr>
            <w:tcW w:w="276"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b/>
                <w:bCs/>
                <w:color w:val="000000"/>
                <w:sz w:val="24"/>
                <w:szCs w:val="24"/>
                <w:lang w:eastAsia="ru-RU"/>
              </w:rPr>
            </w:pPr>
            <w:r w:rsidRPr="00F12908">
              <w:rPr>
                <w:rFonts w:ascii="Times New Roman" w:eastAsia="Times New Roman" w:hAnsi="Times New Roman" w:cs="Times New Roman"/>
                <w:b/>
                <w:bCs/>
                <w:color w:val="000000"/>
                <w:sz w:val="24"/>
                <w:szCs w:val="24"/>
                <w:lang w:eastAsia="ru-RU"/>
              </w:rPr>
              <w:t> </w:t>
            </w:r>
          </w:p>
        </w:tc>
        <w:tc>
          <w:tcPr>
            <w:tcW w:w="3024"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b/>
                <w:bCs/>
                <w:color w:val="000000"/>
                <w:sz w:val="24"/>
                <w:szCs w:val="24"/>
                <w:lang w:eastAsia="ru-RU"/>
              </w:rPr>
            </w:pPr>
            <w:r w:rsidRPr="00F12908">
              <w:rPr>
                <w:rFonts w:ascii="Times New Roman" w:eastAsia="Times New Roman" w:hAnsi="Times New Roman" w:cs="Times New Roman"/>
                <w:b/>
                <w:bCs/>
                <w:color w:val="000000"/>
                <w:sz w:val="24"/>
                <w:szCs w:val="24"/>
                <w:lang w:eastAsia="ru-RU"/>
              </w:rPr>
              <w:t xml:space="preserve"> $       9,8 </w:t>
            </w:r>
          </w:p>
        </w:tc>
      </w:tr>
    </w:tbl>
    <w:p w:rsidR="0059775B" w:rsidRPr="001B4B2B" w:rsidRDefault="0059775B" w:rsidP="0059775B">
      <w:pPr>
        <w:spacing w:before="240" w:line="360" w:lineRule="auto"/>
        <w:jc w:val="both"/>
        <w:rPr>
          <w:rFonts w:ascii="Times New Roman" w:hAnsi="Times New Roman" w:cs="Times New Roman"/>
          <w:sz w:val="24"/>
          <w:szCs w:val="24"/>
        </w:rPr>
      </w:pPr>
      <w:r w:rsidRPr="001B4B2B">
        <w:rPr>
          <w:rFonts w:ascii="Times New Roman" w:hAnsi="Times New Roman" w:cs="Times New Roman"/>
          <w:sz w:val="24"/>
          <w:szCs w:val="24"/>
        </w:rPr>
        <w:t>Рассчитано по: Консолидированные финансовые отчетности компаний «Роснефть» и ТНК-ВР</w:t>
      </w:r>
    </w:p>
    <w:p w:rsidR="0059775B" w:rsidRDefault="0059775B" w:rsidP="0059775B">
      <w:pPr>
        <w:spacing w:before="240" w:line="360" w:lineRule="auto"/>
        <w:ind w:firstLine="708"/>
        <w:jc w:val="both"/>
        <w:rPr>
          <w:rFonts w:ascii="Times New Roman" w:hAnsi="Times New Roman" w:cs="Times New Roman"/>
          <w:sz w:val="24"/>
          <w:szCs w:val="24"/>
        </w:rPr>
      </w:pPr>
    </w:p>
    <w:p w:rsidR="00976843" w:rsidRDefault="00976843" w:rsidP="0059775B">
      <w:pPr>
        <w:spacing w:before="240" w:line="360" w:lineRule="auto"/>
        <w:ind w:firstLine="708"/>
        <w:jc w:val="both"/>
        <w:rPr>
          <w:rFonts w:ascii="Times New Roman" w:hAnsi="Times New Roman" w:cs="Times New Roman"/>
          <w:sz w:val="24"/>
          <w:szCs w:val="24"/>
        </w:rPr>
      </w:pPr>
    </w:p>
    <w:p w:rsidR="007C1744" w:rsidRDefault="007C1744" w:rsidP="0059775B">
      <w:pPr>
        <w:spacing w:before="240" w:line="360" w:lineRule="auto"/>
        <w:ind w:firstLine="708"/>
        <w:jc w:val="both"/>
        <w:rPr>
          <w:rFonts w:ascii="Times New Roman" w:hAnsi="Times New Roman" w:cs="Times New Roman"/>
          <w:sz w:val="24"/>
          <w:szCs w:val="24"/>
        </w:rPr>
      </w:pPr>
    </w:p>
    <w:p w:rsidR="008F43FC" w:rsidRDefault="008F43FC" w:rsidP="0059775B">
      <w:pPr>
        <w:spacing w:before="240" w:line="360" w:lineRule="auto"/>
        <w:ind w:firstLine="708"/>
        <w:jc w:val="both"/>
        <w:rPr>
          <w:rFonts w:ascii="Times New Roman" w:hAnsi="Times New Roman" w:cs="Times New Roman"/>
          <w:sz w:val="24"/>
          <w:szCs w:val="24"/>
        </w:rPr>
      </w:pPr>
    </w:p>
    <w:p w:rsidR="0059775B" w:rsidRDefault="007C1744" w:rsidP="0059775B">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Таблица 9</w:t>
      </w:r>
      <w:r w:rsidR="0059775B">
        <w:rPr>
          <w:rFonts w:ascii="Times New Roman" w:hAnsi="Times New Roman" w:cs="Times New Roman"/>
          <w:sz w:val="24"/>
          <w:szCs w:val="24"/>
        </w:rPr>
        <w:t xml:space="preserve"> </w:t>
      </w:r>
      <w:r w:rsidR="0059775B" w:rsidRPr="00FC6D1D">
        <w:rPr>
          <w:rFonts w:ascii="Times New Roman" w:hAnsi="Times New Roman" w:cs="Times New Roman"/>
          <w:sz w:val="24"/>
          <w:szCs w:val="24"/>
        </w:rPr>
        <w:t>Результаты оценки компа</w:t>
      </w:r>
      <w:r w:rsidR="008F43FC">
        <w:rPr>
          <w:rFonts w:ascii="Times New Roman" w:hAnsi="Times New Roman" w:cs="Times New Roman"/>
          <w:sz w:val="24"/>
          <w:szCs w:val="24"/>
        </w:rPr>
        <w:t xml:space="preserve">нии «Роснефть» до поглощения, </w:t>
      </w:r>
      <w:proofErr w:type="gramStart"/>
      <w:r w:rsidR="0059775B" w:rsidRPr="00FC6D1D">
        <w:rPr>
          <w:rFonts w:ascii="Times New Roman" w:hAnsi="Times New Roman" w:cs="Times New Roman"/>
          <w:sz w:val="24"/>
          <w:szCs w:val="24"/>
        </w:rPr>
        <w:t>млн</w:t>
      </w:r>
      <w:proofErr w:type="gramEnd"/>
      <w:r w:rsidR="0059775B" w:rsidRPr="00FC6D1D">
        <w:rPr>
          <w:rFonts w:ascii="Times New Roman" w:hAnsi="Times New Roman" w:cs="Times New Roman"/>
          <w:sz w:val="24"/>
          <w:szCs w:val="24"/>
        </w:rPr>
        <w:t xml:space="preserve"> долл. США</w:t>
      </w:r>
    </w:p>
    <w:tbl>
      <w:tblPr>
        <w:tblW w:w="7088" w:type="dxa"/>
        <w:tblInd w:w="1384" w:type="dxa"/>
        <w:tblLook w:val="04A0" w:firstRow="1" w:lastRow="0" w:firstColumn="1" w:lastColumn="0" w:noHBand="0" w:noVBand="1"/>
      </w:tblPr>
      <w:tblGrid>
        <w:gridCol w:w="4394"/>
        <w:gridCol w:w="1134"/>
        <w:gridCol w:w="1560"/>
      </w:tblGrid>
      <w:tr w:rsidR="0059775B" w:rsidRPr="00F12908" w:rsidTr="00E11D2C">
        <w:trPr>
          <w:trHeight w:val="300"/>
        </w:trPr>
        <w:tc>
          <w:tcPr>
            <w:tcW w:w="7088" w:type="dxa"/>
            <w:gridSpan w:val="3"/>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jc w:val="center"/>
              <w:rPr>
                <w:rFonts w:ascii="Times New Roman" w:eastAsia="Times New Roman" w:hAnsi="Times New Roman" w:cs="Times New Roman"/>
                <w:color w:val="000000"/>
                <w:sz w:val="24"/>
                <w:szCs w:val="20"/>
                <w:u w:val="single"/>
                <w:lang w:eastAsia="ru-RU"/>
              </w:rPr>
            </w:pPr>
            <w:proofErr w:type="spellStart"/>
            <w:r w:rsidRPr="00F12908">
              <w:rPr>
                <w:rFonts w:ascii="Times New Roman" w:eastAsia="Times New Roman" w:hAnsi="Times New Roman" w:cs="Times New Roman"/>
                <w:color w:val="000000"/>
                <w:sz w:val="24"/>
                <w:szCs w:val="20"/>
                <w:u w:val="single"/>
                <w:lang w:eastAsia="ru-RU"/>
              </w:rPr>
              <w:t>Implied</w:t>
            </w:r>
            <w:proofErr w:type="spellEnd"/>
            <w:r w:rsidRPr="00F12908">
              <w:rPr>
                <w:rFonts w:ascii="Times New Roman" w:eastAsia="Times New Roman" w:hAnsi="Times New Roman" w:cs="Times New Roman"/>
                <w:color w:val="000000"/>
                <w:sz w:val="24"/>
                <w:szCs w:val="20"/>
                <w:u w:val="single"/>
                <w:lang w:eastAsia="ru-RU"/>
              </w:rPr>
              <w:t xml:space="preserve"> </w:t>
            </w:r>
            <w:proofErr w:type="spellStart"/>
            <w:r w:rsidRPr="00F12908">
              <w:rPr>
                <w:rFonts w:ascii="Times New Roman" w:eastAsia="Times New Roman" w:hAnsi="Times New Roman" w:cs="Times New Roman"/>
                <w:color w:val="000000"/>
                <w:sz w:val="24"/>
                <w:szCs w:val="20"/>
                <w:u w:val="single"/>
                <w:lang w:eastAsia="ru-RU"/>
              </w:rPr>
              <w:t>Valuation</w:t>
            </w:r>
            <w:proofErr w:type="spellEnd"/>
          </w:p>
        </w:tc>
      </w:tr>
      <w:tr w:rsidR="0059775B" w:rsidRPr="00F12908" w:rsidTr="00E11D2C">
        <w:trPr>
          <w:trHeight w:val="315"/>
        </w:trPr>
        <w:tc>
          <w:tcPr>
            <w:tcW w:w="4394"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0"/>
                <w:lang w:val="en-US" w:eastAsia="ru-RU"/>
              </w:rPr>
            </w:pPr>
            <w:r w:rsidRPr="00F12908">
              <w:rPr>
                <w:rFonts w:ascii="Times New Roman" w:eastAsia="Times New Roman" w:hAnsi="Times New Roman" w:cs="Times New Roman"/>
                <w:color w:val="000000"/>
                <w:sz w:val="24"/>
                <w:szCs w:val="20"/>
                <w:lang w:val="en-US" w:eastAsia="ru-RU"/>
              </w:rPr>
              <w:t>Weighted Average Cost of Capital</w:t>
            </w:r>
          </w:p>
        </w:tc>
        <w:tc>
          <w:tcPr>
            <w:tcW w:w="1134"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0"/>
                <w:lang w:val="en-US" w:eastAsia="ru-RU"/>
              </w:rPr>
            </w:pPr>
            <w:r w:rsidRPr="00F12908">
              <w:rPr>
                <w:rFonts w:ascii="Times New Roman" w:eastAsia="Times New Roman" w:hAnsi="Times New Roman" w:cs="Times New Roman"/>
                <w:color w:val="000000"/>
                <w:sz w:val="24"/>
                <w:szCs w:val="20"/>
                <w:lang w:val="en-US" w:eastAsia="ru-RU"/>
              </w:rPr>
              <w:t> </w:t>
            </w:r>
          </w:p>
        </w:tc>
        <w:tc>
          <w:tcPr>
            <w:tcW w:w="1560"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F12908">
              <w:rPr>
                <w:rFonts w:ascii="Times New Roman" w:eastAsia="Times New Roman" w:hAnsi="Times New Roman" w:cs="Times New Roman"/>
                <w:color w:val="000000"/>
                <w:sz w:val="24"/>
                <w:szCs w:val="20"/>
                <w:lang w:eastAsia="ru-RU"/>
              </w:rPr>
              <w:t>10%</w:t>
            </w:r>
          </w:p>
        </w:tc>
      </w:tr>
      <w:tr w:rsidR="0059775B" w:rsidRPr="00F12908" w:rsidTr="00E11D2C">
        <w:trPr>
          <w:trHeight w:val="255"/>
        </w:trPr>
        <w:tc>
          <w:tcPr>
            <w:tcW w:w="4394"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0"/>
                <w:lang w:eastAsia="ru-RU"/>
              </w:rPr>
            </w:pPr>
            <w:proofErr w:type="spellStart"/>
            <w:r w:rsidRPr="00F12908">
              <w:rPr>
                <w:rFonts w:ascii="Times New Roman" w:eastAsia="Times New Roman" w:hAnsi="Times New Roman" w:cs="Times New Roman"/>
                <w:color w:val="000000"/>
                <w:sz w:val="24"/>
                <w:szCs w:val="20"/>
                <w:lang w:eastAsia="ru-RU"/>
              </w:rPr>
              <w:t>Long-Term</w:t>
            </w:r>
            <w:proofErr w:type="spellEnd"/>
            <w:r w:rsidRPr="00F12908">
              <w:rPr>
                <w:rFonts w:ascii="Times New Roman" w:eastAsia="Times New Roman" w:hAnsi="Times New Roman" w:cs="Times New Roman"/>
                <w:color w:val="000000"/>
                <w:sz w:val="24"/>
                <w:szCs w:val="20"/>
                <w:lang w:eastAsia="ru-RU"/>
              </w:rPr>
              <w:t xml:space="preserve"> </w:t>
            </w:r>
            <w:proofErr w:type="spellStart"/>
            <w:r w:rsidRPr="00F12908">
              <w:rPr>
                <w:rFonts w:ascii="Times New Roman" w:eastAsia="Times New Roman" w:hAnsi="Times New Roman" w:cs="Times New Roman"/>
                <w:color w:val="000000"/>
                <w:sz w:val="24"/>
                <w:szCs w:val="20"/>
                <w:lang w:eastAsia="ru-RU"/>
              </w:rPr>
              <w:t>Growth</w:t>
            </w:r>
            <w:proofErr w:type="spellEnd"/>
            <w:r w:rsidRPr="00F12908">
              <w:rPr>
                <w:rFonts w:ascii="Times New Roman" w:eastAsia="Times New Roman" w:hAnsi="Times New Roman" w:cs="Times New Roman"/>
                <w:color w:val="000000"/>
                <w:sz w:val="24"/>
                <w:szCs w:val="20"/>
                <w:lang w:eastAsia="ru-RU"/>
              </w:rPr>
              <w:t xml:space="preserve"> </w:t>
            </w:r>
            <w:proofErr w:type="spellStart"/>
            <w:r w:rsidRPr="00F12908">
              <w:rPr>
                <w:rFonts w:ascii="Times New Roman" w:eastAsia="Times New Roman" w:hAnsi="Times New Roman" w:cs="Times New Roman"/>
                <w:color w:val="000000"/>
                <w:sz w:val="24"/>
                <w:szCs w:val="20"/>
                <w:lang w:eastAsia="ru-RU"/>
              </w:rPr>
              <w:t>Rate</w:t>
            </w:r>
            <w:proofErr w:type="spellEnd"/>
          </w:p>
        </w:tc>
        <w:tc>
          <w:tcPr>
            <w:tcW w:w="1134"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0"/>
                <w:lang w:eastAsia="ru-RU"/>
              </w:rPr>
            </w:pPr>
            <w:r w:rsidRPr="00F12908">
              <w:rPr>
                <w:rFonts w:ascii="Times New Roman" w:eastAsia="Times New Roman" w:hAnsi="Times New Roman" w:cs="Times New Roman"/>
                <w:color w:val="000000"/>
                <w:sz w:val="24"/>
                <w:szCs w:val="20"/>
                <w:lang w:eastAsia="ru-RU"/>
              </w:rPr>
              <w:t> </w:t>
            </w:r>
          </w:p>
        </w:tc>
        <w:tc>
          <w:tcPr>
            <w:tcW w:w="1560"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F12908">
              <w:rPr>
                <w:rFonts w:ascii="Times New Roman" w:eastAsia="Times New Roman" w:hAnsi="Times New Roman" w:cs="Times New Roman"/>
                <w:color w:val="000000"/>
                <w:sz w:val="24"/>
                <w:szCs w:val="20"/>
                <w:lang w:eastAsia="ru-RU"/>
              </w:rPr>
              <w:t>1,5%</w:t>
            </w:r>
          </w:p>
        </w:tc>
      </w:tr>
      <w:tr w:rsidR="0059775B" w:rsidRPr="00F12908" w:rsidTr="00E11D2C">
        <w:trPr>
          <w:trHeight w:val="255"/>
        </w:trPr>
        <w:tc>
          <w:tcPr>
            <w:tcW w:w="4394"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b/>
                <w:bCs/>
                <w:color w:val="000000"/>
                <w:sz w:val="24"/>
                <w:szCs w:val="20"/>
                <w:lang w:eastAsia="ru-RU"/>
              </w:rPr>
            </w:pPr>
            <w:proofErr w:type="spellStart"/>
            <w:r w:rsidRPr="00F12908">
              <w:rPr>
                <w:rFonts w:ascii="Times New Roman" w:eastAsia="Times New Roman" w:hAnsi="Times New Roman" w:cs="Times New Roman"/>
                <w:b/>
                <w:bCs/>
                <w:color w:val="000000"/>
                <w:sz w:val="24"/>
                <w:szCs w:val="20"/>
                <w:lang w:eastAsia="ru-RU"/>
              </w:rPr>
              <w:t>Terminal</w:t>
            </w:r>
            <w:proofErr w:type="spellEnd"/>
            <w:r w:rsidRPr="00F12908">
              <w:rPr>
                <w:rFonts w:ascii="Times New Roman" w:eastAsia="Times New Roman" w:hAnsi="Times New Roman" w:cs="Times New Roman"/>
                <w:b/>
                <w:bCs/>
                <w:color w:val="000000"/>
                <w:sz w:val="24"/>
                <w:szCs w:val="20"/>
                <w:lang w:eastAsia="ru-RU"/>
              </w:rPr>
              <w:t xml:space="preserve"> </w:t>
            </w:r>
            <w:proofErr w:type="spellStart"/>
            <w:r w:rsidRPr="00F12908">
              <w:rPr>
                <w:rFonts w:ascii="Times New Roman" w:eastAsia="Times New Roman" w:hAnsi="Times New Roman" w:cs="Times New Roman"/>
                <w:b/>
                <w:bCs/>
                <w:color w:val="000000"/>
                <w:sz w:val="24"/>
                <w:szCs w:val="20"/>
                <w:lang w:eastAsia="ru-RU"/>
              </w:rPr>
              <w:t>value</w:t>
            </w:r>
            <w:proofErr w:type="spellEnd"/>
          </w:p>
        </w:tc>
        <w:tc>
          <w:tcPr>
            <w:tcW w:w="1134"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b/>
                <w:bCs/>
                <w:color w:val="000000"/>
                <w:sz w:val="24"/>
                <w:szCs w:val="20"/>
                <w:lang w:eastAsia="ru-RU"/>
              </w:rPr>
            </w:pPr>
            <w:r w:rsidRPr="00F12908">
              <w:rPr>
                <w:rFonts w:ascii="Times New Roman" w:eastAsia="Times New Roman" w:hAnsi="Times New Roman" w:cs="Times New Roman"/>
                <w:b/>
                <w:bCs/>
                <w:color w:val="000000"/>
                <w:sz w:val="24"/>
                <w:szCs w:val="20"/>
                <w:lang w:eastAsia="ru-RU"/>
              </w:rPr>
              <w:t> </w:t>
            </w:r>
          </w:p>
        </w:tc>
        <w:tc>
          <w:tcPr>
            <w:tcW w:w="1560"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sidRPr="00F12908">
              <w:rPr>
                <w:rFonts w:ascii="Times New Roman" w:eastAsia="Times New Roman" w:hAnsi="Times New Roman" w:cs="Times New Roman"/>
                <w:b/>
                <w:bCs/>
                <w:color w:val="000000"/>
                <w:sz w:val="24"/>
                <w:szCs w:val="20"/>
                <w:lang w:eastAsia="ru-RU"/>
              </w:rPr>
              <w:t xml:space="preserve"> $  25 184 </w:t>
            </w:r>
          </w:p>
        </w:tc>
      </w:tr>
      <w:tr w:rsidR="0059775B" w:rsidRPr="00F12908" w:rsidTr="00E11D2C">
        <w:trPr>
          <w:trHeight w:val="255"/>
        </w:trPr>
        <w:tc>
          <w:tcPr>
            <w:tcW w:w="4394"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0"/>
                <w:lang w:eastAsia="ru-RU"/>
              </w:rPr>
            </w:pPr>
            <w:r w:rsidRPr="00F12908">
              <w:rPr>
                <w:rFonts w:ascii="Times New Roman" w:eastAsia="Times New Roman" w:hAnsi="Times New Roman" w:cs="Times New Roman"/>
                <w:color w:val="000000"/>
                <w:sz w:val="24"/>
                <w:szCs w:val="20"/>
                <w:lang w:eastAsia="ru-RU"/>
              </w:rPr>
              <w:t>PV(</w:t>
            </w:r>
            <w:proofErr w:type="spellStart"/>
            <w:r w:rsidRPr="00F12908">
              <w:rPr>
                <w:rFonts w:ascii="Times New Roman" w:eastAsia="Times New Roman" w:hAnsi="Times New Roman" w:cs="Times New Roman"/>
                <w:color w:val="000000"/>
                <w:sz w:val="24"/>
                <w:szCs w:val="20"/>
                <w:lang w:eastAsia="ru-RU"/>
              </w:rPr>
              <w:t>Terminal</w:t>
            </w:r>
            <w:proofErr w:type="spellEnd"/>
            <w:r w:rsidRPr="00F12908">
              <w:rPr>
                <w:rFonts w:ascii="Times New Roman" w:eastAsia="Times New Roman" w:hAnsi="Times New Roman" w:cs="Times New Roman"/>
                <w:color w:val="000000"/>
                <w:sz w:val="24"/>
                <w:szCs w:val="20"/>
                <w:lang w:eastAsia="ru-RU"/>
              </w:rPr>
              <w:t xml:space="preserve"> </w:t>
            </w:r>
            <w:proofErr w:type="spellStart"/>
            <w:r w:rsidRPr="00F12908">
              <w:rPr>
                <w:rFonts w:ascii="Times New Roman" w:eastAsia="Times New Roman" w:hAnsi="Times New Roman" w:cs="Times New Roman"/>
                <w:color w:val="000000"/>
                <w:sz w:val="24"/>
                <w:szCs w:val="20"/>
                <w:lang w:eastAsia="ru-RU"/>
              </w:rPr>
              <w:t>value</w:t>
            </w:r>
            <w:proofErr w:type="spellEnd"/>
            <w:r w:rsidRPr="00F12908">
              <w:rPr>
                <w:rFonts w:ascii="Times New Roman" w:eastAsia="Times New Roman" w:hAnsi="Times New Roman" w:cs="Times New Roman"/>
                <w:color w:val="000000"/>
                <w:sz w:val="24"/>
                <w:szCs w:val="20"/>
                <w:lang w:eastAsia="ru-RU"/>
              </w:rPr>
              <w:t>)</w:t>
            </w:r>
          </w:p>
        </w:tc>
        <w:tc>
          <w:tcPr>
            <w:tcW w:w="1134"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0"/>
                <w:lang w:eastAsia="ru-RU"/>
              </w:rPr>
            </w:pPr>
            <w:r w:rsidRPr="00F12908">
              <w:rPr>
                <w:rFonts w:ascii="Times New Roman" w:eastAsia="Times New Roman" w:hAnsi="Times New Roman" w:cs="Times New Roman"/>
                <w:color w:val="000000"/>
                <w:sz w:val="24"/>
                <w:szCs w:val="20"/>
                <w:lang w:eastAsia="ru-RU"/>
              </w:rPr>
              <w:t> </w:t>
            </w:r>
          </w:p>
        </w:tc>
        <w:tc>
          <w:tcPr>
            <w:tcW w:w="1560"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F12908">
              <w:rPr>
                <w:rFonts w:ascii="Times New Roman" w:eastAsia="Times New Roman" w:hAnsi="Times New Roman" w:cs="Times New Roman"/>
                <w:color w:val="000000"/>
                <w:sz w:val="24"/>
                <w:szCs w:val="20"/>
                <w:lang w:eastAsia="ru-RU"/>
              </w:rPr>
              <w:t xml:space="preserve">     15 910 </w:t>
            </w:r>
          </w:p>
        </w:tc>
      </w:tr>
      <w:tr w:rsidR="0059775B" w:rsidRPr="00F12908" w:rsidTr="00E11D2C">
        <w:trPr>
          <w:trHeight w:val="255"/>
        </w:trPr>
        <w:tc>
          <w:tcPr>
            <w:tcW w:w="4394" w:type="dxa"/>
            <w:tcBorders>
              <w:top w:val="nil"/>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0"/>
                <w:lang w:val="en-US" w:eastAsia="ru-RU"/>
              </w:rPr>
            </w:pPr>
            <w:r w:rsidRPr="00F12908">
              <w:rPr>
                <w:rFonts w:ascii="Times New Roman" w:eastAsia="Times New Roman" w:hAnsi="Times New Roman" w:cs="Times New Roman"/>
                <w:color w:val="000000"/>
                <w:sz w:val="24"/>
                <w:szCs w:val="20"/>
                <w:lang w:val="en-US" w:eastAsia="ru-RU"/>
              </w:rPr>
              <w:t>PV (CF over next 6 years)</w:t>
            </w:r>
          </w:p>
        </w:tc>
        <w:tc>
          <w:tcPr>
            <w:tcW w:w="1134"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0"/>
                <w:lang w:val="en-US" w:eastAsia="ru-RU"/>
              </w:rPr>
            </w:pPr>
            <w:r w:rsidRPr="00F12908">
              <w:rPr>
                <w:rFonts w:ascii="Times New Roman" w:eastAsia="Times New Roman" w:hAnsi="Times New Roman" w:cs="Times New Roman"/>
                <w:color w:val="000000"/>
                <w:sz w:val="24"/>
                <w:szCs w:val="20"/>
                <w:lang w:val="en-US" w:eastAsia="ru-RU"/>
              </w:rPr>
              <w:t> </w:t>
            </w:r>
          </w:p>
        </w:tc>
        <w:tc>
          <w:tcPr>
            <w:tcW w:w="1560" w:type="dxa"/>
            <w:tcBorders>
              <w:top w:val="nil"/>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F12908">
              <w:rPr>
                <w:rFonts w:ascii="Times New Roman" w:eastAsia="Times New Roman" w:hAnsi="Times New Roman" w:cs="Times New Roman"/>
                <w:color w:val="000000"/>
                <w:sz w:val="24"/>
                <w:szCs w:val="20"/>
                <w:lang w:val="en-US" w:eastAsia="ru-RU"/>
              </w:rPr>
              <w:t xml:space="preserve">      </w:t>
            </w:r>
            <w:r w:rsidRPr="00F12908">
              <w:rPr>
                <w:rFonts w:ascii="Times New Roman" w:eastAsia="Times New Roman" w:hAnsi="Times New Roman" w:cs="Times New Roman"/>
                <w:color w:val="000000"/>
                <w:sz w:val="24"/>
                <w:szCs w:val="20"/>
                <w:lang w:eastAsia="ru-RU"/>
              </w:rPr>
              <w:t xml:space="preserve">8 171 </w:t>
            </w:r>
          </w:p>
        </w:tc>
      </w:tr>
      <w:tr w:rsidR="0059775B" w:rsidRPr="00F12908" w:rsidTr="00E11D2C">
        <w:trPr>
          <w:trHeight w:val="255"/>
        </w:trPr>
        <w:tc>
          <w:tcPr>
            <w:tcW w:w="4394"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b/>
                <w:bCs/>
                <w:color w:val="000000"/>
                <w:sz w:val="24"/>
                <w:szCs w:val="20"/>
                <w:lang w:eastAsia="ru-RU"/>
              </w:rPr>
            </w:pPr>
            <w:proofErr w:type="spellStart"/>
            <w:r w:rsidRPr="00F12908">
              <w:rPr>
                <w:rFonts w:ascii="Times New Roman" w:eastAsia="Times New Roman" w:hAnsi="Times New Roman" w:cs="Times New Roman"/>
                <w:b/>
                <w:bCs/>
                <w:color w:val="000000"/>
                <w:sz w:val="24"/>
                <w:szCs w:val="20"/>
                <w:lang w:eastAsia="ru-RU"/>
              </w:rPr>
              <w:t>Enterprise</w:t>
            </w:r>
            <w:proofErr w:type="spellEnd"/>
            <w:r w:rsidRPr="00F12908">
              <w:rPr>
                <w:rFonts w:ascii="Times New Roman" w:eastAsia="Times New Roman" w:hAnsi="Times New Roman" w:cs="Times New Roman"/>
                <w:b/>
                <w:bCs/>
                <w:color w:val="000000"/>
                <w:sz w:val="24"/>
                <w:szCs w:val="20"/>
                <w:lang w:eastAsia="ru-RU"/>
              </w:rPr>
              <w:t xml:space="preserve"> </w:t>
            </w:r>
            <w:proofErr w:type="spellStart"/>
            <w:r w:rsidRPr="00F12908">
              <w:rPr>
                <w:rFonts w:ascii="Times New Roman" w:eastAsia="Times New Roman" w:hAnsi="Times New Roman" w:cs="Times New Roman"/>
                <w:b/>
                <w:bCs/>
                <w:color w:val="000000"/>
                <w:sz w:val="24"/>
                <w:szCs w:val="20"/>
                <w:lang w:eastAsia="ru-RU"/>
              </w:rPr>
              <w:t>value</w:t>
            </w:r>
            <w:proofErr w:type="spellEnd"/>
            <w:r w:rsidRPr="00F12908">
              <w:rPr>
                <w:rFonts w:ascii="Times New Roman" w:eastAsia="Times New Roman" w:hAnsi="Times New Roman" w:cs="Times New Roman"/>
                <w:b/>
                <w:bCs/>
                <w:color w:val="000000"/>
                <w:sz w:val="24"/>
                <w:szCs w:val="20"/>
                <w:lang w:eastAsia="ru-RU"/>
              </w:rPr>
              <w:t xml:space="preserve"> </w:t>
            </w:r>
          </w:p>
        </w:tc>
        <w:tc>
          <w:tcPr>
            <w:tcW w:w="1134"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b/>
                <w:bCs/>
                <w:color w:val="000000"/>
                <w:sz w:val="24"/>
                <w:szCs w:val="20"/>
                <w:lang w:eastAsia="ru-RU"/>
              </w:rPr>
            </w:pPr>
            <w:r w:rsidRPr="00F12908">
              <w:rPr>
                <w:rFonts w:ascii="Times New Roman" w:eastAsia="Times New Roman" w:hAnsi="Times New Roman" w:cs="Times New Roman"/>
                <w:b/>
                <w:bCs/>
                <w:color w:val="000000"/>
                <w:sz w:val="24"/>
                <w:szCs w:val="20"/>
                <w:lang w:eastAsia="ru-RU"/>
              </w:rPr>
              <w:t> </w:t>
            </w:r>
          </w:p>
        </w:tc>
        <w:tc>
          <w:tcPr>
            <w:tcW w:w="1560"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sidRPr="00F12908">
              <w:rPr>
                <w:rFonts w:ascii="Times New Roman" w:eastAsia="Times New Roman" w:hAnsi="Times New Roman" w:cs="Times New Roman"/>
                <w:b/>
                <w:bCs/>
                <w:color w:val="000000"/>
                <w:sz w:val="24"/>
                <w:szCs w:val="20"/>
                <w:lang w:eastAsia="ru-RU"/>
              </w:rPr>
              <w:t xml:space="preserve"> $  24 082 </w:t>
            </w:r>
          </w:p>
        </w:tc>
      </w:tr>
      <w:tr w:rsidR="0059775B" w:rsidRPr="00F12908" w:rsidTr="00E11D2C">
        <w:trPr>
          <w:trHeight w:val="255"/>
        </w:trPr>
        <w:tc>
          <w:tcPr>
            <w:tcW w:w="4394"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0"/>
                <w:lang w:eastAsia="ru-RU"/>
              </w:rPr>
            </w:pPr>
            <w:r w:rsidRPr="00F12908">
              <w:rPr>
                <w:rFonts w:ascii="Times New Roman" w:eastAsia="Times New Roman" w:hAnsi="Times New Roman" w:cs="Times New Roman"/>
                <w:color w:val="000000"/>
                <w:sz w:val="24"/>
                <w:szCs w:val="20"/>
                <w:lang w:eastAsia="ru-RU"/>
              </w:rPr>
              <w:t xml:space="preserve"> - </w:t>
            </w:r>
            <w:proofErr w:type="spellStart"/>
            <w:r w:rsidRPr="00F12908">
              <w:rPr>
                <w:rFonts w:ascii="Times New Roman" w:eastAsia="Times New Roman" w:hAnsi="Times New Roman" w:cs="Times New Roman"/>
                <w:color w:val="000000"/>
                <w:sz w:val="24"/>
                <w:szCs w:val="20"/>
                <w:lang w:eastAsia="ru-RU"/>
              </w:rPr>
              <w:t>Debt</w:t>
            </w:r>
            <w:proofErr w:type="spellEnd"/>
          </w:p>
        </w:tc>
        <w:tc>
          <w:tcPr>
            <w:tcW w:w="1134"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0"/>
                <w:lang w:eastAsia="ru-RU"/>
              </w:rPr>
            </w:pPr>
            <w:r w:rsidRPr="00F12908">
              <w:rPr>
                <w:rFonts w:ascii="Times New Roman" w:eastAsia="Times New Roman" w:hAnsi="Times New Roman" w:cs="Times New Roman"/>
                <w:color w:val="000000"/>
                <w:sz w:val="24"/>
                <w:szCs w:val="20"/>
                <w:lang w:eastAsia="ru-RU"/>
              </w:rPr>
              <w:t> </w:t>
            </w:r>
          </w:p>
        </w:tc>
        <w:tc>
          <w:tcPr>
            <w:tcW w:w="1560" w:type="dxa"/>
            <w:tcBorders>
              <w:top w:val="single" w:sz="18" w:space="0" w:color="auto"/>
              <w:left w:val="nil"/>
              <w:bottom w:val="nil"/>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F12908">
              <w:rPr>
                <w:rFonts w:ascii="Times New Roman" w:eastAsia="Times New Roman" w:hAnsi="Times New Roman" w:cs="Times New Roman"/>
                <w:color w:val="000000"/>
                <w:sz w:val="24"/>
                <w:szCs w:val="20"/>
                <w:lang w:eastAsia="ru-RU"/>
              </w:rPr>
              <w:t xml:space="preserve">     13 500 </w:t>
            </w:r>
          </w:p>
        </w:tc>
      </w:tr>
      <w:tr w:rsidR="0059775B" w:rsidRPr="00F12908" w:rsidTr="00E11D2C">
        <w:trPr>
          <w:trHeight w:val="255"/>
        </w:trPr>
        <w:tc>
          <w:tcPr>
            <w:tcW w:w="4394" w:type="dxa"/>
            <w:tcBorders>
              <w:top w:val="nil"/>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0"/>
                <w:lang w:eastAsia="ru-RU"/>
              </w:rPr>
            </w:pPr>
            <w:r w:rsidRPr="00F12908">
              <w:rPr>
                <w:rFonts w:ascii="Times New Roman" w:eastAsia="Times New Roman" w:hAnsi="Times New Roman" w:cs="Times New Roman"/>
                <w:color w:val="000000"/>
                <w:sz w:val="24"/>
                <w:szCs w:val="20"/>
                <w:lang w:eastAsia="ru-RU"/>
              </w:rPr>
              <w:t xml:space="preserve"> +  </w:t>
            </w:r>
            <w:proofErr w:type="spellStart"/>
            <w:r w:rsidRPr="00F12908">
              <w:rPr>
                <w:rFonts w:ascii="Times New Roman" w:eastAsia="Times New Roman" w:hAnsi="Times New Roman" w:cs="Times New Roman"/>
                <w:color w:val="000000"/>
                <w:sz w:val="24"/>
                <w:szCs w:val="20"/>
                <w:lang w:eastAsia="ru-RU"/>
              </w:rPr>
              <w:t>Cash</w:t>
            </w:r>
            <w:proofErr w:type="spellEnd"/>
          </w:p>
        </w:tc>
        <w:tc>
          <w:tcPr>
            <w:tcW w:w="1134" w:type="dxa"/>
            <w:tcBorders>
              <w:top w:val="nil"/>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0"/>
                <w:lang w:eastAsia="ru-RU"/>
              </w:rPr>
            </w:pPr>
            <w:r w:rsidRPr="00F12908">
              <w:rPr>
                <w:rFonts w:ascii="Times New Roman" w:eastAsia="Times New Roman" w:hAnsi="Times New Roman" w:cs="Times New Roman"/>
                <w:color w:val="000000"/>
                <w:sz w:val="24"/>
                <w:szCs w:val="20"/>
                <w:lang w:eastAsia="ru-RU"/>
              </w:rPr>
              <w:t> </w:t>
            </w:r>
          </w:p>
        </w:tc>
        <w:tc>
          <w:tcPr>
            <w:tcW w:w="1560" w:type="dxa"/>
            <w:tcBorders>
              <w:top w:val="nil"/>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F12908">
              <w:rPr>
                <w:rFonts w:ascii="Times New Roman" w:eastAsia="Times New Roman" w:hAnsi="Times New Roman" w:cs="Times New Roman"/>
                <w:color w:val="000000"/>
                <w:sz w:val="24"/>
                <w:szCs w:val="20"/>
                <w:lang w:eastAsia="ru-RU"/>
              </w:rPr>
              <w:t xml:space="preserve">      9 652 </w:t>
            </w:r>
          </w:p>
        </w:tc>
      </w:tr>
      <w:tr w:rsidR="0059775B" w:rsidRPr="00F12908" w:rsidTr="00E11D2C">
        <w:trPr>
          <w:trHeight w:val="285"/>
        </w:trPr>
        <w:tc>
          <w:tcPr>
            <w:tcW w:w="4394"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b/>
                <w:bCs/>
                <w:color w:val="000000"/>
                <w:sz w:val="24"/>
                <w:szCs w:val="20"/>
                <w:lang w:eastAsia="ru-RU"/>
              </w:rPr>
            </w:pPr>
            <w:proofErr w:type="spellStart"/>
            <w:r w:rsidRPr="00F12908">
              <w:rPr>
                <w:rFonts w:ascii="Times New Roman" w:eastAsia="Times New Roman" w:hAnsi="Times New Roman" w:cs="Times New Roman"/>
                <w:b/>
                <w:bCs/>
                <w:color w:val="000000"/>
                <w:sz w:val="24"/>
                <w:szCs w:val="20"/>
                <w:lang w:eastAsia="ru-RU"/>
              </w:rPr>
              <w:t>Value</w:t>
            </w:r>
            <w:proofErr w:type="spellEnd"/>
            <w:r w:rsidRPr="00F12908">
              <w:rPr>
                <w:rFonts w:ascii="Times New Roman" w:eastAsia="Times New Roman" w:hAnsi="Times New Roman" w:cs="Times New Roman"/>
                <w:b/>
                <w:bCs/>
                <w:color w:val="000000"/>
                <w:sz w:val="24"/>
                <w:szCs w:val="20"/>
                <w:lang w:eastAsia="ru-RU"/>
              </w:rPr>
              <w:t xml:space="preserve"> </w:t>
            </w:r>
            <w:proofErr w:type="spellStart"/>
            <w:r w:rsidRPr="00F12908">
              <w:rPr>
                <w:rFonts w:ascii="Times New Roman" w:eastAsia="Times New Roman" w:hAnsi="Times New Roman" w:cs="Times New Roman"/>
                <w:b/>
                <w:bCs/>
                <w:color w:val="000000"/>
                <w:sz w:val="24"/>
                <w:szCs w:val="20"/>
                <w:lang w:eastAsia="ru-RU"/>
              </w:rPr>
              <w:t>of</w:t>
            </w:r>
            <w:proofErr w:type="spellEnd"/>
            <w:r w:rsidRPr="00F12908">
              <w:rPr>
                <w:rFonts w:ascii="Times New Roman" w:eastAsia="Times New Roman" w:hAnsi="Times New Roman" w:cs="Times New Roman"/>
                <w:b/>
                <w:bCs/>
                <w:color w:val="000000"/>
                <w:sz w:val="24"/>
                <w:szCs w:val="20"/>
                <w:lang w:eastAsia="ru-RU"/>
              </w:rPr>
              <w:t xml:space="preserve"> </w:t>
            </w:r>
            <w:proofErr w:type="spellStart"/>
            <w:r w:rsidRPr="00F12908">
              <w:rPr>
                <w:rFonts w:ascii="Times New Roman" w:eastAsia="Times New Roman" w:hAnsi="Times New Roman" w:cs="Times New Roman"/>
                <w:b/>
                <w:bCs/>
                <w:color w:val="000000"/>
                <w:sz w:val="24"/>
                <w:szCs w:val="20"/>
                <w:lang w:eastAsia="ru-RU"/>
              </w:rPr>
              <w:t>equity</w:t>
            </w:r>
            <w:proofErr w:type="spellEnd"/>
          </w:p>
        </w:tc>
        <w:tc>
          <w:tcPr>
            <w:tcW w:w="1134"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b/>
                <w:bCs/>
                <w:color w:val="000000"/>
                <w:sz w:val="24"/>
                <w:szCs w:val="20"/>
                <w:lang w:eastAsia="ru-RU"/>
              </w:rPr>
            </w:pPr>
            <w:r w:rsidRPr="00F12908">
              <w:rPr>
                <w:rFonts w:ascii="Times New Roman" w:eastAsia="Times New Roman" w:hAnsi="Times New Roman" w:cs="Times New Roman"/>
                <w:b/>
                <w:bCs/>
                <w:color w:val="000000"/>
                <w:sz w:val="24"/>
                <w:szCs w:val="20"/>
                <w:lang w:eastAsia="ru-RU"/>
              </w:rPr>
              <w:t> </w:t>
            </w:r>
          </w:p>
        </w:tc>
        <w:tc>
          <w:tcPr>
            <w:tcW w:w="1560"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sidRPr="00F12908">
              <w:rPr>
                <w:rFonts w:ascii="Times New Roman" w:eastAsia="Times New Roman" w:hAnsi="Times New Roman" w:cs="Times New Roman"/>
                <w:b/>
                <w:bCs/>
                <w:color w:val="000000"/>
                <w:sz w:val="24"/>
                <w:szCs w:val="20"/>
                <w:lang w:eastAsia="ru-RU"/>
              </w:rPr>
              <w:t xml:space="preserve"> $  20 234 </w:t>
            </w:r>
          </w:p>
        </w:tc>
      </w:tr>
      <w:tr w:rsidR="0059775B" w:rsidRPr="00F12908" w:rsidTr="00E11D2C">
        <w:trPr>
          <w:trHeight w:val="285"/>
        </w:trPr>
        <w:tc>
          <w:tcPr>
            <w:tcW w:w="4394"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0"/>
                <w:lang w:eastAsia="ru-RU"/>
              </w:rPr>
            </w:pPr>
            <w:proofErr w:type="spellStart"/>
            <w:r w:rsidRPr="00F12908">
              <w:rPr>
                <w:rFonts w:ascii="Times New Roman" w:eastAsia="Times New Roman" w:hAnsi="Times New Roman" w:cs="Times New Roman"/>
                <w:color w:val="000000"/>
                <w:sz w:val="24"/>
                <w:szCs w:val="20"/>
                <w:lang w:eastAsia="ru-RU"/>
              </w:rPr>
              <w:t>Number</w:t>
            </w:r>
            <w:proofErr w:type="spellEnd"/>
            <w:r w:rsidRPr="00F12908">
              <w:rPr>
                <w:rFonts w:ascii="Times New Roman" w:eastAsia="Times New Roman" w:hAnsi="Times New Roman" w:cs="Times New Roman"/>
                <w:color w:val="000000"/>
                <w:sz w:val="24"/>
                <w:szCs w:val="20"/>
                <w:lang w:eastAsia="ru-RU"/>
              </w:rPr>
              <w:t xml:space="preserve"> </w:t>
            </w:r>
            <w:proofErr w:type="spellStart"/>
            <w:r w:rsidRPr="00F12908">
              <w:rPr>
                <w:rFonts w:ascii="Times New Roman" w:eastAsia="Times New Roman" w:hAnsi="Times New Roman" w:cs="Times New Roman"/>
                <w:color w:val="000000"/>
                <w:sz w:val="24"/>
                <w:szCs w:val="20"/>
                <w:lang w:eastAsia="ru-RU"/>
              </w:rPr>
              <w:t>of</w:t>
            </w:r>
            <w:proofErr w:type="spellEnd"/>
            <w:r w:rsidRPr="00F12908">
              <w:rPr>
                <w:rFonts w:ascii="Times New Roman" w:eastAsia="Times New Roman" w:hAnsi="Times New Roman" w:cs="Times New Roman"/>
                <w:color w:val="000000"/>
                <w:sz w:val="24"/>
                <w:szCs w:val="20"/>
                <w:lang w:eastAsia="ru-RU"/>
              </w:rPr>
              <w:t xml:space="preserve"> </w:t>
            </w:r>
            <w:proofErr w:type="spellStart"/>
            <w:r w:rsidRPr="00F12908">
              <w:rPr>
                <w:rFonts w:ascii="Times New Roman" w:eastAsia="Times New Roman" w:hAnsi="Times New Roman" w:cs="Times New Roman"/>
                <w:color w:val="000000"/>
                <w:sz w:val="24"/>
                <w:szCs w:val="20"/>
                <w:lang w:eastAsia="ru-RU"/>
              </w:rPr>
              <w:t>shares</w:t>
            </w:r>
            <w:proofErr w:type="spellEnd"/>
          </w:p>
        </w:tc>
        <w:tc>
          <w:tcPr>
            <w:tcW w:w="1134"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color w:val="000000"/>
                <w:sz w:val="24"/>
                <w:szCs w:val="20"/>
                <w:lang w:eastAsia="ru-RU"/>
              </w:rPr>
            </w:pPr>
            <w:r w:rsidRPr="00F12908">
              <w:rPr>
                <w:rFonts w:ascii="Times New Roman" w:eastAsia="Times New Roman" w:hAnsi="Times New Roman" w:cs="Times New Roman"/>
                <w:color w:val="000000"/>
                <w:sz w:val="24"/>
                <w:szCs w:val="20"/>
                <w:lang w:eastAsia="ru-RU"/>
              </w:rPr>
              <w:t> </w:t>
            </w:r>
          </w:p>
        </w:tc>
        <w:tc>
          <w:tcPr>
            <w:tcW w:w="1560"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color w:val="000000"/>
                <w:sz w:val="24"/>
                <w:szCs w:val="20"/>
                <w:lang w:eastAsia="ru-RU"/>
              </w:rPr>
            </w:pPr>
            <w:r w:rsidRPr="00F12908">
              <w:rPr>
                <w:rFonts w:ascii="Times New Roman" w:eastAsia="Times New Roman" w:hAnsi="Times New Roman" w:cs="Times New Roman"/>
                <w:color w:val="000000"/>
                <w:sz w:val="24"/>
                <w:szCs w:val="20"/>
                <w:lang w:eastAsia="ru-RU"/>
              </w:rPr>
              <w:t>9238</w:t>
            </w:r>
          </w:p>
        </w:tc>
      </w:tr>
      <w:tr w:rsidR="0059775B" w:rsidRPr="00F12908" w:rsidTr="00E11D2C">
        <w:trPr>
          <w:trHeight w:val="255"/>
        </w:trPr>
        <w:tc>
          <w:tcPr>
            <w:tcW w:w="4394"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b/>
                <w:bCs/>
                <w:color w:val="000000"/>
                <w:sz w:val="24"/>
                <w:szCs w:val="20"/>
                <w:lang w:eastAsia="ru-RU"/>
              </w:rPr>
            </w:pPr>
            <w:r w:rsidRPr="00F12908">
              <w:rPr>
                <w:rFonts w:ascii="Times New Roman" w:eastAsia="Times New Roman" w:hAnsi="Times New Roman" w:cs="Times New Roman"/>
                <w:b/>
                <w:bCs/>
                <w:color w:val="000000"/>
                <w:sz w:val="24"/>
                <w:szCs w:val="20"/>
                <w:lang w:eastAsia="ru-RU"/>
              </w:rPr>
              <w:t xml:space="preserve"> </w:t>
            </w:r>
            <w:proofErr w:type="spellStart"/>
            <w:r w:rsidRPr="00F12908">
              <w:rPr>
                <w:rFonts w:ascii="Times New Roman" w:eastAsia="Times New Roman" w:hAnsi="Times New Roman" w:cs="Times New Roman"/>
                <w:b/>
                <w:bCs/>
                <w:color w:val="000000"/>
                <w:sz w:val="24"/>
                <w:szCs w:val="20"/>
                <w:lang w:eastAsia="ru-RU"/>
              </w:rPr>
              <w:t>Estimated</w:t>
            </w:r>
            <w:proofErr w:type="spellEnd"/>
            <w:r w:rsidRPr="00F12908">
              <w:rPr>
                <w:rFonts w:ascii="Times New Roman" w:eastAsia="Times New Roman" w:hAnsi="Times New Roman" w:cs="Times New Roman"/>
                <w:b/>
                <w:bCs/>
                <w:color w:val="000000"/>
                <w:sz w:val="24"/>
                <w:szCs w:val="20"/>
                <w:lang w:eastAsia="ru-RU"/>
              </w:rPr>
              <w:t xml:space="preserve"> </w:t>
            </w:r>
            <w:proofErr w:type="spellStart"/>
            <w:r w:rsidRPr="00F12908">
              <w:rPr>
                <w:rFonts w:ascii="Times New Roman" w:eastAsia="Times New Roman" w:hAnsi="Times New Roman" w:cs="Times New Roman"/>
                <w:b/>
                <w:bCs/>
                <w:color w:val="000000"/>
                <w:sz w:val="24"/>
                <w:szCs w:val="20"/>
                <w:lang w:eastAsia="ru-RU"/>
              </w:rPr>
              <w:t>Price</w:t>
            </w:r>
            <w:proofErr w:type="spellEnd"/>
            <w:r w:rsidRPr="00F12908">
              <w:rPr>
                <w:rFonts w:ascii="Times New Roman" w:eastAsia="Times New Roman" w:hAnsi="Times New Roman" w:cs="Times New Roman"/>
                <w:b/>
                <w:bCs/>
                <w:color w:val="000000"/>
                <w:sz w:val="24"/>
                <w:szCs w:val="20"/>
                <w:lang w:eastAsia="ru-RU"/>
              </w:rPr>
              <w:t xml:space="preserve"> </w:t>
            </w:r>
          </w:p>
        </w:tc>
        <w:tc>
          <w:tcPr>
            <w:tcW w:w="1134"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rPr>
                <w:rFonts w:ascii="Times New Roman" w:eastAsia="Times New Roman" w:hAnsi="Times New Roman" w:cs="Times New Roman"/>
                <w:b/>
                <w:bCs/>
                <w:color w:val="000000"/>
                <w:sz w:val="24"/>
                <w:szCs w:val="20"/>
                <w:lang w:eastAsia="ru-RU"/>
              </w:rPr>
            </w:pPr>
            <w:r w:rsidRPr="00F12908">
              <w:rPr>
                <w:rFonts w:ascii="Times New Roman" w:eastAsia="Times New Roman" w:hAnsi="Times New Roman" w:cs="Times New Roman"/>
                <w:b/>
                <w:bCs/>
                <w:color w:val="000000"/>
                <w:sz w:val="24"/>
                <w:szCs w:val="20"/>
                <w:lang w:eastAsia="ru-RU"/>
              </w:rPr>
              <w:t> </w:t>
            </w:r>
          </w:p>
        </w:tc>
        <w:tc>
          <w:tcPr>
            <w:tcW w:w="1560"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sidRPr="00F12908">
              <w:rPr>
                <w:rFonts w:ascii="Times New Roman" w:eastAsia="Times New Roman" w:hAnsi="Times New Roman" w:cs="Times New Roman"/>
                <w:b/>
                <w:bCs/>
                <w:color w:val="000000"/>
                <w:sz w:val="24"/>
                <w:szCs w:val="20"/>
                <w:lang w:eastAsia="ru-RU"/>
              </w:rPr>
              <w:t xml:space="preserve"> $       2,2 </w:t>
            </w:r>
          </w:p>
        </w:tc>
      </w:tr>
    </w:tbl>
    <w:p w:rsidR="0059775B" w:rsidRPr="001B4B2B" w:rsidRDefault="0059775B" w:rsidP="0059775B">
      <w:pPr>
        <w:spacing w:before="240" w:line="360" w:lineRule="auto"/>
        <w:jc w:val="both"/>
        <w:rPr>
          <w:rFonts w:ascii="Times New Roman" w:hAnsi="Times New Roman" w:cs="Times New Roman"/>
          <w:sz w:val="24"/>
          <w:szCs w:val="24"/>
        </w:rPr>
      </w:pPr>
      <w:r w:rsidRPr="001B4B2B">
        <w:rPr>
          <w:rFonts w:ascii="Times New Roman" w:hAnsi="Times New Roman" w:cs="Times New Roman"/>
          <w:sz w:val="24"/>
          <w:szCs w:val="24"/>
        </w:rPr>
        <w:t>Рассчитано по: Консолидированная финансовая отчетность компании «Роснефть»</w:t>
      </w:r>
    </w:p>
    <w:p w:rsidR="0059775B" w:rsidRDefault="0059775B" w:rsidP="0059775B">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Ниже представлены расчеты </w:t>
      </w:r>
      <w:r>
        <w:rPr>
          <w:rFonts w:ascii="Times New Roman" w:hAnsi="Times New Roman" w:cs="Times New Roman"/>
          <w:color w:val="000000" w:themeColor="text1"/>
          <w:sz w:val="24"/>
          <w:szCs w:val="24"/>
          <w:lang w:val="en-US"/>
        </w:rPr>
        <w:t>NPV</w:t>
      </w:r>
      <w:r w:rsidRPr="00FF4F2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слияния:</w:t>
      </w:r>
    </w:p>
    <w:p w:rsidR="0059775B" w:rsidRDefault="0059775B" w:rsidP="0059775B">
      <w:pPr>
        <w:spacing w:line="360" w:lineRule="auto"/>
        <w:ind w:firstLine="708"/>
        <w:jc w:val="both"/>
        <w:rPr>
          <w:rFonts w:ascii="Times New Roman" w:hAnsi="Times New Roman" w:cs="Times New Roman"/>
          <w:color w:val="000000" w:themeColor="text1"/>
          <w:sz w:val="24"/>
          <w:szCs w:val="24"/>
        </w:rPr>
      </w:pPr>
      <w:r w:rsidRPr="00FF4F21">
        <w:rPr>
          <w:rFonts w:ascii="Times New Roman" w:hAnsi="Times New Roman" w:cs="Times New Roman"/>
          <w:color w:val="000000" w:themeColor="text1"/>
          <w:sz w:val="24"/>
          <w:szCs w:val="24"/>
        </w:rPr>
        <w:t>NPV = PV консолидированной компании – PV Роснефти – средства, уплаченные за ТНК-ВР</w:t>
      </w:r>
      <w:r>
        <w:rPr>
          <w:rFonts w:ascii="Times New Roman" w:hAnsi="Times New Roman" w:cs="Times New Roman"/>
          <w:color w:val="000000" w:themeColor="text1"/>
          <w:sz w:val="24"/>
          <w:szCs w:val="24"/>
        </w:rPr>
        <w:t xml:space="preserve"> = 79496 – 17928 – 55300 = 6268 </w:t>
      </w:r>
      <w:proofErr w:type="gramStart"/>
      <w:r>
        <w:rPr>
          <w:rFonts w:ascii="Times New Roman" w:hAnsi="Times New Roman" w:cs="Times New Roman"/>
          <w:color w:val="000000" w:themeColor="text1"/>
          <w:sz w:val="24"/>
          <w:szCs w:val="24"/>
        </w:rPr>
        <w:t>млн</w:t>
      </w:r>
      <w:proofErr w:type="gramEnd"/>
      <w:r>
        <w:rPr>
          <w:rFonts w:ascii="Times New Roman" w:hAnsi="Times New Roman" w:cs="Times New Roman"/>
          <w:color w:val="000000" w:themeColor="text1"/>
          <w:sz w:val="24"/>
          <w:szCs w:val="24"/>
        </w:rPr>
        <w:t xml:space="preserve"> долл. США</w:t>
      </w:r>
    </w:p>
    <w:p w:rsidR="0059775B" w:rsidRDefault="0059775B" w:rsidP="00FE3362">
      <w:pPr>
        <w:spacing w:line="360" w:lineRule="auto"/>
        <w:ind w:firstLine="708"/>
        <w:jc w:val="both"/>
        <w:rPr>
          <w:rFonts w:ascii="Times New Roman" w:hAnsi="Times New Roman" w:cs="Times New Roman"/>
          <w:color w:val="000000" w:themeColor="text1"/>
          <w:sz w:val="24"/>
          <w:szCs w:val="24"/>
        </w:rPr>
      </w:pPr>
      <w:r w:rsidRPr="00FF4F21">
        <w:rPr>
          <w:rFonts w:ascii="Times New Roman" w:hAnsi="Times New Roman" w:cs="Times New Roman"/>
          <w:color w:val="000000" w:themeColor="text1"/>
          <w:sz w:val="24"/>
          <w:szCs w:val="24"/>
        </w:rPr>
        <w:t xml:space="preserve">Таким образом, </w:t>
      </w:r>
      <w:r w:rsidR="00BB5208">
        <w:rPr>
          <w:rFonts w:ascii="Times New Roman" w:hAnsi="Times New Roman" w:cs="Times New Roman"/>
          <w:color w:val="000000" w:themeColor="text1"/>
          <w:sz w:val="24"/>
          <w:szCs w:val="24"/>
        </w:rPr>
        <w:t>исходя из представленных расчё</w:t>
      </w:r>
      <w:r w:rsidR="008F43FC">
        <w:rPr>
          <w:rFonts w:ascii="Times New Roman" w:hAnsi="Times New Roman" w:cs="Times New Roman"/>
          <w:color w:val="000000" w:themeColor="text1"/>
          <w:sz w:val="24"/>
          <w:szCs w:val="24"/>
        </w:rPr>
        <w:t>тов</w:t>
      </w:r>
      <w:r w:rsidR="00BB5208">
        <w:rPr>
          <w:rFonts w:ascii="Times New Roman" w:hAnsi="Times New Roman" w:cs="Times New Roman"/>
          <w:color w:val="000000" w:themeColor="text1"/>
          <w:sz w:val="24"/>
          <w:szCs w:val="24"/>
        </w:rPr>
        <w:t>,</w:t>
      </w:r>
      <w:r w:rsidR="008F43FC">
        <w:rPr>
          <w:rFonts w:ascii="Times New Roman" w:hAnsi="Times New Roman" w:cs="Times New Roman"/>
          <w:color w:val="000000" w:themeColor="text1"/>
          <w:sz w:val="24"/>
          <w:szCs w:val="24"/>
        </w:rPr>
        <w:t xml:space="preserve"> можно сделать вывод, что рассматриваемая сделка между «Роснефтью» и «ТНК-ВР Холдинг» является рентабельной</w:t>
      </w:r>
      <w:r w:rsidRPr="00FF4F21">
        <w:rPr>
          <w:rFonts w:ascii="Times New Roman" w:hAnsi="Times New Roman" w:cs="Times New Roman"/>
          <w:color w:val="000000" w:themeColor="text1"/>
          <w:sz w:val="24"/>
          <w:szCs w:val="24"/>
        </w:rPr>
        <w:t xml:space="preserve"> с точки зрения акционеров компани</w:t>
      </w:r>
      <w:r w:rsidR="00BB5208">
        <w:rPr>
          <w:rFonts w:ascii="Times New Roman" w:hAnsi="Times New Roman" w:cs="Times New Roman"/>
          <w:color w:val="000000" w:themeColor="text1"/>
          <w:sz w:val="24"/>
          <w:szCs w:val="24"/>
        </w:rPr>
        <w:t>и, по причине того, что</w:t>
      </w:r>
      <w:r>
        <w:rPr>
          <w:rFonts w:ascii="Times New Roman" w:hAnsi="Times New Roman" w:cs="Times New Roman"/>
          <w:color w:val="000000" w:themeColor="text1"/>
          <w:sz w:val="24"/>
          <w:szCs w:val="24"/>
        </w:rPr>
        <w:t xml:space="preserve"> </w:t>
      </w:r>
      <w:r w:rsidR="008F43FC">
        <w:rPr>
          <w:rFonts w:ascii="Times New Roman" w:hAnsi="Times New Roman" w:cs="Times New Roman"/>
          <w:color w:val="000000" w:themeColor="text1"/>
          <w:sz w:val="24"/>
          <w:szCs w:val="24"/>
        </w:rPr>
        <w:t>NPV поглощения имеет значение больше нуля и увеличивает рыночную капитализацию</w:t>
      </w:r>
      <w:r w:rsidRPr="00FF4F21">
        <w:rPr>
          <w:rFonts w:ascii="Times New Roman" w:hAnsi="Times New Roman" w:cs="Times New Roman"/>
          <w:color w:val="000000" w:themeColor="text1"/>
          <w:sz w:val="24"/>
          <w:szCs w:val="24"/>
        </w:rPr>
        <w:t xml:space="preserve"> конс</w:t>
      </w:r>
      <w:r w:rsidR="008F43FC">
        <w:rPr>
          <w:rFonts w:ascii="Times New Roman" w:hAnsi="Times New Roman" w:cs="Times New Roman"/>
          <w:color w:val="000000" w:themeColor="text1"/>
          <w:sz w:val="24"/>
          <w:szCs w:val="24"/>
        </w:rPr>
        <w:t>олидированной компании приблизительно на</w:t>
      </w:r>
      <w:r>
        <w:rPr>
          <w:rFonts w:ascii="Times New Roman" w:hAnsi="Times New Roman" w:cs="Times New Roman"/>
          <w:color w:val="000000" w:themeColor="text1"/>
          <w:sz w:val="24"/>
          <w:szCs w:val="24"/>
        </w:rPr>
        <w:t xml:space="preserve"> 6,3</w:t>
      </w:r>
      <w:r w:rsidRPr="00FF4F21">
        <w:rPr>
          <w:rFonts w:ascii="Times New Roman" w:hAnsi="Times New Roman" w:cs="Times New Roman"/>
          <w:color w:val="000000" w:themeColor="text1"/>
          <w:sz w:val="24"/>
          <w:szCs w:val="24"/>
        </w:rPr>
        <w:t xml:space="preserve"> </w:t>
      </w:r>
      <w:proofErr w:type="gramStart"/>
      <w:r w:rsidRPr="00FF4F21">
        <w:rPr>
          <w:rFonts w:ascii="Times New Roman" w:hAnsi="Times New Roman" w:cs="Times New Roman"/>
          <w:color w:val="000000" w:themeColor="text1"/>
          <w:sz w:val="24"/>
          <w:szCs w:val="24"/>
        </w:rPr>
        <w:t>млрд</w:t>
      </w:r>
      <w:proofErr w:type="gramEnd"/>
      <w:r w:rsidRPr="00FF4F21">
        <w:rPr>
          <w:rFonts w:ascii="Times New Roman" w:hAnsi="Times New Roman" w:cs="Times New Roman"/>
          <w:color w:val="000000" w:themeColor="text1"/>
          <w:sz w:val="24"/>
          <w:szCs w:val="24"/>
        </w:rPr>
        <w:t xml:space="preserve"> долл. США.</w:t>
      </w:r>
    </w:p>
    <w:p w:rsidR="0059775B" w:rsidRDefault="0059775B" w:rsidP="0059775B">
      <w:pPr>
        <w:pStyle w:val="2"/>
        <w:spacing w:after="240"/>
        <w:jc w:val="center"/>
        <w:rPr>
          <w:rFonts w:ascii="Times New Roman" w:eastAsia="Times New Roman" w:hAnsi="Times New Roman" w:cs="Times New Roman"/>
          <w:color w:val="000000" w:themeColor="text1"/>
          <w:sz w:val="24"/>
        </w:rPr>
      </w:pPr>
      <w:bookmarkStart w:id="17" w:name="_Toc482547522"/>
      <w:r>
        <w:rPr>
          <w:rFonts w:ascii="Times New Roman" w:eastAsia="Times New Roman" w:hAnsi="Times New Roman" w:cs="Times New Roman"/>
          <w:color w:val="000000" w:themeColor="text1"/>
          <w:sz w:val="24"/>
        </w:rPr>
        <w:t xml:space="preserve">3.3 </w:t>
      </w:r>
      <w:r w:rsidRPr="003A1A25">
        <w:rPr>
          <w:rFonts w:ascii="Times New Roman" w:eastAsia="Times New Roman" w:hAnsi="Times New Roman" w:cs="Times New Roman"/>
          <w:color w:val="000000" w:themeColor="text1"/>
          <w:sz w:val="24"/>
        </w:rPr>
        <w:t xml:space="preserve">Оценка эффективности поглощения методом </w:t>
      </w:r>
      <w:r>
        <w:rPr>
          <w:rFonts w:ascii="Times New Roman" w:eastAsia="Times New Roman" w:hAnsi="Times New Roman" w:cs="Times New Roman"/>
          <w:color w:val="000000" w:themeColor="text1"/>
          <w:sz w:val="24"/>
        </w:rPr>
        <w:t xml:space="preserve">EPS </w:t>
      </w:r>
      <w:proofErr w:type="spellStart"/>
      <w:r>
        <w:rPr>
          <w:rFonts w:ascii="Times New Roman" w:eastAsia="Times New Roman" w:hAnsi="Times New Roman" w:cs="Times New Roman"/>
          <w:color w:val="000000" w:themeColor="text1"/>
          <w:sz w:val="24"/>
        </w:rPr>
        <w:t>accretion</w:t>
      </w:r>
      <w:proofErr w:type="spellEnd"/>
      <w:r>
        <w:rPr>
          <w:rFonts w:ascii="Times New Roman" w:eastAsia="Times New Roman" w:hAnsi="Times New Roman" w:cs="Times New Roman"/>
          <w:color w:val="000000" w:themeColor="text1"/>
          <w:sz w:val="24"/>
        </w:rPr>
        <w:t>/</w:t>
      </w:r>
      <w:proofErr w:type="spellStart"/>
      <w:r w:rsidR="00441CC0">
        <w:rPr>
          <w:rFonts w:ascii="Times New Roman" w:eastAsia="Times New Roman" w:hAnsi="Times New Roman" w:cs="Times New Roman"/>
          <w:color w:val="000000" w:themeColor="text1"/>
          <w:sz w:val="24"/>
        </w:rPr>
        <w:t>dilution</w:t>
      </w:r>
      <w:bookmarkEnd w:id="17"/>
      <w:proofErr w:type="spellEnd"/>
    </w:p>
    <w:p w:rsidR="0059775B" w:rsidRPr="00A83402" w:rsidRDefault="0059775B" w:rsidP="0059775B">
      <w:pPr>
        <w:spacing w:line="360" w:lineRule="auto"/>
        <w:ind w:firstLine="567"/>
        <w:jc w:val="both"/>
        <w:rPr>
          <w:rFonts w:ascii="Times New Roman" w:hAnsi="Times New Roman" w:cs="Times New Roman"/>
          <w:color w:val="000000" w:themeColor="text1"/>
          <w:sz w:val="24"/>
          <w:szCs w:val="24"/>
        </w:rPr>
      </w:pPr>
      <w:r w:rsidRPr="00A83402">
        <w:rPr>
          <w:rFonts w:ascii="Times New Roman" w:hAnsi="Times New Roman" w:cs="Times New Roman"/>
          <w:color w:val="000000" w:themeColor="text1"/>
          <w:sz w:val="24"/>
          <w:szCs w:val="24"/>
        </w:rPr>
        <w:t>Для оценки рассматриваемой сделки восполь</w:t>
      </w:r>
      <w:r>
        <w:rPr>
          <w:rFonts w:ascii="Times New Roman" w:hAnsi="Times New Roman" w:cs="Times New Roman"/>
          <w:color w:val="000000" w:themeColor="text1"/>
          <w:sz w:val="24"/>
          <w:szCs w:val="24"/>
        </w:rPr>
        <w:t xml:space="preserve">зуемся методом EPS </w:t>
      </w:r>
      <w:proofErr w:type="spellStart"/>
      <w:r>
        <w:rPr>
          <w:rFonts w:ascii="Times New Roman" w:hAnsi="Times New Roman" w:cs="Times New Roman"/>
          <w:color w:val="000000" w:themeColor="text1"/>
          <w:sz w:val="24"/>
          <w:szCs w:val="24"/>
        </w:rPr>
        <w:t>accretion</w:t>
      </w:r>
      <w:proofErr w:type="spellEnd"/>
      <w:r>
        <w:rPr>
          <w:rFonts w:ascii="Times New Roman" w:hAnsi="Times New Roman" w:cs="Times New Roman"/>
          <w:color w:val="000000" w:themeColor="text1"/>
          <w:sz w:val="24"/>
          <w:szCs w:val="24"/>
        </w:rPr>
        <w:t>/</w:t>
      </w:r>
      <w:proofErr w:type="spellStart"/>
      <w:r w:rsidR="00441CC0">
        <w:rPr>
          <w:rFonts w:ascii="Times New Roman" w:hAnsi="Times New Roman" w:cs="Times New Roman"/>
          <w:color w:val="000000" w:themeColor="text1"/>
          <w:sz w:val="24"/>
          <w:szCs w:val="24"/>
        </w:rPr>
        <w:t>dilution</w:t>
      </w:r>
      <w:proofErr w:type="spellEnd"/>
      <w:r w:rsidR="00BB5208">
        <w:rPr>
          <w:rFonts w:ascii="Times New Roman" w:hAnsi="Times New Roman" w:cs="Times New Roman"/>
          <w:color w:val="000000" w:themeColor="text1"/>
          <w:sz w:val="24"/>
          <w:szCs w:val="24"/>
        </w:rPr>
        <w:t>. Д</w:t>
      </w:r>
      <w:r>
        <w:rPr>
          <w:rFonts w:ascii="Times New Roman" w:hAnsi="Times New Roman" w:cs="Times New Roman"/>
          <w:color w:val="000000" w:themeColor="text1"/>
          <w:sz w:val="24"/>
          <w:szCs w:val="24"/>
        </w:rPr>
        <w:t xml:space="preserve">ля оценки </w:t>
      </w:r>
      <w:r>
        <w:rPr>
          <w:rFonts w:ascii="Times New Roman" w:hAnsi="Times New Roman" w:cs="Times New Roman"/>
          <w:color w:val="000000" w:themeColor="text1"/>
          <w:sz w:val="24"/>
          <w:szCs w:val="24"/>
          <w:lang w:val="en-US"/>
        </w:rPr>
        <w:t>EPS</w:t>
      </w:r>
      <w:r w:rsidRPr="008E6C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accretion</w:t>
      </w:r>
      <w:r w:rsidRPr="008E6C34">
        <w:rPr>
          <w:rFonts w:ascii="Times New Roman" w:hAnsi="Times New Roman" w:cs="Times New Roman"/>
          <w:color w:val="000000" w:themeColor="text1"/>
          <w:sz w:val="24"/>
          <w:szCs w:val="24"/>
        </w:rPr>
        <w:t>/</w:t>
      </w:r>
      <w:r w:rsidR="00441CC0">
        <w:rPr>
          <w:rFonts w:ascii="Times New Roman" w:hAnsi="Times New Roman" w:cs="Times New Roman"/>
          <w:color w:val="000000" w:themeColor="text1"/>
          <w:sz w:val="24"/>
          <w:szCs w:val="24"/>
          <w:lang w:val="en-US"/>
        </w:rPr>
        <w:t>dilution</w:t>
      </w:r>
      <w:r w:rsidR="00BB5208">
        <w:rPr>
          <w:rFonts w:ascii="Times New Roman" w:hAnsi="Times New Roman" w:cs="Times New Roman"/>
          <w:color w:val="000000" w:themeColor="text1"/>
          <w:sz w:val="24"/>
          <w:szCs w:val="24"/>
        </w:rPr>
        <w:t xml:space="preserve"> будем использовать следующую формулу</w:t>
      </w:r>
      <w:r w:rsidRPr="00A83402">
        <w:rPr>
          <w:rFonts w:ascii="Times New Roman" w:hAnsi="Times New Roman" w:cs="Times New Roman"/>
          <w:color w:val="000000" w:themeColor="text1"/>
          <w:sz w:val="24"/>
          <w:szCs w:val="24"/>
        </w:rPr>
        <w:t>:</w:t>
      </w:r>
    </w:p>
    <w:p w:rsidR="0059775B" w:rsidRPr="00FE3362" w:rsidRDefault="0059775B" w:rsidP="0059775B">
      <w:pPr>
        <w:spacing w:line="360" w:lineRule="auto"/>
        <w:ind w:firstLine="567"/>
        <w:jc w:val="both"/>
        <w:rPr>
          <w:rFonts w:ascii="Times New Roman" w:hAnsi="Times New Roman" w:cs="Times New Roman"/>
          <w:color w:val="000000" w:themeColor="text1"/>
          <w:szCs w:val="24"/>
        </w:rPr>
      </w:pPr>
      <w:r>
        <w:rPr>
          <w:rFonts w:ascii="Times New Roman" w:hAnsi="Times New Roman" w:cs="Times New Roman"/>
          <w:i/>
          <w:color w:val="000000" w:themeColor="text1"/>
          <w:sz w:val="24"/>
          <w:szCs w:val="24"/>
          <w:lang w:val="en-US"/>
        </w:rPr>
        <w:t>EPS</w:t>
      </w:r>
      <w:r w:rsidRPr="00FE3362">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lang w:val="en-US"/>
        </w:rPr>
        <w:t>accretion</w:t>
      </w:r>
      <w:r w:rsidRPr="00FE3362">
        <w:rPr>
          <w:rFonts w:ascii="Times New Roman" w:hAnsi="Times New Roman" w:cs="Times New Roman"/>
          <w:i/>
          <w:color w:val="000000" w:themeColor="text1"/>
          <w:sz w:val="24"/>
          <w:szCs w:val="24"/>
        </w:rPr>
        <w:t>/</w:t>
      </w:r>
      <w:r w:rsidR="00441CC0">
        <w:rPr>
          <w:rFonts w:ascii="Times New Roman" w:hAnsi="Times New Roman" w:cs="Times New Roman"/>
          <w:i/>
          <w:color w:val="000000" w:themeColor="text1"/>
          <w:sz w:val="24"/>
          <w:szCs w:val="24"/>
          <w:lang w:val="en-US"/>
        </w:rPr>
        <w:t>dilution</w:t>
      </w:r>
      <w:r w:rsidRPr="00FE3362">
        <w:rPr>
          <w:rFonts w:ascii="Times New Roman" w:hAnsi="Times New Roman" w:cs="Times New Roman"/>
          <w:i/>
          <w:color w:val="000000" w:themeColor="text1"/>
          <w:sz w:val="24"/>
          <w:szCs w:val="24"/>
        </w:rPr>
        <w:t xml:space="preserve"> = </w:t>
      </w:r>
      <m:oMath>
        <m:f>
          <m:fPr>
            <m:ctrlPr>
              <w:rPr>
                <w:rFonts w:ascii="Cambria Math" w:hAnsi="Cambria Math" w:cs="Times New Roman"/>
                <w:i/>
                <w:color w:val="000000" w:themeColor="text1"/>
                <w:sz w:val="28"/>
                <w:szCs w:val="24"/>
              </w:rPr>
            </m:ctrlPr>
          </m:fPr>
          <m:num>
            <m:r>
              <w:rPr>
                <w:rFonts w:ascii="Cambria Math" w:hAnsi="Cambria Math" w:cs="Times New Roman"/>
                <w:color w:val="000000" w:themeColor="text1"/>
                <w:sz w:val="28"/>
                <w:szCs w:val="24"/>
              </w:rPr>
              <m:t>Чистая</m:t>
            </m:r>
            <m:r>
              <w:rPr>
                <w:rFonts w:ascii="Cambria Math" w:hAnsi="Cambria Math" w:cs="Times New Roman"/>
                <w:color w:val="000000" w:themeColor="text1"/>
                <w:sz w:val="28"/>
                <w:szCs w:val="24"/>
              </w:rPr>
              <m:t xml:space="preserve"> </m:t>
            </m:r>
            <m:r>
              <w:rPr>
                <w:rFonts w:ascii="Cambria Math" w:hAnsi="Cambria Math" w:cs="Times New Roman"/>
                <w:color w:val="000000" w:themeColor="text1"/>
                <w:sz w:val="28"/>
                <w:szCs w:val="24"/>
              </w:rPr>
              <m:t>прибыль</m:t>
            </m:r>
            <m:r>
              <w:rPr>
                <w:rFonts w:ascii="Cambria Math" w:hAnsi="Cambria Math" w:cs="Times New Roman"/>
                <w:color w:val="000000" w:themeColor="text1"/>
                <w:sz w:val="28"/>
                <w:szCs w:val="24"/>
              </w:rPr>
              <m:t xml:space="preserve"> </m:t>
            </m:r>
            <m:r>
              <w:rPr>
                <w:rFonts w:ascii="Cambria Math" w:hAnsi="Cambria Math" w:cs="Times New Roman"/>
                <w:color w:val="000000" w:themeColor="text1"/>
                <w:sz w:val="28"/>
                <w:szCs w:val="24"/>
              </w:rPr>
              <m:t>консолидированной</m:t>
            </m:r>
            <m:r>
              <w:rPr>
                <w:rFonts w:ascii="Cambria Math" w:hAnsi="Cambria Math" w:cs="Times New Roman"/>
                <w:color w:val="000000" w:themeColor="text1"/>
                <w:sz w:val="28"/>
                <w:szCs w:val="24"/>
              </w:rPr>
              <m:t xml:space="preserve"> </m:t>
            </m:r>
            <m:r>
              <w:rPr>
                <w:rFonts w:ascii="Cambria Math" w:hAnsi="Cambria Math" w:cs="Times New Roman"/>
                <w:color w:val="000000" w:themeColor="text1"/>
                <w:sz w:val="28"/>
                <w:szCs w:val="24"/>
              </w:rPr>
              <m:t>компании</m:t>
            </m:r>
          </m:num>
          <m:den>
            <m:r>
              <w:rPr>
                <w:rFonts w:ascii="Cambria Math" w:hAnsi="Cambria Math" w:cs="Times New Roman"/>
                <w:color w:val="000000" w:themeColor="text1"/>
                <w:sz w:val="28"/>
                <w:szCs w:val="24"/>
              </w:rPr>
              <m:t>Количество</m:t>
            </m:r>
            <m:r>
              <w:rPr>
                <w:rFonts w:ascii="Cambria Math" w:hAnsi="Cambria Math" w:cs="Times New Roman"/>
                <w:color w:val="000000" w:themeColor="text1"/>
                <w:sz w:val="28"/>
                <w:szCs w:val="24"/>
              </w:rPr>
              <m:t xml:space="preserve"> </m:t>
            </m:r>
            <m:r>
              <w:rPr>
                <w:rFonts w:ascii="Cambria Math" w:hAnsi="Cambria Math" w:cs="Times New Roman"/>
                <w:color w:val="000000" w:themeColor="text1"/>
                <w:sz w:val="28"/>
                <w:szCs w:val="24"/>
              </w:rPr>
              <m:t>акций</m:t>
            </m:r>
            <m:r>
              <w:rPr>
                <w:rFonts w:ascii="Cambria Math" w:hAnsi="Cambria Math" w:cs="Times New Roman"/>
                <w:color w:val="000000" w:themeColor="text1"/>
                <w:sz w:val="28"/>
                <w:szCs w:val="24"/>
              </w:rPr>
              <m:t xml:space="preserve"> </m:t>
            </m:r>
            <m:r>
              <w:rPr>
                <w:rFonts w:ascii="Cambria Math" w:hAnsi="Cambria Math" w:cs="Times New Roman"/>
                <w:color w:val="000000" w:themeColor="text1"/>
                <w:sz w:val="28"/>
                <w:szCs w:val="24"/>
              </w:rPr>
              <m:t>в</m:t>
            </m:r>
            <m:r>
              <w:rPr>
                <w:rFonts w:ascii="Cambria Math" w:hAnsi="Cambria Math" w:cs="Times New Roman"/>
                <w:color w:val="000000" w:themeColor="text1"/>
                <w:sz w:val="28"/>
                <w:szCs w:val="24"/>
              </w:rPr>
              <m:t xml:space="preserve"> </m:t>
            </m:r>
            <m:r>
              <w:rPr>
                <w:rFonts w:ascii="Cambria Math" w:hAnsi="Cambria Math" w:cs="Times New Roman"/>
                <w:color w:val="000000" w:themeColor="text1"/>
                <w:sz w:val="28"/>
                <w:szCs w:val="24"/>
              </w:rPr>
              <m:t>обращении</m:t>
            </m:r>
            <m:r>
              <w:rPr>
                <w:rFonts w:ascii="Cambria Math" w:hAnsi="Cambria Math" w:cs="Times New Roman"/>
                <w:color w:val="000000" w:themeColor="text1"/>
                <w:sz w:val="28"/>
                <w:szCs w:val="24"/>
              </w:rPr>
              <m:t xml:space="preserve"> </m:t>
            </m:r>
            <m:r>
              <w:rPr>
                <w:rFonts w:ascii="Cambria Math" w:hAnsi="Cambria Math" w:cs="Times New Roman"/>
                <w:color w:val="000000" w:themeColor="text1"/>
                <w:sz w:val="28"/>
                <w:szCs w:val="24"/>
              </w:rPr>
              <m:t>консолидированной</m:t>
            </m:r>
            <m:r>
              <w:rPr>
                <w:rFonts w:ascii="Cambria Math" w:hAnsi="Cambria Math" w:cs="Times New Roman"/>
                <w:color w:val="000000" w:themeColor="text1"/>
                <w:sz w:val="28"/>
                <w:szCs w:val="24"/>
              </w:rPr>
              <m:t xml:space="preserve"> </m:t>
            </m:r>
            <m:r>
              <w:rPr>
                <w:rFonts w:ascii="Cambria Math" w:hAnsi="Cambria Math" w:cs="Times New Roman"/>
                <w:color w:val="000000" w:themeColor="text1"/>
                <w:sz w:val="28"/>
                <w:szCs w:val="24"/>
              </w:rPr>
              <m:t>компании</m:t>
            </m:r>
          </m:den>
        </m:f>
        <m:r>
          <w:rPr>
            <w:rFonts w:ascii="Cambria Math" w:eastAsiaTheme="minorEastAsia" w:hAnsi="Cambria Math" w:cs="Times New Roman"/>
            <w:color w:val="000000" w:themeColor="text1"/>
            <w:sz w:val="28"/>
            <w:szCs w:val="24"/>
          </w:rPr>
          <m:t xml:space="preserve">/   </m:t>
        </m:r>
        <m:f>
          <m:fPr>
            <m:ctrlPr>
              <w:rPr>
                <w:rFonts w:ascii="Cambria Math" w:eastAsiaTheme="minorEastAsia" w:hAnsi="Cambria Math" w:cs="Times New Roman"/>
                <w:i/>
                <w:color w:val="000000" w:themeColor="text1"/>
                <w:sz w:val="28"/>
                <w:szCs w:val="24"/>
              </w:rPr>
            </m:ctrlPr>
          </m:fPr>
          <m:num>
            <m:r>
              <w:rPr>
                <w:rFonts w:ascii="Cambria Math" w:eastAsiaTheme="minorEastAsia" w:hAnsi="Cambria Math" w:cs="Times New Roman"/>
                <w:color w:val="000000" w:themeColor="text1"/>
                <w:sz w:val="28"/>
                <w:szCs w:val="24"/>
              </w:rPr>
              <m:t>Чистая</m:t>
            </m:r>
            <m:r>
              <w:rPr>
                <w:rFonts w:ascii="Cambria Math" w:eastAsiaTheme="minorEastAsia" w:hAnsi="Cambria Math" w:cs="Times New Roman"/>
                <w:color w:val="000000" w:themeColor="text1"/>
                <w:sz w:val="28"/>
                <w:szCs w:val="24"/>
              </w:rPr>
              <m:t xml:space="preserve"> </m:t>
            </m:r>
            <m:r>
              <w:rPr>
                <w:rFonts w:ascii="Cambria Math" w:eastAsiaTheme="minorEastAsia" w:hAnsi="Cambria Math" w:cs="Times New Roman"/>
                <w:color w:val="000000" w:themeColor="text1"/>
                <w:sz w:val="28"/>
                <w:szCs w:val="24"/>
              </w:rPr>
              <m:t>прибыль</m:t>
            </m:r>
            <m:r>
              <w:rPr>
                <w:rFonts w:ascii="Cambria Math" w:eastAsiaTheme="minorEastAsia" w:hAnsi="Cambria Math" w:cs="Times New Roman"/>
                <w:color w:val="000000" w:themeColor="text1"/>
                <w:sz w:val="28"/>
                <w:szCs w:val="24"/>
              </w:rPr>
              <m:t xml:space="preserve"> </m:t>
            </m:r>
            <m:r>
              <w:rPr>
                <w:rFonts w:ascii="Cambria Math" w:eastAsiaTheme="minorEastAsia" w:hAnsi="Cambria Math" w:cs="Times New Roman"/>
                <w:color w:val="000000" w:themeColor="text1"/>
                <w:sz w:val="28"/>
                <w:szCs w:val="24"/>
              </w:rPr>
              <m:t>Роснефти</m:t>
            </m:r>
            <m:r>
              <w:rPr>
                <w:rFonts w:ascii="Cambria Math" w:eastAsiaTheme="minorEastAsia" w:hAnsi="Cambria Math" w:cs="Times New Roman"/>
                <w:color w:val="000000" w:themeColor="text1"/>
                <w:sz w:val="28"/>
                <w:szCs w:val="24"/>
              </w:rPr>
              <m:t xml:space="preserve"> </m:t>
            </m:r>
            <m:r>
              <w:rPr>
                <w:rFonts w:ascii="Cambria Math" w:eastAsiaTheme="minorEastAsia" w:hAnsi="Cambria Math" w:cs="Times New Roman"/>
                <w:color w:val="000000" w:themeColor="text1"/>
                <w:sz w:val="28"/>
                <w:szCs w:val="24"/>
              </w:rPr>
              <m:t>до</m:t>
            </m:r>
            <m:r>
              <w:rPr>
                <w:rFonts w:ascii="Cambria Math" w:eastAsiaTheme="minorEastAsia" w:hAnsi="Cambria Math" w:cs="Times New Roman"/>
                <w:color w:val="000000" w:themeColor="text1"/>
                <w:sz w:val="28"/>
                <w:szCs w:val="24"/>
              </w:rPr>
              <m:t xml:space="preserve"> </m:t>
            </m:r>
            <m:r>
              <w:rPr>
                <w:rFonts w:ascii="Cambria Math" w:eastAsiaTheme="minorEastAsia" w:hAnsi="Cambria Math" w:cs="Times New Roman"/>
                <w:color w:val="000000" w:themeColor="text1"/>
                <w:sz w:val="28"/>
                <w:szCs w:val="24"/>
              </w:rPr>
              <m:t>поглощения</m:t>
            </m:r>
          </m:num>
          <m:den>
            <m:r>
              <w:rPr>
                <w:rFonts w:ascii="Cambria Math" w:eastAsiaTheme="minorEastAsia" w:hAnsi="Cambria Math" w:cs="Times New Roman"/>
                <w:color w:val="000000" w:themeColor="text1"/>
                <w:sz w:val="28"/>
                <w:szCs w:val="24"/>
              </w:rPr>
              <m:t>Количество</m:t>
            </m:r>
            <m:r>
              <w:rPr>
                <w:rFonts w:ascii="Cambria Math" w:eastAsiaTheme="minorEastAsia" w:hAnsi="Cambria Math" w:cs="Times New Roman"/>
                <w:color w:val="000000" w:themeColor="text1"/>
                <w:sz w:val="28"/>
                <w:szCs w:val="24"/>
              </w:rPr>
              <m:t xml:space="preserve"> </m:t>
            </m:r>
            <m:r>
              <w:rPr>
                <w:rFonts w:ascii="Cambria Math" w:eastAsiaTheme="minorEastAsia" w:hAnsi="Cambria Math" w:cs="Times New Roman"/>
                <w:color w:val="000000" w:themeColor="text1"/>
                <w:sz w:val="28"/>
                <w:szCs w:val="24"/>
              </w:rPr>
              <m:t>акций</m:t>
            </m:r>
            <m:r>
              <w:rPr>
                <w:rFonts w:ascii="Cambria Math" w:eastAsiaTheme="minorEastAsia" w:hAnsi="Cambria Math" w:cs="Times New Roman"/>
                <w:color w:val="000000" w:themeColor="text1"/>
                <w:sz w:val="28"/>
                <w:szCs w:val="24"/>
              </w:rPr>
              <m:t xml:space="preserve"> </m:t>
            </m:r>
            <m:r>
              <w:rPr>
                <w:rFonts w:ascii="Cambria Math" w:eastAsiaTheme="minorEastAsia" w:hAnsi="Cambria Math" w:cs="Times New Roman"/>
                <w:color w:val="000000" w:themeColor="text1"/>
                <w:sz w:val="28"/>
                <w:szCs w:val="24"/>
              </w:rPr>
              <m:t>в</m:t>
            </m:r>
            <m:r>
              <w:rPr>
                <w:rFonts w:ascii="Cambria Math" w:eastAsiaTheme="minorEastAsia" w:hAnsi="Cambria Math" w:cs="Times New Roman"/>
                <w:color w:val="000000" w:themeColor="text1"/>
                <w:sz w:val="28"/>
                <w:szCs w:val="24"/>
              </w:rPr>
              <m:t xml:space="preserve"> </m:t>
            </m:r>
            <m:r>
              <w:rPr>
                <w:rFonts w:ascii="Cambria Math" w:eastAsiaTheme="minorEastAsia" w:hAnsi="Cambria Math" w:cs="Times New Roman"/>
                <w:color w:val="000000" w:themeColor="text1"/>
                <w:sz w:val="28"/>
                <w:szCs w:val="24"/>
              </w:rPr>
              <m:t>обращении</m:t>
            </m:r>
            <m:r>
              <w:rPr>
                <w:rFonts w:ascii="Cambria Math" w:eastAsiaTheme="minorEastAsia" w:hAnsi="Cambria Math" w:cs="Times New Roman"/>
                <w:color w:val="000000" w:themeColor="text1"/>
                <w:sz w:val="28"/>
                <w:szCs w:val="24"/>
              </w:rPr>
              <m:t xml:space="preserve"> </m:t>
            </m:r>
            <m:r>
              <w:rPr>
                <w:rFonts w:ascii="Cambria Math" w:eastAsiaTheme="minorEastAsia" w:hAnsi="Cambria Math" w:cs="Times New Roman"/>
                <w:color w:val="000000" w:themeColor="text1"/>
                <w:sz w:val="28"/>
                <w:szCs w:val="24"/>
              </w:rPr>
              <m:t>Роснефти</m:t>
            </m:r>
            <m:r>
              <w:rPr>
                <w:rFonts w:ascii="Cambria Math" w:eastAsiaTheme="minorEastAsia" w:hAnsi="Cambria Math" w:cs="Times New Roman"/>
                <w:color w:val="000000" w:themeColor="text1"/>
                <w:sz w:val="28"/>
                <w:szCs w:val="24"/>
              </w:rPr>
              <m:t xml:space="preserve"> </m:t>
            </m:r>
            <m:r>
              <w:rPr>
                <w:rFonts w:ascii="Cambria Math" w:eastAsiaTheme="minorEastAsia" w:hAnsi="Cambria Math" w:cs="Times New Roman"/>
                <w:color w:val="000000" w:themeColor="text1"/>
                <w:sz w:val="28"/>
                <w:szCs w:val="24"/>
              </w:rPr>
              <m:t>до</m:t>
            </m:r>
            <m:r>
              <w:rPr>
                <w:rFonts w:ascii="Cambria Math" w:eastAsiaTheme="minorEastAsia" w:hAnsi="Cambria Math" w:cs="Times New Roman"/>
                <w:color w:val="000000" w:themeColor="text1"/>
                <w:sz w:val="28"/>
                <w:szCs w:val="24"/>
              </w:rPr>
              <m:t xml:space="preserve"> </m:t>
            </m:r>
            <m:r>
              <w:rPr>
                <w:rFonts w:ascii="Cambria Math" w:eastAsiaTheme="minorEastAsia" w:hAnsi="Cambria Math" w:cs="Times New Roman"/>
                <w:color w:val="000000" w:themeColor="text1"/>
                <w:sz w:val="28"/>
                <w:szCs w:val="24"/>
              </w:rPr>
              <m:t>поглощения</m:t>
            </m:r>
          </m:den>
        </m:f>
        <m:r>
          <w:rPr>
            <w:rFonts w:ascii="Cambria Math" w:eastAsiaTheme="minorEastAsia" w:hAnsi="Cambria Math" w:cs="Times New Roman"/>
            <w:color w:val="000000" w:themeColor="text1"/>
            <w:sz w:val="28"/>
            <w:szCs w:val="24"/>
          </w:rPr>
          <m:t xml:space="preserve"> </m:t>
        </m:r>
      </m:oMath>
      <w:r w:rsidR="00290002" w:rsidRPr="00FE3362">
        <w:rPr>
          <w:rFonts w:ascii="Times New Roman" w:eastAsiaTheme="minorEastAsia" w:hAnsi="Times New Roman" w:cs="Times New Roman"/>
          <w:i/>
          <w:color w:val="000000" w:themeColor="text1"/>
          <w:sz w:val="28"/>
          <w:szCs w:val="24"/>
        </w:rPr>
        <w:tab/>
      </w:r>
      <w:r w:rsidR="00290002" w:rsidRPr="00FE3362">
        <w:rPr>
          <w:rFonts w:ascii="Times New Roman" w:eastAsiaTheme="minorEastAsia" w:hAnsi="Times New Roman" w:cs="Times New Roman"/>
          <w:i/>
          <w:color w:val="000000" w:themeColor="text1"/>
          <w:sz w:val="28"/>
          <w:szCs w:val="24"/>
        </w:rPr>
        <w:tab/>
      </w:r>
      <w:r w:rsidR="00290002" w:rsidRPr="00FE3362">
        <w:rPr>
          <w:rFonts w:ascii="Times New Roman" w:eastAsiaTheme="minorEastAsia" w:hAnsi="Times New Roman" w:cs="Times New Roman"/>
          <w:i/>
          <w:color w:val="000000" w:themeColor="text1"/>
          <w:sz w:val="28"/>
          <w:szCs w:val="24"/>
        </w:rPr>
        <w:tab/>
      </w:r>
      <w:r w:rsidR="00290002" w:rsidRPr="00FE3362">
        <w:rPr>
          <w:rFonts w:ascii="Times New Roman" w:eastAsiaTheme="minorEastAsia" w:hAnsi="Times New Roman" w:cs="Times New Roman"/>
          <w:i/>
          <w:color w:val="000000" w:themeColor="text1"/>
          <w:sz w:val="28"/>
          <w:szCs w:val="24"/>
        </w:rPr>
        <w:tab/>
      </w:r>
      <w:r w:rsidR="00290002" w:rsidRPr="00FE3362">
        <w:rPr>
          <w:rFonts w:ascii="Times New Roman" w:eastAsiaTheme="minorEastAsia" w:hAnsi="Times New Roman" w:cs="Times New Roman"/>
          <w:i/>
          <w:color w:val="000000" w:themeColor="text1"/>
          <w:sz w:val="28"/>
          <w:szCs w:val="24"/>
        </w:rPr>
        <w:tab/>
      </w:r>
      <w:r w:rsidR="00290002" w:rsidRPr="00FE3362">
        <w:rPr>
          <w:rFonts w:ascii="Times New Roman" w:eastAsiaTheme="minorEastAsia" w:hAnsi="Times New Roman" w:cs="Times New Roman"/>
          <w:i/>
          <w:color w:val="000000" w:themeColor="text1"/>
          <w:sz w:val="28"/>
          <w:szCs w:val="24"/>
        </w:rPr>
        <w:tab/>
      </w:r>
      <w:r w:rsidR="00290002" w:rsidRPr="00FE3362">
        <w:rPr>
          <w:rFonts w:ascii="Times New Roman" w:eastAsiaTheme="minorEastAsia" w:hAnsi="Times New Roman" w:cs="Times New Roman"/>
          <w:color w:val="000000" w:themeColor="text1"/>
          <w:sz w:val="24"/>
          <w:szCs w:val="24"/>
        </w:rPr>
        <w:t>(12)</w:t>
      </w:r>
    </w:p>
    <w:p w:rsidR="0059775B" w:rsidRPr="00A83402" w:rsidRDefault="0059775B" w:rsidP="0059775B">
      <w:pPr>
        <w:spacing w:line="360" w:lineRule="auto"/>
        <w:ind w:firstLine="567"/>
        <w:jc w:val="both"/>
        <w:rPr>
          <w:rFonts w:ascii="Times New Roman" w:hAnsi="Times New Roman" w:cs="Times New Roman"/>
          <w:color w:val="000000" w:themeColor="text1"/>
          <w:sz w:val="24"/>
          <w:szCs w:val="24"/>
        </w:rPr>
      </w:pPr>
      <w:r w:rsidRPr="00A83402">
        <w:rPr>
          <w:rFonts w:ascii="Times New Roman" w:hAnsi="Times New Roman" w:cs="Times New Roman"/>
          <w:color w:val="000000" w:themeColor="text1"/>
          <w:sz w:val="24"/>
          <w:szCs w:val="24"/>
        </w:rPr>
        <w:t xml:space="preserve">Чтобы найти </w:t>
      </w:r>
      <w:r>
        <w:rPr>
          <w:rFonts w:ascii="Times New Roman" w:hAnsi="Times New Roman" w:cs="Times New Roman"/>
          <w:color w:val="000000" w:themeColor="text1"/>
          <w:sz w:val="24"/>
          <w:szCs w:val="24"/>
        </w:rPr>
        <w:t xml:space="preserve">EPS консолидированной компании и </w:t>
      </w:r>
      <w:r>
        <w:rPr>
          <w:rFonts w:ascii="Times New Roman" w:hAnsi="Times New Roman" w:cs="Times New Roman"/>
          <w:color w:val="000000" w:themeColor="text1"/>
          <w:sz w:val="24"/>
          <w:szCs w:val="24"/>
          <w:lang w:val="en-US"/>
        </w:rPr>
        <w:t>EPS</w:t>
      </w:r>
      <w:r w:rsidRPr="008E6C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Роснефти до поглощения</w:t>
      </w:r>
      <w:r w:rsidRPr="00A834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воспользуемся отчетами о прибылях и убытках и проведем расчеты в</w:t>
      </w:r>
      <w:r w:rsidRPr="00A83402">
        <w:rPr>
          <w:rFonts w:ascii="Times New Roman" w:hAnsi="Times New Roman" w:cs="Times New Roman"/>
          <w:color w:val="000000" w:themeColor="text1"/>
          <w:sz w:val="24"/>
          <w:szCs w:val="24"/>
        </w:rPr>
        <w:t xml:space="preserve"> MS </w:t>
      </w:r>
      <w:proofErr w:type="spellStart"/>
      <w:r w:rsidRPr="00A83402">
        <w:rPr>
          <w:rFonts w:ascii="Times New Roman" w:hAnsi="Times New Roman" w:cs="Times New Roman"/>
          <w:color w:val="000000" w:themeColor="text1"/>
          <w:sz w:val="24"/>
          <w:szCs w:val="24"/>
        </w:rPr>
        <w:t>Excel</w:t>
      </w:r>
      <w:proofErr w:type="spellEnd"/>
      <w:r w:rsidRPr="00A83402">
        <w:rPr>
          <w:rFonts w:ascii="Times New Roman" w:hAnsi="Times New Roman" w:cs="Times New Roman"/>
          <w:color w:val="000000" w:themeColor="text1"/>
          <w:sz w:val="24"/>
          <w:szCs w:val="24"/>
        </w:rPr>
        <w:t>, в ходе работы над которыми будем придерживаться следующего</w:t>
      </w:r>
      <w:r>
        <w:rPr>
          <w:rFonts w:ascii="Times New Roman" w:hAnsi="Times New Roman" w:cs="Times New Roman"/>
          <w:color w:val="000000" w:themeColor="text1"/>
          <w:sz w:val="24"/>
          <w:szCs w:val="24"/>
        </w:rPr>
        <w:t xml:space="preserve"> алгоритма:</w:t>
      </w:r>
    </w:p>
    <w:p w:rsidR="0059775B" w:rsidRPr="00A83402" w:rsidRDefault="0059775B"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t xml:space="preserve">Рассчитаем </w:t>
      </w:r>
      <w:r>
        <w:rPr>
          <w:rFonts w:ascii="Times New Roman" w:hAnsi="Times New Roman" w:cs="Times New Roman"/>
          <w:color w:val="000000" w:themeColor="text1"/>
          <w:sz w:val="24"/>
          <w:szCs w:val="24"/>
          <w:lang w:val="en-US"/>
        </w:rPr>
        <w:t>EPS</w:t>
      </w:r>
      <w:r w:rsidRPr="004D0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Роснефти до поглощения на основе отчета о прибылях и убытках;</w:t>
      </w:r>
    </w:p>
    <w:p w:rsidR="0059775B" w:rsidRPr="00A83402" w:rsidRDefault="0059775B"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r>
        <w:rPr>
          <w:rFonts w:ascii="Times New Roman" w:hAnsi="Times New Roman" w:cs="Times New Roman"/>
          <w:color w:val="000000" w:themeColor="text1"/>
          <w:sz w:val="24"/>
          <w:szCs w:val="24"/>
        </w:rPr>
        <w:tab/>
        <w:t>Воспользуемся составленным нами ранее консолидированным отчетом о прибылях и убытках, где возьмем данные за первый год после поглощения;</w:t>
      </w:r>
    </w:p>
    <w:p w:rsidR="0059775B" w:rsidRPr="00A83402" w:rsidRDefault="0059775B"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t xml:space="preserve">Рассчитаем </w:t>
      </w:r>
      <w:r>
        <w:rPr>
          <w:rFonts w:ascii="Times New Roman" w:hAnsi="Times New Roman" w:cs="Times New Roman"/>
          <w:color w:val="000000" w:themeColor="text1"/>
          <w:sz w:val="24"/>
          <w:szCs w:val="24"/>
          <w:lang w:val="en-US"/>
        </w:rPr>
        <w:t>EPS</w:t>
      </w:r>
      <w:r w:rsidRPr="004011F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консолидированной компании;</w:t>
      </w:r>
    </w:p>
    <w:p w:rsidR="0059775B" w:rsidRPr="00A83402" w:rsidRDefault="0059775B"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ab/>
        <w:t xml:space="preserve">Вычтем из </w:t>
      </w:r>
      <w:r>
        <w:rPr>
          <w:rFonts w:ascii="Times New Roman" w:hAnsi="Times New Roman" w:cs="Times New Roman"/>
          <w:color w:val="000000" w:themeColor="text1"/>
          <w:sz w:val="24"/>
          <w:szCs w:val="24"/>
          <w:lang w:val="en-US"/>
        </w:rPr>
        <w:t>EPS</w:t>
      </w:r>
      <w:r w:rsidRPr="004011F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консолидированной компании </w:t>
      </w:r>
      <w:r>
        <w:rPr>
          <w:rFonts w:ascii="Times New Roman" w:hAnsi="Times New Roman" w:cs="Times New Roman"/>
          <w:color w:val="000000" w:themeColor="text1"/>
          <w:sz w:val="24"/>
          <w:szCs w:val="24"/>
          <w:lang w:val="en-US"/>
        </w:rPr>
        <w:t>EPS</w:t>
      </w:r>
      <w:r w:rsidRPr="004011F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Роснефти;</w:t>
      </w:r>
    </w:p>
    <w:p w:rsidR="0059775B" w:rsidRPr="00A83402" w:rsidRDefault="0059775B"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t xml:space="preserve">Рассчитаем </w:t>
      </w:r>
      <w:r>
        <w:rPr>
          <w:rFonts w:ascii="Times New Roman" w:hAnsi="Times New Roman" w:cs="Times New Roman"/>
          <w:color w:val="000000" w:themeColor="text1"/>
          <w:sz w:val="24"/>
          <w:szCs w:val="24"/>
          <w:lang w:val="en-US"/>
        </w:rPr>
        <w:t>EPS</w:t>
      </w:r>
      <w:r w:rsidRPr="004011F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accretion</w:t>
      </w:r>
      <w:r w:rsidRPr="004011F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dilution</w:t>
      </w:r>
      <w:r w:rsidRPr="004011F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 интерпретируем результаты;</w:t>
      </w:r>
    </w:p>
    <w:p w:rsidR="0059775B" w:rsidRDefault="007C1744"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10</w:t>
      </w:r>
      <w:r w:rsidR="0059775B">
        <w:rPr>
          <w:rFonts w:ascii="Times New Roman" w:hAnsi="Times New Roman" w:cs="Times New Roman"/>
          <w:color w:val="000000" w:themeColor="text1"/>
          <w:sz w:val="24"/>
          <w:szCs w:val="24"/>
        </w:rPr>
        <w:t xml:space="preserve"> </w:t>
      </w:r>
      <w:r w:rsidR="0059775B" w:rsidRPr="00485347">
        <w:rPr>
          <w:rFonts w:ascii="Times New Roman" w:hAnsi="Times New Roman" w:cs="Times New Roman"/>
          <w:color w:val="000000" w:themeColor="text1"/>
          <w:sz w:val="24"/>
          <w:szCs w:val="24"/>
        </w:rPr>
        <w:t xml:space="preserve">Расчет </w:t>
      </w:r>
      <w:r w:rsidR="0059775B">
        <w:rPr>
          <w:rFonts w:ascii="Times New Roman" w:hAnsi="Times New Roman" w:cs="Times New Roman"/>
          <w:color w:val="000000" w:themeColor="text1"/>
          <w:sz w:val="24"/>
          <w:szCs w:val="24"/>
        </w:rPr>
        <w:t>EPS Роснефти до поглощения, в млн. долл. США</w:t>
      </w:r>
    </w:p>
    <w:tbl>
      <w:tblPr>
        <w:tblW w:w="7087" w:type="dxa"/>
        <w:tblInd w:w="1515" w:type="dxa"/>
        <w:tblLook w:val="04A0" w:firstRow="1" w:lastRow="0" w:firstColumn="1" w:lastColumn="0" w:noHBand="0" w:noVBand="1"/>
      </w:tblPr>
      <w:tblGrid>
        <w:gridCol w:w="3827"/>
        <w:gridCol w:w="3260"/>
      </w:tblGrid>
      <w:tr w:rsidR="0059775B" w:rsidRPr="00CE71E9" w:rsidTr="00E11D2C">
        <w:trPr>
          <w:trHeight w:val="330"/>
        </w:trPr>
        <w:tc>
          <w:tcPr>
            <w:tcW w:w="7087" w:type="dxa"/>
            <w:gridSpan w:val="2"/>
            <w:tcBorders>
              <w:top w:val="single" w:sz="18" w:space="0" w:color="auto"/>
              <w:left w:val="nil"/>
              <w:bottom w:val="single" w:sz="12" w:space="0" w:color="auto"/>
              <w:right w:val="nil"/>
            </w:tcBorders>
            <w:shd w:val="clear" w:color="000000" w:fill="FFFFFF"/>
            <w:vAlign w:val="bottom"/>
            <w:hideMark/>
          </w:tcPr>
          <w:p w:rsidR="0059775B" w:rsidRPr="00F92783" w:rsidRDefault="0059775B" w:rsidP="00E11D2C">
            <w:pPr>
              <w:spacing w:after="0" w:line="240" w:lineRule="auto"/>
              <w:jc w:val="center"/>
              <w:rPr>
                <w:rFonts w:ascii="Times New Roman" w:eastAsia="Times New Roman" w:hAnsi="Times New Roman" w:cs="Times New Roman"/>
                <w:b/>
                <w:bCs/>
                <w:color w:val="000000"/>
                <w:sz w:val="24"/>
                <w:szCs w:val="20"/>
                <w:u w:val="single"/>
                <w:lang w:val="en-US" w:eastAsia="ru-RU"/>
              </w:rPr>
            </w:pPr>
            <w:r>
              <w:rPr>
                <w:rFonts w:ascii="Times New Roman" w:eastAsia="Times New Roman" w:hAnsi="Times New Roman" w:cs="Times New Roman"/>
                <w:b/>
                <w:bCs/>
                <w:color w:val="000000"/>
                <w:sz w:val="24"/>
                <w:szCs w:val="20"/>
                <w:u w:val="single"/>
                <w:lang w:val="en-US" w:eastAsia="ru-RU"/>
              </w:rPr>
              <w:t xml:space="preserve">EPS </w:t>
            </w:r>
            <w:proofErr w:type="spellStart"/>
            <w:r>
              <w:rPr>
                <w:rFonts w:ascii="Times New Roman" w:eastAsia="Times New Roman" w:hAnsi="Times New Roman" w:cs="Times New Roman"/>
                <w:b/>
                <w:bCs/>
                <w:color w:val="000000"/>
                <w:sz w:val="24"/>
                <w:szCs w:val="20"/>
                <w:u w:val="single"/>
                <w:lang w:val="en-US" w:eastAsia="ru-RU"/>
              </w:rPr>
              <w:t>Rosneft</w:t>
            </w:r>
            <w:proofErr w:type="spellEnd"/>
            <w:r>
              <w:rPr>
                <w:rFonts w:ascii="Times New Roman" w:eastAsia="Times New Roman" w:hAnsi="Times New Roman" w:cs="Times New Roman"/>
                <w:b/>
                <w:bCs/>
                <w:color w:val="000000"/>
                <w:sz w:val="24"/>
                <w:szCs w:val="20"/>
                <w:u w:val="single"/>
                <w:lang w:val="en-US" w:eastAsia="ru-RU"/>
              </w:rPr>
              <w:t xml:space="preserve"> calculation</w:t>
            </w:r>
          </w:p>
        </w:tc>
      </w:tr>
      <w:tr w:rsidR="0059775B" w:rsidRPr="00CE71E9" w:rsidTr="00E11D2C">
        <w:trPr>
          <w:trHeight w:val="330"/>
        </w:trPr>
        <w:tc>
          <w:tcPr>
            <w:tcW w:w="3827" w:type="dxa"/>
            <w:tcBorders>
              <w:top w:val="single" w:sz="18" w:space="0" w:color="auto"/>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b/>
                <w:bCs/>
                <w:i/>
                <w:iCs/>
                <w:color w:val="000000"/>
                <w:sz w:val="24"/>
                <w:szCs w:val="20"/>
                <w:lang w:eastAsia="ru-RU"/>
              </w:rPr>
            </w:pPr>
            <w:r>
              <w:rPr>
                <w:rFonts w:ascii="Times New Roman" w:eastAsia="Times New Roman" w:hAnsi="Times New Roman" w:cs="Times New Roman"/>
                <w:b/>
                <w:bCs/>
                <w:i/>
                <w:iCs/>
                <w:color w:val="000000"/>
                <w:sz w:val="24"/>
                <w:szCs w:val="20"/>
                <w:lang w:eastAsia="ru-RU"/>
              </w:rPr>
              <w:t>2013E</w:t>
            </w:r>
          </w:p>
        </w:tc>
        <w:tc>
          <w:tcPr>
            <w:tcW w:w="3260" w:type="dxa"/>
            <w:tcBorders>
              <w:top w:val="single" w:sz="18" w:space="0" w:color="auto"/>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color w:val="000000"/>
                <w:sz w:val="24"/>
                <w:szCs w:val="24"/>
                <w:lang w:eastAsia="ru-RU"/>
              </w:rPr>
            </w:pPr>
            <w:r w:rsidRPr="00CE71E9">
              <w:rPr>
                <w:rFonts w:ascii="Times New Roman" w:eastAsia="Times New Roman" w:hAnsi="Times New Roman" w:cs="Times New Roman"/>
                <w:color w:val="000000"/>
                <w:sz w:val="24"/>
                <w:szCs w:val="24"/>
                <w:lang w:eastAsia="ru-RU"/>
              </w:rPr>
              <w:t> </w:t>
            </w:r>
          </w:p>
        </w:tc>
      </w:tr>
      <w:tr w:rsidR="0059775B" w:rsidRPr="00CE71E9" w:rsidTr="00E11D2C">
        <w:trPr>
          <w:trHeight w:val="255"/>
        </w:trPr>
        <w:tc>
          <w:tcPr>
            <w:tcW w:w="3827" w:type="dxa"/>
            <w:tcBorders>
              <w:top w:val="nil"/>
              <w:left w:val="nil"/>
              <w:bottom w:val="nil"/>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color w:val="000000"/>
                <w:sz w:val="24"/>
                <w:szCs w:val="20"/>
                <w:lang w:eastAsia="ru-RU"/>
              </w:rPr>
            </w:pPr>
            <w:proofErr w:type="spellStart"/>
            <w:r>
              <w:rPr>
                <w:rFonts w:ascii="Times New Roman" w:eastAsia="Times New Roman" w:hAnsi="Times New Roman" w:cs="Times New Roman"/>
                <w:color w:val="000000"/>
                <w:sz w:val="24"/>
                <w:szCs w:val="20"/>
                <w:lang w:eastAsia="ru-RU"/>
              </w:rPr>
              <w:t>Net</w:t>
            </w:r>
            <w:proofErr w:type="spellEnd"/>
            <w:r>
              <w:rPr>
                <w:rFonts w:ascii="Times New Roman" w:eastAsia="Times New Roman" w:hAnsi="Times New Roman" w:cs="Times New Roman"/>
                <w:color w:val="000000"/>
                <w:sz w:val="24"/>
                <w:szCs w:val="20"/>
                <w:lang w:eastAsia="ru-RU"/>
              </w:rPr>
              <w:t xml:space="preserve"> </w:t>
            </w:r>
            <w:proofErr w:type="spellStart"/>
            <w:r>
              <w:rPr>
                <w:rFonts w:ascii="Times New Roman" w:eastAsia="Times New Roman" w:hAnsi="Times New Roman" w:cs="Times New Roman"/>
                <w:color w:val="000000"/>
                <w:sz w:val="24"/>
                <w:szCs w:val="20"/>
                <w:lang w:eastAsia="ru-RU"/>
              </w:rPr>
              <w:t>income</w:t>
            </w:r>
            <w:proofErr w:type="spellEnd"/>
          </w:p>
        </w:tc>
        <w:tc>
          <w:tcPr>
            <w:tcW w:w="3260" w:type="dxa"/>
            <w:tcBorders>
              <w:top w:val="nil"/>
              <w:left w:val="nil"/>
              <w:bottom w:val="nil"/>
              <w:right w:val="nil"/>
            </w:tcBorders>
            <w:shd w:val="clear" w:color="000000" w:fill="FFFFFF"/>
            <w:noWrap/>
            <w:vAlign w:val="bottom"/>
            <w:hideMark/>
          </w:tcPr>
          <w:p w:rsidR="0059775B" w:rsidRPr="00F92783" w:rsidRDefault="0059775B" w:rsidP="00E11D2C">
            <w:pPr>
              <w:spacing w:after="0" w:line="240" w:lineRule="auto"/>
              <w:jc w:val="right"/>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color w:val="000000"/>
                <w:sz w:val="24"/>
                <w:szCs w:val="20"/>
                <w:lang w:eastAsia="ru-RU"/>
              </w:rPr>
              <w:t xml:space="preserve">               </w:t>
            </w:r>
            <w:r w:rsidRPr="00F92783">
              <w:rPr>
                <w:rFonts w:ascii="Times New Roman" w:eastAsia="Times New Roman" w:hAnsi="Times New Roman" w:cs="Times New Roman"/>
                <w:b/>
                <w:color w:val="000000"/>
                <w:sz w:val="24"/>
                <w:szCs w:val="20"/>
                <w:lang w:val="en-US" w:eastAsia="ru-RU"/>
              </w:rPr>
              <w:t>$</w:t>
            </w:r>
            <w:r w:rsidRPr="00F92783">
              <w:rPr>
                <w:rFonts w:ascii="Times New Roman" w:eastAsia="Times New Roman" w:hAnsi="Times New Roman" w:cs="Times New Roman"/>
                <w:b/>
                <w:color w:val="000000"/>
                <w:sz w:val="24"/>
                <w:szCs w:val="20"/>
                <w:lang w:eastAsia="ru-RU"/>
              </w:rPr>
              <w:t>13 364</w:t>
            </w:r>
          </w:p>
        </w:tc>
      </w:tr>
      <w:tr w:rsidR="0059775B" w:rsidRPr="00CE71E9" w:rsidTr="00E11D2C">
        <w:trPr>
          <w:trHeight w:val="270"/>
        </w:trPr>
        <w:tc>
          <w:tcPr>
            <w:tcW w:w="3827" w:type="dxa"/>
            <w:tcBorders>
              <w:top w:val="nil"/>
              <w:left w:val="nil"/>
              <w:bottom w:val="single" w:sz="18" w:space="0" w:color="auto"/>
              <w:right w:val="nil"/>
            </w:tcBorders>
            <w:shd w:val="clear" w:color="000000" w:fill="FFFFFF"/>
            <w:noWrap/>
            <w:hideMark/>
          </w:tcPr>
          <w:p w:rsidR="0059775B" w:rsidRPr="00602EFB" w:rsidRDefault="0059775B" w:rsidP="00E11D2C">
            <w:pPr>
              <w:spacing w:after="0" w:line="240" w:lineRule="auto"/>
              <w:rPr>
                <w:rFonts w:ascii="Times New Roman" w:eastAsia="Times New Roman" w:hAnsi="Times New Roman" w:cs="Times New Roman"/>
                <w:sz w:val="24"/>
                <w:szCs w:val="20"/>
                <w:lang w:val="en-US" w:eastAsia="ru-RU"/>
              </w:rPr>
            </w:pPr>
            <w:proofErr w:type="spellStart"/>
            <w:r>
              <w:rPr>
                <w:rFonts w:ascii="Times New Roman" w:eastAsia="Times New Roman" w:hAnsi="Times New Roman" w:cs="Times New Roman"/>
                <w:sz w:val="24"/>
                <w:szCs w:val="20"/>
                <w:lang w:eastAsia="ru-RU"/>
              </w:rPr>
              <w:t>Shares</w:t>
            </w:r>
            <w:proofErr w:type="spellEnd"/>
            <w:r>
              <w:rPr>
                <w:rFonts w:ascii="Times New Roman" w:eastAsia="Times New Roman" w:hAnsi="Times New Roman" w:cs="Times New Roman"/>
                <w:sz w:val="24"/>
                <w:szCs w:val="20"/>
                <w:lang w:eastAsia="ru-RU"/>
              </w:rPr>
              <w:t xml:space="preserve"> </w:t>
            </w:r>
            <w:proofErr w:type="spellStart"/>
            <w:r>
              <w:rPr>
                <w:rFonts w:ascii="Times New Roman" w:eastAsia="Times New Roman" w:hAnsi="Times New Roman" w:cs="Times New Roman"/>
                <w:sz w:val="24"/>
                <w:szCs w:val="20"/>
                <w:lang w:eastAsia="ru-RU"/>
              </w:rPr>
              <w:t>outstanding</w:t>
            </w:r>
            <w:proofErr w:type="spellEnd"/>
            <w:r>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val="en-US" w:eastAsia="ru-RU"/>
              </w:rPr>
              <w:t>millions)</w:t>
            </w:r>
          </w:p>
        </w:tc>
        <w:tc>
          <w:tcPr>
            <w:tcW w:w="3260" w:type="dxa"/>
            <w:tcBorders>
              <w:top w:val="nil"/>
              <w:left w:val="nil"/>
              <w:bottom w:val="single" w:sz="12" w:space="0" w:color="auto"/>
              <w:right w:val="nil"/>
            </w:tcBorders>
            <w:shd w:val="clear" w:color="000000" w:fill="FFFFFF"/>
            <w:noWrap/>
            <w:vAlign w:val="bottom"/>
            <w:hideMark/>
          </w:tcPr>
          <w:p w:rsidR="0059775B" w:rsidRPr="00602EFB" w:rsidRDefault="0059775B" w:rsidP="00E11D2C">
            <w:pPr>
              <w:spacing w:after="0" w:line="240" w:lineRule="auto"/>
              <w:jc w:val="right"/>
              <w:rPr>
                <w:rFonts w:ascii="Times New Roman" w:eastAsia="Times New Roman" w:hAnsi="Times New Roman" w:cs="Times New Roman"/>
                <w:b/>
                <w:color w:val="000000"/>
                <w:sz w:val="24"/>
                <w:szCs w:val="20"/>
                <w:lang w:eastAsia="ru-RU"/>
              </w:rPr>
            </w:pPr>
            <w:r w:rsidRPr="00CE71E9">
              <w:rPr>
                <w:rFonts w:ascii="Times New Roman" w:eastAsia="Times New Roman" w:hAnsi="Times New Roman" w:cs="Times New Roman"/>
                <w:color w:val="000000"/>
                <w:sz w:val="24"/>
                <w:szCs w:val="20"/>
                <w:lang w:eastAsia="ru-RU"/>
              </w:rPr>
              <w:t xml:space="preserve">               </w:t>
            </w:r>
            <w:r w:rsidRPr="00602EFB">
              <w:rPr>
                <w:rFonts w:ascii="Times New Roman" w:eastAsia="Times New Roman" w:hAnsi="Times New Roman" w:cs="Times New Roman"/>
                <w:b/>
                <w:color w:val="000000"/>
                <w:sz w:val="24"/>
                <w:szCs w:val="20"/>
                <w:lang w:eastAsia="ru-RU"/>
              </w:rPr>
              <w:t>10 598</w:t>
            </w:r>
          </w:p>
        </w:tc>
      </w:tr>
      <w:tr w:rsidR="0059775B" w:rsidRPr="00CE71E9" w:rsidTr="00E11D2C">
        <w:trPr>
          <w:trHeight w:val="285"/>
        </w:trPr>
        <w:tc>
          <w:tcPr>
            <w:tcW w:w="3827" w:type="dxa"/>
            <w:tcBorders>
              <w:top w:val="single" w:sz="12" w:space="0" w:color="auto"/>
              <w:left w:val="nil"/>
              <w:bottom w:val="single" w:sz="12" w:space="0" w:color="auto"/>
              <w:right w:val="nil"/>
            </w:tcBorders>
            <w:shd w:val="clear" w:color="000000" w:fill="FFFFFF"/>
            <w:noWrap/>
            <w:vAlign w:val="bottom"/>
            <w:hideMark/>
          </w:tcPr>
          <w:p w:rsidR="0059775B" w:rsidRPr="00CE71E9" w:rsidRDefault="0059775B" w:rsidP="00E11D2C">
            <w:pPr>
              <w:spacing w:after="0" w:line="240" w:lineRule="auto"/>
              <w:rPr>
                <w:rFonts w:ascii="Times New Roman" w:eastAsia="Times New Roman" w:hAnsi="Times New Roman" w:cs="Times New Roman"/>
                <w:b/>
                <w:bCs/>
                <w:color w:val="000000"/>
                <w:sz w:val="24"/>
                <w:szCs w:val="20"/>
                <w:lang w:eastAsia="ru-RU"/>
              </w:rPr>
            </w:pPr>
            <w:r w:rsidRPr="00CE71E9">
              <w:rPr>
                <w:rFonts w:ascii="Times New Roman" w:eastAsia="Times New Roman" w:hAnsi="Times New Roman" w:cs="Times New Roman"/>
                <w:b/>
                <w:bCs/>
                <w:color w:val="000000"/>
                <w:sz w:val="24"/>
                <w:szCs w:val="20"/>
                <w:lang w:eastAsia="ru-RU"/>
              </w:rPr>
              <w:t xml:space="preserve">   </w:t>
            </w:r>
            <w:r>
              <w:rPr>
                <w:rFonts w:ascii="Times New Roman" w:eastAsia="Times New Roman" w:hAnsi="Times New Roman" w:cs="Times New Roman"/>
                <w:b/>
                <w:bCs/>
                <w:color w:val="000000"/>
                <w:sz w:val="24"/>
                <w:szCs w:val="20"/>
                <w:lang w:eastAsia="ru-RU"/>
              </w:rPr>
              <w:t>EPS</w:t>
            </w:r>
          </w:p>
        </w:tc>
        <w:tc>
          <w:tcPr>
            <w:tcW w:w="3260" w:type="dxa"/>
            <w:tcBorders>
              <w:top w:val="single" w:sz="12" w:space="0" w:color="auto"/>
              <w:left w:val="nil"/>
              <w:bottom w:val="single" w:sz="18" w:space="0" w:color="auto"/>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sidRPr="00CE71E9">
              <w:rPr>
                <w:rFonts w:ascii="Times New Roman" w:eastAsia="Times New Roman" w:hAnsi="Times New Roman" w:cs="Times New Roman"/>
                <w:b/>
                <w:bCs/>
                <w:color w:val="000000"/>
                <w:sz w:val="24"/>
                <w:szCs w:val="20"/>
                <w:lang w:eastAsia="ru-RU"/>
              </w:rPr>
              <w:t xml:space="preserve"> </w:t>
            </w:r>
            <w:r>
              <w:rPr>
                <w:rFonts w:ascii="Times New Roman" w:eastAsia="Times New Roman" w:hAnsi="Times New Roman" w:cs="Times New Roman"/>
                <w:b/>
                <w:bCs/>
                <w:color w:val="000000"/>
                <w:sz w:val="24"/>
                <w:szCs w:val="20"/>
                <w:lang w:eastAsia="ru-RU"/>
              </w:rPr>
              <w:t xml:space="preserve">              1.26</w:t>
            </w:r>
          </w:p>
        </w:tc>
      </w:tr>
    </w:tbl>
    <w:p w:rsidR="0059775B" w:rsidRDefault="0059775B" w:rsidP="0059775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Рассчитано по: Консолидированная финансовая</w:t>
      </w:r>
      <w:r w:rsidRPr="001B4B2B">
        <w:rPr>
          <w:rFonts w:ascii="Times New Roman" w:hAnsi="Times New Roman" w:cs="Times New Roman"/>
          <w:sz w:val="24"/>
          <w:szCs w:val="24"/>
        </w:rPr>
        <w:t xml:space="preserve"> </w:t>
      </w:r>
      <w:r>
        <w:rPr>
          <w:rFonts w:ascii="Times New Roman" w:hAnsi="Times New Roman" w:cs="Times New Roman"/>
          <w:sz w:val="24"/>
          <w:szCs w:val="24"/>
        </w:rPr>
        <w:t xml:space="preserve">отчетность компании «Роснефть» </w:t>
      </w:r>
    </w:p>
    <w:p w:rsidR="0059775B" w:rsidRPr="00940911" w:rsidRDefault="0059775B" w:rsidP="0059775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Прежде чем мы приступим к расчету </w:t>
      </w:r>
      <w:r>
        <w:rPr>
          <w:rFonts w:ascii="Times New Roman" w:hAnsi="Times New Roman" w:cs="Times New Roman"/>
          <w:sz w:val="24"/>
          <w:szCs w:val="24"/>
          <w:lang w:val="en-US"/>
        </w:rPr>
        <w:t>EPS</w:t>
      </w:r>
      <w:r w:rsidRPr="007A5575">
        <w:rPr>
          <w:rFonts w:ascii="Times New Roman" w:hAnsi="Times New Roman" w:cs="Times New Roman"/>
          <w:sz w:val="24"/>
          <w:szCs w:val="24"/>
        </w:rPr>
        <w:t xml:space="preserve"> </w:t>
      </w:r>
      <w:r>
        <w:rPr>
          <w:rFonts w:ascii="Times New Roman" w:hAnsi="Times New Roman" w:cs="Times New Roman"/>
          <w:sz w:val="24"/>
          <w:szCs w:val="24"/>
        </w:rPr>
        <w:t xml:space="preserve">консолидированной компании, нам необходимо скорректировать чистую прибыль консолидированной компании, т.к. сделка частично была профинансирована за счет банковских кредитов и </w:t>
      </w:r>
      <w:proofErr w:type="gramStart"/>
      <w:r>
        <w:rPr>
          <w:rFonts w:ascii="Times New Roman" w:hAnsi="Times New Roman" w:cs="Times New Roman"/>
          <w:sz w:val="24"/>
          <w:szCs w:val="24"/>
        </w:rPr>
        <w:t xml:space="preserve">доля данных обязательств, пришедшаяся на 2014 год должна </w:t>
      </w:r>
      <w:r w:rsidR="005E24FF">
        <w:rPr>
          <w:rFonts w:ascii="Times New Roman" w:hAnsi="Times New Roman" w:cs="Times New Roman"/>
          <w:sz w:val="24"/>
          <w:szCs w:val="24"/>
        </w:rPr>
        <w:t>быть вычтена</w:t>
      </w:r>
      <w:proofErr w:type="gramEnd"/>
      <w:r w:rsidR="005E24FF">
        <w:rPr>
          <w:rFonts w:ascii="Times New Roman" w:hAnsi="Times New Roman" w:cs="Times New Roman"/>
          <w:sz w:val="24"/>
          <w:szCs w:val="24"/>
        </w:rPr>
        <w:t xml:space="preserve"> из чистой прибыли.</w:t>
      </w:r>
    </w:p>
    <w:p w:rsidR="0059775B" w:rsidRDefault="007C1744"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11</w:t>
      </w:r>
      <w:r w:rsidR="0059775B">
        <w:rPr>
          <w:rFonts w:ascii="Times New Roman" w:hAnsi="Times New Roman" w:cs="Times New Roman"/>
          <w:color w:val="000000" w:themeColor="text1"/>
          <w:sz w:val="24"/>
          <w:szCs w:val="24"/>
        </w:rPr>
        <w:t xml:space="preserve"> Корректировка чистой прибыли объединенной компании, в млн. долл. США</w:t>
      </w:r>
    </w:p>
    <w:tbl>
      <w:tblPr>
        <w:tblW w:w="7087" w:type="dxa"/>
        <w:tblInd w:w="1515" w:type="dxa"/>
        <w:tblLayout w:type="fixed"/>
        <w:tblLook w:val="04A0" w:firstRow="1" w:lastRow="0" w:firstColumn="1" w:lastColumn="0" w:noHBand="0" w:noVBand="1"/>
      </w:tblPr>
      <w:tblGrid>
        <w:gridCol w:w="3827"/>
        <w:gridCol w:w="3260"/>
      </w:tblGrid>
      <w:tr w:rsidR="0059775B" w:rsidRPr="00FE3362" w:rsidTr="00E11D2C">
        <w:trPr>
          <w:trHeight w:val="330"/>
        </w:trPr>
        <w:tc>
          <w:tcPr>
            <w:tcW w:w="7087" w:type="dxa"/>
            <w:gridSpan w:val="2"/>
            <w:tcBorders>
              <w:top w:val="single" w:sz="18" w:space="0" w:color="auto"/>
              <w:left w:val="nil"/>
              <w:bottom w:val="single" w:sz="12" w:space="0" w:color="auto"/>
              <w:right w:val="nil"/>
            </w:tcBorders>
            <w:shd w:val="clear" w:color="000000" w:fill="FFFFFF"/>
            <w:vAlign w:val="bottom"/>
            <w:hideMark/>
          </w:tcPr>
          <w:p w:rsidR="0059775B" w:rsidRPr="00F92783" w:rsidRDefault="0059775B" w:rsidP="00E11D2C">
            <w:pPr>
              <w:spacing w:after="0" w:line="240" w:lineRule="auto"/>
              <w:jc w:val="center"/>
              <w:rPr>
                <w:rFonts w:ascii="Times New Roman" w:eastAsia="Times New Roman" w:hAnsi="Times New Roman" w:cs="Times New Roman"/>
                <w:b/>
                <w:bCs/>
                <w:color w:val="000000"/>
                <w:sz w:val="24"/>
                <w:szCs w:val="20"/>
                <w:u w:val="single"/>
                <w:lang w:val="en-US" w:eastAsia="ru-RU"/>
              </w:rPr>
            </w:pPr>
            <w:r>
              <w:rPr>
                <w:rFonts w:ascii="Times New Roman" w:eastAsia="Times New Roman" w:hAnsi="Times New Roman" w:cs="Times New Roman"/>
                <w:b/>
                <w:bCs/>
                <w:color w:val="000000"/>
                <w:sz w:val="24"/>
                <w:szCs w:val="20"/>
                <w:u w:val="single"/>
                <w:lang w:val="en-US" w:eastAsia="ru-RU"/>
              </w:rPr>
              <w:t>Pro forma net income adjustment</w:t>
            </w:r>
          </w:p>
        </w:tc>
      </w:tr>
      <w:tr w:rsidR="0059775B" w:rsidRPr="00FE3362" w:rsidTr="00E11D2C">
        <w:trPr>
          <w:trHeight w:val="330"/>
        </w:trPr>
        <w:tc>
          <w:tcPr>
            <w:tcW w:w="3827" w:type="dxa"/>
            <w:tcBorders>
              <w:top w:val="single" w:sz="18" w:space="0" w:color="auto"/>
              <w:left w:val="nil"/>
              <w:bottom w:val="nil"/>
              <w:right w:val="nil"/>
            </w:tcBorders>
            <w:shd w:val="clear" w:color="000000" w:fill="FFFFFF"/>
            <w:noWrap/>
            <w:vAlign w:val="bottom"/>
            <w:hideMark/>
          </w:tcPr>
          <w:p w:rsidR="0059775B" w:rsidRPr="00101826" w:rsidRDefault="0059775B" w:rsidP="00E11D2C">
            <w:pPr>
              <w:spacing w:after="0" w:line="240" w:lineRule="auto"/>
              <w:rPr>
                <w:rFonts w:ascii="Times New Roman" w:eastAsia="Times New Roman" w:hAnsi="Times New Roman" w:cs="Times New Roman"/>
                <w:b/>
                <w:bCs/>
                <w:i/>
                <w:iCs/>
                <w:color w:val="000000"/>
                <w:sz w:val="24"/>
                <w:szCs w:val="20"/>
                <w:lang w:val="en-US" w:eastAsia="ru-RU"/>
              </w:rPr>
            </w:pPr>
          </w:p>
        </w:tc>
        <w:tc>
          <w:tcPr>
            <w:tcW w:w="3260" w:type="dxa"/>
            <w:tcBorders>
              <w:top w:val="single" w:sz="18" w:space="0" w:color="auto"/>
              <w:left w:val="nil"/>
              <w:bottom w:val="nil"/>
              <w:right w:val="nil"/>
            </w:tcBorders>
            <w:shd w:val="clear" w:color="000000" w:fill="FFFFFF"/>
            <w:noWrap/>
            <w:vAlign w:val="bottom"/>
            <w:hideMark/>
          </w:tcPr>
          <w:p w:rsidR="0059775B" w:rsidRPr="00101826" w:rsidRDefault="0059775B" w:rsidP="00E11D2C">
            <w:pPr>
              <w:spacing w:after="0" w:line="240" w:lineRule="auto"/>
              <w:rPr>
                <w:rFonts w:ascii="Times New Roman" w:eastAsia="Times New Roman" w:hAnsi="Times New Roman" w:cs="Times New Roman"/>
                <w:color w:val="000000"/>
                <w:sz w:val="24"/>
                <w:szCs w:val="24"/>
                <w:lang w:val="en-US" w:eastAsia="ru-RU"/>
              </w:rPr>
            </w:pPr>
            <w:r w:rsidRPr="00101826">
              <w:rPr>
                <w:rFonts w:ascii="Times New Roman" w:eastAsia="Times New Roman" w:hAnsi="Times New Roman" w:cs="Times New Roman"/>
                <w:color w:val="000000"/>
                <w:sz w:val="24"/>
                <w:szCs w:val="24"/>
                <w:lang w:val="en-US" w:eastAsia="ru-RU"/>
              </w:rPr>
              <w:t> </w:t>
            </w:r>
          </w:p>
        </w:tc>
      </w:tr>
      <w:tr w:rsidR="0059775B" w:rsidRPr="00CE71E9" w:rsidTr="00E11D2C">
        <w:trPr>
          <w:trHeight w:val="255"/>
        </w:trPr>
        <w:tc>
          <w:tcPr>
            <w:tcW w:w="3827" w:type="dxa"/>
            <w:tcBorders>
              <w:top w:val="nil"/>
              <w:left w:val="nil"/>
              <w:bottom w:val="nil"/>
              <w:right w:val="nil"/>
            </w:tcBorders>
            <w:shd w:val="clear" w:color="000000" w:fill="FFFFFF"/>
            <w:noWrap/>
            <w:vAlign w:val="bottom"/>
            <w:hideMark/>
          </w:tcPr>
          <w:p w:rsidR="0059775B" w:rsidRPr="00101826" w:rsidRDefault="0059775B" w:rsidP="00E11D2C">
            <w:pPr>
              <w:spacing w:after="0" w:line="240" w:lineRule="auto"/>
              <w:rPr>
                <w:rFonts w:ascii="Times New Roman" w:eastAsia="Times New Roman" w:hAnsi="Times New Roman" w:cs="Times New Roman"/>
                <w:color w:val="000000"/>
                <w:sz w:val="24"/>
                <w:szCs w:val="20"/>
                <w:lang w:eastAsia="ru-RU"/>
              </w:rPr>
            </w:pPr>
            <w:proofErr w:type="spellStart"/>
            <w:r>
              <w:rPr>
                <w:rFonts w:ascii="Times New Roman" w:eastAsia="Times New Roman" w:hAnsi="Times New Roman" w:cs="Times New Roman"/>
                <w:color w:val="000000"/>
                <w:sz w:val="24"/>
                <w:szCs w:val="20"/>
                <w:lang w:eastAsia="ru-RU"/>
              </w:rPr>
              <w:t>Net</w:t>
            </w:r>
            <w:proofErr w:type="spellEnd"/>
            <w:r>
              <w:rPr>
                <w:rFonts w:ascii="Times New Roman" w:eastAsia="Times New Roman" w:hAnsi="Times New Roman" w:cs="Times New Roman"/>
                <w:color w:val="000000"/>
                <w:sz w:val="24"/>
                <w:szCs w:val="20"/>
                <w:lang w:eastAsia="ru-RU"/>
              </w:rPr>
              <w:t xml:space="preserve"> </w:t>
            </w:r>
            <w:proofErr w:type="spellStart"/>
            <w:r>
              <w:rPr>
                <w:rFonts w:ascii="Times New Roman" w:eastAsia="Times New Roman" w:hAnsi="Times New Roman" w:cs="Times New Roman"/>
                <w:color w:val="000000"/>
                <w:sz w:val="24"/>
                <w:szCs w:val="20"/>
                <w:lang w:eastAsia="ru-RU"/>
              </w:rPr>
              <w:t>income</w:t>
            </w:r>
            <w:proofErr w:type="spellEnd"/>
            <w:r>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0"/>
                <w:lang w:val="en-US" w:eastAsia="ru-RU"/>
              </w:rPr>
              <w:t>consolidated</w:t>
            </w:r>
          </w:p>
        </w:tc>
        <w:tc>
          <w:tcPr>
            <w:tcW w:w="3260" w:type="dxa"/>
            <w:tcBorders>
              <w:top w:val="nil"/>
              <w:left w:val="nil"/>
              <w:bottom w:val="nil"/>
              <w:right w:val="nil"/>
            </w:tcBorders>
            <w:shd w:val="clear" w:color="000000" w:fill="FFFFFF"/>
            <w:noWrap/>
            <w:vAlign w:val="bottom"/>
            <w:hideMark/>
          </w:tcPr>
          <w:p w:rsidR="0059775B" w:rsidRPr="00F92783" w:rsidRDefault="0059775B" w:rsidP="00E11D2C">
            <w:pPr>
              <w:spacing w:after="0" w:line="240" w:lineRule="auto"/>
              <w:jc w:val="right"/>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color w:val="000000"/>
                <w:sz w:val="24"/>
                <w:szCs w:val="20"/>
                <w:lang w:eastAsia="ru-RU"/>
              </w:rPr>
              <w:t xml:space="preserve">               </w:t>
            </w:r>
            <w:r w:rsidRPr="00F92783">
              <w:rPr>
                <w:rFonts w:ascii="Times New Roman" w:eastAsia="Times New Roman" w:hAnsi="Times New Roman" w:cs="Times New Roman"/>
                <w:b/>
                <w:color w:val="000000"/>
                <w:sz w:val="24"/>
                <w:szCs w:val="20"/>
                <w:lang w:val="en-US" w:eastAsia="ru-RU"/>
              </w:rPr>
              <w:t>$</w:t>
            </w:r>
            <w:r>
              <w:rPr>
                <w:rFonts w:ascii="Times New Roman" w:eastAsia="Times New Roman" w:hAnsi="Times New Roman" w:cs="Times New Roman"/>
                <w:b/>
                <w:color w:val="000000"/>
                <w:sz w:val="24"/>
                <w:szCs w:val="20"/>
                <w:lang w:eastAsia="ru-RU"/>
              </w:rPr>
              <w:t>25</w:t>
            </w:r>
            <w:r w:rsidRPr="00F92783">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282</w:t>
            </w:r>
          </w:p>
        </w:tc>
      </w:tr>
      <w:tr w:rsidR="0059775B" w:rsidRPr="00CE71E9" w:rsidTr="00E11D2C">
        <w:trPr>
          <w:trHeight w:val="285"/>
        </w:trPr>
        <w:tc>
          <w:tcPr>
            <w:tcW w:w="3827" w:type="dxa"/>
            <w:tcBorders>
              <w:top w:val="single" w:sz="12" w:space="0" w:color="auto"/>
              <w:left w:val="nil"/>
              <w:bottom w:val="single" w:sz="12" w:space="0" w:color="auto"/>
              <w:right w:val="nil"/>
            </w:tcBorders>
            <w:shd w:val="clear" w:color="000000" w:fill="FFFFFF"/>
            <w:noWrap/>
            <w:vAlign w:val="bottom"/>
            <w:hideMark/>
          </w:tcPr>
          <w:p w:rsidR="0059775B" w:rsidRPr="00D301D9" w:rsidRDefault="0059775B" w:rsidP="00E11D2C">
            <w:pPr>
              <w:spacing w:after="0" w:line="240" w:lineRule="auto"/>
              <w:rPr>
                <w:rFonts w:ascii="Times New Roman" w:eastAsia="Times New Roman" w:hAnsi="Times New Roman" w:cs="Times New Roman"/>
                <w:bCs/>
                <w:color w:val="000000"/>
                <w:sz w:val="24"/>
                <w:szCs w:val="20"/>
                <w:lang w:val="en-US" w:eastAsia="ru-RU"/>
              </w:rPr>
            </w:pPr>
            <w:r w:rsidRPr="00CE71E9">
              <w:rPr>
                <w:rFonts w:ascii="Times New Roman" w:eastAsia="Times New Roman" w:hAnsi="Times New Roman" w:cs="Times New Roman"/>
                <w:b/>
                <w:bCs/>
                <w:color w:val="000000"/>
                <w:sz w:val="24"/>
                <w:szCs w:val="20"/>
                <w:lang w:eastAsia="ru-RU"/>
              </w:rPr>
              <w:t xml:space="preserve"> </w:t>
            </w:r>
            <w:r w:rsidRPr="00D301D9">
              <w:rPr>
                <w:rFonts w:ascii="Times New Roman" w:eastAsia="Times New Roman" w:hAnsi="Times New Roman" w:cs="Times New Roman"/>
                <w:bCs/>
                <w:color w:val="000000"/>
                <w:sz w:val="24"/>
                <w:szCs w:val="20"/>
                <w:lang w:val="en-US" w:eastAsia="ru-RU"/>
              </w:rPr>
              <w:t>Cash paid</w:t>
            </w:r>
            <w:r>
              <w:rPr>
                <w:rStyle w:val="a7"/>
                <w:rFonts w:ascii="Times New Roman" w:eastAsia="Times New Roman" w:hAnsi="Times New Roman" w:cs="Times New Roman"/>
                <w:bCs/>
                <w:color w:val="000000"/>
                <w:sz w:val="24"/>
                <w:szCs w:val="20"/>
                <w:lang w:val="en-US" w:eastAsia="ru-RU"/>
              </w:rPr>
              <w:footnoteReference w:id="42"/>
            </w:r>
          </w:p>
        </w:tc>
        <w:tc>
          <w:tcPr>
            <w:tcW w:w="3260" w:type="dxa"/>
            <w:tcBorders>
              <w:top w:val="single" w:sz="12" w:space="0" w:color="auto"/>
              <w:left w:val="nil"/>
              <w:bottom w:val="single" w:sz="12" w:space="0" w:color="auto"/>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sidRPr="00CE71E9">
              <w:rPr>
                <w:rFonts w:ascii="Times New Roman" w:eastAsia="Times New Roman" w:hAnsi="Times New Roman" w:cs="Times New Roman"/>
                <w:b/>
                <w:bCs/>
                <w:color w:val="000000"/>
                <w:sz w:val="24"/>
                <w:szCs w:val="20"/>
                <w:lang w:eastAsia="ru-RU"/>
              </w:rPr>
              <w:t xml:space="preserve"> </w:t>
            </w:r>
            <w:r>
              <w:rPr>
                <w:rFonts w:ascii="Times New Roman" w:eastAsia="Times New Roman" w:hAnsi="Times New Roman" w:cs="Times New Roman"/>
                <w:b/>
                <w:bCs/>
                <w:color w:val="000000"/>
                <w:sz w:val="24"/>
                <w:szCs w:val="20"/>
                <w:lang w:eastAsia="ru-RU"/>
              </w:rPr>
              <w:t xml:space="preserve">              $17 100</w:t>
            </w:r>
          </w:p>
        </w:tc>
      </w:tr>
      <w:tr w:rsidR="0059775B" w:rsidRPr="00CE71E9" w:rsidTr="00E11D2C">
        <w:trPr>
          <w:trHeight w:val="285"/>
        </w:trPr>
        <w:tc>
          <w:tcPr>
            <w:tcW w:w="3827" w:type="dxa"/>
            <w:tcBorders>
              <w:top w:val="single" w:sz="12" w:space="0" w:color="auto"/>
              <w:left w:val="nil"/>
              <w:bottom w:val="single" w:sz="12" w:space="0" w:color="auto"/>
              <w:right w:val="nil"/>
            </w:tcBorders>
            <w:shd w:val="clear" w:color="000000" w:fill="FFFFFF"/>
            <w:noWrap/>
            <w:vAlign w:val="bottom"/>
          </w:tcPr>
          <w:p w:rsidR="0059775B" w:rsidRPr="00D301D9" w:rsidRDefault="0059775B" w:rsidP="00E11D2C">
            <w:pPr>
              <w:spacing w:after="0" w:line="240" w:lineRule="auto"/>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 xml:space="preserve"> </w:t>
            </w:r>
            <w:proofErr w:type="spellStart"/>
            <w:r>
              <w:rPr>
                <w:rFonts w:ascii="Times New Roman" w:eastAsia="Times New Roman" w:hAnsi="Times New Roman" w:cs="Times New Roman"/>
                <w:bCs/>
                <w:color w:val="000000"/>
                <w:sz w:val="24"/>
                <w:szCs w:val="20"/>
                <w:lang w:eastAsia="ru-RU"/>
              </w:rPr>
              <w:t>Cost</w:t>
            </w:r>
            <w:proofErr w:type="spellEnd"/>
            <w:r>
              <w:rPr>
                <w:rFonts w:ascii="Times New Roman" w:eastAsia="Times New Roman" w:hAnsi="Times New Roman" w:cs="Times New Roman"/>
                <w:bCs/>
                <w:color w:val="000000"/>
                <w:sz w:val="24"/>
                <w:szCs w:val="20"/>
                <w:lang w:eastAsia="ru-RU"/>
              </w:rPr>
              <w:t xml:space="preserve"> </w:t>
            </w:r>
            <w:proofErr w:type="spellStart"/>
            <w:r>
              <w:rPr>
                <w:rFonts w:ascii="Times New Roman" w:eastAsia="Times New Roman" w:hAnsi="Times New Roman" w:cs="Times New Roman"/>
                <w:bCs/>
                <w:color w:val="000000"/>
                <w:sz w:val="24"/>
                <w:szCs w:val="20"/>
                <w:lang w:eastAsia="ru-RU"/>
              </w:rPr>
              <w:t>of</w:t>
            </w:r>
            <w:proofErr w:type="spellEnd"/>
            <w:r>
              <w:rPr>
                <w:rFonts w:ascii="Times New Roman" w:eastAsia="Times New Roman" w:hAnsi="Times New Roman" w:cs="Times New Roman"/>
                <w:bCs/>
                <w:color w:val="000000"/>
                <w:sz w:val="24"/>
                <w:szCs w:val="20"/>
                <w:lang w:eastAsia="ru-RU"/>
              </w:rPr>
              <w:t xml:space="preserve"> </w:t>
            </w:r>
            <w:proofErr w:type="spellStart"/>
            <w:r>
              <w:rPr>
                <w:rFonts w:ascii="Times New Roman" w:eastAsia="Times New Roman" w:hAnsi="Times New Roman" w:cs="Times New Roman"/>
                <w:bCs/>
                <w:color w:val="000000"/>
                <w:sz w:val="24"/>
                <w:szCs w:val="20"/>
                <w:lang w:eastAsia="ru-RU"/>
              </w:rPr>
              <w:t>debt</w:t>
            </w:r>
            <w:proofErr w:type="spellEnd"/>
          </w:p>
        </w:tc>
        <w:tc>
          <w:tcPr>
            <w:tcW w:w="3260" w:type="dxa"/>
            <w:tcBorders>
              <w:top w:val="single" w:sz="12" w:space="0" w:color="auto"/>
              <w:left w:val="nil"/>
              <w:bottom w:val="single" w:sz="12" w:space="0" w:color="auto"/>
              <w:right w:val="nil"/>
            </w:tcBorders>
            <w:shd w:val="clear" w:color="000000" w:fill="FFFFFF"/>
            <w:noWrap/>
            <w:vAlign w:val="bottom"/>
          </w:tcPr>
          <w:p w:rsidR="0059775B" w:rsidRPr="00CE71E9"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4.5%</w:t>
            </w:r>
          </w:p>
        </w:tc>
      </w:tr>
      <w:tr w:rsidR="0059775B" w:rsidRPr="00CE71E9" w:rsidTr="00E11D2C">
        <w:trPr>
          <w:trHeight w:val="285"/>
        </w:trPr>
        <w:tc>
          <w:tcPr>
            <w:tcW w:w="3827" w:type="dxa"/>
            <w:tcBorders>
              <w:top w:val="single" w:sz="12" w:space="0" w:color="auto"/>
              <w:left w:val="nil"/>
              <w:bottom w:val="single" w:sz="12" w:space="0" w:color="auto"/>
              <w:right w:val="nil"/>
            </w:tcBorders>
            <w:shd w:val="clear" w:color="000000" w:fill="FFFFFF"/>
            <w:noWrap/>
            <w:vAlign w:val="bottom"/>
          </w:tcPr>
          <w:p w:rsidR="0059775B" w:rsidRDefault="0059775B" w:rsidP="00E11D2C">
            <w:pPr>
              <w:spacing w:after="0" w:line="240" w:lineRule="auto"/>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 xml:space="preserve"> </w:t>
            </w:r>
            <w:proofErr w:type="spellStart"/>
            <w:r>
              <w:rPr>
                <w:rFonts w:ascii="Times New Roman" w:eastAsia="Times New Roman" w:hAnsi="Times New Roman" w:cs="Times New Roman"/>
                <w:bCs/>
                <w:color w:val="000000"/>
                <w:sz w:val="24"/>
                <w:szCs w:val="20"/>
                <w:lang w:eastAsia="ru-RU"/>
              </w:rPr>
              <w:t>Interest</w:t>
            </w:r>
            <w:proofErr w:type="spellEnd"/>
            <w:r>
              <w:rPr>
                <w:rFonts w:ascii="Times New Roman" w:eastAsia="Times New Roman" w:hAnsi="Times New Roman" w:cs="Times New Roman"/>
                <w:bCs/>
                <w:color w:val="000000"/>
                <w:sz w:val="24"/>
                <w:szCs w:val="20"/>
                <w:lang w:eastAsia="ru-RU"/>
              </w:rPr>
              <w:t xml:space="preserve"> </w:t>
            </w:r>
            <w:proofErr w:type="spellStart"/>
            <w:r>
              <w:rPr>
                <w:rFonts w:ascii="Times New Roman" w:eastAsia="Times New Roman" w:hAnsi="Times New Roman" w:cs="Times New Roman"/>
                <w:bCs/>
                <w:color w:val="000000"/>
                <w:sz w:val="24"/>
                <w:szCs w:val="20"/>
                <w:lang w:eastAsia="ru-RU"/>
              </w:rPr>
              <w:t>expense</w:t>
            </w:r>
            <w:proofErr w:type="spellEnd"/>
          </w:p>
        </w:tc>
        <w:tc>
          <w:tcPr>
            <w:tcW w:w="3260" w:type="dxa"/>
            <w:tcBorders>
              <w:top w:val="single" w:sz="12" w:space="0" w:color="auto"/>
              <w:left w:val="nil"/>
              <w:bottom w:val="single" w:sz="12" w:space="0" w:color="auto"/>
              <w:right w:val="nil"/>
            </w:tcBorders>
            <w:shd w:val="clear" w:color="000000" w:fill="FFFFFF"/>
            <w:noWrap/>
            <w:vAlign w:val="bottom"/>
          </w:tcPr>
          <w:p w:rsidR="0059775B"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770</w:t>
            </w:r>
          </w:p>
        </w:tc>
      </w:tr>
      <w:tr w:rsidR="0059775B" w:rsidRPr="00CE71E9" w:rsidTr="00E11D2C">
        <w:trPr>
          <w:trHeight w:val="285"/>
        </w:trPr>
        <w:tc>
          <w:tcPr>
            <w:tcW w:w="3827" w:type="dxa"/>
            <w:tcBorders>
              <w:top w:val="single" w:sz="12" w:space="0" w:color="auto"/>
              <w:left w:val="nil"/>
              <w:bottom w:val="single" w:sz="12" w:space="0" w:color="auto"/>
              <w:right w:val="nil"/>
            </w:tcBorders>
            <w:shd w:val="clear" w:color="000000" w:fill="FFFFFF"/>
            <w:noWrap/>
            <w:vAlign w:val="bottom"/>
          </w:tcPr>
          <w:p w:rsidR="0059775B" w:rsidRDefault="0059775B" w:rsidP="00E11D2C">
            <w:pPr>
              <w:spacing w:after="0" w:line="240" w:lineRule="auto"/>
              <w:rPr>
                <w:rFonts w:ascii="Times New Roman" w:eastAsia="Times New Roman" w:hAnsi="Times New Roman" w:cs="Times New Roman"/>
                <w:bCs/>
                <w:color w:val="000000"/>
                <w:sz w:val="24"/>
                <w:szCs w:val="20"/>
                <w:lang w:eastAsia="ru-RU"/>
              </w:rPr>
            </w:pPr>
            <w:proofErr w:type="spellStart"/>
            <w:r>
              <w:rPr>
                <w:rFonts w:ascii="Times New Roman" w:eastAsia="Times New Roman" w:hAnsi="Times New Roman" w:cs="Times New Roman"/>
                <w:bCs/>
                <w:color w:val="000000"/>
                <w:sz w:val="24"/>
                <w:szCs w:val="20"/>
                <w:lang w:eastAsia="ru-RU"/>
              </w:rPr>
              <w:t>Adjusted</w:t>
            </w:r>
            <w:proofErr w:type="spellEnd"/>
            <w:r>
              <w:rPr>
                <w:rFonts w:ascii="Times New Roman" w:eastAsia="Times New Roman" w:hAnsi="Times New Roman" w:cs="Times New Roman"/>
                <w:bCs/>
                <w:color w:val="000000"/>
                <w:sz w:val="24"/>
                <w:szCs w:val="20"/>
                <w:lang w:eastAsia="ru-RU"/>
              </w:rPr>
              <w:t xml:space="preserve"> </w:t>
            </w:r>
            <w:proofErr w:type="spellStart"/>
            <w:r>
              <w:rPr>
                <w:rFonts w:ascii="Times New Roman" w:eastAsia="Times New Roman" w:hAnsi="Times New Roman" w:cs="Times New Roman"/>
                <w:bCs/>
                <w:color w:val="000000"/>
                <w:sz w:val="24"/>
                <w:szCs w:val="20"/>
                <w:lang w:eastAsia="ru-RU"/>
              </w:rPr>
              <w:t>Net</w:t>
            </w:r>
            <w:proofErr w:type="spellEnd"/>
            <w:r>
              <w:rPr>
                <w:rFonts w:ascii="Times New Roman" w:eastAsia="Times New Roman" w:hAnsi="Times New Roman" w:cs="Times New Roman"/>
                <w:bCs/>
                <w:color w:val="000000"/>
                <w:sz w:val="24"/>
                <w:szCs w:val="20"/>
                <w:lang w:eastAsia="ru-RU"/>
              </w:rPr>
              <w:t xml:space="preserve"> </w:t>
            </w:r>
            <w:proofErr w:type="spellStart"/>
            <w:r>
              <w:rPr>
                <w:rFonts w:ascii="Times New Roman" w:eastAsia="Times New Roman" w:hAnsi="Times New Roman" w:cs="Times New Roman"/>
                <w:bCs/>
                <w:color w:val="000000"/>
                <w:sz w:val="24"/>
                <w:szCs w:val="20"/>
                <w:lang w:eastAsia="ru-RU"/>
              </w:rPr>
              <w:t>income</w:t>
            </w:r>
            <w:proofErr w:type="spellEnd"/>
          </w:p>
        </w:tc>
        <w:tc>
          <w:tcPr>
            <w:tcW w:w="3260" w:type="dxa"/>
            <w:tcBorders>
              <w:top w:val="single" w:sz="12" w:space="0" w:color="auto"/>
              <w:left w:val="nil"/>
              <w:bottom w:val="single" w:sz="18" w:space="0" w:color="auto"/>
              <w:right w:val="nil"/>
            </w:tcBorders>
            <w:shd w:val="clear" w:color="000000" w:fill="FFFFFF"/>
            <w:noWrap/>
            <w:vAlign w:val="bottom"/>
          </w:tcPr>
          <w:p w:rsidR="0059775B"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$24 512</w:t>
            </w:r>
          </w:p>
        </w:tc>
      </w:tr>
    </w:tbl>
    <w:p w:rsidR="0059775B" w:rsidRDefault="0059775B" w:rsidP="0059775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Рассчитано по: Консолидированная финансовая</w:t>
      </w:r>
      <w:r w:rsidRPr="001B4B2B">
        <w:rPr>
          <w:rFonts w:ascii="Times New Roman" w:hAnsi="Times New Roman" w:cs="Times New Roman"/>
          <w:sz w:val="24"/>
          <w:szCs w:val="24"/>
        </w:rPr>
        <w:t xml:space="preserve"> </w:t>
      </w:r>
      <w:r>
        <w:rPr>
          <w:rFonts w:ascii="Times New Roman" w:hAnsi="Times New Roman" w:cs="Times New Roman"/>
          <w:sz w:val="24"/>
          <w:szCs w:val="24"/>
        </w:rPr>
        <w:t>отчетность компании «Роснефть» и ТНК ВР</w:t>
      </w:r>
    </w:p>
    <w:p w:rsidR="00976843" w:rsidRDefault="0059775B" w:rsidP="0059775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того, как была получена скорректированная чистая прибыль, мы можем приступить к расчету </w:t>
      </w:r>
      <w:r>
        <w:rPr>
          <w:rFonts w:ascii="Times New Roman" w:hAnsi="Times New Roman" w:cs="Times New Roman"/>
          <w:sz w:val="24"/>
          <w:szCs w:val="24"/>
          <w:lang w:val="en-US"/>
        </w:rPr>
        <w:t>EPS</w:t>
      </w:r>
      <w:r w:rsidRPr="00A807B5">
        <w:rPr>
          <w:rFonts w:ascii="Times New Roman" w:hAnsi="Times New Roman" w:cs="Times New Roman"/>
          <w:sz w:val="24"/>
          <w:szCs w:val="24"/>
        </w:rPr>
        <w:t xml:space="preserve"> </w:t>
      </w:r>
      <w:r>
        <w:rPr>
          <w:rFonts w:ascii="Times New Roman" w:hAnsi="Times New Roman" w:cs="Times New Roman"/>
          <w:sz w:val="24"/>
          <w:szCs w:val="24"/>
        </w:rPr>
        <w:t>консолидированной компании.</w:t>
      </w:r>
    </w:p>
    <w:p w:rsidR="00FE3362" w:rsidRDefault="00FE3362" w:rsidP="0059775B">
      <w:pPr>
        <w:spacing w:before="240" w:line="360" w:lineRule="auto"/>
        <w:jc w:val="both"/>
        <w:rPr>
          <w:rFonts w:ascii="Times New Roman" w:hAnsi="Times New Roman" w:cs="Times New Roman"/>
          <w:sz w:val="24"/>
          <w:szCs w:val="24"/>
        </w:rPr>
      </w:pPr>
    </w:p>
    <w:p w:rsidR="00FE3362" w:rsidRDefault="00FE3362" w:rsidP="0059775B">
      <w:pPr>
        <w:spacing w:before="240" w:line="360" w:lineRule="auto"/>
        <w:jc w:val="both"/>
        <w:rPr>
          <w:rFonts w:ascii="Times New Roman" w:hAnsi="Times New Roman" w:cs="Times New Roman"/>
          <w:sz w:val="24"/>
          <w:szCs w:val="24"/>
        </w:rPr>
      </w:pPr>
    </w:p>
    <w:p w:rsidR="0059775B" w:rsidRDefault="007C1744"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Таблица 12</w:t>
      </w:r>
      <w:r w:rsidR="0059775B">
        <w:rPr>
          <w:rFonts w:ascii="Times New Roman" w:hAnsi="Times New Roman" w:cs="Times New Roman"/>
          <w:color w:val="000000" w:themeColor="text1"/>
          <w:sz w:val="24"/>
          <w:szCs w:val="24"/>
        </w:rPr>
        <w:t xml:space="preserve"> EPS консолидированной компании, в млн. долл. США</w:t>
      </w:r>
    </w:p>
    <w:tbl>
      <w:tblPr>
        <w:tblW w:w="7218" w:type="dxa"/>
        <w:tblInd w:w="1384" w:type="dxa"/>
        <w:tblLayout w:type="fixed"/>
        <w:tblLook w:val="04A0" w:firstRow="1" w:lastRow="0" w:firstColumn="1" w:lastColumn="0" w:noHBand="0" w:noVBand="1"/>
      </w:tblPr>
      <w:tblGrid>
        <w:gridCol w:w="131"/>
        <w:gridCol w:w="3827"/>
        <w:gridCol w:w="436"/>
        <w:gridCol w:w="1134"/>
        <w:gridCol w:w="1566"/>
        <w:gridCol w:w="124"/>
      </w:tblGrid>
      <w:tr w:rsidR="0059775B" w:rsidRPr="00FE3362" w:rsidTr="00E11D2C">
        <w:trPr>
          <w:gridBefore w:val="1"/>
          <w:wBefore w:w="131" w:type="dxa"/>
          <w:trHeight w:val="330"/>
        </w:trPr>
        <w:tc>
          <w:tcPr>
            <w:tcW w:w="7087" w:type="dxa"/>
            <w:gridSpan w:val="5"/>
            <w:tcBorders>
              <w:top w:val="single" w:sz="18" w:space="0" w:color="auto"/>
              <w:left w:val="nil"/>
              <w:bottom w:val="single" w:sz="12" w:space="0" w:color="auto"/>
              <w:right w:val="nil"/>
            </w:tcBorders>
            <w:shd w:val="clear" w:color="000000" w:fill="FFFFFF"/>
            <w:vAlign w:val="bottom"/>
            <w:hideMark/>
          </w:tcPr>
          <w:p w:rsidR="0059775B" w:rsidRPr="00F92783" w:rsidRDefault="0059775B" w:rsidP="00E11D2C">
            <w:pPr>
              <w:spacing w:after="0" w:line="240" w:lineRule="auto"/>
              <w:jc w:val="center"/>
              <w:rPr>
                <w:rFonts w:ascii="Times New Roman" w:eastAsia="Times New Roman" w:hAnsi="Times New Roman" w:cs="Times New Roman"/>
                <w:b/>
                <w:bCs/>
                <w:color w:val="000000"/>
                <w:sz w:val="24"/>
                <w:szCs w:val="20"/>
                <w:u w:val="single"/>
                <w:lang w:val="en-US" w:eastAsia="ru-RU"/>
              </w:rPr>
            </w:pPr>
            <w:r>
              <w:rPr>
                <w:rFonts w:ascii="Times New Roman" w:eastAsia="Times New Roman" w:hAnsi="Times New Roman" w:cs="Times New Roman"/>
                <w:b/>
                <w:bCs/>
                <w:color w:val="000000"/>
                <w:sz w:val="24"/>
                <w:szCs w:val="20"/>
                <w:u w:val="single"/>
                <w:lang w:val="en-US" w:eastAsia="ru-RU"/>
              </w:rPr>
              <w:t>Pro forma net income adjustment</w:t>
            </w:r>
          </w:p>
        </w:tc>
      </w:tr>
      <w:tr w:rsidR="0059775B" w:rsidRPr="00FE3362" w:rsidTr="00E11D2C">
        <w:trPr>
          <w:gridBefore w:val="1"/>
          <w:wBefore w:w="131" w:type="dxa"/>
          <w:trHeight w:val="330"/>
        </w:trPr>
        <w:tc>
          <w:tcPr>
            <w:tcW w:w="3827" w:type="dxa"/>
            <w:tcBorders>
              <w:top w:val="single" w:sz="18" w:space="0" w:color="auto"/>
              <w:left w:val="nil"/>
              <w:bottom w:val="nil"/>
              <w:right w:val="nil"/>
            </w:tcBorders>
            <w:shd w:val="clear" w:color="000000" w:fill="FFFFFF"/>
            <w:noWrap/>
            <w:vAlign w:val="bottom"/>
            <w:hideMark/>
          </w:tcPr>
          <w:p w:rsidR="0059775B" w:rsidRPr="00101826" w:rsidRDefault="0059775B" w:rsidP="00E11D2C">
            <w:pPr>
              <w:spacing w:after="0" w:line="240" w:lineRule="auto"/>
              <w:rPr>
                <w:rFonts w:ascii="Times New Roman" w:eastAsia="Times New Roman" w:hAnsi="Times New Roman" w:cs="Times New Roman"/>
                <w:b/>
                <w:bCs/>
                <w:i/>
                <w:iCs/>
                <w:color w:val="000000"/>
                <w:sz w:val="24"/>
                <w:szCs w:val="20"/>
                <w:lang w:val="en-US" w:eastAsia="ru-RU"/>
              </w:rPr>
            </w:pPr>
          </w:p>
        </w:tc>
        <w:tc>
          <w:tcPr>
            <w:tcW w:w="3260" w:type="dxa"/>
            <w:gridSpan w:val="4"/>
            <w:tcBorders>
              <w:top w:val="single" w:sz="18" w:space="0" w:color="auto"/>
              <w:left w:val="nil"/>
              <w:bottom w:val="nil"/>
              <w:right w:val="nil"/>
            </w:tcBorders>
            <w:shd w:val="clear" w:color="000000" w:fill="FFFFFF"/>
            <w:noWrap/>
            <w:vAlign w:val="bottom"/>
            <w:hideMark/>
          </w:tcPr>
          <w:p w:rsidR="0059775B" w:rsidRPr="00101826" w:rsidRDefault="0059775B" w:rsidP="00E11D2C">
            <w:pPr>
              <w:spacing w:after="0" w:line="240" w:lineRule="auto"/>
              <w:rPr>
                <w:rFonts w:ascii="Times New Roman" w:eastAsia="Times New Roman" w:hAnsi="Times New Roman" w:cs="Times New Roman"/>
                <w:color w:val="000000"/>
                <w:sz w:val="24"/>
                <w:szCs w:val="24"/>
                <w:lang w:val="en-US" w:eastAsia="ru-RU"/>
              </w:rPr>
            </w:pPr>
            <w:r w:rsidRPr="00101826">
              <w:rPr>
                <w:rFonts w:ascii="Times New Roman" w:eastAsia="Times New Roman" w:hAnsi="Times New Roman" w:cs="Times New Roman"/>
                <w:color w:val="000000"/>
                <w:sz w:val="24"/>
                <w:szCs w:val="24"/>
                <w:lang w:val="en-US" w:eastAsia="ru-RU"/>
              </w:rPr>
              <w:t> </w:t>
            </w:r>
          </w:p>
        </w:tc>
      </w:tr>
      <w:tr w:rsidR="0059775B" w:rsidRPr="00CE71E9" w:rsidTr="00E11D2C">
        <w:trPr>
          <w:gridBefore w:val="1"/>
          <w:wBefore w:w="131" w:type="dxa"/>
          <w:trHeight w:val="255"/>
        </w:trPr>
        <w:tc>
          <w:tcPr>
            <w:tcW w:w="3827" w:type="dxa"/>
            <w:tcBorders>
              <w:top w:val="nil"/>
              <w:left w:val="nil"/>
              <w:bottom w:val="nil"/>
              <w:right w:val="nil"/>
            </w:tcBorders>
            <w:shd w:val="clear" w:color="000000" w:fill="FFFFFF"/>
            <w:noWrap/>
            <w:vAlign w:val="bottom"/>
            <w:hideMark/>
          </w:tcPr>
          <w:p w:rsidR="0059775B" w:rsidRPr="00101826" w:rsidRDefault="0059775B" w:rsidP="00E11D2C">
            <w:pPr>
              <w:spacing w:after="0" w:line="240" w:lineRule="auto"/>
              <w:rPr>
                <w:rFonts w:ascii="Times New Roman" w:eastAsia="Times New Roman" w:hAnsi="Times New Roman" w:cs="Times New Roman"/>
                <w:color w:val="000000"/>
                <w:sz w:val="24"/>
                <w:szCs w:val="20"/>
                <w:lang w:eastAsia="ru-RU"/>
              </w:rPr>
            </w:pPr>
            <w:proofErr w:type="spellStart"/>
            <w:r>
              <w:rPr>
                <w:rFonts w:ascii="Times New Roman" w:eastAsia="Times New Roman" w:hAnsi="Times New Roman" w:cs="Times New Roman"/>
                <w:color w:val="000000"/>
                <w:sz w:val="24"/>
                <w:szCs w:val="20"/>
                <w:lang w:eastAsia="ru-RU"/>
              </w:rPr>
              <w:t>Adjusted</w:t>
            </w:r>
            <w:proofErr w:type="spellEnd"/>
            <w:r>
              <w:rPr>
                <w:rFonts w:ascii="Times New Roman" w:eastAsia="Times New Roman" w:hAnsi="Times New Roman" w:cs="Times New Roman"/>
                <w:color w:val="000000"/>
                <w:sz w:val="24"/>
                <w:szCs w:val="20"/>
                <w:lang w:eastAsia="ru-RU"/>
              </w:rPr>
              <w:t xml:space="preserve"> </w:t>
            </w:r>
            <w:proofErr w:type="spellStart"/>
            <w:r>
              <w:rPr>
                <w:rFonts w:ascii="Times New Roman" w:eastAsia="Times New Roman" w:hAnsi="Times New Roman" w:cs="Times New Roman"/>
                <w:color w:val="000000"/>
                <w:sz w:val="24"/>
                <w:szCs w:val="20"/>
                <w:lang w:eastAsia="ru-RU"/>
              </w:rPr>
              <w:t>Net</w:t>
            </w:r>
            <w:proofErr w:type="spellEnd"/>
            <w:r>
              <w:rPr>
                <w:rFonts w:ascii="Times New Roman" w:eastAsia="Times New Roman" w:hAnsi="Times New Roman" w:cs="Times New Roman"/>
                <w:color w:val="000000"/>
                <w:sz w:val="24"/>
                <w:szCs w:val="20"/>
                <w:lang w:eastAsia="ru-RU"/>
              </w:rPr>
              <w:t xml:space="preserve"> </w:t>
            </w:r>
            <w:proofErr w:type="spellStart"/>
            <w:r>
              <w:rPr>
                <w:rFonts w:ascii="Times New Roman" w:eastAsia="Times New Roman" w:hAnsi="Times New Roman" w:cs="Times New Roman"/>
                <w:color w:val="000000"/>
                <w:sz w:val="24"/>
                <w:szCs w:val="20"/>
                <w:lang w:eastAsia="ru-RU"/>
              </w:rPr>
              <w:t>income</w:t>
            </w:r>
            <w:proofErr w:type="spellEnd"/>
            <w:r>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0"/>
                <w:lang w:val="en-US" w:eastAsia="ru-RU"/>
              </w:rPr>
              <w:t>consolidated</w:t>
            </w:r>
          </w:p>
        </w:tc>
        <w:tc>
          <w:tcPr>
            <w:tcW w:w="3260" w:type="dxa"/>
            <w:gridSpan w:val="4"/>
            <w:tcBorders>
              <w:top w:val="nil"/>
              <w:left w:val="nil"/>
              <w:bottom w:val="nil"/>
              <w:right w:val="nil"/>
            </w:tcBorders>
            <w:shd w:val="clear" w:color="000000" w:fill="FFFFFF"/>
            <w:noWrap/>
            <w:vAlign w:val="bottom"/>
            <w:hideMark/>
          </w:tcPr>
          <w:p w:rsidR="0059775B" w:rsidRPr="00F92783" w:rsidRDefault="0059775B" w:rsidP="00E11D2C">
            <w:pPr>
              <w:spacing w:after="0" w:line="240" w:lineRule="auto"/>
              <w:jc w:val="right"/>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color w:val="000000"/>
                <w:sz w:val="24"/>
                <w:szCs w:val="20"/>
                <w:lang w:eastAsia="ru-RU"/>
              </w:rPr>
              <w:t xml:space="preserve">               </w:t>
            </w:r>
            <w:r w:rsidRPr="00F92783">
              <w:rPr>
                <w:rFonts w:ascii="Times New Roman" w:eastAsia="Times New Roman" w:hAnsi="Times New Roman" w:cs="Times New Roman"/>
                <w:b/>
                <w:color w:val="000000"/>
                <w:sz w:val="24"/>
                <w:szCs w:val="20"/>
                <w:lang w:val="en-US" w:eastAsia="ru-RU"/>
              </w:rPr>
              <w:t>$</w:t>
            </w:r>
            <w:r>
              <w:rPr>
                <w:rFonts w:ascii="Times New Roman" w:eastAsia="Times New Roman" w:hAnsi="Times New Roman" w:cs="Times New Roman"/>
                <w:b/>
                <w:color w:val="000000"/>
                <w:sz w:val="24"/>
                <w:szCs w:val="20"/>
                <w:lang w:eastAsia="ru-RU"/>
              </w:rPr>
              <w:t>24 512</w:t>
            </w:r>
          </w:p>
        </w:tc>
      </w:tr>
      <w:tr w:rsidR="0059775B" w:rsidRPr="00CE71E9" w:rsidTr="00E11D2C">
        <w:trPr>
          <w:gridBefore w:val="1"/>
          <w:wBefore w:w="131" w:type="dxa"/>
          <w:trHeight w:val="285"/>
        </w:trPr>
        <w:tc>
          <w:tcPr>
            <w:tcW w:w="3827" w:type="dxa"/>
            <w:tcBorders>
              <w:top w:val="single" w:sz="12" w:space="0" w:color="auto"/>
              <w:left w:val="nil"/>
              <w:bottom w:val="single" w:sz="12" w:space="0" w:color="auto"/>
              <w:right w:val="nil"/>
            </w:tcBorders>
            <w:shd w:val="clear" w:color="000000" w:fill="FFFFFF"/>
            <w:noWrap/>
            <w:vAlign w:val="bottom"/>
            <w:hideMark/>
          </w:tcPr>
          <w:p w:rsidR="0059775B" w:rsidRPr="00D301D9" w:rsidRDefault="0059775B" w:rsidP="00E11D2C">
            <w:pPr>
              <w:spacing w:after="0" w:line="240" w:lineRule="auto"/>
              <w:rPr>
                <w:rFonts w:ascii="Times New Roman" w:eastAsia="Times New Roman" w:hAnsi="Times New Roman" w:cs="Times New Roman"/>
                <w:bCs/>
                <w:color w:val="000000"/>
                <w:sz w:val="24"/>
                <w:szCs w:val="20"/>
                <w:lang w:val="en-US" w:eastAsia="ru-RU"/>
              </w:rPr>
            </w:pPr>
            <w:r w:rsidRPr="00A807B5">
              <w:rPr>
                <w:rFonts w:ascii="Times New Roman" w:eastAsia="Times New Roman" w:hAnsi="Times New Roman" w:cs="Times New Roman"/>
                <w:b/>
                <w:bCs/>
                <w:color w:val="000000"/>
                <w:sz w:val="24"/>
                <w:szCs w:val="20"/>
                <w:lang w:val="en-US" w:eastAsia="ru-RU"/>
              </w:rPr>
              <w:t xml:space="preserve"> </w:t>
            </w:r>
            <w:r>
              <w:rPr>
                <w:rFonts w:ascii="Times New Roman" w:eastAsia="Times New Roman" w:hAnsi="Times New Roman" w:cs="Times New Roman"/>
                <w:bCs/>
                <w:color w:val="000000"/>
                <w:sz w:val="24"/>
                <w:szCs w:val="20"/>
                <w:lang w:val="en-US" w:eastAsia="ru-RU"/>
              </w:rPr>
              <w:t>Shares outstanding prior the deal (millions)</w:t>
            </w:r>
          </w:p>
        </w:tc>
        <w:tc>
          <w:tcPr>
            <w:tcW w:w="3260" w:type="dxa"/>
            <w:gridSpan w:val="4"/>
            <w:tcBorders>
              <w:top w:val="single" w:sz="12" w:space="0" w:color="auto"/>
              <w:left w:val="nil"/>
              <w:bottom w:val="single" w:sz="12" w:space="0" w:color="auto"/>
              <w:right w:val="nil"/>
            </w:tcBorders>
            <w:shd w:val="clear" w:color="000000" w:fill="FFFFFF"/>
            <w:noWrap/>
            <w:vAlign w:val="bottom"/>
            <w:hideMark/>
          </w:tcPr>
          <w:p w:rsidR="0059775B" w:rsidRPr="00CE71E9"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sidRPr="00A807B5">
              <w:rPr>
                <w:rFonts w:ascii="Times New Roman" w:eastAsia="Times New Roman" w:hAnsi="Times New Roman" w:cs="Times New Roman"/>
                <w:b/>
                <w:bCs/>
                <w:color w:val="000000"/>
                <w:sz w:val="24"/>
                <w:szCs w:val="20"/>
                <w:lang w:val="en-US" w:eastAsia="ru-RU"/>
              </w:rPr>
              <w:t xml:space="preserve">               </w:t>
            </w:r>
            <w:r>
              <w:rPr>
                <w:rFonts w:ascii="Times New Roman" w:eastAsia="Times New Roman" w:hAnsi="Times New Roman" w:cs="Times New Roman"/>
                <w:b/>
                <w:bCs/>
                <w:color w:val="000000"/>
                <w:sz w:val="24"/>
                <w:szCs w:val="20"/>
                <w:lang w:eastAsia="ru-RU"/>
              </w:rPr>
              <w:t>10 598</w:t>
            </w:r>
          </w:p>
        </w:tc>
      </w:tr>
      <w:tr w:rsidR="0059775B" w:rsidRPr="00CE71E9" w:rsidTr="00E11D2C">
        <w:trPr>
          <w:gridBefore w:val="1"/>
          <w:wBefore w:w="131" w:type="dxa"/>
          <w:trHeight w:val="318"/>
        </w:trPr>
        <w:tc>
          <w:tcPr>
            <w:tcW w:w="3827" w:type="dxa"/>
            <w:tcBorders>
              <w:top w:val="single" w:sz="12" w:space="0" w:color="auto"/>
              <w:left w:val="nil"/>
              <w:bottom w:val="single" w:sz="12" w:space="0" w:color="auto"/>
              <w:right w:val="nil"/>
            </w:tcBorders>
            <w:shd w:val="clear" w:color="000000" w:fill="FFFFFF"/>
            <w:noWrap/>
            <w:vAlign w:val="bottom"/>
          </w:tcPr>
          <w:p w:rsidR="0059775B" w:rsidRPr="00D301D9" w:rsidRDefault="0059775B" w:rsidP="00E11D2C">
            <w:pPr>
              <w:spacing w:after="0" w:line="240" w:lineRule="auto"/>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 xml:space="preserve"> + </w:t>
            </w:r>
            <w:proofErr w:type="spellStart"/>
            <w:r>
              <w:rPr>
                <w:rFonts w:ascii="Times New Roman" w:eastAsia="Times New Roman" w:hAnsi="Times New Roman" w:cs="Times New Roman"/>
                <w:bCs/>
                <w:color w:val="000000"/>
                <w:sz w:val="24"/>
                <w:szCs w:val="20"/>
                <w:lang w:eastAsia="ru-RU"/>
              </w:rPr>
              <w:t>New</w:t>
            </w:r>
            <w:proofErr w:type="spellEnd"/>
            <w:r>
              <w:rPr>
                <w:rFonts w:ascii="Times New Roman" w:eastAsia="Times New Roman" w:hAnsi="Times New Roman" w:cs="Times New Roman"/>
                <w:bCs/>
                <w:color w:val="000000"/>
                <w:sz w:val="24"/>
                <w:szCs w:val="20"/>
                <w:lang w:eastAsia="ru-RU"/>
              </w:rPr>
              <w:t xml:space="preserve"> </w:t>
            </w:r>
            <w:proofErr w:type="spellStart"/>
            <w:r>
              <w:rPr>
                <w:rFonts w:ascii="Times New Roman" w:eastAsia="Times New Roman" w:hAnsi="Times New Roman" w:cs="Times New Roman"/>
                <w:bCs/>
                <w:color w:val="000000"/>
                <w:sz w:val="24"/>
                <w:szCs w:val="20"/>
                <w:lang w:eastAsia="ru-RU"/>
              </w:rPr>
              <w:t>shares</w:t>
            </w:r>
            <w:proofErr w:type="spellEnd"/>
            <w:r>
              <w:rPr>
                <w:rFonts w:ascii="Times New Roman" w:eastAsia="Times New Roman" w:hAnsi="Times New Roman" w:cs="Times New Roman"/>
                <w:bCs/>
                <w:color w:val="000000"/>
                <w:sz w:val="24"/>
                <w:szCs w:val="20"/>
                <w:lang w:eastAsia="ru-RU"/>
              </w:rPr>
              <w:t xml:space="preserve"> (</w:t>
            </w:r>
            <w:proofErr w:type="spellStart"/>
            <w:r>
              <w:rPr>
                <w:rFonts w:ascii="Times New Roman" w:eastAsia="Times New Roman" w:hAnsi="Times New Roman" w:cs="Times New Roman"/>
                <w:bCs/>
                <w:color w:val="000000"/>
                <w:sz w:val="24"/>
                <w:szCs w:val="20"/>
                <w:lang w:eastAsia="ru-RU"/>
              </w:rPr>
              <w:t>millions</w:t>
            </w:r>
            <w:proofErr w:type="spellEnd"/>
            <w:r>
              <w:rPr>
                <w:rFonts w:ascii="Times New Roman" w:eastAsia="Times New Roman" w:hAnsi="Times New Roman" w:cs="Times New Roman"/>
                <w:bCs/>
                <w:color w:val="000000"/>
                <w:sz w:val="24"/>
                <w:szCs w:val="20"/>
                <w:lang w:eastAsia="ru-RU"/>
              </w:rPr>
              <w:t>)</w:t>
            </w:r>
            <w:r>
              <w:rPr>
                <w:rStyle w:val="a7"/>
                <w:rFonts w:ascii="Times New Roman" w:eastAsia="Times New Roman" w:hAnsi="Times New Roman" w:cs="Times New Roman"/>
                <w:bCs/>
                <w:color w:val="000000"/>
                <w:sz w:val="24"/>
                <w:szCs w:val="20"/>
                <w:lang w:eastAsia="ru-RU"/>
              </w:rPr>
              <w:footnoteReference w:id="43"/>
            </w:r>
          </w:p>
        </w:tc>
        <w:tc>
          <w:tcPr>
            <w:tcW w:w="3260" w:type="dxa"/>
            <w:gridSpan w:val="4"/>
            <w:tcBorders>
              <w:top w:val="single" w:sz="12" w:space="0" w:color="auto"/>
              <w:left w:val="nil"/>
              <w:bottom w:val="single" w:sz="12" w:space="0" w:color="auto"/>
              <w:right w:val="nil"/>
            </w:tcBorders>
            <w:shd w:val="clear" w:color="000000" w:fill="FFFFFF"/>
            <w:noWrap/>
            <w:vAlign w:val="bottom"/>
          </w:tcPr>
          <w:p w:rsidR="0059775B" w:rsidRPr="00CE71E9" w:rsidRDefault="0059775B" w:rsidP="00E11D2C">
            <w:pPr>
              <w:spacing w:after="0" w:line="240" w:lineRule="auto"/>
              <w:jc w:val="center"/>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 xml:space="preserve">                                         1 360</w:t>
            </w:r>
          </w:p>
        </w:tc>
      </w:tr>
      <w:tr w:rsidR="0059775B" w:rsidRPr="00F12908" w:rsidTr="00E11D2C">
        <w:trPr>
          <w:gridAfter w:val="1"/>
          <w:wAfter w:w="124" w:type="dxa"/>
          <w:trHeight w:val="285"/>
        </w:trPr>
        <w:tc>
          <w:tcPr>
            <w:tcW w:w="4394" w:type="dxa"/>
            <w:gridSpan w:val="3"/>
            <w:tcBorders>
              <w:top w:val="single" w:sz="18" w:space="0" w:color="auto"/>
              <w:left w:val="nil"/>
              <w:bottom w:val="single" w:sz="18" w:space="0" w:color="auto"/>
              <w:right w:val="nil"/>
            </w:tcBorders>
            <w:shd w:val="clear" w:color="000000" w:fill="FFFFFF"/>
            <w:noWrap/>
            <w:vAlign w:val="bottom"/>
            <w:hideMark/>
          </w:tcPr>
          <w:p w:rsidR="0059775B" w:rsidRPr="008F78E8" w:rsidRDefault="0059775B" w:rsidP="00E11D2C">
            <w:pPr>
              <w:spacing w:after="0" w:line="240" w:lineRule="auto"/>
              <w:rPr>
                <w:rFonts w:ascii="Times New Roman" w:eastAsia="Times New Roman" w:hAnsi="Times New Roman" w:cs="Times New Roman"/>
                <w:b/>
                <w:bCs/>
                <w:color w:val="000000"/>
                <w:sz w:val="24"/>
                <w:szCs w:val="20"/>
                <w:lang w:val="en-US" w:eastAsia="ru-RU"/>
              </w:rPr>
            </w:pPr>
            <w:r w:rsidRPr="008F78E8">
              <w:rPr>
                <w:rFonts w:ascii="Times New Roman" w:eastAsia="Times New Roman" w:hAnsi="Times New Roman" w:cs="Times New Roman"/>
                <w:b/>
                <w:bCs/>
                <w:color w:val="000000"/>
                <w:sz w:val="24"/>
                <w:szCs w:val="20"/>
                <w:lang w:val="en-US" w:eastAsia="ru-RU"/>
              </w:rPr>
              <w:t xml:space="preserve">  Shares of consolidated company</w:t>
            </w:r>
            <w:r>
              <w:rPr>
                <w:rFonts w:ascii="Times New Roman" w:eastAsia="Times New Roman" w:hAnsi="Times New Roman" w:cs="Times New Roman"/>
                <w:b/>
                <w:bCs/>
                <w:color w:val="000000"/>
                <w:sz w:val="24"/>
                <w:szCs w:val="20"/>
                <w:lang w:val="en-US" w:eastAsia="ru-RU"/>
              </w:rPr>
              <w:t xml:space="preserve"> (millions)</w:t>
            </w:r>
          </w:p>
        </w:tc>
        <w:tc>
          <w:tcPr>
            <w:tcW w:w="1134" w:type="dxa"/>
            <w:tcBorders>
              <w:top w:val="single" w:sz="18" w:space="0" w:color="auto"/>
              <w:left w:val="nil"/>
              <w:bottom w:val="single" w:sz="18" w:space="0" w:color="auto"/>
              <w:right w:val="nil"/>
            </w:tcBorders>
            <w:shd w:val="clear" w:color="000000" w:fill="FFFFFF"/>
            <w:noWrap/>
            <w:vAlign w:val="bottom"/>
            <w:hideMark/>
          </w:tcPr>
          <w:p w:rsidR="0059775B" w:rsidRPr="008F78E8" w:rsidRDefault="0059775B" w:rsidP="00E11D2C">
            <w:pPr>
              <w:spacing w:after="0" w:line="240" w:lineRule="auto"/>
              <w:rPr>
                <w:rFonts w:ascii="Times New Roman" w:eastAsia="Times New Roman" w:hAnsi="Times New Roman" w:cs="Times New Roman"/>
                <w:b/>
                <w:bCs/>
                <w:color w:val="000000"/>
                <w:sz w:val="24"/>
                <w:szCs w:val="20"/>
                <w:lang w:val="en-US" w:eastAsia="ru-RU"/>
              </w:rPr>
            </w:pPr>
            <w:r w:rsidRPr="008F78E8">
              <w:rPr>
                <w:rFonts w:ascii="Times New Roman" w:eastAsia="Times New Roman" w:hAnsi="Times New Roman" w:cs="Times New Roman"/>
                <w:b/>
                <w:bCs/>
                <w:color w:val="000000"/>
                <w:sz w:val="24"/>
                <w:szCs w:val="20"/>
                <w:lang w:val="en-US" w:eastAsia="ru-RU"/>
              </w:rPr>
              <w:t> </w:t>
            </w:r>
          </w:p>
        </w:tc>
        <w:tc>
          <w:tcPr>
            <w:tcW w:w="1566" w:type="dxa"/>
            <w:tcBorders>
              <w:top w:val="single" w:sz="18" w:space="0" w:color="auto"/>
              <w:left w:val="nil"/>
              <w:bottom w:val="single" w:sz="18" w:space="0" w:color="auto"/>
              <w:right w:val="nil"/>
            </w:tcBorders>
            <w:shd w:val="clear" w:color="000000" w:fill="FFFFFF"/>
            <w:noWrap/>
            <w:vAlign w:val="bottom"/>
            <w:hideMark/>
          </w:tcPr>
          <w:p w:rsidR="0059775B" w:rsidRPr="00F12908"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val="en-US" w:eastAsia="ru-RU"/>
              </w:rPr>
              <w:t xml:space="preserve">  </w:t>
            </w:r>
            <w:r w:rsidRPr="008F78E8">
              <w:rPr>
                <w:rFonts w:ascii="Times New Roman" w:eastAsia="Times New Roman" w:hAnsi="Times New Roman" w:cs="Times New Roman"/>
                <w:b/>
                <w:bCs/>
                <w:color w:val="000000"/>
                <w:sz w:val="24"/>
                <w:szCs w:val="20"/>
                <w:lang w:val="en-US" w:eastAsia="ru-RU"/>
              </w:rPr>
              <w:t xml:space="preserve"> </w:t>
            </w:r>
            <w:r>
              <w:rPr>
                <w:rFonts w:ascii="Times New Roman" w:eastAsia="Times New Roman" w:hAnsi="Times New Roman" w:cs="Times New Roman"/>
                <w:b/>
                <w:bCs/>
                <w:color w:val="000000"/>
                <w:sz w:val="24"/>
                <w:szCs w:val="20"/>
                <w:lang w:val="en-US" w:eastAsia="ru-RU"/>
              </w:rPr>
              <w:t xml:space="preserve"> </w:t>
            </w:r>
            <w:r>
              <w:rPr>
                <w:rFonts w:ascii="Times New Roman" w:eastAsia="Times New Roman" w:hAnsi="Times New Roman" w:cs="Times New Roman"/>
                <w:b/>
                <w:bCs/>
                <w:color w:val="000000"/>
                <w:sz w:val="24"/>
                <w:szCs w:val="20"/>
                <w:lang w:eastAsia="ru-RU"/>
              </w:rPr>
              <w:t>11 958</w:t>
            </w:r>
          </w:p>
        </w:tc>
      </w:tr>
      <w:tr w:rsidR="0059775B" w:rsidRPr="00CE71E9" w:rsidTr="00E11D2C">
        <w:trPr>
          <w:gridBefore w:val="1"/>
          <w:wBefore w:w="131" w:type="dxa"/>
          <w:trHeight w:val="285"/>
        </w:trPr>
        <w:tc>
          <w:tcPr>
            <w:tcW w:w="3827" w:type="dxa"/>
            <w:tcBorders>
              <w:top w:val="single" w:sz="12" w:space="0" w:color="auto"/>
              <w:left w:val="nil"/>
              <w:bottom w:val="single" w:sz="12" w:space="0" w:color="auto"/>
              <w:right w:val="nil"/>
            </w:tcBorders>
            <w:shd w:val="clear" w:color="000000" w:fill="FFFFFF"/>
            <w:noWrap/>
            <w:vAlign w:val="bottom"/>
          </w:tcPr>
          <w:p w:rsidR="0059775B" w:rsidRPr="008F78E8" w:rsidRDefault="0059775B" w:rsidP="00E11D2C">
            <w:pPr>
              <w:spacing w:after="0" w:line="240" w:lineRule="auto"/>
              <w:rPr>
                <w:rFonts w:ascii="Times New Roman" w:eastAsia="Times New Roman" w:hAnsi="Times New Roman" w:cs="Times New Roman"/>
                <w:b/>
                <w:bCs/>
                <w:color w:val="000000"/>
                <w:sz w:val="24"/>
                <w:szCs w:val="20"/>
                <w:lang w:eastAsia="ru-RU"/>
              </w:rPr>
            </w:pPr>
            <w:r w:rsidRPr="008F78E8">
              <w:rPr>
                <w:rFonts w:ascii="Times New Roman" w:eastAsia="Times New Roman" w:hAnsi="Times New Roman" w:cs="Times New Roman"/>
                <w:b/>
                <w:bCs/>
                <w:color w:val="000000"/>
                <w:sz w:val="24"/>
                <w:szCs w:val="20"/>
                <w:lang w:eastAsia="ru-RU"/>
              </w:rPr>
              <w:t>EPS</w:t>
            </w:r>
          </w:p>
        </w:tc>
        <w:tc>
          <w:tcPr>
            <w:tcW w:w="3260" w:type="dxa"/>
            <w:gridSpan w:val="4"/>
            <w:tcBorders>
              <w:top w:val="single" w:sz="12" w:space="0" w:color="auto"/>
              <w:left w:val="nil"/>
              <w:bottom w:val="single" w:sz="18" w:space="0" w:color="auto"/>
              <w:right w:val="nil"/>
            </w:tcBorders>
            <w:shd w:val="clear" w:color="000000" w:fill="FFFFFF"/>
            <w:noWrap/>
            <w:vAlign w:val="bottom"/>
          </w:tcPr>
          <w:p w:rsidR="0059775B" w:rsidRDefault="0059775B" w:rsidP="00E11D2C">
            <w:pPr>
              <w:spacing w:after="0" w:line="240" w:lineRule="auto"/>
              <w:jc w:val="right"/>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2.04</w:t>
            </w:r>
          </w:p>
        </w:tc>
      </w:tr>
    </w:tbl>
    <w:p w:rsidR="0059775B" w:rsidRDefault="0059775B" w:rsidP="0059775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Рассчитано по: Консолидированная финансовая</w:t>
      </w:r>
      <w:r w:rsidRPr="001B4B2B">
        <w:rPr>
          <w:rFonts w:ascii="Times New Roman" w:hAnsi="Times New Roman" w:cs="Times New Roman"/>
          <w:sz w:val="24"/>
          <w:szCs w:val="24"/>
        </w:rPr>
        <w:t xml:space="preserve"> </w:t>
      </w:r>
      <w:r>
        <w:rPr>
          <w:rFonts w:ascii="Times New Roman" w:hAnsi="Times New Roman" w:cs="Times New Roman"/>
          <w:sz w:val="24"/>
          <w:szCs w:val="24"/>
        </w:rPr>
        <w:t>отчетность компании «Роснефть» и ТНК ВР</w:t>
      </w:r>
    </w:p>
    <w:p w:rsidR="0059775B" w:rsidRDefault="0059775B" w:rsidP="0059775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Таким образом, мы видим увеличение </w:t>
      </w:r>
      <w:r>
        <w:rPr>
          <w:rFonts w:ascii="Times New Roman" w:hAnsi="Times New Roman" w:cs="Times New Roman"/>
          <w:sz w:val="24"/>
          <w:szCs w:val="24"/>
          <w:lang w:val="en-US"/>
        </w:rPr>
        <w:t>EPS</w:t>
      </w:r>
      <w:r>
        <w:rPr>
          <w:rFonts w:ascii="Times New Roman" w:hAnsi="Times New Roman" w:cs="Times New Roman"/>
          <w:sz w:val="24"/>
          <w:szCs w:val="24"/>
        </w:rPr>
        <w:t xml:space="preserve"> после сделки, что свидетельствует о </w:t>
      </w:r>
      <w:r>
        <w:rPr>
          <w:rFonts w:ascii="Times New Roman" w:hAnsi="Times New Roman" w:cs="Times New Roman"/>
          <w:sz w:val="24"/>
          <w:szCs w:val="24"/>
          <w:lang w:val="en-US"/>
        </w:rPr>
        <w:t>EPS</w:t>
      </w:r>
      <w:r w:rsidRPr="00E84390">
        <w:rPr>
          <w:rFonts w:ascii="Times New Roman" w:hAnsi="Times New Roman" w:cs="Times New Roman"/>
          <w:sz w:val="24"/>
          <w:szCs w:val="24"/>
        </w:rPr>
        <w:t xml:space="preserve"> </w:t>
      </w:r>
      <w:r>
        <w:rPr>
          <w:rFonts w:ascii="Times New Roman" w:hAnsi="Times New Roman" w:cs="Times New Roman"/>
          <w:sz w:val="24"/>
          <w:szCs w:val="24"/>
          <w:lang w:val="en-US"/>
        </w:rPr>
        <w:t>accretion</w:t>
      </w:r>
      <w:r w:rsidRPr="00E84390">
        <w:rPr>
          <w:rFonts w:ascii="Times New Roman" w:hAnsi="Times New Roman" w:cs="Times New Roman"/>
          <w:sz w:val="24"/>
          <w:szCs w:val="24"/>
        </w:rPr>
        <w:t>.</w:t>
      </w:r>
      <w:r>
        <w:rPr>
          <w:rFonts w:ascii="Times New Roman" w:hAnsi="Times New Roman" w:cs="Times New Roman"/>
          <w:sz w:val="24"/>
          <w:szCs w:val="24"/>
        </w:rPr>
        <w:t xml:space="preserve"> В данном случае </w:t>
      </w:r>
      <w:r>
        <w:rPr>
          <w:rFonts w:ascii="Times New Roman" w:hAnsi="Times New Roman" w:cs="Times New Roman"/>
          <w:sz w:val="24"/>
          <w:szCs w:val="24"/>
          <w:lang w:val="en-US"/>
        </w:rPr>
        <w:t>EPS</w:t>
      </w:r>
      <w:r w:rsidRPr="00820F05">
        <w:rPr>
          <w:rFonts w:ascii="Times New Roman" w:hAnsi="Times New Roman" w:cs="Times New Roman"/>
          <w:sz w:val="24"/>
          <w:szCs w:val="24"/>
        </w:rPr>
        <w:t xml:space="preserve"> </w:t>
      </w:r>
      <w:r>
        <w:rPr>
          <w:rFonts w:ascii="Times New Roman" w:hAnsi="Times New Roman" w:cs="Times New Roman"/>
          <w:sz w:val="24"/>
          <w:szCs w:val="24"/>
          <w:lang w:val="en-US"/>
        </w:rPr>
        <w:t>accretion</w:t>
      </w:r>
      <w:r w:rsidRPr="00820F05">
        <w:rPr>
          <w:rFonts w:ascii="Times New Roman" w:hAnsi="Times New Roman" w:cs="Times New Roman"/>
          <w:sz w:val="24"/>
          <w:szCs w:val="24"/>
        </w:rPr>
        <w:t xml:space="preserve"> </w:t>
      </w:r>
      <w:r>
        <w:rPr>
          <w:rFonts w:ascii="Times New Roman" w:hAnsi="Times New Roman" w:cs="Times New Roman"/>
          <w:sz w:val="24"/>
          <w:szCs w:val="24"/>
        </w:rPr>
        <w:t>составит 2.04/1.26 = 61%.</w:t>
      </w:r>
    </w:p>
    <w:p w:rsidR="00891653" w:rsidRPr="002F4269" w:rsidRDefault="0059775B" w:rsidP="002F426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Данный факт свидетельствует о том, что сделка является рентабельной для акционеров компании и стоимость их акций возрастет, т.к. увеличится прибыль на одну их акцию. </w:t>
      </w:r>
    </w:p>
    <w:p w:rsidR="0059775B" w:rsidRDefault="0059775B" w:rsidP="0059775B">
      <w:pPr>
        <w:pStyle w:val="2"/>
        <w:spacing w:after="240"/>
        <w:jc w:val="center"/>
        <w:rPr>
          <w:rFonts w:ascii="Times New Roman" w:eastAsia="Times New Roman" w:hAnsi="Times New Roman" w:cs="Times New Roman"/>
          <w:color w:val="000000" w:themeColor="text1"/>
          <w:sz w:val="24"/>
        </w:rPr>
      </w:pPr>
      <w:bookmarkStart w:id="18" w:name="_Toc482547523"/>
      <w:r>
        <w:rPr>
          <w:rFonts w:ascii="Times New Roman" w:eastAsia="Times New Roman" w:hAnsi="Times New Roman" w:cs="Times New Roman"/>
          <w:color w:val="000000" w:themeColor="text1"/>
          <w:sz w:val="24"/>
        </w:rPr>
        <w:t xml:space="preserve">3.4 </w:t>
      </w:r>
      <w:r w:rsidRPr="003A1A25">
        <w:rPr>
          <w:rFonts w:ascii="Times New Roman" w:eastAsia="Times New Roman" w:hAnsi="Times New Roman" w:cs="Times New Roman"/>
          <w:color w:val="000000" w:themeColor="text1"/>
          <w:sz w:val="24"/>
        </w:rPr>
        <w:t xml:space="preserve">Оценка эффективности поглощения методом </w:t>
      </w:r>
      <w:proofErr w:type="spellStart"/>
      <w:r>
        <w:rPr>
          <w:rFonts w:ascii="Times New Roman" w:eastAsia="Times New Roman" w:hAnsi="Times New Roman" w:cs="Times New Roman"/>
          <w:color w:val="000000" w:themeColor="text1"/>
          <w:sz w:val="24"/>
        </w:rPr>
        <w:t>Event</w:t>
      </w:r>
      <w:proofErr w:type="spellEnd"/>
      <w:r>
        <w:rPr>
          <w:rFonts w:ascii="Times New Roman" w:eastAsia="Times New Roman" w:hAnsi="Times New Roman" w:cs="Times New Roman"/>
          <w:color w:val="000000" w:themeColor="text1"/>
          <w:sz w:val="24"/>
        </w:rPr>
        <w:t xml:space="preserve"> </w:t>
      </w:r>
      <w:proofErr w:type="spellStart"/>
      <w:r>
        <w:rPr>
          <w:rFonts w:ascii="Times New Roman" w:eastAsia="Times New Roman" w:hAnsi="Times New Roman" w:cs="Times New Roman"/>
          <w:color w:val="000000" w:themeColor="text1"/>
          <w:sz w:val="24"/>
        </w:rPr>
        <w:t>studies</w:t>
      </w:r>
      <w:bookmarkEnd w:id="18"/>
      <w:proofErr w:type="spellEnd"/>
    </w:p>
    <w:p w:rsidR="0059775B" w:rsidRPr="00E50871" w:rsidRDefault="0059775B" w:rsidP="0059775B">
      <w:pPr>
        <w:spacing w:line="360" w:lineRule="auto"/>
        <w:ind w:firstLine="567"/>
        <w:jc w:val="both"/>
        <w:rPr>
          <w:rFonts w:ascii="Times New Roman" w:hAnsi="Times New Roman" w:cs="Times New Roman"/>
          <w:i/>
          <w:color w:val="000000" w:themeColor="text1"/>
          <w:sz w:val="24"/>
          <w:szCs w:val="24"/>
        </w:rPr>
      </w:pPr>
      <w:r w:rsidRPr="00A83402">
        <w:rPr>
          <w:rFonts w:ascii="Times New Roman" w:hAnsi="Times New Roman" w:cs="Times New Roman"/>
          <w:color w:val="000000" w:themeColor="text1"/>
          <w:sz w:val="24"/>
          <w:szCs w:val="24"/>
        </w:rPr>
        <w:t>Для оценки рассматриваемой сделки восполь</w:t>
      </w:r>
      <w:r>
        <w:rPr>
          <w:rFonts w:ascii="Times New Roman" w:hAnsi="Times New Roman" w:cs="Times New Roman"/>
          <w:color w:val="000000" w:themeColor="text1"/>
          <w:sz w:val="24"/>
          <w:szCs w:val="24"/>
        </w:rPr>
        <w:t xml:space="preserve">зуемся методом </w:t>
      </w:r>
      <w:r>
        <w:rPr>
          <w:rFonts w:ascii="Times New Roman" w:hAnsi="Times New Roman" w:cs="Times New Roman"/>
          <w:color w:val="000000" w:themeColor="text1"/>
          <w:sz w:val="24"/>
          <w:szCs w:val="24"/>
          <w:lang w:val="en-US"/>
        </w:rPr>
        <w:t>event</w:t>
      </w:r>
      <w:r w:rsidRPr="008569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studies</w:t>
      </w:r>
      <w:r>
        <w:rPr>
          <w:rFonts w:ascii="Times New Roman" w:hAnsi="Times New Roman" w:cs="Times New Roman"/>
          <w:color w:val="000000" w:themeColor="text1"/>
          <w:sz w:val="24"/>
          <w:szCs w:val="24"/>
        </w:rPr>
        <w:t xml:space="preserve">. В рамках данного метода будет оценена реакция фондовой биржи на сделку с целью </w:t>
      </w:r>
      <w:proofErr w:type="gramStart"/>
      <w:r>
        <w:rPr>
          <w:rFonts w:ascii="Times New Roman" w:hAnsi="Times New Roman" w:cs="Times New Roman"/>
          <w:color w:val="000000" w:themeColor="text1"/>
          <w:sz w:val="24"/>
          <w:szCs w:val="24"/>
        </w:rPr>
        <w:t>оценить</w:t>
      </w:r>
      <w:proofErr w:type="gramEnd"/>
      <w:r>
        <w:rPr>
          <w:rFonts w:ascii="Times New Roman" w:hAnsi="Times New Roman" w:cs="Times New Roman"/>
          <w:color w:val="000000" w:themeColor="text1"/>
          <w:sz w:val="24"/>
          <w:szCs w:val="24"/>
        </w:rPr>
        <w:t>, насколько положительно сделка сказалась на стоимости акций компании.</w:t>
      </w:r>
    </w:p>
    <w:p w:rsidR="0059775B" w:rsidRDefault="0059775B"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рамках данного метода мы рассмотрим 2 периода:</w:t>
      </w:r>
    </w:p>
    <w:p w:rsidR="0059775B" w:rsidRDefault="0059775B" w:rsidP="0059775B">
      <w:pPr>
        <w:pStyle w:val="a3"/>
        <w:numPr>
          <w:ilvl w:val="0"/>
          <w:numId w:val="19"/>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3 месяца до сделки – 1 месяц после сделки. Таким </w:t>
      </w:r>
      <w:proofErr w:type="gramStart"/>
      <w:r>
        <w:rPr>
          <w:rFonts w:ascii="Times New Roman" w:hAnsi="Times New Roman" w:cs="Times New Roman"/>
          <w:color w:val="000000" w:themeColor="text1"/>
          <w:sz w:val="24"/>
          <w:szCs w:val="24"/>
        </w:rPr>
        <w:t>образом</w:t>
      </w:r>
      <w:proofErr w:type="gramEnd"/>
      <w:r>
        <w:rPr>
          <w:rFonts w:ascii="Times New Roman" w:hAnsi="Times New Roman" w:cs="Times New Roman"/>
          <w:color w:val="000000" w:themeColor="text1"/>
          <w:sz w:val="24"/>
          <w:szCs w:val="24"/>
        </w:rPr>
        <w:t xml:space="preserve"> мы сможем увидеть реакцию инвесторов непосредственно в момент совершения сделки и сразу после нее, чтобы оценить незамедлительный эффект</w:t>
      </w:r>
    </w:p>
    <w:p w:rsidR="0059775B" w:rsidRDefault="0059775B" w:rsidP="0059775B">
      <w:pPr>
        <w:pStyle w:val="a3"/>
        <w:numPr>
          <w:ilvl w:val="0"/>
          <w:numId w:val="19"/>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1 месяц после сделки – 12 месяц после сделки. Данный период позволит оценить реакцию фондовой биржи на сделку в период </w:t>
      </w:r>
      <w:proofErr w:type="gramStart"/>
      <w:r>
        <w:rPr>
          <w:rFonts w:ascii="Times New Roman" w:hAnsi="Times New Roman" w:cs="Times New Roman"/>
          <w:color w:val="000000" w:themeColor="text1"/>
          <w:sz w:val="24"/>
          <w:szCs w:val="24"/>
        </w:rPr>
        <w:t>пост-интеграции</w:t>
      </w:r>
      <w:proofErr w:type="gramEnd"/>
      <w:r>
        <w:rPr>
          <w:rFonts w:ascii="Times New Roman" w:hAnsi="Times New Roman" w:cs="Times New Roman"/>
          <w:color w:val="000000" w:themeColor="text1"/>
          <w:sz w:val="24"/>
          <w:szCs w:val="24"/>
        </w:rPr>
        <w:t>, чтобы оценить реакцию инвесторов на консолидированную компанию</w:t>
      </w:r>
    </w:p>
    <w:p w:rsidR="0059775B" w:rsidRPr="00F50912" w:rsidRDefault="0059775B"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Чтобы воспользоваться методом </w:t>
      </w:r>
      <w:r>
        <w:rPr>
          <w:rFonts w:ascii="Times New Roman" w:hAnsi="Times New Roman" w:cs="Times New Roman"/>
          <w:color w:val="000000" w:themeColor="text1"/>
          <w:sz w:val="24"/>
          <w:szCs w:val="24"/>
          <w:lang w:val="en-US"/>
        </w:rPr>
        <w:t>Event</w:t>
      </w:r>
      <w:r w:rsidRPr="00FD2C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studies</w:t>
      </w:r>
      <w:r>
        <w:rPr>
          <w:rFonts w:ascii="Times New Roman" w:hAnsi="Times New Roman" w:cs="Times New Roman"/>
          <w:color w:val="000000" w:themeColor="text1"/>
          <w:sz w:val="24"/>
          <w:szCs w:val="24"/>
        </w:rPr>
        <w:t>, мы соберем исторические данные по ценам акций Роснефти и проведем анализ в</w:t>
      </w:r>
      <w:r w:rsidRPr="00F50912">
        <w:rPr>
          <w:rFonts w:ascii="Times New Roman" w:hAnsi="Times New Roman" w:cs="Times New Roman"/>
          <w:color w:val="000000" w:themeColor="text1"/>
          <w:sz w:val="24"/>
          <w:szCs w:val="24"/>
        </w:rPr>
        <w:t xml:space="preserve"> MS </w:t>
      </w:r>
      <w:proofErr w:type="spellStart"/>
      <w:r w:rsidRPr="00F50912">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xcel</w:t>
      </w:r>
      <w:proofErr w:type="spellEnd"/>
      <w:r>
        <w:rPr>
          <w:rFonts w:ascii="Times New Roman" w:hAnsi="Times New Roman" w:cs="Times New Roman"/>
          <w:color w:val="000000" w:themeColor="text1"/>
          <w:sz w:val="24"/>
          <w:szCs w:val="24"/>
        </w:rPr>
        <w:t>, в ходе работы над которым</w:t>
      </w:r>
      <w:r w:rsidRPr="00F50912">
        <w:rPr>
          <w:rFonts w:ascii="Times New Roman" w:hAnsi="Times New Roman" w:cs="Times New Roman"/>
          <w:color w:val="000000" w:themeColor="text1"/>
          <w:sz w:val="24"/>
          <w:szCs w:val="24"/>
        </w:rPr>
        <w:t xml:space="preserve"> будем придерживаться следующего алгоритма:</w:t>
      </w:r>
    </w:p>
    <w:p w:rsidR="0059775B" w:rsidRPr="00F50912" w:rsidRDefault="0059775B" w:rsidP="0059775B">
      <w:pPr>
        <w:spacing w:line="360" w:lineRule="auto"/>
        <w:ind w:left="567"/>
        <w:jc w:val="both"/>
        <w:rPr>
          <w:rFonts w:ascii="Times New Roman" w:hAnsi="Times New Roman" w:cs="Times New Roman"/>
          <w:color w:val="000000" w:themeColor="text1"/>
          <w:sz w:val="24"/>
          <w:szCs w:val="24"/>
        </w:rPr>
      </w:pPr>
      <w:r w:rsidRPr="00F50912">
        <w:rPr>
          <w:rFonts w:ascii="Times New Roman" w:hAnsi="Times New Roman" w:cs="Times New Roman"/>
          <w:color w:val="000000" w:themeColor="text1"/>
          <w:sz w:val="24"/>
          <w:szCs w:val="24"/>
        </w:rPr>
        <w:lastRenderedPageBreak/>
        <w:t>1.</w:t>
      </w:r>
      <w:r w:rsidRPr="00F5091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Воспользуемся базой данных </w:t>
      </w:r>
      <w:r>
        <w:rPr>
          <w:rFonts w:ascii="Times New Roman" w:hAnsi="Times New Roman" w:cs="Times New Roman"/>
          <w:color w:val="000000" w:themeColor="text1"/>
          <w:sz w:val="24"/>
          <w:szCs w:val="24"/>
          <w:lang w:val="en-US"/>
        </w:rPr>
        <w:t>Yahoo</w:t>
      </w:r>
      <w:r w:rsidRPr="00FD2C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finance</w:t>
      </w:r>
      <w:r>
        <w:rPr>
          <w:rStyle w:val="a7"/>
          <w:rFonts w:ascii="Times New Roman" w:hAnsi="Times New Roman" w:cs="Times New Roman"/>
          <w:color w:val="000000" w:themeColor="text1"/>
          <w:sz w:val="24"/>
          <w:szCs w:val="24"/>
          <w:lang w:val="en-US"/>
        </w:rPr>
        <w:footnoteReference w:id="44"/>
      </w:r>
      <w:r w:rsidRPr="00FD2C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для выгрузки исторических данных о ценах акций Роснефти за периоды</w:t>
      </w:r>
      <w:proofErr w:type="gramStart"/>
      <w:r>
        <w:rPr>
          <w:rFonts w:ascii="Times New Roman" w:hAnsi="Times New Roman" w:cs="Times New Roman"/>
          <w:color w:val="000000" w:themeColor="text1"/>
          <w:sz w:val="24"/>
          <w:szCs w:val="24"/>
        </w:rPr>
        <w:t xml:space="preserve"> А</w:t>
      </w:r>
      <w:proofErr w:type="gramEnd"/>
      <w:r>
        <w:rPr>
          <w:rFonts w:ascii="Times New Roman" w:hAnsi="Times New Roman" w:cs="Times New Roman"/>
          <w:color w:val="000000" w:themeColor="text1"/>
          <w:sz w:val="24"/>
          <w:szCs w:val="24"/>
        </w:rPr>
        <w:t xml:space="preserve"> и Б</w:t>
      </w:r>
      <w:r w:rsidRPr="00F50912">
        <w:rPr>
          <w:rFonts w:ascii="Times New Roman" w:hAnsi="Times New Roman" w:cs="Times New Roman"/>
          <w:color w:val="000000" w:themeColor="text1"/>
          <w:sz w:val="24"/>
          <w:szCs w:val="24"/>
        </w:rPr>
        <w:t>;</w:t>
      </w:r>
    </w:p>
    <w:p w:rsidR="0059775B" w:rsidRPr="00F50912" w:rsidRDefault="0059775B" w:rsidP="0059775B">
      <w:pPr>
        <w:spacing w:line="360" w:lineRule="auto"/>
        <w:ind w:left="567"/>
        <w:jc w:val="both"/>
        <w:rPr>
          <w:rFonts w:ascii="Times New Roman" w:hAnsi="Times New Roman" w:cs="Times New Roman"/>
          <w:color w:val="000000" w:themeColor="text1"/>
          <w:sz w:val="24"/>
          <w:szCs w:val="24"/>
        </w:rPr>
      </w:pPr>
      <w:r w:rsidRPr="00F50912">
        <w:rPr>
          <w:rFonts w:ascii="Times New Roman" w:hAnsi="Times New Roman" w:cs="Times New Roman"/>
          <w:color w:val="000000" w:themeColor="text1"/>
          <w:sz w:val="24"/>
          <w:szCs w:val="24"/>
        </w:rPr>
        <w:t>2.</w:t>
      </w:r>
      <w:r w:rsidRPr="00F5091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Загрузим данные в </w:t>
      </w:r>
      <w:r>
        <w:rPr>
          <w:rFonts w:ascii="Times New Roman" w:hAnsi="Times New Roman" w:cs="Times New Roman"/>
          <w:color w:val="000000" w:themeColor="text1"/>
          <w:sz w:val="24"/>
          <w:szCs w:val="24"/>
          <w:lang w:val="en-US"/>
        </w:rPr>
        <w:t>MS</w:t>
      </w:r>
      <w:r w:rsidRPr="00F457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Excel</w:t>
      </w:r>
      <w:r w:rsidRPr="00F50912">
        <w:rPr>
          <w:rFonts w:ascii="Times New Roman" w:hAnsi="Times New Roman" w:cs="Times New Roman"/>
          <w:color w:val="000000" w:themeColor="text1"/>
          <w:sz w:val="24"/>
          <w:szCs w:val="24"/>
        </w:rPr>
        <w:t>;</w:t>
      </w:r>
    </w:p>
    <w:p w:rsidR="0059775B" w:rsidRPr="00F50912" w:rsidRDefault="0059775B" w:rsidP="0059775B">
      <w:pPr>
        <w:spacing w:line="360" w:lineRule="auto"/>
        <w:ind w:left="567"/>
        <w:jc w:val="both"/>
        <w:rPr>
          <w:rFonts w:ascii="Times New Roman" w:hAnsi="Times New Roman" w:cs="Times New Roman"/>
          <w:color w:val="000000" w:themeColor="text1"/>
          <w:sz w:val="24"/>
          <w:szCs w:val="24"/>
        </w:rPr>
      </w:pPr>
      <w:r w:rsidRPr="00F50912">
        <w:rPr>
          <w:rFonts w:ascii="Times New Roman" w:hAnsi="Times New Roman" w:cs="Times New Roman"/>
          <w:color w:val="000000" w:themeColor="text1"/>
          <w:sz w:val="24"/>
          <w:szCs w:val="24"/>
        </w:rPr>
        <w:t>3.</w:t>
      </w:r>
      <w:r w:rsidRPr="00F5091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Построим графики </w:t>
      </w:r>
      <w:r>
        <w:rPr>
          <w:rFonts w:ascii="Times New Roman" w:hAnsi="Times New Roman" w:cs="Times New Roman"/>
          <w:color w:val="000000" w:themeColor="text1"/>
          <w:sz w:val="24"/>
          <w:szCs w:val="24"/>
          <w:lang w:val="en-US"/>
        </w:rPr>
        <w:t>close</w:t>
      </w:r>
      <w:r w:rsidRPr="00DD3C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stock</w:t>
      </w:r>
      <w:r w:rsidRPr="00DD3C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price</w:t>
      </w:r>
      <w:r w:rsidRPr="00DD3CC2">
        <w:rPr>
          <w:rFonts w:ascii="Times New Roman" w:hAnsi="Times New Roman" w:cs="Times New Roman"/>
          <w:color w:val="000000" w:themeColor="text1"/>
          <w:sz w:val="24"/>
          <w:szCs w:val="24"/>
        </w:rPr>
        <w:t xml:space="preserve"> </w:t>
      </w:r>
      <w:r w:rsidR="002F4269">
        <w:rPr>
          <w:rFonts w:ascii="Times New Roman" w:hAnsi="Times New Roman" w:cs="Times New Roman"/>
          <w:color w:val="000000" w:themeColor="text1"/>
          <w:sz w:val="24"/>
          <w:szCs w:val="24"/>
        </w:rPr>
        <w:t>за периоды</w:t>
      </w:r>
      <w:proofErr w:type="gramStart"/>
      <w:r w:rsidR="002F4269">
        <w:rPr>
          <w:rFonts w:ascii="Times New Roman" w:hAnsi="Times New Roman" w:cs="Times New Roman"/>
          <w:color w:val="000000" w:themeColor="text1"/>
          <w:sz w:val="24"/>
          <w:szCs w:val="24"/>
        </w:rPr>
        <w:t xml:space="preserve"> А</w:t>
      </w:r>
      <w:proofErr w:type="gramEnd"/>
      <w:r w:rsidR="002F4269">
        <w:rPr>
          <w:rFonts w:ascii="Times New Roman" w:hAnsi="Times New Roman" w:cs="Times New Roman"/>
          <w:color w:val="000000" w:themeColor="text1"/>
          <w:sz w:val="24"/>
          <w:szCs w:val="24"/>
        </w:rPr>
        <w:t xml:space="preserve"> и Б</w:t>
      </w:r>
      <w:r w:rsidRPr="00F50912">
        <w:rPr>
          <w:rFonts w:ascii="Times New Roman" w:hAnsi="Times New Roman" w:cs="Times New Roman"/>
          <w:color w:val="000000" w:themeColor="text1"/>
          <w:sz w:val="24"/>
          <w:szCs w:val="24"/>
        </w:rPr>
        <w:t>;</w:t>
      </w:r>
    </w:p>
    <w:p w:rsidR="0059775B" w:rsidRDefault="0059775B" w:rsidP="0059775B">
      <w:pPr>
        <w:spacing w:line="360" w:lineRule="auto"/>
        <w:ind w:left="567"/>
        <w:jc w:val="both"/>
        <w:rPr>
          <w:rFonts w:ascii="Times New Roman" w:hAnsi="Times New Roman" w:cs="Times New Roman"/>
          <w:color w:val="000000" w:themeColor="text1"/>
          <w:sz w:val="24"/>
          <w:szCs w:val="24"/>
        </w:rPr>
      </w:pPr>
      <w:r w:rsidRPr="00F50912">
        <w:rPr>
          <w:rFonts w:ascii="Times New Roman" w:hAnsi="Times New Roman" w:cs="Times New Roman"/>
          <w:color w:val="000000" w:themeColor="text1"/>
          <w:sz w:val="24"/>
          <w:szCs w:val="24"/>
        </w:rPr>
        <w:t>4.</w:t>
      </w:r>
      <w:r w:rsidRPr="00F5091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Интерпретируем результаты</w:t>
      </w:r>
      <w:r w:rsidRPr="00F50912">
        <w:rPr>
          <w:rFonts w:ascii="Times New Roman" w:hAnsi="Times New Roman" w:cs="Times New Roman"/>
          <w:color w:val="000000" w:themeColor="text1"/>
          <w:sz w:val="24"/>
          <w:szCs w:val="24"/>
        </w:rPr>
        <w:t>;</w:t>
      </w:r>
    </w:p>
    <w:p w:rsidR="0059775B" w:rsidRDefault="0059775B"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А. 6 июля 2012 года – 22 апреля 2013 года. </w:t>
      </w:r>
    </w:p>
    <w:p w:rsidR="0059775B" w:rsidRDefault="0059775B" w:rsidP="0059775B">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Данный исторический период связан с поведением акций в течение процесса переговоров по сделке. Здесь мы сможем наблюдать несколько ключевых дат, которые сигнализируют об изменении мнения инвесторов. В процессе анализа данного периода можно будет заметить, как менялось отношение инвесторов к акциям Роснефти до первых слухов, во время появления слухов о сделке, во время анонсирования сделки и после завершения сделки.</w:t>
      </w:r>
    </w:p>
    <w:p w:rsidR="0059775B" w:rsidRDefault="0059775B"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inline distT="0" distB="0" distL="0" distR="0" wp14:anchorId="517D79BE" wp14:editId="55B44FBB">
            <wp:extent cx="5940425" cy="2820670"/>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 экрана 2017-05-11 в 6.07.52.png"/>
                    <pic:cNvPicPr/>
                  </pic:nvPicPr>
                  <pic:blipFill>
                    <a:blip r:embed="rId16">
                      <a:extLst>
                        <a:ext uri="{28A0092B-C50C-407E-A947-70E740481C1C}">
                          <a14:useLocalDpi xmlns:a14="http://schemas.microsoft.com/office/drawing/2010/main" val="0"/>
                        </a:ext>
                      </a:extLst>
                    </a:blip>
                    <a:stretch>
                      <a:fillRect/>
                    </a:stretch>
                  </pic:blipFill>
                  <pic:spPr>
                    <a:xfrm>
                      <a:off x="0" y="0"/>
                      <a:ext cx="5940425" cy="2820670"/>
                    </a:xfrm>
                    <a:prstGeom prst="rect">
                      <a:avLst/>
                    </a:prstGeom>
                  </pic:spPr>
                </pic:pic>
              </a:graphicData>
            </a:graphic>
          </wp:inline>
        </w:drawing>
      </w:r>
    </w:p>
    <w:p w:rsidR="0059775B" w:rsidRDefault="007C1744"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Рисунок 8</w:t>
      </w:r>
      <w:r w:rsidR="0059775B">
        <w:rPr>
          <w:rFonts w:ascii="Times New Roman" w:hAnsi="Times New Roman" w:cs="Times New Roman"/>
          <w:color w:val="000000" w:themeColor="text1"/>
          <w:sz w:val="24"/>
          <w:szCs w:val="24"/>
        </w:rPr>
        <w:t xml:space="preserve"> График изменения цены акций Роснефти за период 3 мес</w:t>
      </w:r>
      <w:r w:rsidR="002F4269">
        <w:rPr>
          <w:rFonts w:ascii="Times New Roman" w:hAnsi="Times New Roman" w:cs="Times New Roman"/>
          <w:color w:val="000000" w:themeColor="text1"/>
          <w:sz w:val="24"/>
          <w:szCs w:val="24"/>
        </w:rPr>
        <w:t>яца</w:t>
      </w:r>
      <w:r w:rsidR="0059775B">
        <w:rPr>
          <w:rFonts w:ascii="Times New Roman" w:hAnsi="Times New Roman" w:cs="Times New Roman"/>
          <w:color w:val="000000" w:themeColor="text1"/>
          <w:sz w:val="24"/>
          <w:szCs w:val="24"/>
        </w:rPr>
        <w:t xml:space="preserve"> до сделки – 1 месяц после</w:t>
      </w:r>
    </w:p>
    <w:p w:rsidR="0059775B" w:rsidRPr="001C5B38" w:rsidRDefault="0059775B" w:rsidP="0059775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Рассчитано по: Исторические данные по ценам акций Роснефти – </w:t>
      </w:r>
      <w:r>
        <w:rPr>
          <w:rFonts w:ascii="Times New Roman" w:hAnsi="Times New Roman" w:cs="Times New Roman"/>
          <w:sz w:val="24"/>
          <w:szCs w:val="24"/>
          <w:lang w:val="en-US"/>
        </w:rPr>
        <w:t>Yahoo</w:t>
      </w:r>
      <w:r w:rsidRPr="001C5B38">
        <w:rPr>
          <w:rFonts w:ascii="Times New Roman" w:hAnsi="Times New Roman" w:cs="Times New Roman"/>
          <w:sz w:val="24"/>
          <w:szCs w:val="24"/>
        </w:rPr>
        <w:t xml:space="preserve"> </w:t>
      </w:r>
      <w:r>
        <w:rPr>
          <w:rFonts w:ascii="Times New Roman" w:hAnsi="Times New Roman" w:cs="Times New Roman"/>
          <w:sz w:val="24"/>
          <w:szCs w:val="24"/>
          <w:lang w:val="en-US"/>
        </w:rPr>
        <w:t>finance</w:t>
      </w:r>
    </w:p>
    <w:p w:rsidR="0059775B" w:rsidRDefault="0059775B"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В рамках исторического периода можно выделить 3 ключевые точки:</w:t>
      </w:r>
    </w:p>
    <w:p w:rsidR="0059775B" w:rsidRDefault="0059775B"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5.10.2012 – цена акций до утечки первых слухов о сделки. Как можно видеть, акции Роснефти были достаточно стабильны с июля и до октября. Однако</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в момент когда возникли первые слухи мы можем наблюдать заметное постепенное увеличение цены акций вплоть до непосредственного анонсирования сделки. Это свидетельствует о том, что спрос на акции Роснефти повысился, что отражает позитивные ожидания инвесторов об эффективности сделки</w:t>
      </w:r>
    </w:p>
    <w:p w:rsidR="0059775B" w:rsidRDefault="0059775B"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11.12.2012 – цена акций перед анонсированием сделки. Мы можем наблюдать как за 2 месяца после появления первых слухов, акции Роснефти выросли более чем на 20%, а в момент анонсирования сделки продолжили свой рост, что также показывает позитивные ожидания инвесторов и повышенный спрос на акции консолидированной компании.</w:t>
      </w:r>
    </w:p>
    <w:p w:rsidR="0059775B" w:rsidRDefault="0059775B"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22.03.2013 – цена акций после завершения процесса сделки. Мы можем наблюдать как с момента анонсирования сделки, акции Роснефти достигли пиковых значений в январе, а затем несколько снизились до </w:t>
      </w:r>
      <w:proofErr w:type="spellStart"/>
      <w:r>
        <w:rPr>
          <w:rFonts w:ascii="Times New Roman" w:hAnsi="Times New Roman" w:cs="Times New Roman"/>
          <w:color w:val="000000" w:themeColor="text1"/>
          <w:sz w:val="24"/>
          <w:szCs w:val="24"/>
        </w:rPr>
        <w:t>преданонсного</w:t>
      </w:r>
      <w:proofErr w:type="spellEnd"/>
      <w:r>
        <w:rPr>
          <w:rFonts w:ascii="Times New Roman" w:hAnsi="Times New Roman" w:cs="Times New Roman"/>
          <w:color w:val="000000" w:themeColor="text1"/>
          <w:sz w:val="24"/>
          <w:szCs w:val="24"/>
        </w:rPr>
        <w:t xml:space="preserve"> уровня, что показывает, что инвесторы несколько смягчили свои ожидания. Однако</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мы видим что реакция фондовой биржи на акции консолидированной компании значительно выше, чем на акции Роснефти до сделки, что свидетельствует о том, что акции сделка может быть признана успешной для акционеров компании.</w:t>
      </w:r>
    </w:p>
    <w:p w:rsidR="0059775B" w:rsidRDefault="0059775B"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Б. 22 апреля 2013 – 22 апреля 2014</w:t>
      </w:r>
    </w:p>
    <w:p w:rsidR="0059775B" w:rsidRDefault="0059775B"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Цель анализа данного периода – проследить позиционирование акций Роснефти на рынке в течение 1 года после завершения сделки, чтобы оценить отношение инвесторов к </w:t>
      </w:r>
      <w:proofErr w:type="spellStart"/>
      <w:r>
        <w:rPr>
          <w:rFonts w:ascii="Times New Roman" w:hAnsi="Times New Roman" w:cs="Times New Roman"/>
          <w:color w:val="000000" w:themeColor="text1"/>
          <w:sz w:val="24"/>
          <w:szCs w:val="24"/>
        </w:rPr>
        <w:t>постинтеграционному</w:t>
      </w:r>
      <w:proofErr w:type="spellEnd"/>
      <w:r>
        <w:rPr>
          <w:rFonts w:ascii="Times New Roman" w:hAnsi="Times New Roman" w:cs="Times New Roman"/>
          <w:color w:val="000000" w:themeColor="text1"/>
          <w:sz w:val="24"/>
          <w:szCs w:val="24"/>
        </w:rPr>
        <w:t xml:space="preserve"> процессу, а также оценить насколько сделке удалось доказать свою эффективность в течение более длительного периода.</w:t>
      </w:r>
    </w:p>
    <w:p w:rsidR="0059775B" w:rsidRDefault="0059775B" w:rsidP="0059775B">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eastAsia="ru-RU"/>
        </w:rPr>
        <w:lastRenderedPageBreak/>
        <w:drawing>
          <wp:inline distT="0" distB="0" distL="0" distR="0" wp14:anchorId="01638D62" wp14:editId="633390E9">
            <wp:extent cx="5940425" cy="3581400"/>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 экрана 2017-05-11 в 6.24.16.png"/>
                    <pic:cNvPicPr/>
                  </pic:nvPicPr>
                  <pic:blipFill>
                    <a:blip r:embed="rId17">
                      <a:extLst>
                        <a:ext uri="{28A0092B-C50C-407E-A947-70E740481C1C}">
                          <a14:useLocalDpi xmlns:a14="http://schemas.microsoft.com/office/drawing/2010/main" val="0"/>
                        </a:ext>
                      </a:extLst>
                    </a:blip>
                    <a:stretch>
                      <a:fillRect/>
                    </a:stretch>
                  </pic:blipFill>
                  <pic:spPr>
                    <a:xfrm>
                      <a:off x="0" y="0"/>
                      <a:ext cx="5940425" cy="3581400"/>
                    </a:xfrm>
                    <a:prstGeom prst="rect">
                      <a:avLst/>
                    </a:prstGeom>
                  </pic:spPr>
                </pic:pic>
              </a:graphicData>
            </a:graphic>
          </wp:inline>
        </w:drawing>
      </w:r>
    </w:p>
    <w:p w:rsidR="0059775B" w:rsidRDefault="0059775B"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Рисуно</w:t>
      </w:r>
      <w:r w:rsidR="007C1744">
        <w:rPr>
          <w:rFonts w:ascii="Times New Roman" w:hAnsi="Times New Roman" w:cs="Times New Roman"/>
          <w:color w:val="000000" w:themeColor="text1"/>
          <w:sz w:val="24"/>
          <w:szCs w:val="24"/>
        </w:rPr>
        <w:t>к 9</w:t>
      </w:r>
      <w:r>
        <w:rPr>
          <w:rFonts w:ascii="Times New Roman" w:hAnsi="Times New Roman" w:cs="Times New Roman"/>
          <w:color w:val="000000" w:themeColor="text1"/>
          <w:sz w:val="24"/>
          <w:szCs w:val="24"/>
        </w:rPr>
        <w:t xml:space="preserve"> График изменения цены акций Роснефти за период 1 мес</w:t>
      </w:r>
      <w:r w:rsidR="002F4269">
        <w:rPr>
          <w:rFonts w:ascii="Times New Roman" w:hAnsi="Times New Roman" w:cs="Times New Roman"/>
          <w:color w:val="000000" w:themeColor="text1"/>
          <w:sz w:val="24"/>
          <w:szCs w:val="24"/>
        </w:rPr>
        <w:t>яц</w:t>
      </w:r>
      <w:r>
        <w:rPr>
          <w:rFonts w:ascii="Times New Roman" w:hAnsi="Times New Roman" w:cs="Times New Roman"/>
          <w:color w:val="000000" w:themeColor="text1"/>
          <w:sz w:val="24"/>
          <w:szCs w:val="24"/>
        </w:rPr>
        <w:t xml:space="preserve"> после сделки – 1 год после сделки</w:t>
      </w:r>
    </w:p>
    <w:p w:rsidR="0059775B" w:rsidRPr="001C5B38" w:rsidRDefault="0059775B" w:rsidP="0059775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Рассчитано по: Исторические данные по ценам акций Роснефти – </w:t>
      </w:r>
      <w:r>
        <w:rPr>
          <w:rFonts w:ascii="Times New Roman" w:hAnsi="Times New Roman" w:cs="Times New Roman"/>
          <w:sz w:val="24"/>
          <w:szCs w:val="24"/>
          <w:lang w:val="en-US"/>
        </w:rPr>
        <w:t>Yahoo</w:t>
      </w:r>
      <w:r w:rsidRPr="001C5B38">
        <w:rPr>
          <w:rFonts w:ascii="Times New Roman" w:hAnsi="Times New Roman" w:cs="Times New Roman"/>
          <w:sz w:val="24"/>
          <w:szCs w:val="24"/>
        </w:rPr>
        <w:t xml:space="preserve"> </w:t>
      </w:r>
      <w:r>
        <w:rPr>
          <w:rFonts w:ascii="Times New Roman" w:hAnsi="Times New Roman" w:cs="Times New Roman"/>
          <w:sz w:val="24"/>
          <w:szCs w:val="24"/>
          <w:lang w:val="en-US"/>
        </w:rPr>
        <w:t>finance</w:t>
      </w:r>
    </w:p>
    <w:p w:rsidR="0059775B" w:rsidRDefault="0059775B"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Анализ годового периода после сделки позволяет нам сделать следующие выводы:</w:t>
      </w:r>
    </w:p>
    <w:p w:rsidR="0059775B" w:rsidRDefault="0059775B" w:rsidP="0059775B">
      <w:pPr>
        <w:pStyle w:val="a3"/>
        <w:numPr>
          <w:ilvl w:val="0"/>
          <w:numId w:val="2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можем заметить в точке 1 (22 апреля 2014), что за год после завершения сделки акции Роснефти остались на том же уровне, что и через месяц после сделки, что является позитивным знаком, доказывая эффективность сделки, подтвержденную временем</w:t>
      </w:r>
    </w:p>
    <w:p w:rsidR="0059775B" w:rsidRDefault="0059775B" w:rsidP="0059775B">
      <w:pPr>
        <w:pStyle w:val="a3"/>
        <w:numPr>
          <w:ilvl w:val="0"/>
          <w:numId w:val="2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Акции Роснефти значительно стабилизировалось в течение года после сделки, их волатильность снизилась</w:t>
      </w:r>
    </w:p>
    <w:p w:rsidR="0059775B" w:rsidRDefault="0059775B" w:rsidP="0059775B">
      <w:pPr>
        <w:pStyle w:val="a3"/>
        <w:numPr>
          <w:ilvl w:val="0"/>
          <w:numId w:val="2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Среднегодовая цена акций Роснефти в 2013 году превышает среднегодовую цену акций в 2012 году, что также характеризует устойчивый характер эффекта от сделки</w:t>
      </w:r>
    </w:p>
    <w:p w:rsidR="0059775B" w:rsidRDefault="0059775B" w:rsidP="0059775B">
      <w:pPr>
        <w:pStyle w:val="a3"/>
        <w:numPr>
          <w:ilvl w:val="0"/>
          <w:numId w:val="2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Наконец, в течение 1 года после сделки акции Роснефти ни разу не снизились до уровня цен Роснефти до поглощения</w:t>
      </w:r>
    </w:p>
    <w:p w:rsidR="0059775B" w:rsidRDefault="0059775B" w:rsidP="0059775B">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Таким образом, мы видим положительную динамику цен акций консолидированной компании после сделки на основе метода </w:t>
      </w:r>
      <w:r>
        <w:rPr>
          <w:rFonts w:ascii="Times New Roman" w:hAnsi="Times New Roman" w:cs="Times New Roman"/>
          <w:color w:val="000000" w:themeColor="text1"/>
          <w:sz w:val="24"/>
          <w:szCs w:val="24"/>
          <w:lang w:val="en-US"/>
        </w:rPr>
        <w:t>Event</w:t>
      </w:r>
      <w:r w:rsidRPr="003A3DD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studies</w:t>
      </w:r>
      <w:r>
        <w:rPr>
          <w:rFonts w:ascii="Times New Roman" w:hAnsi="Times New Roman" w:cs="Times New Roman"/>
          <w:color w:val="000000" w:themeColor="text1"/>
          <w:sz w:val="24"/>
          <w:szCs w:val="24"/>
        </w:rPr>
        <w:t>, что свидетельствует о том, что сделка является эффективной и рентабельной для акционеров компании.</w:t>
      </w:r>
    </w:p>
    <w:p w:rsidR="0059775B" w:rsidRPr="003A3DD8" w:rsidRDefault="0059775B" w:rsidP="0059775B">
      <w:pPr>
        <w:spacing w:line="360" w:lineRule="auto"/>
        <w:ind w:firstLine="708"/>
        <w:jc w:val="both"/>
        <w:rPr>
          <w:rFonts w:ascii="Times New Roman" w:hAnsi="Times New Roman" w:cs="Times New Roman"/>
          <w:color w:val="000000" w:themeColor="text1"/>
          <w:sz w:val="24"/>
          <w:szCs w:val="24"/>
        </w:rPr>
      </w:pPr>
    </w:p>
    <w:p w:rsidR="0059775B" w:rsidRDefault="0059775B" w:rsidP="0059775B">
      <w:pPr>
        <w:pStyle w:val="2"/>
        <w:spacing w:after="240"/>
        <w:jc w:val="center"/>
        <w:rPr>
          <w:rFonts w:ascii="Times New Roman" w:eastAsia="Times New Roman" w:hAnsi="Times New Roman" w:cs="Times New Roman"/>
          <w:color w:val="000000" w:themeColor="text1"/>
          <w:sz w:val="24"/>
        </w:rPr>
      </w:pPr>
      <w:bookmarkStart w:id="19" w:name="_Toc482547524"/>
      <w:r>
        <w:rPr>
          <w:rFonts w:ascii="Times New Roman" w:eastAsia="Times New Roman" w:hAnsi="Times New Roman" w:cs="Times New Roman"/>
          <w:color w:val="000000" w:themeColor="text1"/>
          <w:sz w:val="24"/>
        </w:rPr>
        <w:lastRenderedPageBreak/>
        <w:t>3.5 Сравнение результатов оценки эффективности сделки Роснефть – ТНК-ВР</w:t>
      </w:r>
      <w:r w:rsidR="00925790">
        <w:rPr>
          <w:rFonts w:ascii="Times New Roman" w:eastAsia="Times New Roman" w:hAnsi="Times New Roman" w:cs="Times New Roman"/>
          <w:color w:val="000000" w:themeColor="text1"/>
          <w:sz w:val="24"/>
        </w:rPr>
        <w:t xml:space="preserve"> Холдинг</w:t>
      </w:r>
      <w:r>
        <w:rPr>
          <w:rFonts w:ascii="Times New Roman" w:eastAsia="Times New Roman" w:hAnsi="Times New Roman" w:cs="Times New Roman"/>
          <w:color w:val="000000" w:themeColor="text1"/>
          <w:sz w:val="24"/>
        </w:rPr>
        <w:t>, полученных при применении разных методов</w:t>
      </w:r>
      <w:bookmarkEnd w:id="19"/>
    </w:p>
    <w:p w:rsidR="0059775B" w:rsidRDefault="0059775B" w:rsidP="0059775B">
      <w:pPr>
        <w:spacing w:line="360" w:lineRule="auto"/>
        <w:jc w:val="both"/>
        <w:rPr>
          <w:rFonts w:ascii="Times New Roman" w:hAnsi="Times New Roman" w:cs="Times New Roman"/>
          <w:sz w:val="24"/>
        </w:rPr>
      </w:pPr>
      <w:r>
        <w:tab/>
      </w:r>
      <w:r>
        <w:rPr>
          <w:rFonts w:ascii="Times New Roman" w:hAnsi="Times New Roman" w:cs="Times New Roman"/>
          <w:sz w:val="24"/>
        </w:rPr>
        <w:t>В рамках настоящей работы была рассмотрена сделка Роснефти и ТНК-ВР</w:t>
      </w:r>
      <w:r w:rsidR="00925790">
        <w:rPr>
          <w:rFonts w:ascii="Times New Roman" w:hAnsi="Times New Roman" w:cs="Times New Roman"/>
          <w:sz w:val="24"/>
        </w:rPr>
        <w:t xml:space="preserve"> Холдинг</w:t>
      </w:r>
      <w:r>
        <w:rPr>
          <w:rFonts w:ascii="Times New Roman" w:hAnsi="Times New Roman" w:cs="Times New Roman"/>
          <w:sz w:val="24"/>
        </w:rPr>
        <w:t xml:space="preserve"> и произведена ее оценка на основе трех методов: метод дисконтированных денежных потоков, метод </w:t>
      </w:r>
      <w:r>
        <w:rPr>
          <w:rFonts w:ascii="Times New Roman" w:hAnsi="Times New Roman" w:cs="Times New Roman"/>
          <w:sz w:val="24"/>
          <w:lang w:val="en-US"/>
        </w:rPr>
        <w:t>EPS</w:t>
      </w:r>
      <w:r w:rsidRPr="001B0E4A">
        <w:rPr>
          <w:rFonts w:ascii="Times New Roman" w:hAnsi="Times New Roman" w:cs="Times New Roman"/>
          <w:sz w:val="24"/>
        </w:rPr>
        <w:t xml:space="preserve"> </w:t>
      </w:r>
      <w:r>
        <w:rPr>
          <w:rFonts w:ascii="Times New Roman" w:hAnsi="Times New Roman" w:cs="Times New Roman"/>
          <w:sz w:val="24"/>
          <w:lang w:val="en-US"/>
        </w:rPr>
        <w:t>accretion</w:t>
      </w:r>
      <w:r w:rsidRPr="001B0E4A">
        <w:rPr>
          <w:rFonts w:ascii="Times New Roman" w:hAnsi="Times New Roman" w:cs="Times New Roman"/>
          <w:sz w:val="24"/>
        </w:rPr>
        <w:t>/</w:t>
      </w:r>
      <w:r>
        <w:rPr>
          <w:rFonts w:ascii="Times New Roman" w:hAnsi="Times New Roman" w:cs="Times New Roman"/>
          <w:sz w:val="24"/>
          <w:lang w:val="en-US"/>
        </w:rPr>
        <w:t>dilution</w:t>
      </w:r>
      <w:r>
        <w:rPr>
          <w:rFonts w:ascii="Times New Roman" w:hAnsi="Times New Roman" w:cs="Times New Roman"/>
          <w:sz w:val="24"/>
        </w:rPr>
        <w:t xml:space="preserve">, метод </w:t>
      </w:r>
      <w:proofErr w:type="spellStart"/>
      <w:r>
        <w:rPr>
          <w:rFonts w:ascii="Times New Roman" w:hAnsi="Times New Roman" w:cs="Times New Roman"/>
          <w:sz w:val="24"/>
        </w:rPr>
        <w:t>Event</w:t>
      </w:r>
      <w:proofErr w:type="spellEnd"/>
      <w:r>
        <w:rPr>
          <w:rFonts w:ascii="Times New Roman" w:hAnsi="Times New Roman" w:cs="Times New Roman"/>
          <w:sz w:val="24"/>
        </w:rPr>
        <w:t xml:space="preserve"> </w:t>
      </w:r>
      <w:proofErr w:type="spellStart"/>
      <w:r>
        <w:rPr>
          <w:rFonts w:ascii="Times New Roman" w:hAnsi="Times New Roman" w:cs="Times New Roman"/>
          <w:sz w:val="24"/>
        </w:rPr>
        <w:t>studies</w:t>
      </w:r>
      <w:proofErr w:type="spellEnd"/>
      <w:r>
        <w:rPr>
          <w:rFonts w:ascii="Times New Roman" w:hAnsi="Times New Roman" w:cs="Times New Roman"/>
          <w:sz w:val="24"/>
        </w:rPr>
        <w:t xml:space="preserve">. </w:t>
      </w:r>
    </w:p>
    <w:p w:rsidR="0059775B" w:rsidRDefault="0059775B" w:rsidP="0059775B">
      <w:pPr>
        <w:spacing w:line="360" w:lineRule="auto"/>
        <w:jc w:val="both"/>
        <w:rPr>
          <w:rFonts w:ascii="Times New Roman" w:hAnsi="Times New Roman" w:cs="Times New Roman"/>
          <w:sz w:val="24"/>
        </w:rPr>
      </w:pPr>
      <w:r>
        <w:rPr>
          <w:rFonts w:ascii="Times New Roman" w:hAnsi="Times New Roman" w:cs="Times New Roman"/>
          <w:sz w:val="24"/>
        </w:rPr>
        <w:tab/>
        <w:t>Чтобы сравнить результаты, полученные в рамках применения трех методов, мы воспользуемся следующими критериями: результат оценки эффективности на основе метода, актуальность результата, полученного на основе метода, уровень эффективности сделки на основе метода.</w:t>
      </w:r>
    </w:p>
    <w:p w:rsidR="0059775B" w:rsidRDefault="0059775B" w:rsidP="0059775B">
      <w:pPr>
        <w:pStyle w:val="a3"/>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Результат оценки эффективности на основе метода</w:t>
      </w:r>
    </w:p>
    <w:p w:rsidR="0059775B" w:rsidRDefault="0059775B" w:rsidP="0059775B">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рамках настоящего исследования все три метода свидетельствуют о том, что сделка Роснефть – ТНК-ВР</w:t>
      </w:r>
      <w:r w:rsidR="00925790">
        <w:rPr>
          <w:rFonts w:ascii="Times New Roman" w:hAnsi="Times New Roman" w:cs="Times New Roman"/>
          <w:color w:val="000000" w:themeColor="text1"/>
          <w:sz w:val="24"/>
          <w:szCs w:val="24"/>
        </w:rPr>
        <w:t xml:space="preserve"> Холдинг</w:t>
      </w:r>
      <w:r>
        <w:rPr>
          <w:rFonts w:ascii="Times New Roman" w:hAnsi="Times New Roman" w:cs="Times New Roman"/>
          <w:color w:val="000000" w:themeColor="text1"/>
          <w:sz w:val="24"/>
          <w:szCs w:val="24"/>
        </w:rPr>
        <w:t xml:space="preserve"> является эффективной и увеличивает благосостояние акционеров, более детально сравнительные резу</w:t>
      </w:r>
      <w:r w:rsidR="00DB0224">
        <w:rPr>
          <w:rFonts w:ascii="Times New Roman" w:hAnsi="Times New Roman" w:cs="Times New Roman"/>
          <w:color w:val="000000" w:themeColor="text1"/>
          <w:sz w:val="24"/>
          <w:szCs w:val="24"/>
        </w:rPr>
        <w:t>льтаты можно увидеть в таблице 13</w:t>
      </w:r>
      <w:r>
        <w:rPr>
          <w:rFonts w:ascii="Times New Roman" w:hAnsi="Times New Roman" w:cs="Times New Roman"/>
          <w:color w:val="000000" w:themeColor="text1"/>
          <w:sz w:val="24"/>
          <w:szCs w:val="24"/>
        </w:rPr>
        <w:t>.</w:t>
      </w:r>
    </w:p>
    <w:p w:rsidR="0059775B" w:rsidRDefault="007C1744" w:rsidP="0059775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13</w:t>
      </w:r>
      <w:r w:rsidR="0059775B">
        <w:rPr>
          <w:rFonts w:ascii="Times New Roman" w:hAnsi="Times New Roman" w:cs="Times New Roman"/>
          <w:color w:val="000000" w:themeColor="text1"/>
          <w:sz w:val="24"/>
          <w:szCs w:val="24"/>
        </w:rPr>
        <w:t xml:space="preserve"> Сравнение результатов оценки эффективности сделки Роснефть – ТНК-ВР</w:t>
      </w:r>
    </w:p>
    <w:tbl>
      <w:tblPr>
        <w:tblStyle w:val="a8"/>
        <w:tblW w:w="0" w:type="auto"/>
        <w:tblLook w:val="04A0" w:firstRow="1" w:lastRow="0" w:firstColumn="1" w:lastColumn="0" w:noHBand="0" w:noVBand="1"/>
      </w:tblPr>
      <w:tblGrid>
        <w:gridCol w:w="3190"/>
        <w:gridCol w:w="2494"/>
        <w:gridCol w:w="3887"/>
      </w:tblGrid>
      <w:tr w:rsidR="0059775B" w:rsidTr="00E11D2C">
        <w:tc>
          <w:tcPr>
            <w:tcW w:w="3190" w:type="dxa"/>
          </w:tcPr>
          <w:p w:rsidR="0059775B" w:rsidRPr="00FB65BD" w:rsidRDefault="0059775B" w:rsidP="00E11D2C">
            <w:pPr>
              <w:spacing w:line="360" w:lineRule="auto"/>
              <w:jc w:val="both"/>
              <w:rPr>
                <w:rFonts w:ascii="Times New Roman" w:hAnsi="Times New Roman" w:cs="Times New Roman"/>
                <w:b/>
                <w:color w:val="000000" w:themeColor="text1"/>
                <w:sz w:val="24"/>
                <w:szCs w:val="24"/>
              </w:rPr>
            </w:pPr>
            <w:r w:rsidRPr="00FB65BD">
              <w:rPr>
                <w:rFonts w:ascii="Times New Roman" w:hAnsi="Times New Roman" w:cs="Times New Roman"/>
                <w:b/>
                <w:color w:val="000000" w:themeColor="text1"/>
                <w:sz w:val="24"/>
                <w:szCs w:val="24"/>
              </w:rPr>
              <w:t>Метод</w:t>
            </w:r>
          </w:p>
        </w:tc>
        <w:tc>
          <w:tcPr>
            <w:tcW w:w="2494" w:type="dxa"/>
          </w:tcPr>
          <w:p w:rsidR="0059775B" w:rsidRPr="00FB65BD" w:rsidRDefault="0059775B" w:rsidP="00E11D2C">
            <w:pPr>
              <w:spacing w:line="360" w:lineRule="auto"/>
              <w:jc w:val="both"/>
              <w:rPr>
                <w:rFonts w:ascii="Times New Roman" w:hAnsi="Times New Roman" w:cs="Times New Roman"/>
                <w:b/>
                <w:color w:val="000000" w:themeColor="text1"/>
                <w:sz w:val="24"/>
                <w:szCs w:val="24"/>
              </w:rPr>
            </w:pPr>
            <w:r w:rsidRPr="00FB65BD">
              <w:rPr>
                <w:rFonts w:ascii="Times New Roman" w:hAnsi="Times New Roman" w:cs="Times New Roman"/>
                <w:b/>
                <w:color w:val="000000" w:themeColor="text1"/>
                <w:sz w:val="24"/>
                <w:szCs w:val="24"/>
              </w:rPr>
              <w:t>Результат</w:t>
            </w:r>
          </w:p>
        </w:tc>
        <w:tc>
          <w:tcPr>
            <w:tcW w:w="3887" w:type="dxa"/>
          </w:tcPr>
          <w:p w:rsidR="0059775B" w:rsidRPr="00FB65BD" w:rsidRDefault="0059775B" w:rsidP="00E11D2C">
            <w:pPr>
              <w:spacing w:line="360" w:lineRule="auto"/>
              <w:jc w:val="both"/>
              <w:rPr>
                <w:rFonts w:ascii="Times New Roman" w:hAnsi="Times New Roman" w:cs="Times New Roman"/>
                <w:b/>
                <w:color w:val="000000" w:themeColor="text1"/>
                <w:sz w:val="24"/>
                <w:szCs w:val="24"/>
              </w:rPr>
            </w:pPr>
            <w:r w:rsidRPr="00FB65BD">
              <w:rPr>
                <w:rFonts w:ascii="Times New Roman" w:hAnsi="Times New Roman" w:cs="Times New Roman"/>
                <w:b/>
                <w:color w:val="000000" w:themeColor="text1"/>
                <w:sz w:val="24"/>
                <w:szCs w:val="24"/>
              </w:rPr>
              <w:t>Комментарий</w:t>
            </w:r>
          </w:p>
        </w:tc>
      </w:tr>
      <w:tr w:rsidR="0059775B" w:rsidTr="00E11D2C">
        <w:tc>
          <w:tcPr>
            <w:tcW w:w="3190" w:type="dxa"/>
          </w:tcPr>
          <w:p w:rsidR="0059775B" w:rsidRPr="00C0348C" w:rsidRDefault="0059775B" w:rsidP="00E11D2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Метод </w:t>
            </w:r>
            <w:r>
              <w:rPr>
                <w:rFonts w:ascii="Times New Roman" w:hAnsi="Times New Roman" w:cs="Times New Roman"/>
                <w:color w:val="000000" w:themeColor="text1"/>
                <w:sz w:val="24"/>
                <w:szCs w:val="24"/>
                <w:lang w:val="en-US"/>
              </w:rPr>
              <w:t>DCF</w:t>
            </w:r>
          </w:p>
        </w:tc>
        <w:tc>
          <w:tcPr>
            <w:tcW w:w="2494" w:type="dxa"/>
          </w:tcPr>
          <w:p w:rsidR="0059775B" w:rsidRPr="00DD396E" w:rsidRDefault="0059775B" w:rsidP="00E11D2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Сделка эффективна</w:t>
            </w:r>
          </w:p>
        </w:tc>
        <w:tc>
          <w:tcPr>
            <w:tcW w:w="3887" w:type="dxa"/>
          </w:tcPr>
          <w:p w:rsidR="0059775B" w:rsidRDefault="0059775B" w:rsidP="00E11D2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основе применения метода имеется положительный результат на стоимость консолидированной компании, вызванный положительным синергетическим эффектом, что свидетельствует об увеличении благосостояния акционеров</w:t>
            </w:r>
          </w:p>
        </w:tc>
      </w:tr>
      <w:tr w:rsidR="0059775B" w:rsidTr="00E11D2C">
        <w:tc>
          <w:tcPr>
            <w:tcW w:w="3190" w:type="dxa"/>
          </w:tcPr>
          <w:p w:rsidR="0059775B" w:rsidRPr="00C0348C" w:rsidRDefault="0059775B" w:rsidP="00E11D2C">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Метод </w:t>
            </w:r>
            <w:r>
              <w:rPr>
                <w:rFonts w:ascii="Times New Roman" w:hAnsi="Times New Roman" w:cs="Times New Roman"/>
                <w:color w:val="000000" w:themeColor="text1"/>
                <w:sz w:val="24"/>
                <w:szCs w:val="24"/>
                <w:lang w:val="en-US"/>
              </w:rPr>
              <w:t>EPS accretion/dilution</w:t>
            </w:r>
          </w:p>
        </w:tc>
        <w:tc>
          <w:tcPr>
            <w:tcW w:w="2494" w:type="dxa"/>
          </w:tcPr>
          <w:p w:rsidR="0059775B" w:rsidRDefault="0059775B" w:rsidP="00E11D2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Сделка эффективна</w:t>
            </w:r>
          </w:p>
        </w:tc>
        <w:tc>
          <w:tcPr>
            <w:tcW w:w="3887" w:type="dxa"/>
          </w:tcPr>
          <w:p w:rsidR="0059775B" w:rsidRPr="00FB65BD" w:rsidRDefault="0059775B" w:rsidP="00E11D2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основе применения метода имеется положительный результат на </w:t>
            </w:r>
            <w:r>
              <w:rPr>
                <w:rFonts w:ascii="Times New Roman" w:hAnsi="Times New Roman" w:cs="Times New Roman"/>
                <w:color w:val="000000" w:themeColor="text1"/>
                <w:sz w:val="24"/>
                <w:szCs w:val="24"/>
                <w:lang w:val="en-US"/>
              </w:rPr>
              <w:t>EPS</w:t>
            </w:r>
            <w:r>
              <w:rPr>
                <w:rFonts w:ascii="Times New Roman" w:hAnsi="Times New Roman" w:cs="Times New Roman"/>
                <w:color w:val="000000" w:themeColor="text1"/>
                <w:sz w:val="24"/>
                <w:szCs w:val="24"/>
              </w:rPr>
              <w:t xml:space="preserve"> и возникает эффект его прироста у консолидированной компании, что свидетельствует об увеличении благосостояния акционеров</w:t>
            </w:r>
          </w:p>
        </w:tc>
      </w:tr>
      <w:tr w:rsidR="0059775B" w:rsidTr="00E11D2C">
        <w:tc>
          <w:tcPr>
            <w:tcW w:w="3190" w:type="dxa"/>
          </w:tcPr>
          <w:p w:rsidR="0059775B" w:rsidRPr="00C0348C" w:rsidRDefault="0059775B" w:rsidP="00E11D2C">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Метод </w:t>
            </w:r>
            <w:r>
              <w:rPr>
                <w:rFonts w:ascii="Times New Roman" w:hAnsi="Times New Roman" w:cs="Times New Roman"/>
                <w:color w:val="000000" w:themeColor="text1"/>
                <w:sz w:val="24"/>
                <w:szCs w:val="24"/>
                <w:lang w:val="en-US"/>
              </w:rPr>
              <w:t>Event studies</w:t>
            </w:r>
          </w:p>
        </w:tc>
        <w:tc>
          <w:tcPr>
            <w:tcW w:w="2494" w:type="dxa"/>
          </w:tcPr>
          <w:p w:rsidR="0059775B" w:rsidRDefault="0059775B" w:rsidP="00E11D2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Сделка эффективна</w:t>
            </w:r>
          </w:p>
        </w:tc>
        <w:tc>
          <w:tcPr>
            <w:tcW w:w="3887" w:type="dxa"/>
          </w:tcPr>
          <w:p w:rsidR="0059775B" w:rsidRDefault="0059775B" w:rsidP="00E11D2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основе применения метода имеется положительный эффект на </w:t>
            </w:r>
            <w:r>
              <w:rPr>
                <w:rFonts w:ascii="Times New Roman" w:hAnsi="Times New Roman" w:cs="Times New Roman"/>
                <w:color w:val="000000" w:themeColor="text1"/>
                <w:sz w:val="24"/>
                <w:szCs w:val="24"/>
              </w:rPr>
              <w:lastRenderedPageBreak/>
              <w:t>стоимость акций компании как в краткосрочном периоде (в момент анонсирования сделки и сразу после ее завершения), а также в долгосрочном периоде (в течение года после завершения сделки) по сравнению со стоимостью акций Роснефти до поглощения, что свидетельствует об увеличении благосостояния акционеров</w:t>
            </w:r>
          </w:p>
        </w:tc>
      </w:tr>
    </w:tbl>
    <w:p w:rsidR="0059775B" w:rsidRDefault="0059775B" w:rsidP="0059775B">
      <w:pPr>
        <w:spacing w:line="360" w:lineRule="auto"/>
        <w:jc w:val="both"/>
        <w:rPr>
          <w:rFonts w:ascii="Times New Roman" w:hAnsi="Times New Roman" w:cs="Times New Roman"/>
          <w:color w:val="000000" w:themeColor="text1"/>
          <w:sz w:val="24"/>
          <w:szCs w:val="24"/>
        </w:rPr>
      </w:pPr>
    </w:p>
    <w:p w:rsidR="0059775B" w:rsidRPr="00FB65BD" w:rsidRDefault="0059775B" w:rsidP="0059775B">
      <w:pPr>
        <w:pStyle w:val="a3"/>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Актуальность результата, полученного на основе метода.</w:t>
      </w:r>
    </w:p>
    <w:p w:rsidR="0059775B" w:rsidRDefault="0059775B" w:rsidP="0059775B">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Результаты, полученные на основе всех трех методов, являются актуальными и устойчивыми. </w:t>
      </w:r>
    </w:p>
    <w:p w:rsidR="0059775B" w:rsidRDefault="0059775B" w:rsidP="0059775B">
      <w:pPr>
        <w:spacing w:line="360" w:lineRule="auto"/>
        <w:ind w:firstLine="708"/>
        <w:jc w:val="both"/>
        <w:rPr>
          <w:rFonts w:ascii="Times New Roman" w:hAnsi="Times New Roman" w:cs="Times New Roman"/>
          <w:sz w:val="24"/>
        </w:rPr>
      </w:pPr>
      <w:r>
        <w:rPr>
          <w:rFonts w:ascii="Times New Roman" w:hAnsi="Times New Roman" w:cs="Times New Roman"/>
          <w:sz w:val="24"/>
        </w:rPr>
        <w:t>Метод дисконтированных денежных потоков учитывал фундаментальные показатели компаний по отдельности, а также консолидированной компании, прогнозировал будущие денежные потоки на основе финансового моделирования, а также произвел глубокую оценку синергетического эффекта. Данный метод является наиболее детальным и поэтому оценка эффективности, полученная на его основе</w:t>
      </w:r>
      <w:r w:rsidR="00925790">
        <w:rPr>
          <w:rFonts w:ascii="Times New Roman" w:hAnsi="Times New Roman" w:cs="Times New Roman"/>
          <w:sz w:val="24"/>
        </w:rPr>
        <w:t>,</w:t>
      </w:r>
      <w:r>
        <w:rPr>
          <w:rFonts w:ascii="Times New Roman" w:hAnsi="Times New Roman" w:cs="Times New Roman"/>
          <w:sz w:val="24"/>
        </w:rPr>
        <w:t xml:space="preserve"> актуальна и свидетельствует об увеличении благосостояния акционеров.</w:t>
      </w:r>
    </w:p>
    <w:p w:rsidR="0059775B" w:rsidRDefault="0059775B" w:rsidP="0059775B">
      <w:pPr>
        <w:spacing w:line="360" w:lineRule="auto"/>
        <w:ind w:firstLine="360"/>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 xml:space="preserve">Метод </w:t>
      </w:r>
      <w:r>
        <w:rPr>
          <w:rFonts w:ascii="Times New Roman" w:hAnsi="Times New Roman" w:cs="Times New Roman"/>
          <w:sz w:val="24"/>
          <w:lang w:val="en-US"/>
        </w:rPr>
        <w:t>EPS</w:t>
      </w:r>
      <w:r w:rsidRPr="003C5A28">
        <w:rPr>
          <w:rFonts w:ascii="Times New Roman" w:hAnsi="Times New Roman" w:cs="Times New Roman"/>
          <w:sz w:val="24"/>
        </w:rPr>
        <w:t xml:space="preserve"> </w:t>
      </w:r>
      <w:r>
        <w:rPr>
          <w:rFonts w:ascii="Times New Roman" w:hAnsi="Times New Roman" w:cs="Times New Roman"/>
          <w:sz w:val="24"/>
          <w:lang w:val="en-US"/>
        </w:rPr>
        <w:t>accretion</w:t>
      </w:r>
      <w:r w:rsidRPr="003C5A28">
        <w:rPr>
          <w:rFonts w:ascii="Times New Roman" w:hAnsi="Times New Roman" w:cs="Times New Roman"/>
          <w:sz w:val="24"/>
        </w:rPr>
        <w:t>/</w:t>
      </w:r>
      <w:r>
        <w:rPr>
          <w:rFonts w:ascii="Times New Roman" w:hAnsi="Times New Roman" w:cs="Times New Roman"/>
          <w:sz w:val="24"/>
          <w:lang w:val="en-US"/>
        </w:rPr>
        <w:t>dilution</w:t>
      </w:r>
      <w:r w:rsidRPr="003C5A28">
        <w:rPr>
          <w:rFonts w:ascii="Times New Roman" w:hAnsi="Times New Roman" w:cs="Times New Roman"/>
          <w:sz w:val="24"/>
        </w:rPr>
        <w:t xml:space="preserve"> </w:t>
      </w:r>
      <w:r>
        <w:rPr>
          <w:rFonts w:ascii="Times New Roman" w:hAnsi="Times New Roman" w:cs="Times New Roman"/>
          <w:sz w:val="24"/>
        </w:rPr>
        <w:t>является самым часто применяемым в настоящее время среди инвесторов, профессионалов инвестиционного банкинга и финансовых директоров компаний.</w:t>
      </w:r>
      <w:proofErr w:type="gramEnd"/>
      <w:r>
        <w:rPr>
          <w:rFonts w:ascii="Times New Roman" w:hAnsi="Times New Roman" w:cs="Times New Roman"/>
          <w:sz w:val="24"/>
        </w:rPr>
        <w:t xml:space="preserve"> В настоящем исследовании его применение весьма актуально и позволяет оценить эффект от сделки в краткосрочном периоде (в масштабах одного года), на основе </w:t>
      </w:r>
      <w:proofErr w:type="spellStart"/>
      <w:r>
        <w:rPr>
          <w:rFonts w:ascii="Times New Roman" w:hAnsi="Times New Roman" w:cs="Times New Roman"/>
          <w:sz w:val="24"/>
        </w:rPr>
        <w:t>синергий</w:t>
      </w:r>
      <w:proofErr w:type="spellEnd"/>
      <w:r>
        <w:rPr>
          <w:rFonts w:ascii="Times New Roman" w:hAnsi="Times New Roman" w:cs="Times New Roman"/>
          <w:sz w:val="24"/>
        </w:rPr>
        <w:t>, ожидаемых от сделки. Результаты оценки эффективности на его основе также свидетельствуют о положительном влиянии сделки на благосостояние акционеров.</w:t>
      </w:r>
    </w:p>
    <w:p w:rsidR="0059775B" w:rsidRDefault="0059775B" w:rsidP="0059775B">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Метод </w:t>
      </w:r>
      <w:r>
        <w:rPr>
          <w:rFonts w:ascii="Times New Roman" w:hAnsi="Times New Roman" w:cs="Times New Roman"/>
          <w:sz w:val="24"/>
          <w:lang w:val="en-US"/>
        </w:rPr>
        <w:t>Event</w:t>
      </w:r>
      <w:r w:rsidRPr="003C5A28">
        <w:rPr>
          <w:rFonts w:ascii="Times New Roman" w:hAnsi="Times New Roman" w:cs="Times New Roman"/>
          <w:sz w:val="24"/>
        </w:rPr>
        <w:t xml:space="preserve"> </w:t>
      </w:r>
      <w:r>
        <w:rPr>
          <w:rFonts w:ascii="Times New Roman" w:hAnsi="Times New Roman" w:cs="Times New Roman"/>
          <w:sz w:val="24"/>
          <w:lang w:val="en-US"/>
        </w:rPr>
        <w:t>studies</w:t>
      </w:r>
      <w:r w:rsidR="00925790">
        <w:rPr>
          <w:rFonts w:ascii="Times New Roman" w:hAnsi="Times New Roman" w:cs="Times New Roman"/>
          <w:sz w:val="24"/>
        </w:rPr>
        <w:t xml:space="preserve"> актуален в данном случае, так как</w:t>
      </w:r>
      <w:r>
        <w:rPr>
          <w:rFonts w:ascii="Times New Roman" w:hAnsi="Times New Roman" w:cs="Times New Roman"/>
          <w:sz w:val="24"/>
        </w:rPr>
        <w:t xml:space="preserve"> имеется возможность взглянуть на сделку ретроспективно и оценить ее влияние не только в краткосрочном периоде, но также и в долгосрочном (в течение года после ее завершения). В рамках настоящего исследование применение данного метода показало положительный эффект от сделки в краткосрочном и долгосрочном периодах, а также подтвердило положительный эффект от сделки на благосостояние акционеров Роснефти.</w:t>
      </w:r>
    </w:p>
    <w:p w:rsidR="0059775B" w:rsidRDefault="0059775B" w:rsidP="0059775B">
      <w:pPr>
        <w:pStyle w:val="a3"/>
        <w:numPr>
          <w:ilvl w:val="0"/>
          <w:numId w:val="21"/>
        </w:numPr>
        <w:spacing w:line="360" w:lineRule="auto"/>
        <w:jc w:val="both"/>
        <w:rPr>
          <w:rFonts w:ascii="Times New Roman" w:hAnsi="Times New Roman" w:cs="Times New Roman"/>
          <w:sz w:val="24"/>
        </w:rPr>
      </w:pPr>
      <w:r>
        <w:rPr>
          <w:rFonts w:ascii="Times New Roman" w:hAnsi="Times New Roman" w:cs="Times New Roman"/>
          <w:sz w:val="24"/>
        </w:rPr>
        <w:lastRenderedPageBreak/>
        <w:t>Уровень эффективности сделки на основе метода.</w:t>
      </w:r>
    </w:p>
    <w:p w:rsidR="0059775B" w:rsidRDefault="0059775B" w:rsidP="0059775B">
      <w:pPr>
        <w:spacing w:line="360" w:lineRule="auto"/>
        <w:ind w:firstLine="708"/>
        <w:jc w:val="both"/>
        <w:rPr>
          <w:rFonts w:ascii="Times New Roman" w:hAnsi="Times New Roman" w:cs="Times New Roman"/>
          <w:sz w:val="24"/>
        </w:rPr>
      </w:pPr>
      <w:r>
        <w:rPr>
          <w:rFonts w:ascii="Times New Roman" w:hAnsi="Times New Roman" w:cs="Times New Roman"/>
          <w:sz w:val="24"/>
        </w:rPr>
        <w:t>В рамках настоящего исследования все три метода показали различный уровень эффективности сделки. Сравнительные резу</w:t>
      </w:r>
      <w:r w:rsidR="00DB0224">
        <w:rPr>
          <w:rFonts w:ascii="Times New Roman" w:hAnsi="Times New Roman" w:cs="Times New Roman"/>
          <w:sz w:val="24"/>
        </w:rPr>
        <w:t>льтаты можно увидеть в таблице 14</w:t>
      </w:r>
      <w:r>
        <w:rPr>
          <w:rFonts w:ascii="Times New Roman" w:hAnsi="Times New Roman" w:cs="Times New Roman"/>
          <w:sz w:val="24"/>
        </w:rPr>
        <w:t>.</w:t>
      </w:r>
    </w:p>
    <w:p w:rsidR="0059775B" w:rsidRDefault="007C1744" w:rsidP="0059775B">
      <w:pPr>
        <w:spacing w:line="360" w:lineRule="auto"/>
        <w:rPr>
          <w:rFonts w:ascii="Times New Roman" w:hAnsi="Times New Roman" w:cs="Times New Roman"/>
          <w:sz w:val="24"/>
        </w:rPr>
      </w:pPr>
      <w:r>
        <w:rPr>
          <w:rFonts w:ascii="Times New Roman" w:hAnsi="Times New Roman" w:cs="Times New Roman"/>
          <w:sz w:val="24"/>
        </w:rPr>
        <w:t>Таблица 14</w:t>
      </w:r>
      <w:r w:rsidR="0059775B">
        <w:rPr>
          <w:rFonts w:ascii="Times New Roman" w:hAnsi="Times New Roman" w:cs="Times New Roman"/>
          <w:sz w:val="24"/>
        </w:rPr>
        <w:t xml:space="preserve"> Сравнительные результаты уровня эффективности сделки Роснефти и ТНК-ВР</w:t>
      </w:r>
      <w:r w:rsidR="00925790">
        <w:rPr>
          <w:rFonts w:ascii="Times New Roman" w:hAnsi="Times New Roman" w:cs="Times New Roman"/>
          <w:sz w:val="24"/>
        </w:rPr>
        <w:t xml:space="preserve"> Холдинг</w:t>
      </w:r>
    </w:p>
    <w:tbl>
      <w:tblPr>
        <w:tblStyle w:val="a8"/>
        <w:tblW w:w="0" w:type="auto"/>
        <w:tblLook w:val="04A0" w:firstRow="1" w:lastRow="0" w:firstColumn="1" w:lastColumn="0" w:noHBand="0" w:noVBand="1"/>
      </w:tblPr>
      <w:tblGrid>
        <w:gridCol w:w="3190"/>
        <w:gridCol w:w="2636"/>
        <w:gridCol w:w="3745"/>
      </w:tblGrid>
      <w:tr w:rsidR="0059775B" w:rsidTr="00E11D2C">
        <w:tc>
          <w:tcPr>
            <w:tcW w:w="3190" w:type="dxa"/>
          </w:tcPr>
          <w:p w:rsidR="0059775B" w:rsidRPr="003C5A28" w:rsidRDefault="0059775B" w:rsidP="00E11D2C">
            <w:pPr>
              <w:spacing w:line="360" w:lineRule="auto"/>
              <w:jc w:val="center"/>
              <w:rPr>
                <w:rFonts w:ascii="Times New Roman" w:hAnsi="Times New Roman" w:cs="Times New Roman"/>
                <w:b/>
                <w:sz w:val="24"/>
              </w:rPr>
            </w:pPr>
            <w:r w:rsidRPr="003C5A28">
              <w:rPr>
                <w:rFonts w:ascii="Times New Roman" w:hAnsi="Times New Roman" w:cs="Times New Roman"/>
                <w:b/>
                <w:sz w:val="24"/>
              </w:rPr>
              <w:t>Метод</w:t>
            </w:r>
          </w:p>
        </w:tc>
        <w:tc>
          <w:tcPr>
            <w:tcW w:w="2636" w:type="dxa"/>
          </w:tcPr>
          <w:p w:rsidR="0059775B" w:rsidRPr="003C5A28" w:rsidRDefault="0059775B" w:rsidP="00E11D2C">
            <w:pPr>
              <w:spacing w:line="360" w:lineRule="auto"/>
              <w:jc w:val="center"/>
              <w:rPr>
                <w:rFonts w:ascii="Times New Roman" w:hAnsi="Times New Roman" w:cs="Times New Roman"/>
                <w:b/>
                <w:sz w:val="24"/>
              </w:rPr>
            </w:pPr>
            <w:r w:rsidRPr="003C5A28">
              <w:rPr>
                <w:rFonts w:ascii="Times New Roman" w:hAnsi="Times New Roman" w:cs="Times New Roman"/>
                <w:b/>
                <w:sz w:val="24"/>
              </w:rPr>
              <w:t>Увеличение стоимости консолидированной компании, %</w:t>
            </w:r>
          </w:p>
        </w:tc>
        <w:tc>
          <w:tcPr>
            <w:tcW w:w="3745" w:type="dxa"/>
          </w:tcPr>
          <w:p w:rsidR="0059775B" w:rsidRPr="003C5A28" w:rsidRDefault="0059775B" w:rsidP="00E11D2C">
            <w:pPr>
              <w:spacing w:line="360" w:lineRule="auto"/>
              <w:jc w:val="center"/>
              <w:rPr>
                <w:rFonts w:ascii="Times New Roman" w:hAnsi="Times New Roman" w:cs="Times New Roman"/>
                <w:b/>
                <w:sz w:val="24"/>
              </w:rPr>
            </w:pPr>
            <w:r w:rsidRPr="003C5A28">
              <w:rPr>
                <w:rFonts w:ascii="Times New Roman" w:hAnsi="Times New Roman" w:cs="Times New Roman"/>
                <w:b/>
                <w:sz w:val="24"/>
              </w:rPr>
              <w:t>Комментарий</w:t>
            </w:r>
          </w:p>
        </w:tc>
      </w:tr>
      <w:tr w:rsidR="0059775B" w:rsidTr="00E11D2C">
        <w:tc>
          <w:tcPr>
            <w:tcW w:w="3190" w:type="dxa"/>
          </w:tcPr>
          <w:p w:rsidR="0059775B" w:rsidRDefault="0059775B" w:rsidP="00E11D2C">
            <w:pPr>
              <w:spacing w:line="360" w:lineRule="auto"/>
              <w:jc w:val="center"/>
              <w:rPr>
                <w:rFonts w:ascii="Times New Roman" w:hAnsi="Times New Roman" w:cs="Times New Roman"/>
                <w:sz w:val="24"/>
              </w:rPr>
            </w:pPr>
            <w:r>
              <w:rPr>
                <w:rFonts w:ascii="Times New Roman" w:hAnsi="Times New Roman" w:cs="Times New Roman"/>
                <w:color w:val="000000" w:themeColor="text1"/>
                <w:sz w:val="24"/>
                <w:szCs w:val="24"/>
              </w:rPr>
              <w:t xml:space="preserve">Метод </w:t>
            </w:r>
            <w:r>
              <w:rPr>
                <w:rFonts w:ascii="Times New Roman" w:hAnsi="Times New Roman" w:cs="Times New Roman"/>
                <w:color w:val="000000" w:themeColor="text1"/>
                <w:sz w:val="24"/>
                <w:szCs w:val="24"/>
                <w:lang w:val="en-US"/>
              </w:rPr>
              <w:t>DCF</w:t>
            </w:r>
          </w:p>
        </w:tc>
        <w:tc>
          <w:tcPr>
            <w:tcW w:w="2636" w:type="dxa"/>
          </w:tcPr>
          <w:p w:rsidR="0059775B" w:rsidRDefault="0059775B" w:rsidP="00E11D2C">
            <w:pPr>
              <w:spacing w:line="360" w:lineRule="auto"/>
              <w:jc w:val="both"/>
              <w:rPr>
                <w:rFonts w:ascii="Times New Roman" w:hAnsi="Times New Roman" w:cs="Times New Roman"/>
                <w:sz w:val="24"/>
              </w:rPr>
            </w:pPr>
            <w:r>
              <w:rPr>
                <w:rFonts w:ascii="Times New Roman" w:hAnsi="Times New Roman" w:cs="Times New Roman"/>
                <w:sz w:val="24"/>
              </w:rPr>
              <w:t>8%</w:t>
            </w:r>
          </w:p>
        </w:tc>
        <w:tc>
          <w:tcPr>
            <w:tcW w:w="3745" w:type="dxa"/>
          </w:tcPr>
          <w:p w:rsidR="0059775B" w:rsidRDefault="0059775B" w:rsidP="00E11D2C">
            <w:pPr>
              <w:spacing w:line="360" w:lineRule="auto"/>
              <w:jc w:val="both"/>
              <w:rPr>
                <w:rFonts w:ascii="Times New Roman" w:hAnsi="Times New Roman" w:cs="Times New Roman"/>
                <w:sz w:val="24"/>
              </w:rPr>
            </w:pPr>
            <w:r>
              <w:rPr>
                <w:rFonts w:ascii="Times New Roman" w:hAnsi="Times New Roman" w:cs="Times New Roman"/>
                <w:sz w:val="24"/>
              </w:rPr>
              <w:t xml:space="preserve">В рамках применения метода мы обнаружили эффект от </w:t>
            </w:r>
            <w:proofErr w:type="spellStart"/>
            <w:r>
              <w:rPr>
                <w:rFonts w:ascii="Times New Roman" w:hAnsi="Times New Roman" w:cs="Times New Roman"/>
                <w:sz w:val="24"/>
              </w:rPr>
              <w:t>синергий</w:t>
            </w:r>
            <w:proofErr w:type="spellEnd"/>
            <w:r>
              <w:rPr>
                <w:rFonts w:ascii="Times New Roman" w:hAnsi="Times New Roman" w:cs="Times New Roman"/>
                <w:sz w:val="24"/>
              </w:rPr>
              <w:t xml:space="preserve"> в 6.3 </w:t>
            </w:r>
            <w:proofErr w:type="gramStart"/>
            <w:r>
              <w:rPr>
                <w:rFonts w:ascii="Times New Roman" w:hAnsi="Times New Roman" w:cs="Times New Roman"/>
                <w:sz w:val="24"/>
              </w:rPr>
              <w:t>млрд</w:t>
            </w:r>
            <w:proofErr w:type="gramEnd"/>
            <w:r>
              <w:rPr>
                <w:rFonts w:ascii="Times New Roman" w:hAnsi="Times New Roman" w:cs="Times New Roman"/>
                <w:sz w:val="24"/>
              </w:rPr>
              <w:t xml:space="preserve"> долларов на стоимость консолидированной компании. Расчет по данному методу учитывал фундаментальные показатели компаний и глубокий расчет эффекта от синергии. Положительный результат в 8% свидетельствует об эффективности сделки</w:t>
            </w:r>
          </w:p>
        </w:tc>
      </w:tr>
      <w:tr w:rsidR="0059775B" w:rsidTr="00E11D2C">
        <w:tc>
          <w:tcPr>
            <w:tcW w:w="3190" w:type="dxa"/>
          </w:tcPr>
          <w:p w:rsidR="0059775B" w:rsidRDefault="0059775B" w:rsidP="00E11D2C">
            <w:pPr>
              <w:spacing w:line="360" w:lineRule="auto"/>
              <w:jc w:val="center"/>
              <w:rPr>
                <w:rFonts w:ascii="Times New Roman" w:hAnsi="Times New Roman" w:cs="Times New Roman"/>
                <w:sz w:val="24"/>
              </w:rPr>
            </w:pPr>
            <w:r>
              <w:rPr>
                <w:rFonts w:ascii="Times New Roman" w:hAnsi="Times New Roman" w:cs="Times New Roman"/>
                <w:color w:val="000000" w:themeColor="text1"/>
                <w:sz w:val="24"/>
                <w:szCs w:val="24"/>
              </w:rPr>
              <w:t xml:space="preserve">Метод </w:t>
            </w:r>
            <w:r>
              <w:rPr>
                <w:rFonts w:ascii="Times New Roman" w:hAnsi="Times New Roman" w:cs="Times New Roman"/>
                <w:color w:val="000000" w:themeColor="text1"/>
                <w:sz w:val="24"/>
                <w:szCs w:val="24"/>
                <w:lang w:val="en-US"/>
              </w:rPr>
              <w:t>EPS accretion/dilution</w:t>
            </w:r>
          </w:p>
        </w:tc>
        <w:tc>
          <w:tcPr>
            <w:tcW w:w="2636" w:type="dxa"/>
          </w:tcPr>
          <w:p w:rsidR="0059775B" w:rsidRDefault="0059775B" w:rsidP="00E11D2C">
            <w:pPr>
              <w:spacing w:line="360" w:lineRule="auto"/>
              <w:jc w:val="both"/>
              <w:rPr>
                <w:rFonts w:ascii="Times New Roman" w:hAnsi="Times New Roman" w:cs="Times New Roman"/>
                <w:sz w:val="24"/>
              </w:rPr>
            </w:pPr>
            <w:r>
              <w:rPr>
                <w:rFonts w:ascii="Times New Roman" w:hAnsi="Times New Roman" w:cs="Times New Roman"/>
                <w:sz w:val="24"/>
              </w:rPr>
              <w:t>61%</w:t>
            </w:r>
          </w:p>
        </w:tc>
        <w:tc>
          <w:tcPr>
            <w:tcW w:w="3745" w:type="dxa"/>
          </w:tcPr>
          <w:p w:rsidR="0059775B" w:rsidRPr="00D60F1D" w:rsidRDefault="0059775B" w:rsidP="00E11D2C">
            <w:pPr>
              <w:spacing w:line="360" w:lineRule="auto"/>
              <w:jc w:val="both"/>
              <w:rPr>
                <w:rFonts w:ascii="Times New Roman" w:hAnsi="Times New Roman" w:cs="Times New Roman"/>
                <w:sz w:val="24"/>
              </w:rPr>
            </w:pPr>
            <w:r>
              <w:rPr>
                <w:rFonts w:ascii="Times New Roman" w:hAnsi="Times New Roman" w:cs="Times New Roman"/>
                <w:sz w:val="24"/>
              </w:rPr>
              <w:t xml:space="preserve">В рамках данного метода заметен положительный эффект на </w:t>
            </w:r>
            <w:r>
              <w:rPr>
                <w:rFonts w:ascii="Times New Roman" w:hAnsi="Times New Roman" w:cs="Times New Roman"/>
                <w:sz w:val="24"/>
                <w:lang w:val="en-US"/>
              </w:rPr>
              <w:t>EPS</w:t>
            </w:r>
            <w:r w:rsidRPr="00D60F1D">
              <w:rPr>
                <w:rFonts w:ascii="Times New Roman" w:hAnsi="Times New Roman" w:cs="Times New Roman"/>
                <w:sz w:val="24"/>
              </w:rPr>
              <w:t xml:space="preserve"> </w:t>
            </w:r>
            <w:r>
              <w:rPr>
                <w:rFonts w:ascii="Times New Roman" w:hAnsi="Times New Roman" w:cs="Times New Roman"/>
                <w:sz w:val="24"/>
              </w:rPr>
              <w:t>консолидированной компании от сделки с учетом выпуска новых акций, а также уплаты процентов по долговым обязательствам, использованным для проведения сделки. Данный результат получен в краткосрочном периоде (год) и также свидетельствует об эффективности сделки.</w:t>
            </w:r>
          </w:p>
        </w:tc>
      </w:tr>
      <w:tr w:rsidR="0059775B" w:rsidTr="00E11D2C">
        <w:tc>
          <w:tcPr>
            <w:tcW w:w="3190" w:type="dxa"/>
          </w:tcPr>
          <w:p w:rsidR="0059775B" w:rsidRDefault="0059775B" w:rsidP="00E11D2C">
            <w:pPr>
              <w:spacing w:line="360" w:lineRule="auto"/>
              <w:jc w:val="center"/>
              <w:rPr>
                <w:rFonts w:ascii="Times New Roman" w:hAnsi="Times New Roman" w:cs="Times New Roman"/>
                <w:sz w:val="24"/>
              </w:rPr>
            </w:pPr>
            <w:r>
              <w:rPr>
                <w:rFonts w:ascii="Times New Roman" w:hAnsi="Times New Roman" w:cs="Times New Roman"/>
                <w:color w:val="000000" w:themeColor="text1"/>
                <w:sz w:val="24"/>
                <w:szCs w:val="24"/>
              </w:rPr>
              <w:t xml:space="preserve">Метод </w:t>
            </w:r>
            <w:r>
              <w:rPr>
                <w:rFonts w:ascii="Times New Roman" w:hAnsi="Times New Roman" w:cs="Times New Roman"/>
                <w:color w:val="000000" w:themeColor="text1"/>
                <w:sz w:val="24"/>
                <w:szCs w:val="24"/>
                <w:lang w:val="en-US"/>
              </w:rPr>
              <w:t>Event</w:t>
            </w:r>
            <w:r w:rsidRPr="00D60F1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studies</w:t>
            </w:r>
          </w:p>
        </w:tc>
        <w:tc>
          <w:tcPr>
            <w:tcW w:w="2636" w:type="dxa"/>
          </w:tcPr>
          <w:p w:rsidR="0059775B" w:rsidRDefault="0059775B" w:rsidP="00E11D2C">
            <w:pPr>
              <w:spacing w:line="360" w:lineRule="auto"/>
              <w:jc w:val="both"/>
              <w:rPr>
                <w:rFonts w:ascii="Times New Roman" w:hAnsi="Times New Roman" w:cs="Times New Roman"/>
                <w:sz w:val="24"/>
              </w:rPr>
            </w:pPr>
            <w:r>
              <w:rPr>
                <w:rFonts w:ascii="Times New Roman" w:hAnsi="Times New Roman" w:cs="Times New Roman"/>
                <w:sz w:val="24"/>
              </w:rPr>
              <w:t xml:space="preserve">Краткосрочный период – 24%, долгосрочный </w:t>
            </w:r>
            <w:r>
              <w:rPr>
                <w:rFonts w:ascii="Times New Roman" w:hAnsi="Times New Roman" w:cs="Times New Roman"/>
                <w:sz w:val="24"/>
              </w:rPr>
              <w:lastRenderedPageBreak/>
              <w:t>период – 15%</w:t>
            </w:r>
          </w:p>
        </w:tc>
        <w:tc>
          <w:tcPr>
            <w:tcW w:w="3745" w:type="dxa"/>
          </w:tcPr>
          <w:p w:rsidR="0059775B" w:rsidRDefault="0059775B" w:rsidP="00E11D2C">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В рамках применения метода мы изучили реакцию фондового </w:t>
            </w:r>
            <w:r>
              <w:rPr>
                <w:rFonts w:ascii="Times New Roman" w:hAnsi="Times New Roman" w:cs="Times New Roman"/>
                <w:sz w:val="24"/>
              </w:rPr>
              <w:lastRenderedPageBreak/>
              <w:t>рынка на сделку. В рамках рассмотрения двух периодов краткосрочного и долгосрочного периода удалось обнаружить положительный эффект от сделки на благосостояние акционеров и увеличение котировок акций консолидированной компании, которое оказалось устойчивым даже в долгосрочном периоде, что свидетельствует об эффективности сделки</w:t>
            </w:r>
          </w:p>
        </w:tc>
      </w:tr>
    </w:tbl>
    <w:p w:rsidR="0059775B" w:rsidRPr="003C5A28" w:rsidRDefault="0059775B" w:rsidP="0059775B">
      <w:pPr>
        <w:spacing w:line="360" w:lineRule="auto"/>
        <w:rPr>
          <w:rFonts w:ascii="Times New Roman" w:hAnsi="Times New Roman" w:cs="Times New Roman"/>
          <w:sz w:val="24"/>
        </w:rPr>
      </w:pPr>
    </w:p>
    <w:p w:rsidR="00441CC0" w:rsidRDefault="0059775B" w:rsidP="00441CC0">
      <w:pPr>
        <w:spacing w:line="360" w:lineRule="auto"/>
        <w:jc w:val="both"/>
        <w:rPr>
          <w:rFonts w:ascii="Times New Roman" w:hAnsi="Times New Roman" w:cs="Times New Roman"/>
          <w:sz w:val="24"/>
        </w:rPr>
      </w:pPr>
      <w:r>
        <w:tab/>
      </w:r>
      <w:proofErr w:type="gramStart"/>
      <w:r>
        <w:rPr>
          <w:rFonts w:ascii="Times New Roman" w:hAnsi="Times New Roman" w:cs="Times New Roman"/>
          <w:sz w:val="24"/>
        </w:rPr>
        <w:t>Таким образом, в рамках количественного анализа сделки Роснефти и ТНК-ВР</w:t>
      </w:r>
      <w:r w:rsidR="00925790">
        <w:rPr>
          <w:rFonts w:ascii="Times New Roman" w:hAnsi="Times New Roman" w:cs="Times New Roman"/>
          <w:sz w:val="24"/>
        </w:rPr>
        <w:t xml:space="preserve"> Холдинг</w:t>
      </w:r>
      <w:r>
        <w:rPr>
          <w:rFonts w:ascii="Times New Roman" w:hAnsi="Times New Roman" w:cs="Times New Roman"/>
          <w:sz w:val="24"/>
        </w:rPr>
        <w:t xml:space="preserve">, нам удалось положительно оценить синергетический эффект от сделки как в краткосрочном, так и в долгосрочном периоде и прийти к выводу, что сделка оказала положительное влияние на благосостояние акционеров консолидированной компании, а также была позитивно воспринята на фондовом рынке </w:t>
      </w:r>
      <w:r w:rsidR="00441CC0">
        <w:rPr>
          <w:rFonts w:ascii="Times New Roman" w:hAnsi="Times New Roman" w:cs="Times New Roman"/>
          <w:sz w:val="24"/>
        </w:rPr>
        <w:t>остальными инвесторами.</w:t>
      </w:r>
      <w:proofErr w:type="gramEnd"/>
    </w:p>
    <w:p w:rsidR="00441CC0" w:rsidRPr="00441CC0" w:rsidRDefault="00441CC0" w:rsidP="0065198B">
      <w:pPr>
        <w:pStyle w:val="1"/>
        <w:spacing w:after="240"/>
        <w:jc w:val="center"/>
        <w:rPr>
          <w:rFonts w:ascii="Times New Roman" w:hAnsi="Times New Roman" w:cs="Times New Roman"/>
          <w:color w:val="auto"/>
        </w:rPr>
      </w:pPr>
      <w:r w:rsidRPr="00441CC0">
        <w:rPr>
          <w:rFonts w:ascii="Times New Roman" w:hAnsi="Times New Roman" w:cs="Times New Roman"/>
          <w:color w:val="auto"/>
        </w:rPr>
        <w:br w:type="page"/>
      </w:r>
      <w:bookmarkStart w:id="20" w:name="_Toc482547525"/>
      <w:r w:rsidRPr="00441CC0">
        <w:rPr>
          <w:rFonts w:ascii="Times New Roman" w:hAnsi="Times New Roman" w:cs="Times New Roman"/>
          <w:color w:val="auto"/>
        </w:rPr>
        <w:lastRenderedPageBreak/>
        <w:t>Заключение</w:t>
      </w:r>
      <w:bookmarkEnd w:id="20"/>
    </w:p>
    <w:p w:rsidR="00156DC5" w:rsidRPr="00CB1B56" w:rsidRDefault="00CB1B56" w:rsidP="00CB1B56">
      <w:pPr>
        <w:spacing w:line="360" w:lineRule="auto"/>
        <w:ind w:firstLine="709"/>
        <w:jc w:val="both"/>
        <w:rPr>
          <w:rFonts w:ascii="Times New Roman" w:hAnsi="Times New Roman" w:cs="Times New Roman"/>
          <w:sz w:val="24"/>
        </w:rPr>
      </w:pPr>
      <w:r>
        <w:rPr>
          <w:rFonts w:ascii="Times New Roman" w:hAnsi="Times New Roman" w:cs="Times New Roman"/>
          <w:sz w:val="24"/>
        </w:rPr>
        <w:t>Данная дипломная работа посвящена оценке эффективно</w:t>
      </w:r>
      <w:r w:rsidR="00C22F00">
        <w:rPr>
          <w:rFonts w:ascii="Times New Roman" w:hAnsi="Times New Roman" w:cs="Times New Roman"/>
          <w:sz w:val="24"/>
        </w:rPr>
        <w:t>сти сделок слияний и поглощений.</w:t>
      </w:r>
      <w:r w:rsidR="00156DC5">
        <w:rPr>
          <w:rFonts w:ascii="Times New Roman" w:hAnsi="Times New Roman" w:cs="Times New Roman"/>
          <w:sz w:val="24"/>
        </w:rPr>
        <w:t xml:space="preserve"> Для достижения поставленной цели были выполнены все ранее упомянутые задачи. </w:t>
      </w:r>
      <w:r>
        <w:rPr>
          <w:rFonts w:ascii="Times New Roman" w:hAnsi="Times New Roman" w:cs="Times New Roman"/>
          <w:sz w:val="24"/>
        </w:rPr>
        <w:t xml:space="preserve">В первую очередь были рассмотрены теоретические основы сделок слияний и поглощений, выявлена их сущность, раскрыты основные понятия, типы и этапы сделок. </w:t>
      </w:r>
      <w:r w:rsidR="00156DC5">
        <w:rPr>
          <w:rFonts w:ascii="Times New Roman" w:hAnsi="Times New Roman" w:cs="Times New Roman"/>
          <w:sz w:val="24"/>
          <w:szCs w:val="24"/>
        </w:rPr>
        <w:t xml:space="preserve">Существует множество критериев классификации </w:t>
      </w:r>
      <w:r w:rsidR="00156DC5" w:rsidRPr="00F90EFC">
        <w:rPr>
          <w:rFonts w:ascii="Times New Roman" w:hAnsi="Times New Roman" w:cs="Times New Roman"/>
          <w:sz w:val="24"/>
          <w:szCs w:val="24"/>
        </w:rPr>
        <w:t>сделок M&amp;A</w:t>
      </w:r>
      <w:r w:rsidR="00156DC5">
        <w:rPr>
          <w:rFonts w:ascii="Times New Roman" w:hAnsi="Times New Roman" w:cs="Times New Roman"/>
          <w:sz w:val="24"/>
          <w:szCs w:val="24"/>
        </w:rPr>
        <w:t>. Например, по</w:t>
      </w:r>
      <w:r w:rsidR="00156DC5" w:rsidRPr="003A200C">
        <w:rPr>
          <w:rFonts w:ascii="Times New Roman" w:hAnsi="Times New Roman" w:cs="Times New Roman"/>
          <w:sz w:val="24"/>
          <w:szCs w:val="24"/>
        </w:rPr>
        <w:t xml:space="preserve"> способу интеграции компаний сделки </w:t>
      </w:r>
      <w:r w:rsidR="00156DC5">
        <w:rPr>
          <w:rFonts w:ascii="Times New Roman" w:hAnsi="Times New Roman" w:cs="Times New Roman"/>
          <w:sz w:val="24"/>
          <w:szCs w:val="24"/>
        </w:rPr>
        <w:t xml:space="preserve">слияний и поглощений делятся </w:t>
      </w:r>
      <w:proofErr w:type="gramStart"/>
      <w:r w:rsidR="00156DC5">
        <w:rPr>
          <w:rFonts w:ascii="Times New Roman" w:hAnsi="Times New Roman" w:cs="Times New Roman"/>
          <w:sz w:val="24"/>
          <w:szCs w:val="24"/>
        </w:rPr>
        <w:t>на</w:t>
      </w:r>
      <w:proofErr w:type="gramEnd"/>
      <w:r w:rsidR="00156DC5">
        <w:rPr>
          <w:rFonts w:ascii="Times New Roman" w:hAnsi="Times New Roman" w:cs="Times New Roman"/>
          <w:sz w:val="24"/>
          <w:szCs w:val="24"/>
        </w:rPr>
        <w:t xml:space="preserve"> горизонтальные, вертикальные и конгломератные. Проведение сделок слияний и поглощений можно разделить на два основных этапа: выбор целевой компании </w:t>
      </w:r>
      <w:r w:rsidR="00156DC5" w:rsidRPr="00B45FB7">
        <w:rPr>
          <w:rFonts w:ascii="Times New Roman" w:hAnsi="Times New Roman" w:cs="Times New Roman"/>
          <w:sz w:val="24"/>
          <w:szCs w:val="24"/>
        </w:rPr>
        <w:t xml:space="preserve"> и </w:t>
      </w:r>
      <w:r w:rsidR="00156DC5">
        <w:rPr>
          <w:rFonts w:ascii="Times New Roman" w:hAnsi="Times New Roman" w:cs="Times New Roman"/>
          <w:sz w:val="24"/>
          <w:szCs w:val="24"/>
        </w:rPr>
        <w:t xml:space="preserve">непосредственно </w:t>
      </w:r>
      <w:r w:rsidR="00156DC5" w:rsidRPr="00B45FB7">
        <w:rPr>
          <w:rFonts w:ascii="Times New Roman" w:hAnsi="Times New Roman" w:cs="Times New Roman"/>
          <w:sz w:val="24"/>
          <w:szCs w:val="24"/>
        </w:rPr>
        <w:t>проведение сделки</w:t>
      </w:r>
      <w:r w:rsidR="00156DC5">
        <w:rPr>
          <w:rFonts w:ascii="Times New Roman" w:hAnsi="Times New Roman" w:cs="Times New Roman"/>
          <w:sz w:val="24"/>
          <w:szCs w:val="24"/>
        </w:rPr>
        <w:t xml:space="preserve">. </w:t>
      </w:r>
    </w:p>
    <w:p w:rsidR="00156DC5" w:rsidRDefault="00CB6F49" w:rsidP="00156DC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был проведен обзор мирового и российского рынков </w:t>
      </w:r>
      <w:r w:rsidRPr="00CB6F49">
        <w:rPr>
          <w:rFonts w:ascii="Times New Roman" w:hAnsi="Times New Roman" w:cs="Times New Roman"/>
          <w:sz w:val="24"/>
          <w:szCs w:val="24"/>
        </w:rPr>
        <w:t>M&amp;A</w:t>
      </w:r>
      <w:r>
        <w:rPr>
          <w:rFonts w:ascii="Times New Roman" w:hAnsi="Times New Roman" w:cs="Times New Roman"/>
          <w:sz w:val="24"/>
          <w:szCs w:val="24"/>
        </w:rPr>
        <w:t xml:space="preserve">. </w:t>
      </w:r>
      <w:r w:rsidR="00156DC5">
        <w:rPr>
          <w:rFonts w:ascii="Times New Roman" w:hAnsi="Times New Roman" w:cs="Times New Roman"/>
          <w:sz w:val="24"/>
          <w:szCs w:val="24"/>
        </w:rPr>
        <w:t>На</w:t>
      </w:r>
      <w:r w:rsidR="00864B51">
        <w:rPr>
          <w:rFonts w:ascii="Times New Roman" w:hAnsi="Times New Roman" w:cs="Times New Roman"/>
          <w:sz w:val="24"/>
          <w:szCs w:val="24"/>
        </w:rPr>
        <w:t xml:space="preserve"> сегодняшний день на</w:t>
      </w:r>
      <w:r>
        <w:rPr>
          <w:rFonts w:ascii="Times New Roman" w:hAnsi="Times New Roman" w:cs="Times New Roman"/>
          <w:sz w:val="24"/>
          <w:szCs w:val="24"/>
        </w:rPr>
        <w:t xml:space="preserve"> российском</w:t>
      </w:r>
      <w:r w:rsidR="00864B51">
        <w:rPr>
          <w:rFonts w:ascii="Times New Roman" w:hAnsi="Times New Roman" w:cs="Times New Roman"/>
          <w:sz w:val="24"/>
          <w:szCs w:val="24"/>
        </w:rPr>
        <w:t xml:space="preserve"> </w:t>
      </w:r>
      <w:r w:rsidR="00156DC5">
        <w:rPr>
          <w:rFonts w:ascii="Times New Roman" w:hAnsi="Times New Roman" w:cs="Times New Roman"/>
          <w:sz w:val="24"/>
          <w:szCs w:val="24"/>
        </w:rPr>
        <w:t>рынке сделок</w:t>
      </w:r>
      <w:r w:rsidR="00864B51">
        <w:rPr>
          <w:rFonts w:ascii="Times New Roman" w:hAnsi="Times New Roman" w:cs="Times New Roman"/>
          <w:sz w:val="24"/>
          <w:szCs w:val="24"/>
        </w:rPr>
        <w:t xml:space="preserve"> слияний и поглощений доминирующими секторами по суммарной стоимости сделок являются транспорт, ТЭК, сельское хозяйство, строительство и </w:t>
      </w:r>
      <w:proofErr w:type="spellStart"/>
      <w:r w:rsidR="00864B51">
        <w:rPr>
          <w:rFonts w:ascii="Times New Roman" w:hAnsi="Times New Roman" w:cs="Times New Roman"/>
          <w:sz w:val="24"/>
          <w:szCs w:val="24"/>
        </w:rPr>
        <w:t>девелопмент</w:t>
      </w:r>
      <w:proofErr w:type="spellEnd"/>
      <w:r w:rsidR="00864B51">
        <w:rPr>
          <w:rFonts w:ascii="Times New Roman" w:hAnsi="Times New Roman" w:cs="Times New Roman"/>
          <w:sz w:val="24"/>
          <w:szCs w:val="24"/>
        </w:rPr>
        <w:t xml:space="preserve">, а по числу сделок – также строительство и </w:t>
      </w:r>
      <w:proofErr w:type="spellStart"/>
      <w:r w:rsidR="00864B51">
        <w:rPr>
          <w:rFonts w:ascii="Times New Roman" w:hAnsi="Times New Roman" w:cs="Times New Roman"/>
          <w:sz w:val="24"/>
          <w:szCs w:val="24"/>
        </w:rPr>
        <w:t>девелопмент</w:t>
      </w:r>
      <w:proofErr w:type="spellEnd"/>
      <w:r w:rsidR="00864B51">
        <w:rPr>
          <w:rFonts w:ascii="Times New Roman" w:hAnsi="Times New Roman" w:cs="Times New Roman"/>
          <w:sz w:val="24"/>
          <w:szCs w:val="24"/>
        </w:rPr>
        <w:t xml:space="preserve">, сельское хозяйство, </w:t>
      </w:r>
      <w:r w:rsidR="00864B51">
        <w:rPr>
          <w:rFonts w:ascii="Times New Roman" w:hAnsi="Times New Roman" w:cs="Times New Roman"/>
          <w:sz w:val="24"/>
          <w:szCs w:val="24"/>
          <w:lang w:val="en-US"/>
        </w:rPr>
        <w:t>IT</w:t>
      </w:r>
      <w:r w:rsidR="00864B51" w:rsidRPr="00864B51">
        <w:rPr>
          <w:rFonts w:ascii="Times New Roman" w:hAnsi="Times New Roman" w:cs="Times New Roman"/>
          <w:sz w:val="24"/>
          <w:szCs w:val="24"/>
        </w:rPr>
        <w:t>,</w:t>
      </w:r>
      <w:r w:rsidR="00864B51">
        <w:rPr>
          <w:rFonts w:ascii="Times New Roman" w:hAnsi="Times New Roman" w:cs="Times New Roman"/>
          <w:sz w:val="24"/>
          <w:szCs w:val="24"/>
        </w:rPr>
        <w:t xml:space="preserve"> торговля и услуги</w:t>
      </w:r>
      <w:r w:rsidR="00156DC5">
        <w:rPr>
          <w:rFonts w:ascii="Times New Roman" w:hAnsi="Times New Roman" w:cs="Times New Roman"/>
          <w:sz w:val="24"/>
          <w:szCs w:val="24"/>
        </w:rPr>
        <w:t xml:space="preserve">. </w:t>
      </w:r>
      <w:r>
        <w:rPr>
          <w:rFonts w:ascii="Times New Roman" w:hAnsi="Times New Roman" w:cs="Times New Roman"/>
          <w:sz w:val="24"/>
          <w:szCs w:val="24"/>
        </w:rPr>
        <w:t xml:space="preserve">Непосредственно для проведения оценки эффективности сделок была выбрана нефтегазовая отрасль. Это было сделано неслучайно, потому что в последние годы в данной отрасли </w:t>
      </w:r>
      <w:r w:rsidRPr="00F90EFC">
        <w:rPr>
          <w:rFonts w:ascii="Times New Roman" w:hAnsi="Times New Roman" w:cs="Times New Roman"/>
          <w:sz w:val="24"/>
          <w:szCs w:val="24"/>
        </w:rPr>
        <w:t>M&amp;A</w:t>
      </w:r>
      <w:r>
        <w:rPr>
          <w:rFonts w:ascii="Times New Roman" w:hAnsi="Times New Roman" w:cs="Times New Roman"/>
          <w:sz w:val="24"/>
          <w:szCs w:val="24"/>
        </w:rPr>
        <w:t xml:space="preserve">-активность находится на высоком уровне, и между нефтегазовыми компаниями заключается множество крупных контрактов, и данные сделки зачастую составляют значительную часть от общего объема </w:t>
      </w:r>
      <w:proofErr w:type="gramStart"/>
      <w:r>
        <w:rPr>
          <w:rFonts w:ascii="Times New Roman" w:hAnsi="Times New Roman" w:cs="Times New Roman"/>
          <w:sz w:val="24"/>
          <w:szCs w:val="24"/>
        </w:rPr>
        <w:t>сделок</w:t>
      </w:r>
      <w:proofErr w:type="gramEnd"/>
      <w:r>
        <w:rPr>
          <w:rFonts w:ascii="Times New Roman" w:hAnsi="Times New Roman" w:cs="Times New Roman"/>
          <w:sz w:val="24"/>
          <w:szCs w:val="24"/>
        </w:rPr>
        <w:t xml:space="preserve"> как по суммарной стоимости, так и по количеству сделок. </w:t>
      </w:r>
    </w:p>
    <w:p w:rsidR="008065AA" w:rsidRPr="00BB5208" w:rsidRDefault="003E2C45" w:rsidP="003E2C4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Дальнейший анализ был посвящен определению эффективности сделки, иными словами, необходимо было выяснить, какая сделка </w:t>
      </w:r>
      <w:r w:rsidRPr="003E2C45">
        <w:rPr>
          <w:rFonts w:ascii="Times New Roman" w:hAnsi="Times New Roman" w:cs="Times New Roman"/>
          <w:sz w:val="24"/>
          <w:szCs w:val="24"/>
        </w:rPr>
        <w:t>M&amp;A</w:t>
      </w:r>
      <w:r>
        <w:rPr>
          <w:rFonts w:ascii="Times New Roman" w:hAnsi="Times New Roman" w:cs="Times New Roman"/>
          <w:sz w:val="24"/>
          <w:szCs w:val="24"/>
        </w:rPr>
        <w:t xml:space="preserve"> является успешной и выгодной. </w:t>
      </w:r>
      <w:r w:rsidRPr="003E2C45">
        <w:rPr>
          <w:rFonts w:ascii="Times New Roman" w:hAnsi="Times New Roman" w:cs="Times New Roman"/>
          <w:sz w:val="24"/>
          <w:szCs w:val="24"/>
        </w:rPr>
        <w:t>Сделка по слиянию и поглощению может быть признана эффективной</w:t>
      </w:r>
      <w:r>
        <w:rPr>
          <w:rFonts w:ascii="Times New Roman" w:hAnsi="Times New Roman" w:cs="Times New Roman"/>
          <w:sz w:val="24"/>
          <w:szCs w:val="24"/>
        </w:rPr>
        <w:t xml:space="preserve"> только тогда</w:t>
      </w:r>
      <w:r w:rsidRPr="003E2C45">
        <w:rPr>
          <w:rFonts w:ascii="Times New Roman" w:hAnsi="Times New Roman" w:cs="Times New Roman"/>
          <w:sz w:val="24"/>
          <w:szCs w:val="24"/>
        </w:rPr>
        <w:t xml:space="preserve">, </w:t>
      </w:r>
      <w:r>
        <w:rPr>
          <w:rFonts w:ascii="Times New Roman" w:hAnsi="Times New Roman" w:cs="Times New Roman"/>
          <w:sz w:val="24"/>
          <w:szCs w:val="24"/>
        </w:rPr>
        <w:t xml:space="preserve">когда </w:t>
      </w:r>
      <w:r w:rsidRPr="003E2C45">
        <w:rPr>
          <w:rFonts w:ascii="Times New Roman" w:hAnsi="Times New Roman" w:cs="Times New Roman"/>
          <w:sz w:val="24"/>
          <w:szCs w:val="24"/>
        </w:rPr>
        <w:t>в результате ее проведения увеличивается благосостояние акционеров компании.</w:t>
      </w:r>
      <w:r>
        <w:rPr>
          <w:rFonts w:ascii="Times New Roman" w:hAnsi="Times New Roman" w:cs="Times New Roman"/>
          <w:sz w:val="24"/>
          <w:szCs w:val="24"/>
        </w:rPr>
        <w:t xml:space="preserve"> Сделки по слиянию и поглощению</w:t>
      </w:r>
      <w:r w:rsidR="00BB5208">
        <w:rPr>
          <w:rFonts w:ascii="Times New Roman" w:hAnsi="Times New Roman" w:cs="Times New Roman"/>
          <w:sz w:val="24"/>
          <w:szCs w:val="24"/>
        </w:rPr>
        <w:t xml:space="preserve"> нацелены на получение синергетических выгод, которые подразумевают под</w:t>
      </w:r>
      <w:r w:rsidR="008065AA" w:rsidRPr="008065AA">
        <w:rPr>
          <w:rFonts w:ascii="Times New Roman" w:hAnsi="Times New Roman" w:cs="Times New Roman"/>
          <w:sz w:val="24"/>
          <w:szCs w:val="24"/>
        </w:rPr>
        <w:t xml:space="preserve"> собой добавоч</w:t>
      </w:r>
      <w:r w:rsidR="00BB5208">
        <w:rPr>
          <w:rFonts w:ascii="Times New Roman" w:hAnsi="Times New Roman" w:cs="Times New Roman"/>
          <w:sz w:val="24"/>
          <w:szCs w:val="24"/>
        </w:rPr>
        <w:t xml:space="preserve">ную ценность, появляющуюся исключительно вследствие заключения сделок </w:t>
      </w:r>
      <w:r w:rsidR="00BB5208">
        <w:rPr>
          <w:rFonts w:ascii="Times New Roman" w:hAnsi="Times New Roman" w:cs="Times New Roman"/>
          <w:sz w:val="24"/>
          <w:szCs w:val="24"/>
          <w:lang w:val="en-US"/>
        </w:rPr>
        <w:t>M</w:t>
      </w:r>
      <w:r w:rsidR="00BB5208" w:rsidRPr="00BB5208">
        <w:rPr>
          <w:rFonts w:ascii="Times New Roman" w:hAnsi="Times New Roman" w:cs="Times New Roman"/>
          <w:sz w:val="24"/>
          <w:szCs w:val="24"/>
        </w:rPr>
        <w:t>&amp;</w:t>
      </w:r>
      <w:r w:rsidR="00BB5208">
        <w:rPr>
          <w:rFonts w:ascii="Times New Roman" w:hAnsi="Times New Roman" w:cs="Times New Roman"/>
          <w:sz w:val="24"/>
          <w:szCs w:val="24"/>
          <w:lang w:val="en-US"/>
        </w:rPr>
        <w:t>A</w:t>
      </w:r>
      <w:r w:rsidR="008065AA" w:rsidRPr="008065AA">
        <w:rPr>
          <w:rFonts w:ascii="Times New Roman" w:hAnsi="Times New Roman" w:cs="Times New Roman"/>
          <w:sz w:val="24"/>
          <w:szCs w:val="24"/>
        </w:rPr>
        <w:t>.</w:t>
      </w:r>
      <w:r w:rsidR="00C22F00">
        <w:rPr>
          <w:rFonts w:ascii="Times New Roman" w:hAnsi="Times New Roman" w:cs="Times New Roman"/>
          <w:sz w:val="24"/>
          <w:szCs w:val="24"/>
        </w:rPr>
        <w:t xml:space="preserve"> С</w:t>
      </w:r>
      <w:r w:rsidR="00C22F00" w:rsidRPr="00C22F00">
        <w:rPr>
          <w:rFonts w:ascii="Times New Roman" w:hAnsi="Times New Roman" w:cs="Times New Roman"/>
          <w:sz w:val="24"/>
          <w:szCs w:val="24"/>
        </w:rPr>
        <w:t>инергетический эффект делится на операционные и финансовые синергии</w:t>
      </w:r>
      <w:r w:rsidR="00BB5208" w:rsidRPr="00BB5208">
        <w:rPr>
          <w:rFonts w:ascii="Times New Roman" w:hAnsi="Times New Roman" w:cs="Times New Roman"/>
          <w:sz w:val="24"/>
          <w:szCs w:val="24"/>
        </w:rPr>
        <w:t>.</w:t>
      </w:r>
    </w:p>
    <w:p w:rsidR="008065AA" w:rsidRDefault="008065AA" w:rsidP="00156DC5">
      <w:pPr>
        <w:spacing w:line="360" w:lineRule="auto"/>
        <w:ind w:firstLine="567"/>
        <w:jc w:val="both"/>
        <w:rPr>
          <w:rFonts w:ascii="Times New Roman" w:hAnsi="Times New Roman" w:cs="Times New Roman"/>
          <w:sz w:val="24"/>
        </w:rPr>
      </w:pPr>
      <w:r w:rsidRPr="0059775B">
        <w:rPr>
          <w:rFonts w:ascii="Times New Roman" w:hAnsi="Times New Roman" w:cs="Times New Roman"/>
          <w:sz w:val="24"/>
        </w:rPr>
        <w:t>Операционная синергия возникает в экономии на масштабе производства, экономии на гибкости, а также возможности роста. Данный вид синергии создает дополнительную стоимость от слияния ресурсов компаний.</w:t>
      </w:r>
      <w:r w:rsidR="00C22F00">
        <w:rPr>
          <w:rFonts w:ascii="Times New Roman" w:hAnsi="Times New Roman" w:cs="Times New Roman"/>
          <w:sz w:val="24"/>
        </w:rPr>
        <w:t xml:space="preserve"> Финансовая синергия может проявляться </w:t>
      </w:r>
      <w:r w:rsidR="00C22F00" w:rsidRPr="00C22F00">
        <w:rPr>
          <w:rFonts w:ascii="Times New Roman" w:hAnsi="Times New Roman" w:cs="Times New Roman"/>
          <w:sz w:val="24"/>
        </w:rPr>
        <w:t xml:space="preserve">в </w:t>
      </w:r>
      <w:r w:rsidR="00C22F00">
        <w:rPr>
          <w:rFonts w:ascii="Times New Roman" w:hAnsi="Times New Roman" w:cs="Times New Roman"/>
          <w:sz w:val="24"/>
        </w:rPr>
        <w:t xml:space="preserve">снижении налогов, </w:t>
      </w:r>
      <w:r w:rsidR="00C22F00" w:rsidRPr="00C22F00">
        <w:rPr>
          <w:rFonts w:ascii="Times New Roman" w:hAnsi="Times New Roman" w:cs="Times New Roman"/>
          <w:sz w:val="24"/>
        </w:rPr>
        <w:t>в</w:t>
      </w:r>
      <w:r w:rsidR="00C22F00">
        <w:rPr>
          <w:rFonts w:ascii="Times New Roman" w:hAnsi="Times New Roman" w:cs="Times New Roman"/>
          <w:sz w:val="24"/>
        </w:rPr>
        <w:t xml:space="preserve"> увеличении кредитоспособности и свободных денежных средств и дает </w:t>
      </w:r>
      <w:r w:rsidR="00C22F00">
        <w:rPr>
          <w:rFonts w:ascii="Times New Roman" w:hAnsi="Times New Roman" w:cs="Times New Roman"/>
          <w:sz w:val="24"/>
        </w:rPr>
        <w:lastRenderedPageBreak/>
        <w:t>возможность компании</w:t>
      </w:r>
      <w:r w:rsidR="00C22F00" w:rsidRPr="00C22F00">
        <w:rPr>
          <w:rFonts w:ascii="Times New Roman" w:hAnsi="Times New Roman" w:cs="Times New Roman"/>
          <w:sz w:val="24"/>
        </w:rPr>
        <w:t xml:space="preserve"> диверсифицировать инвестиционные риски, иметь сниженную волатильность выручки и денежного потока, диверсификацию продуктовой линейк</w:t>
      </w:r>
      <w:r w:rsidR="00C22F00">
        <w:rPr>
          <w:rFonts w:ascii="Times New Roman" w:hAnsi="Times New Roman" w:cs="Times New Roman"/>
          <w:sz w:val="24"/>
        </w:rPr>
        <w:t>и</w:t>
      </w:r>
      <w:r w:rsidR="00C22F00" w:rsidRPr="00C22F00">
        <w:rPr>
          <w:rFonts w:ascii="Times New Roman" w:hAnsi="Times New Roman" w:cs="Times New Roman"/>
          <w:sz w:val="24"/>
        </w:rPr>
        <w:t>, при этом улучшая свое финансовое положение, связанное с ростом кредитоспособности.</w:t>
      </w:r>
    </w:p>
    <w:p w:rsidR="00CB6F49" w:rsidRPr="00C22F00" w:rsidRDefault="00C22F00" w:rsidP="00C22F00">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Особое внимание было уделено различным методам оценки эффективности сделок </w:t>
      </w:r>
      <w:r w:rsidRPr="00156DC5">
        <w:rPr>
          <w:rFonts w:ascii="Times New Roman" w:hAnsi="Times New Roman" w:cs="Times New Roman"/>
          <w:sz w:val="24"/>
        </w:rPr>
        <w:t>M&amp;A</w:t>
      </w:r>
      <w:r>
        <w:rPr>
          <w:rFonts w:ascii="Times New Roman" w:hAnsi="Times New Roman" w:cs="Times New Roman"/>
          <w:sz w:val="24"/>
        </w:rPr>
        <w:t>.</w:t>
      </w:r>
      <w:r w:rsidR="00CB6F49">
        <w:rPr>
          <w:rFonts w:ascii="Times New Roman" w:hAnsi="Times New Roman" w:cs="Times New Roman"/>
          <w:sz w:val="24"/>
          <w:szCs w:val="24"/>
        </w:rPr>
        <w:t xml:space="preserve"> В качестве рассматриваемых методов были выбраны м</w:t>
      </w:r>
      <w:r w:rsidR="00CB6F49" w:rsidRPr="00CB6F49">
        <w:rPr>
          <w:rFonts w:ascii="Times New Roman" w:hAnsi="Times New Roman" w:cs="Times New Roman"/>
          <w:sz w:val="24"/>
          <w:szCs w:val="24"/>
        </w:rPr>
        <w:t>етод дисконтированных денежных потоков (DCF)</w:t>
      </w:r>
      <w:r w:rsidR="00CB6F49">
        <w:rPr>
          <w:rFonts w:ascii="Times New Roman" w:hAnsi="Times New Roman" w:cs="Times New Roman"/>
          <w:sz w:val="24"/>
          <w:szCs w:val="24"/>
        </w:rPr>
        <w:t xml:space="preserve">, </w:t>
      </w:r>
      <w:r w:rsidR="00CB6F49" w:rsidRPr="00CB6F49">
        <w:rPr>
          <w:rFonts w:ascii="Times New Roman" w:hAnsi="Times New Roman" w:cs="Times New Roman"/>
          <w:sz w:val="24"/>
          <w:szCs w:val="24"/>
        </w:rPr>
        <w:t xml:space="preserve">EPS </w:t>
      </w:r>
      <w:proofErr w:type="spellStart"/>
      <w:r w:rsidR="00CB6F49" w:rsidRPr="00CB6F49">
        <w:rPr>
          <w:rFonts w:ascii="Times New Roman" w:hAnsi="Times New Roman" w:cs="Times New Roman"/>
          <w:sz w:val="24"/>
          <w:szCs w:val="24"/>
        </w:rPr>
        <w:t>accretion</w:t>
      </w:r>
      <w:proofErr w:type="spellEnd"/>
      <w:r w:rsidR="00CB6F49" w:rsidRPr="00CB6F49">
        <w:rPr>
          <w:rFonts w:ascii="Times New Roman" w:hAnsi="Times New Roman" w:cs="Times New Roman"/>
          <w:sz w:val="24"/>
          <w:szCs w:val="24"/>
        </w:rPr>
        <w:t>/</w:t>
      </w:r>
      <w:proofErr w:type="spellStart"/>
      <w:r w:rsidR="00CB6F49" w:rsidRPr="00CB6F49">
        <w:rPr>
          <w:rFonts w:ascii="Times New Roman" w:hAnsi="Times New Roman" w:cs="Times New Roman"/>
          <w:sz w:val="24"/>
          <w:szCs w:val="24"/>
        </w:rPr>
        <w:t>dilution</w:t>
      </w:r>
      <w:proofErr w:type="spellEnd"/>
      <w:r w:rsidR="00CB6F49">
        <w:rPr>
          <w:rFonts w:ascii="Times New Roman" w:hAnsi="Times New Roman" w:cs="Times New Roman"/>
          <w:sz w:val="24"/>
          <w:szCs w:val="24"/>
        </w:rPr>
        <w:t xml:space="preserve"> и </w:t>
      </w:r>
      <w:r w:rsidR="008065AA">
        <w:rPr>
          <w:rFonts w:ascii="Times New Roman" w:hAnsi="Times New Roman" w:cs="Times New Roman"/>
          <w:sz w:val="24"/>
          <w:szCs w:val="24"/>
        </w:rPr>
        <w:t xml:space="preserve">метод </w:t>
      </w:r>
      <w:r w:rsidR="00CB6F49" w:rsidRPr="0059775B">
        <w:rPr>
          <w:rFonts w:ascii="Times New Roman" w:hAnsi="Times New Roman" w:cs="Times New Roman"/>
          <w:sz w:val="24"/>
          <w:lang w:val="en-US"/>
        </w:rPr>
        <w:t>Event</w:t>
      </w:r>
      <w:r w:rsidR="00CB6F49" w:rsidRPr="0059775B">
        <w:rPr>
          <w:rFonts w:ascii="Times New Roman" w:hAnsi="Times New Roman" w:cs="Times New Roman"/>
          <w:sz w:val="24"/>
        </w:rPr>
        <w:t xml:space="preserve"> </w:t>
      </w:r>
      <w:r w:rsidR="00CB6F49" w:rsidRPr="0059775B">
        <w:rPr>
          <w:rFonts w:ascii="Times New Roman" w:hAnsi="Times New Roman" w:cs="Times New Roman"/>
          <w:sz w:val="24"/>
          <w:lang w:val="en-US"/>
        </w:rPr>
        <w:t>studies</w:t>
      </w:r>
      <w:r>
        <w:rPr>
          <w:rFonts w:ascii="Times New Roman" w:hAnsi="Times New Roman" w:cs="Times New Roman"/>
          <w:sz w:val="24"/>
        </w:rPr>
        <w:t xml:space="preserve">. </w:t>
      </w:r>
      <w:r w:rsidR="00925790">
        <w:rPr>
          <w:rFonts w:ascii="Times New Roman" w:hAnsi="Times New Roman" w:cs="Times New Roman"/>
          <w:sz w:val="24"/>
        </w:rPr>
        <w:t xml:space="preserve">Финальным этапом исследования было проведение оценки эффективности сделки вышеупомянутыми методами на примере сделки 2013 года между </w:t>
      </w:r>
      <w:r w:rsidR="00925790" w:rsidRPr="00925790">
        <w:rPr>
          <w:rFonts w:ascii="Times New Roman" w:hAnsi="Times New Roman" w:cs="Times New Roman"/>
          <w:sz w:val="24"/>
        </w:rPr>
        <w:t xml:space="preserve">ОАО «НК «Роснефть» </w:t>
      </w:r>
      <w:r w:rsidR="00925790">
        <w:rPr>
          <w:rFonts w:ascii="Times New Roman" w:hAnsi="Times New Roman" w:cs="Times New Roman"/>
          <w:sz w:val="24"/>
        </w:rPr>
        <w:t xml:space="preserve">и </w:t>
      </w:r>
      <w:r w:rsidR="00925790" w:rsidRPr="00925790">
        <w:rPr>
          <w:rFonts w:ascii="Times New Roman" w:hAnsi="Times New Roman" w:cs="Times New Roman"/>
          <w:sz w:val="24"/>
        </w:rPr>
        <w:t>ОАО «ТНК-ВР Холдинг»</w:t>
      </w:r>
      <w:r w:rsidR="00925790">
        <w:rPr>
          <w:rFonts w:ascii="Times New Roman" w:hAnsi="Times New Roman" w:cs="Times New Roman"/>
          <w:sz w:val="24"/>
        </w:rPr>
        <w:t xml:space="preserve">. Исходя из полученных результатов применения всех трёх выбранных методов, было определено, что данная сделка по поглощению </w:t>
      </w:r>
      <w:r w:rsidR="00925790" w:rsidRPr="00925790">
        <w:rPr>
          <w:rFonts w:ascii="Times New Roman" w:hAnsi="Times New Roman" w:cs="Times New Roman"/>
          <w:sz w:val="24"/>
        </w:rPr>
        <w:t>является эффективной и увеличивает благосостояние акционеров</w:t>
      </w:r>
      <w:r>
        <w:rPr>
          <w:rFonts w:ascii="Times New Roman" w:hAnsi="Times New Roman" w:cs="Times New Roman"/>
          <w:sz w:val="24"/>
        </w:rPr>
        <w:t xml:space="preserve">, а также доказано, что результаты </w:t>
      </w:r>
      <w:r w:rsidR="00493F12">
        <w:rPr>
          <w:rFonts w:ascii="Times New Roman" w:hAnsi="Times New Roman" w:cs="Times New Roman"/>
          <w:sz w:val="24"/>
        </w:rPr>
        <w:t>каждого из примененных методов актуальны.</w:t>
      </w:r>
    </w:p>
    <w:p w:rsidR="0065198B" w:rsidRDefault="0065198B">
      <w:pPr>
        <w:rPr>
          <w:rFonts w:ascii="Times New Roman" w:hAnsi="Times New Roman" w:cs="Times New Roman"/>
          <w:sz w:val="24"/>
        </w:rPr>
      </w:pPr>
      <w:r>
        <w:rPr>
          <w:rFonts w:ascii="Times New Roman" w:hAnsi="Times New Roman" w:cs="Times New Roman"/>
          <w:sz w:val="24"/>
        </w:rPr>
        <w:br w:type="page"/>
      </w:r>
    </w:p>
    <w:p w:rsidR="00E11D2C" w:rsidRDefault="0065198B" w:rsidP="0065198B">
      <w:pPr>
        <w:pStyle w:val="1"/>
        <w:spacing w:after="240"/>
        <w:jc w:val="center"/>
        <w:rPr>
          <w:rFonts w:ascii="Times New Roman" w:hAnsi="Times New Roman" w:cs="Times New Roman"/>
          <w:color w:val="auto"/>
        </w:rPr>
      </w:pPr>
      <w:bookmarkStart w:id="21" w:name="_Toc482547526"/>
      <w:r w:rsidRPr="0065198B">
        <w:rPr>
          <w:rFonts w:ascii="Times New Roman" w:hAnsi="Times New Roman" w:cs="Times New Roman"/>
          <w:color w:val="auto"/>
        </w:rPr>
        <w:lastRenderedPageBreak/>
        <w:t>Список использованных источников</w:t>
      </w:r>
      <w:bookmarkEnd w:id="21"/>
    </w:p>
    <w:p w:rsidR="0065198B" w:rsidRPr="005503B8" w:rsidRDefault="0065198B" w:rsidP="005654E7">
      <w:pPr>
        <w:pStyle w:val="a3"/>
        <w:numPr>
          <w:ilvl w:val="0"/>
          <w:numId w:val="22"/>
        </w:numPr>
        <w:spacing w:line="360" w:lineRule="auto"/>
        <w:jc w:val="both"/>
        <w:rPr>
          <w:rFonts w:ascii="Times New Roman" w:hAnsi="Times New Roman" w:cs="Times New Roman"/>
          <w:sz w:val="24"/>
          <w:szCs w:val="24"/>
        </w:rPr>
      </w:pPr>
      <w:r w:rsidRPr="005503B8">
        <w:rPr>
          <w:rFonts w:ascii="Times New Roman" w:hAnsi="Times New Roman" w:cs="Times New Roman"/>
          <w:sz w:val="24"/>
          <w:szCs w:val="24"/>
        </w:rPr>
        <w:t xml:space="preserve">Федеральный закон </w:t>
      </w:r>
      <w:r w:rsidRPr="005503B8">
        <w:rPr>
          <w:rFonts w:ascii="Times New Roman" w:hAnsi="Times New Roman" w:cs="Times New Roman"/>
          <w:sz w:val="24"/>
          <w:szCs w:val="24"/>
          <w:lang w:val="en-US"/>
        </w:rPr>
        <w:t>N</w:t>
      </w:r>
      <w:r w:rsidRPr="005503B8">
        <w:rPr>
          <w:rFonts w:ascii="Times New Roman" w:hAnsi="Times New Roman" w:cs="Times New Roman"/>
          <w:sz w:val="24"/>
          <w:szCs w:val="24"/>
        </w:rPr>
        <w:t xml:space="preserve"> 208-ФЗ от 26.12.1995 </w:t>
      </w:r>
      <w:r>
        <w:rPr>
          <w:rFonts w:ascii="Times New Roman" w:hAnsi="Times New Roman" w:cs="Times New Roman"/>
          <w:sz w:val="24"/>
          <w:szCs w:val="24"/>
        </w:rPr>
        <w:t xml:space="preserve">года </w:t>
      </w:r>
      <w:r w:rsidRPr="005503B8">
        <w:rPr>
          <w:rFonts w:ascii="Times New Roman" w:hAnsi="Times New Roman" w:cs="Times New Roman"/>
          <w:sz w:val="24"/>
          <w:szCs w:val="24"/>
        </w:rPr>
        <w:t>(ред. от 03.07.</w:t>
      </w:r>
      <w:r>
        <w:rPr>
          <w:rFonts w:ascii="Times New Roman" w:hAnsi="Times New Roman" w:cs="Times New Roman"/>
          <w:sz w:val="24"/>
          <w:szCs w:val="24"/>
        </w:rPr>
        <w:t>2016) «Об акционерных обществах» // Собрание законодательства Российской Федерации</w:t>
      </w:r>
    </w:p>
    <w:p w:rsidR="0065198B" w:rsidRPr="00B567B0" w:rsidRDefault="0065198B" w:rsidP="005654E7">
      <w:pPr>
        <w:pStyle w:val="a3"/>
        <w:numPr>
          <w:ilvl w:val="0"/>
          <w:numId w:val="22"/>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Brealey</w:t>
      </w:r>
      <w:proofErr w:type="spellEnd"/>
      <w:r>
        <w:rPr>
          <w:rFonts w:ascii="Times New Roman" w:hAnsi="Times New Roman" w:cs="Times New Roman"/>
          <w:sz w:val="24"/>
          <w:szCs w:val="24"/>
          <w:lang w:val="en-US"/>
        </w:rPr>
        <w:t xml:space="preserve"> R. A. Principles of Corporate Finance, Tenth Edition / R. A. </w:t>
      </w:r>
      <w:proofErr w:type="spellStart"/>
      <w:r>
        <w:rPr>
          <w:rFonts w:ascii="Times New Roman" w:hAnsi="Times New Roman" w:cs="Times New Roman"/>
          <w:sz w:val="24"/>
          <w:szCs w:val="24"/>
          <w:lang w:val="en-US"/>
        </w:rPr>
        <w:t>Brealey</w:t>
      </w:r>
      <w:proofErr w:type="spellEnd"/>
      <w:r>
        <w:rPr>
          <w:rFonts w:ascii="Times New Roman" w:hAnsi="Times New Roman" w:cs="Times New Roman"/>
          <w:sz w:val="24"/>
          <w:szCs w:val="24"/>
          <w:lang w:val="en-US"/>
        </w:rPr>
        <w:t>, S. C. Stewart, F. Allen. – 10</w:t>
      </w:r>
      <w:r w:rsidRPr="0041713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ed. - </w:t>
      </w:r>
      <w:r w:rsidRPr="00417137">
        <w:rPr>
          <w:rFonts w:ascii="Times New Roman" w:hAnsi="Times New Roman" w:cs="Times New Roman"/>
          <w:sz w:val="24"/>
          <w:szCs w:val="24"/>
          <w:lang w:val="en-US"/>
        </w:rPr>
        <w:t>McGraw-Hill</w:t>
      </w:r>
      <w:r>
        <w:rPr>
          <w:rFonts w:ascii="Times New Roman" w:hAnsi="Times New Roman" w:cs="Times New Roman"/>
          <w:sz w:val="24"/>
          <w:szCs w:val="24"/>
          <w:lang w:val="en-US"/>
        </w:rPr>
        <w:t>, 2011. – 969 p.</w:t>
      </w:r>
    </w:p>
    <w:p w:rsidR="00B567B0" w:rsidRPr="005E05D5" w:rsidRDefault="00B567B0" w:rsidP="005654E7">
      <w:pPr>
        <w:pStyle w:val="a3"/>
        <w:numPr>
          <w:ilvl w:val="0"/>
          <w:numId w:val="22"/>
        </w:numPr>
        <w:spacing w:line="360" w:lineRule="auto"/>
        <w:jc w:val="both"/>
        <w:rPr>
          <w:rFonts w:ascii="Times New Roman" w:hAnsi="Times New Roman" w:cs="Times New Roman"/>
          <w:sz w:val="24"/>
          <w:szCs w:val="24"/>
          <w:lang w:val="en-US"/>
        </w:rPr>
      </w:pPr>
      <w:r w:rsidRPr="00B567B0">
        <w:rPr>
          <w:rFonts w:ascii="Times New Roman" w:hAnsi="Times New Roman" w:cs="Times New Roman"/>
          <w:sz w:val="24"/>
          <w:szCs w:val="24"/>
          <w:lang w:val="en-US"/>
        </w:rPr>
        <w:t xml:space="preserve">Deloitte. Oil &amp; Gas Mergers and Acquisitions Report – Year-end 2016. </w:t>
      </w:r>
      <w:r>
        <w:rPr>
          <w:rFonts w:ascii="Times New Roman" w:hAnsi="Times New Roman" w:cs="Times New Roman"/>
          <w:sz w:val="24"/>
          <w:szCs w:val="24"/>
          <w:lang w:val="en-US"/>
        </w:rPr>
        <w:t xml:space="preserve">Out of the starting blocks. </w:t>
      </w:r>
      <w:r w:rsidR="002B279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24 </w:t>
      </w:r>
      <w:r>
        <w:rPr>
          <w:rFonts w:ascii="Times New Roman" w:hAnsi="Times New Roman" w:cs="Times New Roman"/>
          <w:sz w:val="24"/>
          <w:szCs w:val="24"/>
          <w:lang w:val="en-US"/>
        </w:rPr>
        <w:t>p.</w:t>
      </w:r>
    </w:p>
    <w:p w:rsidR="0065198B" w:rsidRPr="005E05D5" w:rsidRDefault="0065198B" w:rsidP="005654E7">
      <w:pPr>
        <w:pStyle w:val="a3"/>
        <w:numPr>
          <w:ilvl w:val="0"/>
          <w:numId w:val="22"/>
        </w:numPr>
        <w:spacing w:line="360" w:lineRule="auto"/>
        <w:jc w:val="both"/>
        <w:rPr>
          <w:rFonts w:ascii="Times New Roman" w:hAnsi="Times New Roman" w:cs="Times New Roman"/>
          <w:sz w:val="24"/>
          <w:szCs w:val="24"/>
        </w:rPr>
      </w:pPr>
      <w:proofErr w:type="spellStart"/>
      <w:r w:rsidRPr="005503B8">
        <w:rPr>
          <w:rFonts w:ascii="Times New Roman" w:hAnsi="Times New Roman" w:cs="Times New Roman"/>
          <w:sz w:val="24"/>
          <w:szCs w:val="24"/>
          <w:lang w:val="en-US"/>
        </w:rPr>
        <w:t>Damodaran</w:t>
      </w:r>
      <w:proofErr w:type="spellEnd"/>
      <w:r w:rsidRPr="005503B8">
        <w:rPr>
          <w:rFonts w:ascii="Times New Roman" w:hAnsi="Times New Roman" w:cs="Times New Roman"/>
          <w:sz w:val="24"/>
          <w:szCs w:val="24"/>
          <w:lang w:val="en-US"/>
        </w:rPr>
        <w:t xml:space="preserve"> A. Country Default Spreads and Ris</w:t>
      </w:r>
      <w:r>
        <w:rPr>
          <w:rFonts w:ascii="Times New Roman" w:hAnsi="Times New Roman" w:cs="Times New Roman"/>
          <w:sz w:val="24"/>
          <w:szCs w:val="24"/>
          <w:lang w:val="en-US"/>
        </w:rPr>
        <w:t xml:space="preserve">k Premiums </w:t>
      </w:r>
      <w:r w:rsidRPr="005503B8">
        <w:rPr>
          <w:rFonts w:ascii="Times New Roman" w:hAnsi="Times New Roman" w:cs="Times New Roman"/>
          <w:sz w:val="24"/>
          <w:szCs w:val="24"/>
          <w:lang w:val="en-US"/>
        </w:rPr>
        <w:t xml:space="preserve">/ A. </w:t>
      </w:r>
      <w:proofErr w:type="spellStart"/>
      <w:r w:rsidRPr="005503B8">
        <w:rPr>
          <w:rFonts w:ascii="Times New Roman" w:hAnsi="Times New Roman" w:cs="Times New Roman"/>
          <w:sz w:val="24"/>
          <w:szCs w:val="24"/>
          <w:lang w:val="en-US"/>
        </w:rPr>
        <w:t>Damodaran</w:t>
      </w:r>
      <w:proofErr w:type="spellEnd"/>
      <w:r w:rsidRPr="005503B8">
        <w:rPr>
          <w:rFonts w:ascii="Times New Roman" w:hAnsi="Times New Roman" w:cs="Times New Roman"/>
          <w:sz w:val="24"/>
          <w:szCs w:val="24"/>
          <w:lang w:val="en-US"/>
        </w:rPr>
        <w:t xml:space="preserve"> // NYU Stern</w:t>
      </w:r>
      <w:r w:rsidR="002B2796" w:rsidRPr="002B2796">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2015</w:t>
      </w:r>
      <w:r w:rsidR="002B2796" w:rsidRPr="002B279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r w:rsidRPr="005E05D5">
        <w:rPr>
          <w:rFonts w:ascii="Times New Roman" w:hAnsi="Times New Roman" w:cs="Times New Roman"/>
          <w:sz w:val="24"/>
          <w:szCs w:val="24"/>
          <w:lang w:val="en-US"/>
        </w:rPr>
        <w:t xml:space="preserve"> </w:t>
      </w:r>
      <w:r>
        <w:rPr>
          <w:rFonts w:ascii="Times New Roman" w:hAnsi="Times New Roman" w:cs="Times New Roman"/>
          <w:sz w:val="24"/>
          <w:szCs w:val="24"/>
          <w:lang w:val="en-US"/>
        </w:rPr>
        <w:t>URL</w:t>
      </w:r>
      <w:r w:rsidRPr="005E05D5">
        <w:rPr>
          <w:rFonts w:ascii="Times New Roman" w:hAnsi="Times New Roman" w:cs="Times New Roman"/>
          <w:sz w:val="24"/>
          <w:szCs w:val="24"/>
        </w:rPr>
        <w:t>:</w:t>
      </w:r>
      <w:r>
        <w:rPr>
          <w:rFonts w:ascii="Times New Roman" w:hAnsi="Times New Roman" w:cs="Times New Roman"/>
          <w:sz w:val="24"/>
          <w:szCs w:val="24"/>
          <w:lang w:val="en-US"/>
        </w:rPr>
        <w:t> </w:t>
      </w:r>
      <w:hyperlink r:id="rId18" w:history="1">
        <w:r w:rsidRPr="00AD528F">
          <w:rPr>
            <w:rStyle w:val="a4"/>
            <w:rFonts w:ascii="Times New Roman" w:hAnsi="Times New Roman" w:cs="Times New Roman"/>
            <w:sz w:val="24"/>
            <w:szCs w:val="24"/>
            <w:lang w:val="en-US"/>
          </w:rPr>
          <w:t>http</w:t>
        </w:r>
        <w:r w:rsidRPr="005E05D5">
          <w:rPr>
            <w:rStyle w:val="a4"/>
            <w:rFonts w:ascii="Times New Roman" w:hAnsi="Times New Roman" w:cs="Times New Roman"/>
            <w:sz w:val="24"/>
            <w:szCs w:val="24"/>
          </w:rPr>
          <w:t>://</w:t>
        </w:r>
        <w:r w:rsidRPr="00AD528F">
          <w:rPr>
            <w:rStyle w:val="a4"/>
            <w:rFonts w:ascii="Times New Roman" w:hAnsi="Times New Roman" w:cs="Times New Roman"/>
            <w:sz w:val="24"/>
            <w:szCs w:val="24"/>
            <w:lang w:val="en-US"/>
          </w:rPr>
          <w:t>pages</w:t>
        </w:r>
        <w:r w:rsidRPr="005E05D5">
          <w:rPr>
            <w:rStyle w:val="a4"/>
            <w:rFonts w:ascii="Times New Roman" w:hAnsi="Times New Roman" w:cs="Times New Roman"/>
            <w:sz w:val="24"/>
            <w:szCs w:val="24"/>
          </w:rPr>
          <w:t>.</w:t>
        </w:r>
        <w:r w:rsidRPr="00AD528F">
          <w:rPr>
            <w:rStyle w:val="a4"/>
            <w:rFonts w:ascii="Times New Roman" w:hAnsi="Times New Roman" w:cs="Times New Roman"/>
            <w:sz w:val="24"/>
            <w:szCs w:val="24"/>
            <w:lang w:val="en-US"/>
          </w:rPr>
          <w:t>stern</w:t>
        </w:r>
        <w:r w:rsidRPr="005E05D5">
          <w:rPr>
            <w:rStyle w:val="a4"/>
            <w:rFonts w:ascii="Times New Roman" w:hAnsi="Times New Roman" w:cs="Times New Roman"/>
            <w:sz w:val="24"/>
            <w:szCs w:val="24"/>
          </w:rPr>
          <w:t>.</w:t>
        </w:r>
        <w:proofErr w:type="spellStart"/>
        <w:r w:rsidRPr="00AD528F">
          <w:rPr>
            <w:rStyle w:val="a4"/>
            <w:rFonts w:ascii="Times New Roman" w:hAnsi="Times New Roman" w:cs="Times New Roman"/>
            <w:sz w:val="24"/>
            <w:szCs w:val="24"/>
            <w:lang w:val="en-US"/>
          </w:rPr>
          <w:t>nyu</w:t>
        </w:r>
        <w:proofErr w:type="spellEnd"/>
        <w:r w:rsidRPr="005E05D5">
          <w:rPr>
            <w:rStyle w:val="a4"/>
            <w:rFonts w:ascii="Times New Roman" w:hAnsi="Times New Roman" w:cs="Times New Roman"/>
            <w:sz w:val="24"/>
            <w:szCs w:val="24"/>
          </w:rPr>
          <w:t>.</w:t>
        </w:r>
        <w:proofErr w:type="spellStart"/>
        <w:r w:rsidRPr="00AD528F">
          <w:rPr>
            <w:rStyle w:val="a4"/>
            <w:rFonts w:ascii="Times New Roman" w:hAnsi="Times New Roman" w:cs="Times New Roman"/>
            <w:sz w:val="24"/>
            <w:szCs w:val="24"/>
            <w:lang w:val="en-US"/>
          </w:rPr>
          <w:t>edu</w:t>
        </w:r>
        <w:proofErr w:type="spellEnd"/>
        <w:r w:rsidRPr="005E05D5">
          <w:rPr>
            <w:rStyle w:val="a4"/>
            <w:rFonts w:ascii="Times New Roman" w:hAnsi="Times New Roman" w:cs="Times New Roman"/>
            <w:sz w:val="24"/>
            <w:szCs w:val="24"/>
          </w:rPr>
          <w:t>/~</w:t>
        </w:r>
        <w:proofErr w:type="spellStart"/>
        <w:r w:rsidRPr="00AD528F">
          <w:rPr>
            <w:rStyle w:val="a4"/>
            <w:rFonts w:ascii="Times New Roman" w:hAnsi="Times New Roman" w:cs="Times New Roman"/>
            <w:sz w:val="24"/>
            <w:szCs w:val="24"/>
            <w:lang w:val="en-US"/>
          </w:rPr>
          <w:t>adamodar</w:t>
        </w:r>
        <w:proofErr w:type="spellEnd"/>
        <w:r w:rsidRPr="005E05D5">
          <w:rPr>
            <w:rStyle w:val="a4"/>
            <w:rFonts w:ascii="Times New Roman" w:hAnsi="Times New Roman" w:cs="Times New Roman"/>
            <w:sz w:val="24"/>
            <w:szCs w:val="24"/>
          </w:rPr>
          <w:t>/</w:t>
        </w:r>
        <w:r w:rsidRPr="00AD528F">
          <w:rPr>
            <w:rStyle w:val="a4"/>
            <w:rFonts w:ascii="Times New Roman" w:hAnsi="Times New Roman" w:cs="Times New Roman"/>
            <w:sz w:val="24"/>
            <w:szCs w:val="24"/>
            <w:lang w:val="en-US"/>
          </w:rPr>
          <w:t>New</w:t>
        </w:r>
        <w:r w:rsidRPr="005E05D5">
          <w:rPr>
            <w:rStyle w:val="a4"/>
            <w:rFonts w:ascii="Times New Roman" w:hAnsi="Times New Roman" w:cs="Times New Roman"/>
            <w:sz w:val="24"/>
            <w:szCs w:val="24"/>
          </w:rPr>
          <w:t>_</w:t>
        </w:r>
        <w:r w:rsidRPr="00AD528F">
          <w:rPr>
            <w:rStyle w:val="a4"/>
            <w:rFonts w:ascii="Times New Roman" w:hAnsi="Times New Roman" w:cs="Times New Roman"/>
            <w:sz w:val="24"/>
            <w:szCs w:val="24"/>
            <w:lang w:val="en-US"/>
          </w:rPr>
          <w:t>Home</w:t>
        </w:r>
        <w:r w:rsidRPr="005E05D5">
          <w:rPr>
            <w:rStyle w:val="a4"/>
            <w:rFonts w:ascii="Times New Roman" w:hAnsi="Times New Roman" w:cs="Times New Roman"/>
            <w:sz w:val="24"/>
            <w:szCs w:val="24"/>
          </w:rPr>
          <w:t>_</w:t>
        </w:r>
        <w:r w:rsidRPr="00AD528F">
          <w:rPr>
            <w:rStyle w:val="a4"/>
            <w:rFonts w:ascii="Times New Roman" w:hAnsi="Times New Roman" w:cs="Times New Roman"/>
            <w:sz w:val="24"/>
            <w:szCs w:val="24"/>
            <w:lang w:val="en-US"/>
          </w:rPr>
          <w:t>Page</w:t>
        </w:r>
        <w:r w:rsidRPr="005E05D5">
          <w:rPr>
            <w:rStyle w:val="a4"/>
            <w:rFonts w:ascii="Times New Roman" w:hAnsi="Times New Roman" w:cs="Times New Roman"/>
            <w:sz w:val="24"/>
            <w:szCs w:val="24"/>
          </w:rPr>
          <w:t>/</w:t>
        </w:r>
        <w:proofErr w:type="spellStart"/>
        <w:r w:rsidRPr="00AD528F">
          <w:rPr>
            <w:rStyle w:val="a4"/>
            <w:rFonts w:ascii="Times New Roman" w:hAnsi="Times New Roman" w:cs="Times New Roman"/>
            <w:sz w:val="24"/>
            <w:szCs w:val="24"/>
            <w:lang w:val="en-US"/>
          </w:rPr>
          <w:t>datafile</w:t>
        </w:r>
        <w:proofErr w:type="spellEnd"/>
        <w:r w:rsidRPr="005E05D5">
          <w:rPr>
            <w:rStyle w:val="a4"/>
            <w:rFonts w:ascii="Times New Roman" w:hAnsi="Times New Roman" w:cs="Times New Roman"/>
            <w:sz w:val="24"/>
            <w:szCs w:val="24"/>
          </w:rPr>
          <w:t>/</w:t>
        </w:r>
        <w:proofErr w:type="spellStart"/>
        <w:r w:rsidRPr="00AD528F">
          <w:rPr>
            <w:rStyle w:val="a4"/>
            <w:rFonts w:ascii="Times New Roman" w:hAnsi="Times New Roman" w:cs="Times New Roman"/>
            <w:sz w:val="24"/>
            <w:szCs w:val="24"/>
            <w:lang w:val="en-US"/>
          </w:rPr>
          <w:t>ctryprem</w:t>
        </w:r>
        <w:proofErr w:type="spellEnd"/>
        <w:r w:rsidRPr="005E05D5">
          <w:rPr>
            <w:rStyle w:val="a4"/>
            <w:rFonts w:ascii="Times New Roman" w:hAnsi="Times New Roman" w:cs="Times New Roman"/>
            <w:sz w:val="24"/>
            <w:szCs w:val="24"/>
          </w:rPr>
          <w:t>.</w:t>
        </w:r>
        <w:r w:rsidRPr="00AD528F">
          <w:rPr>
            <w:rStyle w:val="a4"/>
            <w:rFonts w:ascii="Times New Roman" w:hAnsi="Times New Roman" w:cs="Times New Roman"/>
            <w:sz w:val="24"/>
            <w:szCs w:val="24"/>
            <w:lang w:val="en-US"/>
          </w:rPr>
          <w:t>html</w:t>
        </w:r>
      </w:hyperlink>
      <w:r w:rsidRPr="005E05D5">
        <w:rPr>
          <w:rFonts w:ascii="Times New Roman" w:hAnsi="Times New Roman" w:cs="Times New Roman"/>
          <w:sz w:val="24"/>
          <w:szCs w:val="24"/>
        </w:rPr>
        <w:t xml:space="preserve"> (</w:t>
      </w:r>
      <w:r>
        <w:rPr>
          <w:rFonts w:ascii="Times New Roman" w:hAnsi="Times New Roman" w:cs="Times New Roman"/>
          <w:sz w:val="24"/>
          <w:szCs w:val="24"/>
        </w:rPr>
        <w:t>Д</w:t>
      </w:r>
      <w:r w:rsidRPr="005503B8">
        <w:rPr>
          <w:rFonts w:ascii="Times New Roman" w:hAnsi="Times New Roman" w:cs="Times New Roman"/>
          <w:sz w:val="24"/>
          <w:szCs w:val="24"/>
        </w:rPr>
        <w:t>ата</w:t>
      </w:r>
      <w:r w:rsidRPr="005E05D5">
        <w:rPr>
          <w:rFonts w:ascii="Times New Roman" w:hAnsi="Times New Roman" w:cs="Times New Roman"/>
          <w:sz w:val="24"/>
          <w:szCs w:val="24"/>
        </w:rPr>
        <w:t xml:space="preserve"> </w:t>
      </w:r>
      <w:r w:rsidRPr="005503B8">
        <w:rPr>
          <w:rFonts w:ascii="Times New Roman" w:hAnsi="Times New Roman" w:cs="Times New Roman"/>
          <w:sz w:val="24"/>
          <w:szCs w:val="24"/>
        </w:rPr>
        <w:t>обращения</w:t>
      </w:r>
      <w:r w:rsidR="00CF07BE">
        <w:rPr>
          <w:rFonts w:ascii="Times New Roman" w:hAnsi="Times New Roman" w:cs="Times New Roman"/>
          <w:sz w:val="24"/>
          <w:szCs w:val="24"/>
        </w:rPr>
        <w:t>: 19.</w:t>
      </w:r>
      <w:r w:rsidR="005654E7">
        <w:rPr>
          <w:rFonts w:ascii="Times New Roman" w:hAnsi="Times New Roman" w:cs="Times New Roman"/>
          <w:sz w:val="24"/>
          <w:szCs w:val="24"/>
        </w:rPr>
        <w:t>04</w:t>
      </w:r>
      <w:r w:rsidR="00CF07BE">
        <w:rPr>
          <w:rFonts w:ascii="Times New Roman" w:hAnsi="Times New Roman" w:cs="Times New Roman"/>
          <w:sz w:val="24"/>
          <w:szCs w:val="24"/>
        </w:rPr>
        <w:t>.2017</w:t>
      </w:r>
      <w:r>
        <w:rPr>
          <w:rFonts w:ascii="Times New Roman" w:hAnsi="Times New Roman" w:cs="Times New Roman"/>
          <w:sz w:val="24"/>
          <w:szCs w:val="24"/>
        </w:rPr>
        <w:t>)</w:t>
      </w:r>
    </w:p>
    <w:p w:rsidR="0065198B" w:rsidRPr="005503B8" w:rsidRDefault="0065198B" w:rsidP="005654E7">
      <w:pPr>
        <w:pStyle w:val="a3"/>
        <w:numPr>
          <w:ilvl w:val="0"/>
          <w:numId w:val="22"/>
        </w:numPr>
        <w:spacing w:line="360" w:lineRule="auto"/>
        <w:jc w:val="both"/>
        <w:rPr>
          <w:rFonts w:ascii="Times New Roman" w:hAnsi="Times New Roman" w:cs="Times New Roman"/>
          <w:sz w:val="24"/>
          <w:szCs w:val="24"/>
          <w:lang w:val="en-US"/>
        </w:rPr>
      </w:pPr>
      <w:proofErr w:type="spellStart"/>
      <w:r w:rsidRPr="005503B8">
        <w:rPr>
          <w:rFonts w:ascii="Times New Roman" w:hAnsi="Times New Roman" w:cs="Times New Roman"/>
          <w:sz w:val="24"/>
          <w:szCs w:val="24"/>
          <w:lang w:val="en-US"/>
        </w:rPr>
        <w:t>Damodaran</w:t>
      </w:r>
      <w:proofErr w:type="spellEnd"/>
      <w:r w:rsidRPr="005503B8">
        <w:rPr>
          <w:rFonts w:ascii="Times New Roman" w:hAnsi="Times New Roman" w:cs="Times New Roman"/>
          <w:sz w:val="24"/>
          <w:szCs w:val="24"/>
          <w:lang w:val="en-US"/>
        </w:rPr>
        <w:t xml:space="preserve"> A. Investment Valuation / A. </w:t>
      </w:r>
      <w:proofErr w:type="spellStart"/>
      <w:r w:rsidRPr="005503B8">
        <w:rPr>
          <w:rFonts w:ascii="Times New Roman" w:hAnsi="Times New Roman" w:cs="Times New Roman"/>
          <w:sz w:val="24"/>
          <w:szCs w:val="24"/>
          <w:lang w:val="en-US"/>
        </w:rPr>
        <w:t>Damod</w:t>
      </w:r>
      <w:r w:rsidR="00CF07BE">
        <w:rPr>
          <w:rFonts w:ascii="Times New Roman" w:hAnsi="Times New Roman" w:cs="Times New Roman"/>
          <w:sz w:val="24"/>
          <w:szCs w:val="24"/>
          <w:lang w:val="en-US"/>
        </w:rPr>
        <w:t>aran</w:t>
      </w:r>
      <w:proofErr w:type="spellEnd"/>
      <w:r w:rsidR="00CF07BE">
        <w:rPr>
          <w:rFonts w:ascii="Times New Roman" w:hAnsi="Times New Roman" w:cs="Times New Roman"/>
          <w:sz w:val="24"/>
          <w:szCs w:val="24"/>
          <w:lang w:val="en-US"/>
        </w:rPr>
        <w:t>. — 2nd ed. — Wiley, 2002</w:t>
      </w:r>
      <w:r w:rsidR="00CF07BE" w:rsidRPr="00CF07BE">
        <w:rPr>
          <w:rFonts w:ascii="Times New Roman" w:hAnsi="Times New Roman" w:cs="Times New Roman"/>
          <w:sz w:val="24"/>
          <w:szCs w:val="24"/>
          <w:lang w:val="en-US"/>
        </w:rPr>
        <w:t>,</w:t>
      </w:r>
      <w:r w:rsidR="002B2796">
        <w:rPr>
          <w:rFonts w:ascii="Times New Roman" w:hAnsi="Times New Roman" w:cs="Times New Roman"/>
          <w:sz w:val="24"/>
          <w:szCs w:val="24"/>
          <w:lang w:val="en-US"/>
        </w:rPr>
        <w:t xml:space="preserve"> –</w:t>
      </w:r>
      <w:r w:rsidRPr="005503B8">
        <w:rPr>
          <w:rFonts w:ascii="Times New Roman" w:hAnsi="Times New Roman" w:cs="Times New Roman"/>
          <w:sz w:val="24"/>
          <w:szCs w:val="24"/>
          <w:lang w:val="en-US"/>
        </w:rPr>
        <w:t xml:space="preserve"> 1339 p.</w:t>
      </w:r>
    </w:p>
    <w:p w:rsidR="0065198B" w:rsidRPr="005E24FF" w:rsidRDefault="002B2796" w:rsidP="005654E7">
      <w:pPr>
        <w:pStyle w:val="a3"/>
        <w:numPr>
          <w:ilvl w:val="0"/>
          <w:numId w:val="22"/>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Damod</w:t>
      </w:r>
      <w:proofErr w:type="spellEnd"/>
      <w:r>
        <w:rPr>
          <w:rFonts w:ascii="Times New Roman" w:hAnsi="Times New Roman" w:cs="Times New Roman"/>
          <w:sz w:val="24"/>
          <w:szCs w:val="24"/>
        </w:rPr>
        <w:t>а</w:t>
      </w:r>
      <w:r w:rsidR="0065198B" w:rsidRPr="005503B8">
        <w:rPr>
          <w:rFonts w:ascii="Times New Roman" w:hAnsi="Times New Roman" w:cs="Times New Roman"/>
          <w:sz w:val="24"/>
          <w:szCs w:val="24"/>
          <w:lang w:val="en-US"/>
        </w:rPr>
        <w:t xml:space="preserve">ran A. </w:t>
      </w:r>
      <w:r>
        <w:rPr>
          <w:rFonts w:ascii="Times New Roman" w:hAnsi="Times New Roman" w:cs="Times New Roman"/>
          <w:sz w:val="24"/>
          <w:szCs w:val="24"/>
          <w:lang w:val="en-US"/>
        </w:rPr>
        <w:t xml:space="preserve">The Value of Synergy / A. </w:t>
      </w:r>
      <w:proofErr w:type="spellStart"/>
      <w:r>
        <w:rPr>
          <w:rFonts w:ascii="Times New Roman" w:hAnsi="Times New Roman" w:cs="Times New Roman"/>
          <w:sz w:val="24"/>
          <w:szCs w:val="24"/>
          <w:lang w:val="en-US"/>
        </w:rPr>
        <w:t>Damod</w:t>
      </w:r>
      <w:proofErr w:type="spellEnd"/>
      <w:r>
        <w:rPr>
          <w:rFonts w:ascii="Times New Roman" w:hAnsi="Times New Roman" w:cs="Times New Roman"/>
          <w:sz w:val="24"/>
          <w:szCs w:val="24"/>
        </w:rPr>
        <w:t>а</w:t>
      </w:r>
      <w:r w:rsidR="0065198B" w:rsidRPr="005503B8">
        <w:rPr>
          <w:rFonts w:ascii="Times New Roman" w:hAnsi="Times New Roman" w:cs="Times New Roman"/>
          <w:sz w:val="24"/>
          <w:szCs w:val="24"/>
          <w:lang w:val="en-US"/>
        </w:rPr>
        <w:t>ran. ― Stern School of Business, 2005. — 47 p.</w:t>
      </w:r>
    </w:p>
    <w:p w:rsidR="005E24FF" w:rsidRPr="006F49AF" w:rsidRDefault="005E24FF" w:rsidP="005654E7">
      <w:pPr>
        <w:pStyle w:val="a3"/>
        <w:numPr>
          <w:ilvl w:val="0"/>
          <w:numId w:val="22"/>
        </w:numPr>
        <w:spacing w:line="360" w:lineRule="auto"/>
        <w:jc w:val="both"/>
        <w:rPr>
          <w:rFonts w:ascii="Times New Roman" w:hAnsi="Times New Roman" w:cs="Times New Roman"/>
          <w:sz w:val="24"/>
          <w:szCs w:val="24"/>
          <w:lang w:val="en-US"/>
        </w:rPr>
      </w:pPr>
      <w:r w:rsidRPr="005E24FF">
        <w:rPr>
          <w:rFonts w:ascii="Times New Roman" w:hAnsi="Times New Roman" w:cs="Times New Roman"/>
          <w:sz w:val="24"/>
          <w:szCs w:val="24"/>
          <w:lang w:val="en-US"/>
        </w:rPr>
        <w:t>Economic Time Series Page. URL</w:t>
      </w:r>
      <w:r w:rsidRPr="006F49AF">
        <w:rPr>
          <w:rFonts w:ascii="Times New Roman" w:hAnsi="Times New Roman" w:cs="Times New Roman"/>
          <w:sz w:val="24"/>
          <w:szCs w:val="24"/>
          <w:lang w:val="en-US"/>
        </w:rPr>
        <w:t xml:space="preserve">: </w:t>
      </w:r>
      <w:hyperlink r:id="rId19" w:history="1">
        <w:r w:rsidRPr="002F4C89">
          <w:rPr>
            <w:rStyle w:val="a4"/>
            <w:rFonts w:ascii="Times New Roman" w:hAnsi="Times New Roman" w:cs="Times New Roman"/>
            <w:sz w:val="24"/>
            <w:szCs w:val="24"/>
            <w:lang w:val="en-US"/>
          </w:rPr>
          <w:t>http</w:t>
        </w:r>
        <w:r w:rsidRPr="006F49AF">
          <w:rPr>
            <w:rStyle w:val="a4"/>
            <w:rFonts w:ascii="Times New Roman" w:hAnsi="Times New Roman" w:cs="Times New Roman"/>
            <w:sz w:val="24"/>
            <w:szCs w:val="24"/>
            <w:lang w:val="en-US"/>
          </w:rPr>
          <w:t>://</w:t>
        </w:r>
        <w:r w:rsidRPr="002F4C89">
          <w:rPr>
            <w:rStyle w:val="a4"/>
            <w:rFonts w:ascii="Times New Roman" w:hAnsi="Times New Roman" w:cs="Times New Roman"/>
            <w:sz w:val="24"/>
            <w:szCs w:val="24"/>
            <w:lang w:val="en-US"/>
          </w:rPr>
          <w:t>www</w:t>
        </w:r>
        <w:r w:rsidRPr="006F49AF">
          <w:rPr>
            <w:rStyle w:val="a4"/>
            <w:rFonts w:ascii="Times New Roman" w:hAnsi="Times New Roman" w:cs="Times New Roman"/>
            <w:sz w:val="24"/>
            <w:szCs w:val="24"/>
            <w:lang w:val="en-US"/>
          </w:rPr>
          <w:t>.</w:t>
        </w:r>
        <w:r w:rsidRPr="002F4C89">
          <w:rPr>
            <w:rStyle w:val="a4"/>
            <w:rFonts w:ascii="Times New Roman" w:hAnsi="Times New Roman" w:cs="Times New Roman"/>
            <w:sz w:val="24"/>
            <w:szCs w:val="24"/>
            <w:lang w:val="en-US"/>
          </w:rPr>
          <w:t>economagic</w:t>
        </w:r>
        <w:r w:rsidRPr="006F49AF">
          <w:rPr>
            <w:rStyle w:val="a4"/>
            <w:rFonts w:ascii="Times New Roman" w:hAnsi="Times New Roman" w:cs="Times New Roman"/>
            <w:sz w:val="24"/>
            <w:szCs w:val="24"/>
            <w:lang w:val="en-US"/>
          </w:rPr>
          <w:t>.</w:t>
        </w:r>
        <w:r w:rsidRPr="002F4C89">
          <w:rPr>
            <w:rStyle w:val="a4"/>
            <w:rFonts w:ascii="Times New Roman" w:hAnsi="Times New Roman" w:cs="Times New Roman"/>
            <w:sz w:val="24"/>
            <w:szCs w:val="24"/>
            <w:lang w:val="en-US"/>
          </w:rPr>
          <w:t>com</w:t>
        </w:r>
      </w:hyperlink>
      <w:r w:rsidRPr="006F49AF">
        <w:rPr>
          <w:rFonts w:ascii="Times New Roman" w:hAnsi="Times New Roman" w:cs="Times New Roman"/>
          <w:sz w:val="24"/>
          <w:szCs w:val="24"/>
          <w:lang w:val="en-US"/>
        </w:rPr>
        <w:t xml:space="preserve"> (</w:t>
      </w:r>
      <w:r>
        <w:rPr>
          <w:rFonts w:ascii="Times New Roman" w:hAnsi="Times New Roman" w:cs="Times New Roman"/>
          <w:sz w:val="24"/>
          <w:szCs w:val="24"/>
        </w:rPr>
        <w:t>Дата</w:t>
      </w:r>
      <w:r w:rsidRPr="006F49AF">
        <w:rPr>
          <w:rFonts w:ascii="Times New Roman" w:hAnsi="Times New Roman" w:cs="Times New Roman"/>
          <w:sz w:val="24"/>
          <w:szCs w:val="24"/>
          <w:lang w:val="en-US"/>
        </w:rPr>
        <w:t xml:space="preserve"> </w:t>
      </w:r>
      <w:r>
        <w:rPr>
          <w:rFonts w:ascii="Times New Roman" w:hAnsi="Times New Roman" w:cs="Times New Roman"/>
          <w:sz w:val="24"/>
          <w:szCs w:val="24"/>
        </w:rPr>
        <w:t>обращения</w:t>
      </w:r>
      <w:r w:rsidRPr="006F49AF">
        <w:rPr>
          <w:rFonts w:ascii="Times New Roman" w:hAnsi="Times New Roman" w:cs="Times New Roman"/>
          <w:sz w:val="24"/>
          <w:szCs w:val="24"/>
          <w:lang w:val="en-US"/>
        </w:rPr>
        <w:t>: 23.04.2017)</w:t>
      </w:r>
    </w:p>
    <w:p w:rsidR="0065198B" w:rsidRPr="0049767F" w:rsidRDefault="0065198B" w:rsidP="005654E7">
      <w:pPr>
        <w:pStyle w:val="a3"/>
        <w:numPr>
          <w:ilvl w:val="0"/>
          <w:numId w:val="22"/>
        </w:numPr>
        <w:spacing w:line="360" w:lineRule="auto"/>
        <w:jc w:val="both"/>
        <w:rPr>
          <w:rFonts w:ascii="Times New Roman" w:eastAsiaTheme="majorEastAsia" w:hAnsi="Times New Roman" w:cs="Times New Roman"/>
          <w:b/>
          <w:bCs/>
          <w:sz w:val="24"/>
          <w:szCs w:val="24"/>
          <w:lang w:val="en-US"/>
        </w:rPr>
      </w:pPr>
      <w:proofErr w:type="spellStart"/>
      <w:r>
        <w:rPr>
          <w:rFonts w:ascii="Times New Roman" w:hAnsi="Times New Roman" w:cs="Times New Roman"/>
          <w:sz w:val="24"/>
          <w:szCs w:val="24"/>
          <w:lang w:val="en-US"/>
        </w:rPr>
        <w:t>Ernst&amp;Young</w:t>
      </w:r>
      <w:proofErr w:type="spellEnd"/>
      <w:r>
        <w:rPr>
          <w:rFonts w:ascii="Times New Roman" w:hAnsi="Times New Roman" w:cs="Times New Roman"/>
          <w:sz w:val="24"/>
          <w:szCs w:val="24"/>
          <w:lang w:val="en-US"/>
        </w:rPr>
        <w:t xml:space="preserve"> Review – Global oil and gas transactions. 2014. – 44 p</w:t>
      </w:r>
    </w:p>
    <w:p w:rsidR="00CD59A6" w:rsidRPr="00CD59A6" w:rsidRDefault="00CD59A6" w:rsidP="00CD59A6">
      <w:pPr>
        <w:pStyle w:val="a3"/>
        <w:numPr>
          <w:ilvl w:val="0"/>
          <w:numId w:val="22"/>
        </w:numPr>
        <w:spacing w:line="360" w:lineRule="auto"/>
        <w:jc w:val="both"/>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 xml:space="preserve">Grant, M., </w:t>
      </w:r>
      <w:proofErr w:type="spellStart"/>
      <w:r>
        <w:rPr>
          <w:rFonts w:ascii="Times New Roman" w:eastAsiaTheme="majorEastAsia" w:hAnsi="Times New Roman" w:cs="Times New Roman"/>
          <w:bCs/>
          <w:sz w:val="24"/>
          <w:szCs w:val="24"/>
          <w:lang w:val="en-US"/>
        </w:rPr>
        <w:t>Frimanson</w:t>
      </w:r>
      <w:proofErr w:type="spellEnd"/>
      <w:r>
        <w:rPr>
          <w:rFonts w:ascii="Times New Roman" w:eastAsiaTheme="majorEastAsia" w:hAnsi="Times New Roman" w:cs="Times New Roman"/>
          <w:bCs/>
          <w:sz w:val="24"/>
          <w:szCs w:val="24"/>
          <w:lang w:val="en-US"/>
        </w:rPr>
        <w:t xml:space="preserve">, L., </w:t>
      </w:r>
      <w:proofErr w:type="spellStart"/>
      <w:r>
        <w:rPr>
          <w:rFonts w:ascii="Times New Roman" w:eastAsiaTheme="majorEastAsia" w:hAnsi="Times New Roman" w:cs="Times New Roman"/>
          <w:bCs/>
          <w:sz w:val="24"/>
          <w:szCs w:val="24"/>
          <w:lang w:val="en-US"/>
        </w:rPr>
        <w:t>Nillson</w:t>
      </w:r>
      <w:proofErr w:type="spellEnd"/>
      <w:r>
        <w:rPr>
          <w:rFonts w:ascii="Times New Roman" w:eastAsiaTheme="majorEastAsia" w:hAnsi="Times New Roman" w:cs="Times New Roman"/>
          <w:bCs/>
          <w:sz w:val="24"/>
          <w:szCs w:val="24"/>
          <w:lang w:val="en-US"/>
        </w:rPr>
        <w:t xml:space="preserve">, F. </w:t>
      </w:r>
      <w:r w:rsidRPr="00CD59A6">
        <w:rPr>
          <w:rFonts w:ascii="Times New Roman" w:eastAsiaTheme="majorEastAsia" w:hAnsi="Times New Roman" w:cs="Times New Roman"/>
          <w:bCs/>
          <w:sz w:val="24"/>
          <w:szCs w:val="24"/>
          <w:lang w:val="en-US"/>
        </w:rPr>
        <w:t>Mergers &amp; acquisitions process research</w:t>
      </w:r>
      <w:r>
        <w:rPr>
          <w:rFonts w:ascii="Times New Roman" w:eastAsiaTheme="majorEastAsia" w:hAnsi="Times New Roman" w:cs="Times New Roman"/>
          <w:bCs/>
          <w:sz w:val="24"/>
          <w:szCs w:val="24"/>
          <w:lang w:val="en-US"/>
        </w:rPr>
        <w:t xml:space="preserve"> – a</w:t>
      </w:r>
      <w:r w:rsidRPr="00CD59A6">
        <w:rPr>
          <w:rFonts w:ascii="Times New Roman" w:eastAsiaTheme="majorEastAsia" w:hAnsi="Times New Roman" w:cs="Times New Roman"/>
          <w:bCs/>
          <w:sz w:val="24"/>
          <w:szCs w:val="24"/>
          <w:lang w:val="en-US"/>
        </w:rPr>
        <w:t xml:space="preserve"> review</w:t>
      </w:r>
      <w:r>
        <w:rPr>
          <w:rFonts w:ascii="Times New Roman" w:eastAsiaTheme="majorEastAsia" w:hAnsi="Times New Roman" w:cs="Times New Roman"/>
          <w:bCs/>
          <w:sz w:val="24"/>
          <w:szCs w:val="24"/>
          <w:lang w:val="en-US"/>
        </w:rPr>
        <w:t xml:space="preserve"> / M. Grant, L. </w:t>
      </w:r>
      <w:proofErr w:type="spellStart"/>
      <w:r>
        <w:rPr>
          <w:rFonts w:ascii="Times New Roman" w:eastAsiaTheme="majorEastAsia" w:hAnsi="Times New Roman" w:cs="Times New Roman"/>
          <w:bCs/>
          <w:sz w:val="24"/>
          <w:szCs w:val="24"/>
          <w:lang w:val="en-US"/>
        </w:rPr>
        <w:t>Frimanson</w:t>
      </w:r>
      <w:proofErr w:type="spellEnd"/>
      <w:r>
        <w:rPr>
          <w:rFonts w:ascii="Times New Roman" w:eastAsiaTheme="majorEastAsia" w:hAnsi="Times New Roman" w:cs="Times New Roman"/>
          <w:bCs/>
          <w:sz w:val="24"/>
          <w:szCs w:val="24"/>
          <w:lang w:val="en-US"/>
        </w:rPr>
        <w:t>, F.</w:t>
      </w:r>
      <w:r w:rsidRPr="00CD59A6">
        <w:rPr>
          <w:rFonts w:ascii="Times New Roman" w:eastAsiaTheme="majorEastAsia" w:hAnsi="Times New Roman" w:cs="Times New Roman"/>
          <w:bCs/>
          <w:sz w:val="24"/>
          <w:szCs w:val="24"/>
          <w:lang w:val="en-US"/>
        </w:rPr>
        <w:t xml:space="preserve"> Nilsson</w:t>
      </w:r>
      <w:r>
        <w:rPr>
          <w:rFonts w:ascii="Times New Roman" w:eastAsiaTheme="majorEastAsia" w:hAnsi="Times New Roman" w:cs="Times New Roman"/>
          <w:bCs/>
          <w:sz w:val="24"/>
          <w:szCs w:val="24"/>
          <w:lang w:val="en-US"/>
        </w:rPr>
        <w:t xml:space="preserve"> - </w:t>
      </w:r>
      <w:r w:rsidRPr="00CD59A6">
        <w:rPr>
          <w:rFonts w:ascii="Times New Roman" w:eastAsiaTheme="majorEastAsia" w:hAnsi="Times New Roman" w:cs="Times New Roman"/>
          <w:bCs/>
          <w:sz w:val="24"/>
          <w:szCs w:val="24"/>
          <w:lang w:val="en-US"/>
        </w:rPr>
        <w:t>Uppsala University</w:t>
      </w:r>
      <w:r>
        <w:rPr>
          <w:rFonts w:ascii="Times New Roman" w:eastAsiaTheme="majorEastAsia" w:hAnsi="Times New Roman" w:cs="Times New Roman"/>
          <w:bCs/>
          <w:sz w:val="24"/>
          <w:szCs w:val="24"/>
          <w:lang w:val="en-US"/>
        </w:rPr>
        <w:t>, 2012. – 48 p.</w:t>
      </w:r>
    </w:p>
    <w:p w:rsidR="00CD59A6" w:rsidRPr="00CD59A6" w:rsidRDefault="0049767F" w:rsidP="00CD59A6">
      <w:pPr>
        <w:pStyle w:val="a3"/>
        <w:numPr>
          <w:ilvl w:val="0"/>
          <w:numId w:val="22"/>
        </w:numPr>
        <w:spacing w:line="360" w:lineRule="auto"/>
        <w:jc w:val="both"/>
        <w:rPr>
          <w:rFonts w:ascii="Times New Roman" w:eastAsiaTheme="majorEastAsia" w:hAnsi="Times New Roman" w:cs="Times New Roman"/>
          <w:bCs/>
          <w:sz w:val="24"/>
          <w:szCs w:val="24"/>
          <w:lang w:val="en-US"/>
        </w:rPr>
      </w:pPr>
      <w:r w:rsidRPr="0049767F">
        <w:rPr>
          <w:rFonts w:ascii="Times New Roman" w:eastAsiaTheme="majorEastAsia" w:hAnsi="Times New Roman" w:cs="Times New Roman"/>
          <w:bCs/>
          <w:sz w:val="24"/>
          <w:szCs w:val="24"/>
          <w:lang w:val="en-US"/>
        </w:rPr>
        <w:t>Haas, B. M&amp;A Deal Evaluation: Challenging Metrics Myths / B. Haas, D. Hodgson // A.T. Kearney. Merger Integration framework.</w:t>
      </w:r>
      <w:r>
        <w:rPr>
          <w:rFonts w:ascii="Times New Roman" w:eastAsiaTheme="majorEastAsia" w:hAnsi="Times New Roman" w:cs="Times New Roman"/>
          <w:bCs/>
          <w:sz w:val="24"/>
          <w:szCs w:val="24"/>
          <w:lang w:val="en-US"/>
        </w:rPr>
        <w:t xml:space="preserve"> – 2013.</w:t>
      </w:r>
      <w:r w:rsidRPr="0049767F">
        <w:rPr>
          <w:rFonts w:ascii="Times New Roman" w:eastAsiaTheme="majorEastAsia" w:hAnsi="Times New Roman" w:cs="Times New Roman"/>
          <w:bCs/>
          <w:sz w:val="24"/>
          <w:szCs w:val="24"/>
          <w:lang w:val="en-US"/>
        </w:rPr>
        <w:t xml:space="preserve"> URL: </w:t>
      </w:r>
      <w:hyperlink r:id="rId20" w:history="1">
        <w:r w:rsidRPr="002F4C89">
          <w:rPr>
            <w:rStyle w:val="a4"/>
            <w:rFonts w:ascii="Times New Roman" w:eastAsiaTheme="majorEastAsia" w:hAnsi="Times New Roman" w:cs="Times New Roman"/>
            <w:bCs/>
            <w:sz w:val="24"/>
            <w:szCs w:val="24"/>
            <w:lang w:val="en-US"/>
          </w:rPr>
          <w:t>http://www.atkearney.in/</w:t>
        </w:r>
      </w:hyperlink>
      <w:r>
        <w:rPr>
          <w:rFonts w:ascii="Times New Roman" w:eastAsiaTheme="majorEastAsia" w:hAnsi="Times New Roman" w:cs="Times New Roman"/>
          <w:bCs/>
          <w:sz w:val="24"/>
          <w:szCs w:val="24"/>
          <w:lang w:val="en-US"/>
        </w:rPr>
        <w:t xml:space="preserve"> </w:t>
      </w:r>
      <w:r w:rsidRPr="0049767F">
        <w:rPr>
          <w:rFonts w:ascii="Times New Roman" w:eastAsiaTheme="majorEastAsia" w:hAnsi="Times New Roman" w:cs="Times New Roman"/>
          <w:bCs/>
          <w:sz w:val="24"/>
          <w:szCs w:val="24"/>
          <w:lang w:val="en-US"/>
        </w:rPr>
        <w:t>(</w:t>
      </w:r>
      <w:proofErr w:type="spellStart"/>
      <w:r w:rsidRPr="0049767F">
        <w:rPr>
          <w:rFonts w:ascii="Times New Roman" w:eastAsiaTheme="majorEastAsia" w:hAnsi="Times New Roman" w:cs="Times New Roman"/>
          <w:bCs/>
          <w:sz w:val="24"/>
          <w:szCs w:val="24"/>
          <w:lang w:val="en-US"/>
        </w:rPr>
        <w:t>Дата</w:t>
      </w:r>
      <w:proofErr w:type="spellEnd"/>
      <w:r w:rsidRPr="0049767F">
        <w:rPr>
          <w:rFonts w:ascii="Times New Roman" w:eastAsiaTheme="majorEastAsia" w:hAnsi="Times New Roman" w:cs="Times New Roman"/>
          <w:bCs/>
          <w:sz w:val="24"/>
          <w:szCs w:val="24"/>
          <w:lang w:val="en-US"/>
        </w:rPr>
        <w:t xml:space="preserve"> </w:t>
      </w:r>
      <w:proofErr w:type="spellStart"/>
      <w:r w:rsidRPr="0049767F">
        <w:rPr>
          <w:rFonts w:ascii="Times New Roman" w:eastAsiaTheme="majorEastAsia" w:hAnsi="Times New Roman" w:cs="Times New Roman"/>
          <w:bCs/>
          <w:sz w:val="24"/>
          <w:szCs w:val="24"/>
          <w:lang w:val="en-US"/>
        </w:rPr>
        <w:t>обращения</w:t>
      </w:r>
      <w:proofErr w:type="spellEnd"/>
      <w:r w:rsidRPr="0049767F">
        <w:rPr>
          <w:rFonts w:ascii="Times New Roman" w:eastAsiaTheme="majorEastAsia" w:hAnsi="Times New Roman" w:cs="Times New Roman"/>
          <w:bCs/>
          <w:sz w:val="24"/>
          <w:szCs w:val="24"/>
          <w:lang w:val="en-US"/>
        </w:rPr>
        <w:t>: 11.05.2017)</w:t>
      </w:r>
    </w:p>
    <w:p w:rsidR="00CD59A6" w:rsidRPr="00CD59A6" w:rsidRDefault="00CD59A6" w:rsidP="00CD59A6">
      <w:pPr>
        <w:pStyle w:val="a3"/>
        <w:numPr>
          <w:ilvl w:val="0"/>
          <w:numId w:val="22"/>
        </w:numPr>
        <w:spacing w:line="360" w:lineRule="auto"/>
        <w:jc w:val="both"/>
        <w:rPr>
          <w:rFonts w:ascii="Times New Roman" w:eastAsiaTheme="majorEastAsia" w:hAnsi="Times New Roman" w:cs="Times New Roman"/>
          <w:bCs/>
          <w:sz w:val="24"/>
          <w:szCs w:val="24"/>
          <w:lang w:val="en-US"/>
        </w:rPr>
      </w:pPr>
      <w:r w:rsidRPr="00CD59A6">
        <w:rPr>
          <w:rFonts w:ascii="Times New Roman" w:eastAsiaTheme="majorEastAsia" w:hAnsi="Times New Roman" w:cs="Times New Roman"/>
          <w:bCs/>
          <w:sz w:val="24"/>
          <w:szCs w:val="24"/>
          <w:lang w:val="en-US"/>
        </w:rPr>
        <w:t xml:space="preserve">Hoang, </w:t>
      </w:r>
      <w:r>
        <w:rPr>
          <w:rFonts w:ascii="Times New Roman" w:eastAsiaTheme="majorEastAsia" w:hAnsi="Times New Roman" w:cs="Times New Roman"/>
          <w:bCs/>
          <w:sz w:val="24"/>
          <w:szCs w:val="24"/>
        </w:rPr>
        <w:t>Т</w:t>
      </w:r>
      <w:r w:rsidRPr="00CD59A6">
        <w:rPr>
          <w:rFonts w:ascii="Times New Roman" w:eastAsiaTheme="majorEastAsia" w:hAnsi="Times New Roman" w:cs="Times New Roman"/>
          <w:bCs/>
          <w:sz w:val="24"/>
          <w:szCs w:val="24"/>
          <w:lang w:val="en-US"/>
        </w:rPr>
        <w:t xml:space="preserve"> Critical Success Factors in Merger &amp; Acquisition Projects / </w:t>
      </w:r>
      <w:r>
        <w:rPr>
          <w:rFonts w:ascii="Times New Roman" w:eastAsiaTheme="majorEastAsia" w:hAnsi="Times New Roman" w:cs="Times New Roman"/>
          <w:bCs/>
          <w:sz w:val="24"/>
          <w:szCs w:val="24"/>
        </w:rPr>
        <w:t>Т</w:t>
      </w:r>
      <w:r w:rsidRPr="00CD59A6">
        <w:rPr>
          <w:rFonts w:ascii="Times New Roman" w:eastAsiaTheme="majorEastAsia" w:hAnsi="Times New Roman" w:cs="Times New Roman"/>
          <w:bCs/>
          <w:sz w:val="24"/>
          <w:szCs w:val="24"/>
          <w:lang w:val="en-US"/>
        </w:rPr>
        <w:t xml:space="preserve">. Hoang </w:t>
      </w:r>
      <w:r>
        <w:rPr>
          <w:rFonts w:ascii="Times New Roman" w:eastAsiaTheme="majorEastAsia" w:hAnsi="Times New Roman" w:cs="Times New Roman"/>
          <w:bCs/>
          <w:sz w:val="24"/>
          <w:szCs w:val="24"/>
          <w:lang w:val="en-US"/>
        </w:rPr>
        <w:t>–</w:t>
      </w:r>
      <w:r w:rsidRPr="00CD59A6">
        <w:rPr>
          <w:rFonts w:ascii="Times New Roman" w:eastAsiaTheme="majorEastAsia" w:hAnsi="Times New Roman" w:cs="Times New Roman"/>
          <w:bCs/>
          <w:sz w:val="24"/>
          <w:szCs w:val="24"/>
          <w:lang w:val="en-US"/>
        </w:rPr>
        <w:t xml:space="preserve"> </w:t>
      </w:r>
      <w:r>
        <w:rPr>
          <w:rFonts w:ascii="Times New Roman" w:eastAsiaTheme="majorEastAsia" w:hAnsi="Times New Roman" w:cs="Times New Roman"/>
          <w:bCs/>
          <w:sz w:val="24"/>
          <w:szCs w:val="24"/>
          <w:lang w:val="en-US"/>
        </w:rPr>
        <w:t>Umea, 2008. – 101 p.</w:t>
      </w:r>
    </w:p>
    <w:p w:rsidR="005654E7" w:rsidRPr="005654E7" w:rsidRDefault="005654E7" w:rsidP="005654E7">
      <w:pPr>
        <w:pStyle w:val="a3"/>
        <w:numPr>
          <w:ilvl w:val="0"/>
          <w:numId w:val="22"/>
        </w:numPr>
        <w:spacing w:line="360" w:lineRule="auto"/>
        <w:jc w:val="both"/>
        <w:rPr>
          <w:rFonts w:ascii="Times New Roman" w:eastAsiaTheme="majorEastAsia" w:hAnsi="Times New Roman" w:cs="Times New Roman"/>
          <w:bCs/>
          <w:sz w:val="24"/>
          <w:szCs w:val="24"/>
          <w:lang w:val="en-US"/>
        </w:rPr>
      </w:pPr>
      <w:proofErr w:type="spellStart"/>
      <w:r w:rsidRPr="005654E7">
        <w:rPr>
          <w:rFonts w:ascii="Times New Roman" w:eastAsia="Times New Roman" w:hAnsi="Times New Roman"/>
          <w:sz w:val="24"/>
          <w:lang w:val="en-US"/>
        </w:rPr>
        <w:t>Koller</w:t>
      </w:r>
      <w:proofErr w:type="spellEnd"/>
      <w:r w:rsidRPr="005654E7">
        <w:rPr>
          <w:rFonts w:ascii="Times New Roman" w:eastAsia="Times New Roman" w:hAnsi="Times New Roman"/>
          <w:sz w:val="24"/>
          <w:lang w:val="en-US"/>
        </w:rPr>
        <w:t xml:space="preserve">, T., </w:t>
      </w:r>
      <w:proofErr w:type="spellStart"/>
      <w:r w:rsidRPr="005654E7">
        <w:rPr>
          <w:rFonts w:ascii="Times New Roman" w:eastAsia="Times New Roman" w:hAnsi="Times New Roman"/>
          <w:sz w:val="24"/>
          <w:lang w:val="en-US"/>
        </w:rPr>
        <w:t>Goedhard</w:t>
      </w:r>
      <w:proofErr w:type="spellEnd"/>
      <w:r w:rsidRPr="005654E7">
        <w:rPr>
          <w:rFonts w:ascii="Times New Roman" w:eastAsia="Times New Roman" w:hAnsi="Times New Roman"/>
          <w:sz w:val="24"/>
          <w:lang w:val="en-US"/>
        </w:rPr>
        <w:t xml:space="preserve">, M., </w:t>
      </w:r>
      <w:proofErr w:type="spellStart"/>
      <w:r w:rsidRPr="005654E7">
        <w:rPr>
          <w:rFonts w:ascii="Times New Roman" w:eastAsia="Times New Roman" w:hAnsi="Times New Roman"/>
          <w:sz w:val="24"/>
          <w:lang w:val="en-US"/>
        </w:rPr>
        <w:t>Wessels</w:t>
      </w:r>
      <w:proofErr w:type="spellEnd"/>
      <w:r w:rsidRPr="005654E7">
        <w:rPr>
          <w:rFonts w:ascii="Times New Roman" w:eastAsia="Times New Roman" w:hAnsi="Times New Roman"/>
          <w:sz w:val="24"/>
          <w:lang w:val="en-US"/>
        </w:rPr>
        <w:t>, D. Valuation – Measuring and Managing the Value of</w:t>
      </w:r>
      <w:r>
        <w:rPr>
          <w:rFonts w:ascii="Times New Roman" w:eastAsia="Times New Roman" w:hAnsi="Times New Roman"/>
          <w:sz w:val="24"/>
          <w:lang w:val="en-US"/>
        </w:rPr>
        <w:t xml:space="preserve"> </w:t>
      </w:r>
      <w:r w:rsidRPr="005654E7">
        <w:rPr>
          <w:rFonts w:ascii="Times New Roman" w:eastAsia="Times New Roman" w:hAnsi="Times New Roman"/>
          <w:sz w:val="24"/>
          <w:lang w:val="en-US"/>
        </w:rPr>
        <w:t xml:space="preserve">Companies / </w:t>
      </w:r>
      <w:proofErr w:type="spellStart"/>
      <w:r w:rsidRPr="005654E7">
        <w:rPr>
          <w:rFonts w:ascii="Times New Roman" w:eastAsia="Times New Roman" w:hAnsi="Times New Roman"/>
          <w:sz w:val="24"/>
          <w:lang w:val="en-US"/>
        </w:rPr>
        <w:t>Koller</w:t>
      </w:r>
      <w:proofErr w:type="spellEnd"/>
      <w:r w:rsidRPr="005654E7">
        <w:rPr>
          <w:rFonts w:ascii="Times New Roman" w:eastAsia="Times New Roman" w:hAnsi="Times New Roman"/>
          <w:sz w:val="24"/>
          <w:lang w:val="en-US"/>
        </w:rPr>
        <w:t xml:space="preserve">, T., </w:t>
      </w:r>
      <w:proofErr w:type="spellStart"/>
      <w:r w:rsidRPr="005654E7">
        <w:rPr>
          <w:rFonts w:ascii="Times New Roman" w:eastAsia="Times New Roman" w:hAnsi="Times New Roman"/>
          <w:sz w:val="24"/>
          <w:lang w:val="en-US"/>
        </w:rPr>
        <w:t>Goedhard</w:t>
      </w:r>
      <w:proofErr w:type="spellEnd"/>
      <w:r w:rsidRPr="005654E7">
        <w:rPr>
          <w:rFonts w:ascii="Times New Roman" w:eastAsia="Times New Roman" w:hAnsi="Times New Roman"/>
          <w:sz w:val="24"/>
          <w:lang w:val="en-US"/>
        </w:rPr>
        <w:t xml:space="preserve">, M., </w:t>
      </w:r>
      <w:proofErr w:type="spellStart"/>
      <w:r w:rsidRPr="005654E7">
        <w:rPr>
          <w:rFonts w:ascii="Times New Roman" w:eastAsia="Times New Roman" w:hAnsi="Times New Roman"/>
          <w:sz w:val="24"/>
          <w:lang w:val="en-US"/>
        </w:rPr>
        <w:t>Wessels</w:t>
      </w:r>
      <w:proofErr w:type="spellEnd"/>
      <w:r w:rsidRPr="005654E7">
        <w:rPr>
          <w:rFonts w:ascii="Times New Roman" w:eastAsia="Times New Roman" w:hAnsi="Times New Roman"/>
          <w:sz w:val="24"/>
          <w:lang w:val="en-US"/>
        </w:rPr>
        <w:t>, D. – 4</w:t>
      </w:r>
      <w:r w:rsidRPr="005654E7">
        <w:rPr>
          <w:rFonts w:ascii="Times New Roman" w:eastAsia="Times New Roman" w:hAnsi="Times New Roman"/>
          <w:sz w:val="32"/>
          <w:vertAlign w:val="superscript"/>
          <w:lang w:val="en-US"/>
        </w:rPr>
        <w:t>th</w:t>
      </w:r>
      <w:r w:rsidRPr="005654E7">
        <w:rPr>
          <w:rFonts w:ascii="Times New Roman" w:eastAsia="Times New Roman" w:hAnsi="Times New Roman"/>
          <w:sz w:val="24"/>
          <w:lang w:val="en-US"/>
        </w:rPr>
        <w:t xml:space="preserve"> ed. - New Jersey: Johns Wiley &amp; Sons, </w:t>
      </w:r>
      <w:proofErr w:type="spellStart"/>
      <w:r w:rsidRPr="005654E7">
        <w:rPr>
          <w:rFonts w:ascii="Times New Roman" w:eastAsia="Times New Roman" w:hAnsi="Times New Roman"/>
          <w:sz w:val="24"/>
          <w:lang w:val="en-US"/>
        </w:rPr>
        <w:t>Inc</w:t>
      </w:r>
      <w:proofErr w:type="spellEnd"/>
      <w:r w:rsidRPr="005654E7">
        <w:rPr>
          <w:rFonts w:ascii="Times New Roman" w:eastAsia="Times New Roman" w:hAnsi="Times New Roman"/>
          <w:sz w:val="24"/>
          <w:lang w:val="en-US"/>
        </w:rPr>
        <w:t>, 2005</w:t>
      </w:r>
    </w:p>
    <w:p w:rsidR="005654E7" w:rsidRPr="00CD59A6" w:rsidRDefault="005654E7" w:rsidP="005654E7">
      <w:pPr>
        <w:pStyle w:val="a3"/>
        <w:numPr>
          <w:ilvl w:val="0"/>
          <w:numId w:val="22"/>
        </w:numPr>
        <w:spacing w:line="360" w:lineRule="auto"/>
        <w:jc w:val="both"/>
        <w:rPr>
          <w:rFonts w:ascii="Times New Roman" w:eastAsiaTheme="majorEastAsia" w:hAnsi="Times New Roman" w:cs="Times New Roman"/>
          <w:bCs/>
          <w:sz w:val="24"/>
          <w:szCs w:val="24"/>
          <w:lang w:val="en-US"/>
        </w:rPr>
      </w:pPr>
      <w:proofErr w:type="spellStart"/>
      <w:r w:rsidRPr="005654E7">
        <w:rPr>
          <w:rFonts w:ascii="Times New Roman" w:eastAsia="Times New Roman" w:hAnsi="Times New Roman"/>
          <w:sz w:val="24"/>
          <w:lang w:val="en-US"/>
        </w:rPr>
        <w:t>Koller</w:t>
      </w:r>
      <w:proofErr w:type="spellEnd"/>
      <w:r w:rsidRPr="005654E7">
        <w:rPr>
          <w:rFonts w:ascii="Times New Roman" w:eastAsia="Times New Roman" w:hAnsi="Times New Roman"/>
          <w:sz w:val="24"/>
          <w:lang w:val="en-US"/>
        </w:rPr>
        <w:t xml:space="preserve">, T., </w:t>
      </w:r>
      <w:proofErr w:type="spellStart"/>
      <w:r w:rsidRPr="005654E7">
        <w:rPr>
          <w:rFonts w:ascii="Times New Roman" w:eastAsia="Times New Roman" w:hAnsi="Times New Roman"/>
          <w:sz w:val="24"/>
          <w:lang w:val="en-US"/>
        </w:rPr>
        <w:t>Goedhard</w:t>
      </w:r>
      <w:proofErr w:type="spellEnd"/>
      <w:r w:rsidRPr="005654E7">
        <w:rPr>
          <w:rFonts w:ascii="Times New Roman" w:eastAsia="Times New Roman" w:hAnsi="Times New Roman"/>
          <w:sz w:val="24"/>
          <w:lang w:val="en-US"/>
        </w:rPr>
        <w:t xml:space="preserve">, M., </w:t>
      </w:r>
      <w:proofErr w:type="spellStart"/>
      <w:r w:rsidRPr="005654E7">
        <w:rPr>
          <w:rFonts w:ascii="Times New Roman" w:eastAsia="Times New Roman" w:hAnsi="Times New Roman"/>
          <w:sz w:val="24"/>
          <w:lang w:val="en-US"/>
        </w:rPr>
        <w:t>Wessels</w:t>
      </w:r>
      <w:proofErr w:type="spellEnd"/>
      <w:r w:rsidRPr="005654E7">
        <w:rPr>
          <w:rFonts w:ascii="Times New Roman" w:eastAsia="Times New Roman" w:hAnsi="Times New Roman"/>
          <w:sz w:val="24"/>
          <w:lang w:val="en-US"/>
        </w:rPr>
        <w:t xml:space="preserve">, D. Valuation – Measuring and Managing the Value of Companies / </w:t>
      </w:r>
      <w:proofErr w:type="spellStart"/>
      <w:r w:rsidRPr="005654E7">
        <w:rPr>
          <w:rFonts w:ascii="Times New Roman" w:eastAsia="Times New Roman" w:hAnsi="Times New Roman"/>
          <w:sz w:val="24"/>
          <w:lang w:val="en-US"/>
        </w:rPr>
        <w:t>Koller</w:t>
      </w:r>
      <w:proofErr w:type="spellEnd"/>
      <w:r w:rsidRPr="005654E7">
        <w:rPr>
          <w:rFonts w:ascii="Times New Roman" w:eastAsia="Times New Roman" w:hAnsi="Times New Roman"/>
          <w:sz w:val="24"/>
          <w:lang w:val="en-US"/>
        </w:rPr>
        <w:t xml:space="preserve">, T., </w:t>
      </w:r>
      <w:proofErr w:type="spellStart"/>
      <w:r w:rsidRPr="005654E7">
        <w:rPr>
          <w:rFonts w:ascii="Times New Roman" w:eastAsia="Times New Roman" w:hAnsi="Times New Roman"/>
          <w:sz w:val="24"/>
          <w:lang w:val="en-US"/>
        </w:rPr>
        <w:t>Goedhard</w:t>
      </w:r>
      <w:proofErr w:type="spellEnd"/>
      <w:r w:rsidRPr="005654E7">
        <w:rPr>
          <w:rFonts w:ascii="Times New Roman" w:eastAsia="Times New Roman" w:hAnsi="Times New Roman"/>
          <w:sz w:val="24"/>
          <w:lang w:val="en-US"/>
        </w:rPr>
        <w:t xml:space="preserve">, M., </w:t>
      </w:r>
      <w:proofErr w:type="spellStart"/>
      <w:r w:rsidRPr="005654E7">
        <w:rPr>
          <w:rFonts w:ascii="Times New Roman" w:eastAsia="Times New Roman" w:hAnsi="Times New Roman"/>
          <w:sz w:val="24"/>
          <w:lang w:val="en-US"/>
        </w:rPr>
        <w:t>Wessels</w:t>
      </w:r>
      <w:proofErr w:type="spellEnd"/>
      <w:r w:rsidRPr="005654E7">
        <w:rPr>
          <w:rFonts w:ascii="Times New Roman" w:eastAsia="Times New Roman" w:hAnsi="Times New Roman"/>
          <w:sz w:val="24"/>
          <w:lang w:val="en-US"/>
        </w:rPr>
        <w:t>, D. - 5</w:t>
      </w:r>
      <w:r w:rsidRPr="005654E7">
        <w:rPr>
          <w:rFonts w:ascii="Times New Roman" w:eastAsia="Times New Roman" w:hAnsi="Times New Roman"/>
          <w:sz w:val="32"/>
          <w:vertAlign w:val="superscript"/>
          <w:lang w:val="en-US"/>
        </w:rPr>
        <w:t>th</w:t>
      </w:r>
      <w:r w:rsidRPr="005654E7">
        <w:rPr>
          <w:rFonts w:ascii="Times New Roman" w:eastAsia="Times New Roman" w:hAnsi="Times New Roman"/>
          <w:sz w:val="24"/>
          <w:lang w:val="en-US"/>
        </w:rPr>
        <w:t xml:space="preserve"> ed. - New Jersey: Johns Wiley &amp; sons, </w:t>
      </w:r>
      <w:proofErr w:type="spellStart"/>
      <w:r w:rsidRPr="005654E7">
        <w:rPr>
          <w:rFonts w:ascii="Times New Roman" w:eastAsia="Times New Roman" w:hAnsi="Times New Roman"/>
          <w:sz w:val="24"/>
          <w:lang w:val="en-US"/>
        </w:rPr>
        <w:t>Inc</w:t>
      </w:r>
      <w:proofErr w:type="spellEnd"/>
      <w:r w:rsidRPr="005654E7">
        <w:rPr>
          <w:rFonts w:ascii="Times New Roman" w:eastAsia="Times New Roman" w:hAnsi="Times New Roman"/>
          <w:sz w:val="24"/>
          <w:lang w:val="en-US"/>
        </w:rPr>
        <w:t>, 2010</w:t>
      </w:r>
    </w:p>
    <w:p w:rsidR="00CD59A6" w:rsidRPr="005654E7" w:rsidRDefault="00CD59A6" w:rsidP="00CD59A6">
      <w:pPr>
        <w:pStyle w:val="a3"/>
        <w:numPr>
          <w:ilvl w:val="0"/>
          <w:numId w:val="22"/>
        </w:numPr>
        <w:spacing w:line="360" w:lineRule="auto"/>
        <w:jc w:val="both"/>
        <w:rPr>
          <w:rFonts w:ascii="Times New Roman" w:eastAsiaTheme="majorEastAsia" w:hAnsi="Times New Roman" w:cs="Times New Roman"/>
          <w:bCs/>
          <w:sz w:val="24"/>
          <w:szCs w:val="24"/>
          <w:lang w:val="en-US"/>
        </w:rPr>
      </w:pPr>
      <w:proofErr w:type="spellStart"/>
      <w:r w:rsidRPr="00CD59A6">
        <w:rPr>
          <w:rFonts w:ascii="Times New Roman" w:eastAsiaTheme="majorEastAsia" w:hAnsi="Times New Roman" w:cs="Times New Roman"/>
          <w:bCs/>
          <w:sz w:val="24"/>
          <w:szCs w:val="24"/>
          <w:lang w:val="en-US"/>
        </w:rPr>
        <w:t>Lindholm</w:t>
      </w:r>
      <w:proofErr w:type="spellEnd"/>
      <w:r w:rsidRPr="00CD59A6">
        <w:rPr>
          <w:rFonts w:ascii="Times New Roman" w:eastAsiaTheme="majorEastAsia" w:hAnsi="Times New Roman" w:cs="Times New Roman"/>
          <w:bCs/>
          <w:sz w:val="24"/>
          <w:szCs w:val="24"/>
          <w:lang w:val="en-US"/>
        </w:rPr>
        <w:t xml:space="preserve">, </w:t>
      </w:r>
      <w:r>
        <w:rPr>
          <w:rFonts w:ascii="Times New Roman" w:eastAsiaTheme="majorEastAsia" w:hAnsi="Times New Roman" w:cs="Times New Roman"/>
          <w:bCs/>
          <w:sz w:val="24"/>
          <w:szCs w:val="24"/>
        </w:rPr>
        <w:t>Н</w:t>
      </w:r>
      <w:r w:rsidRPr="00CD59A6">
        <w:rPr>
          <w:rFonts w:ascii="Times New Roman" w:eastAsiaTheme="majorEastAsia" w:hAnsi="Times New Roman" w:cs="Times New Roman"/>
          <w:bCs/>
          <w:sz w:val="24"/>
          <w:szCs w:val="24"/>
          <w:lang w:val="en-US"/>
        </w:rPr>
        <w:t xml:space="preserve"> Strategic Attractiveness in Mergers and Acquisitions / </w:t>
      </w:r>
      <w:r>
        <w:rPr>
          <w:rFonts w:ascii="Times New Roman" w:eastAsiaTheme="majorEastAsia" w:hAnsi="Times New Roman" w:cs="Times New Roman"/>
          <w:bCs/>
          <w:sz w:val="24"/>
          <w:szCs w:val="24"/>
        </w:rPr>
        <w:t>Н</w:t>
      </w:r>
      <w:r w:rsidRPr="00CD59A6">
        <w:rPr>
          <w:rFonts w:ascii="Times New Roman" w:eastAsiaTheme="majorEastAsia" w:hAnsi="Times New Roman" w:cs="Times New Roman"/>
          <w:bCs/>
          <w:sz w:val="24"/>
          <w:szCs w:val="24"/>
          <w:lang w:val="en-US"/>
        </w:rPr>
        <w:t xml:space="preserve">. </w:t>
      </w:r>
      <w:proofErr w:type="spellStart"/>
      <w:r>
        <w:rPr>
          <w:rFonts w:ascii="Times New Roman" w:eastAsiaTheme="majorEastAsia" w:hAnsi="Times New Roman" w:cs="Times New Roman"/>
          <w:bCs/>
          <w:sz w:val="24"/>
          <w:szCs w:val="24"/>
          <w:lang w:val="en-US"/>
        </w:rPr>
        <w:t>Lindholm</w:t>
      </w:r>
      <w:proofErr w:type="spellEnd"/>
      <w:r w:rsidRPr="00CD59A6">
        <w:rPr>
          <w:rFonts w:ascii="Times New Roman" w:eastAsiaTheme="majorEastAsia" w:hAnsi="Times New Roman" w:cs="Times New Roman"/>
          <w:bCs/>
          <w:sz w:val="24"/>
          <w:szCs w:val="24"/>
          <w:lang w:val="en-US"/>
        </w:rPr>
        <w:t xml:space="preserve"> - Lund University, 2006. </w:t>
      </w:r>
      <w:r>
        <w:rPr>
          <w:rFonts w:ascii="Times New Roman" w:eastAsiaTheme="majorEastAsia" w:hAnsi="Times New Roman" w:cs="Times New Roman"/>
          <w:bCs/>
          <w:sz w:val="24"/>
          <w:szCs w:val="24"/>
          <w:lang w:val="en-US"/>
        </w:rPr>
        <w:t>–</w:t>
      </w:r>
      <w:r w:rsidRPr="00CD59A6">
        <w:rPr>
          <w:rFonts w:ascii="Times New Roman" w:eastAsiaTheme="majorEastAsia" w:hAnsi="Times New Roman" w:cs="Times New Roman"/>
          <w:bCs/>
          <w:sz w:val="24"/>
          <w:szCs w:val="24"/>
          <w:lang w:val="en-US"/>
        </w:rPr>
        <w:t xml:space="preserve"> 107 </w:t>
      </w:r>
      <w:r>
        <w:rPr>
          <w:rFonts w:ascii="Times New Roman" w:eastAsiaTheme="majorEastAsia" w:hAnsi="Times New Roman" w:cs="Times New Roman"/>
          <w:bCs/>
          <w:sz w:val="24"/>
          <w:szCs w:val="24"/>
        </w:rPr>
        <w:t>р</w:t>
      </w:r>
      <w:r w:rsidRPr="00CD59A6">
        <w:rPr>
          <w:rFonts w:ascii="Times New Roman" w:eastAsiaTheme="majorEastAsia" w:hAnsi="Times New Roman" w:cs="Times New Roman"/>
          <w:bCs/>
          <w:sz w:val="24"/>
          <w:szCs w:val="24"/>
          <w:lang w:val="en-US"/>
        </w:rPr>
        <w:t>.</w:t>
      </w:r>
    </w:p>
    <w:p w:rsidR="00BB18D6" w:rsidRPr="00FE3362" w:rsidRDefault="00BB18D6" w:rsidP="005654E7">
      <w:pPr>
        <w:numPr>
          <w:ilvl w:val="0"/>
          <w:numId w:val="22"/>
        </w:numPr>
        <w:tabs>
          <w:tab w:val="left" w:pos="358"/>
        </w:tabs>
        <w:spacing w:after="0" w:line="360" w:lineRule="auto"/>
        <w:jc w:val="both"/>
        <w:rPr>
          <w:rFonts w:ascii="Times New Roman" w:eastAsia="Times New Roman" w:hAnsi="Times New Roman"/>
          <w:sz w:val="24"/>
        </w:rPr>
      </w:pPr>
      <w:proofErr w:type="spellStart"/>
      <w:r w:rsidRPr="005654E7">
        <w:rPr>
          <w:rFonts w:ascii="Times New Roman" w:eastAsiaTheme="majorEastAsia" w:hAnsi="Times New Roman" w:cs="Times New Roman"/>
          <w:bCs/>
          <w:sz w:val="24"/>
          <w:szCs w:val="24"/>
          <w:lang w:val="en-US"/>
        </w:rPr>
        <w:t>Ibanking</w:t>
      </w:r>
      <w:proofErr w:type="spellEnd"/>
      <w:r w:rsidRPr="005654E7">
        <w:rPr>
          <w:rFonts w:ascii="Times New Roman" w:eastAsiaTheme="majorEastAsia" w:hAnsi="Times New Roman" w:cs="Times New Roman"/>
          <w:bCs/>
          <w:sz w:val="24"/>
          <w:szCs w:val="24"/>
          <w:lang w:val="en-US"/>
        </w:rPr>
        <w:t xml:space="preserve"> FAQ – EPS accretion/dilution. URL</w:t>
      </w:r>
      <w:r w:rsidRPr="005654E7">
        <w:rPr>
          <w:rFonts w:ascii="Times New Roman" w:eastAsiaTheme="majorEastAsia" w:hAnsi="Times New Roman" w:cs="Times New Roman"/>
          <w:bCs/>
          <w:sz w:val="24"/>
          <w:szCs w:val="24"/>
        </w:rPr>
        <w:t xml:space="preserve"> </w:t>
      </w:r>
      <w:hyperlink r:id="rId21" w:history="1">
        <w:r w:rsidRPr="005654E7">
          <w:rPr>
            <w:rStyle w:val="a4"/>
            <w:rFonts w:ascii="Times New Roman" w:eastAsiaTheme="majorEastAsia" w:hAnsi="Times New Roman" w:cs="Times New Roman"/>
            <w:bCs/>
            <w:sz w:val="24"/>
            <w:szCs w:val="24"/>
            <w:lang w:val="en-US"/>
          </w:rPr>
          <w:t>http</w:t>
        </w:r>
        <w:r w:rsidRPr="005654E7">
          <w:rPr>
            <w:rStyle w:val="a4"/>
            <w:rFonts w:ascii="Times New Roman" w:eastAsiaTheme="majorEastAsia" w:hAnsi="Times New Roman" w:cs="Times New Roman"/>
            <w:bCs/>
            <w:sz w:val="24"/>
            <w:szCs w:val="24"/>
          </w:rPr>
          <w:t>://</w:t>
        </w:r>
        <w:r w:rsidRPr="005654E7">
          <w:rPr>
            <w:rStyle w:val="a4"/>
            <w:rFonts w:ascii="Times New Roman" w:eastAsiaTheme="majorEastAsia" w:hAnsi="Times New Roman" w:cs="Times New Roman"/>
            <w:bCs/>
            <w:sz w:val="24"/>
            <w:szCs w:val="24"/>
            <w:lang w:val="en-US"/>
          </w:rPr>
          <w:t>www</w:t>
        </w:r>
        <w:r w:rsidRPr="005654E7">
          <w:rPr>
            <w:rStyle w:val="a4"/>
            <w:rFonts w:ascii="Times New Roman" w:eastAsiaTheme="majorEastAsia" w:hAnsi="Times New Roman" w:cs="Times New Roman"/>
            <w:bCs/>
            <w:sz w:val="24"/>
            <w:szCs w:val="24"/>
          </w:rPr>
          <w:t>.</w:t>
        </w:r>
        <w:proofErr w:type="spellStart"/>
        <w:r w:rsidRPr="005654E7">
          <w:rPr>
            <w:rStyle w:val="a4"/>
            <w:rFonts w:ascii="Times New Roman" w:eastAsiaTheme="majorEastAsia" w:hAnsi="Times New Roman" w:cs="Times New Roman"/>
            <w:bCs/>
            <w:sz w:val="24"/>
            <w:szCs w:val="24"/>
            <w:lang w:val="en-US"/>
          </w:rPr>
          <w:t>ibankingfaq</w:t>
        </w:r>
        <w:proofErr w:type="spellEnd"/>
        <w:r w:rsidRPr="005654E7">
          <w:rPr>
            <w:rStyle w:val="a4"/>
            <w:rFonts w:ascii="Times New Roman" w:eastAsiaTheme="majorEastAsia" w:hAnsi="Times New Roman" w:cs="Times New Roman"/>
            <w:bCs/>
            <w:sz w:val="24"/>
            <w:szCs w:val="24"/>
          </w:rPr>
          <w:t>.</w:t>
        </w:r>
        <w:r w:rsidRPr="005654E7">
          <w:rPr>
            <w:rStyle w:val="a4"/>
            <w:rFonts w:ascii="Times New Roman" w:eastAsiaTheme="majorEastAsia" w:hAnsi="Times New Roman" w:cs="Times New Roman"/>
            <w:bCs/>
            <w:sz w:val="24"/>
            <w:szCs w:val="24"/>
            <w:lang w:val="en-US"/>
          </w:rPr>
          <w:t>com</w:t>
        </w:r>
        <w:r w:rsidRPr="005654E7">
          <w:rPr>
            <w:rStyle w:val="a4"/>
            <w:rFonts w:ascii="Times New Roman" w:eastAsiaTheme="majorEastAsia" w:hAnsi="Times New Roman" w:cs="Times New Roman"/>
            <w:bCs/>
            <w:sz w:val="24"/>
            <w:szCs w:val="24"/>
          </w:rPr>
          <w:t>/</w:t>
        </w:r>
      </w:hyperlink>
      <w:r w:rsidRPr="005654E7">
        <w:rPr>
          <w:rFonts w:ascii="Times New Roman" w:eastAsiaTheme="majorEastAsia" w:hAnsi="Times New Roman" w:cs="Times New Roman"/>
          <w:bCs/>
          <w:sz w:val="24"/>
          <w:szCs w:val="24"/>
        </w:rPr>
        <w:t xml:space="preserve"> (Дата обращения: 11.05.2017)</w:t>
      </w:r>
    </w:p>
    <w:p w:rsidR="00BB18D6" w:rsidRPr="00BB18D6" w:rsidRDefault="00BB18D6" w:rsidP="005654E7">
      <w:pPr>
        <w:pStyle w:val="a3"/>
        <w:numPr>
          <w:ilvl w:val="0"/>
          <w:numId w:val="22"/>
        </w:numPr>
        <w:spacing w:line="360" w:lineRule="auto"/>
        <w:jc w:val="both"/>
        <w:rPr>
          <w:rFonts w:ascii="Times New Roman" w:eastAsiaTheme="majorEastAsia" w:hAnsi="Times New Roman" w:cs="Times New Roman"/>
          <w:bCs/>
          <w:sz w:val="24"/>
          <w:szCs w:val="24"/>
        </w:rPr>
      </w:pPr>
      <w:r w:rsidRPr="00BB18D6">
        <w:rPr>
          <w:rFonts w:ascii="Times New Roman" w:eastAsiaTheme="majorEastAsia" w:hAnsi="Times New Roman" w:cs="Times New Roman"/>
          <w:bCs/>
          <w:sz w:val="24"/>
          <w:szCs w:val="24"/>
          <w:lang w:val="en-US"/>
        </w:rPr>
        <w:lastRenderedPageBreak/>
        <w:t xml:space="preserve">Investopedia – EPS accretion/dilution analysis. </w:t>
      </w:r>
      <w:r w:rsidRPr="00BB18D6">
        <w:rPr>
          <w:rFonts w:ascii="Times New Roman" w:eastAsiaTheme="majorEastAsia" w:hAnsi="Times New Roman" w:cs="Times New Roman"/>
          <w:bCs/>
          <w:sz w:val="24"/>
          <w:szCs w:val="24"/>
        </w:rPr>
        <w:t xml:space="preserve">URL: </w:t>
      </w:r>
      <w:hyperlink r:id="rId22" w:history="1">
        <w:r w:rsidRPr="002F4C89">
          <w:rPr>
            <w:rStyle w:val="a4"/>
            <w:rFonts w:ascii="Times New Roman" w:eastAsiaTheme="majorEastAsia" w:hAnsi="Times New Roman" w:cs="Times New Roman"/>
            <w:bCs/>
            <w:sz w:val="24"/>
            <w:szCs w:val="24"/>
          </w:rPr>
          <w:t>http://www.investopedia.com/</w:t>
        </w:r>
      </w:hyperlink>
      <w:r w:rsidRPr="00BB18D6">
        <w:rPr>
          <w:rFonts w:ascii="Times New Roman" w:eastAsiaTheme="majorEastAsia" w:hAnsi="Times New Roman" w:cs="Times New Roman"/>
          <w:bCs/>
          <w:sz w:val="24"/>
          <w:szCs w:val="24"/>
        </w:rPr>
        <w:t xml:space="preserve"> (Дата обращения: 11.05.2017)</w:t>
      </w:r>
    </w:p>
    <w:p w:rsidR="00BB18D6" w:rsidRPr="0049767F" w:rsidRDefault="00BB18D6" w:rsidP="005654E7">
      <w:pPr>
        <w:pStyle w:val="a3"/>
        <w:numPr>
          <w:ilvl w:val="0"/>
          <w:numId w:val="22"/>
        </w:numPr>
        <w:spacing w:line="360" w:lineRule="auto"/>
        <w:jc w:val="both"/>
        <w:rPr>
          <w:rFonts w:ascii="Times New Roman" w:eastAsiaTheme="majorEastAsia" w:hAnsi="Times New Roman" w:cs="Times New Roman"/>
          <w:bCs/>
          <w:sz w:val="24"/>
          <w:szCs w:val="24"/>
          <w:lang w:val="en-US"/>
        </w:rPr>
      </w:pPr>
      <w:r w:rsidRPr="00BB18D6">
        <w:rPr>
          <w:rFonts w:ascii="Times New Roman" w:eastAsiaTheme="majorEastAsia" w:hAnsi="Times New Roman" w:cs="Times New Roman"/>
          <w:bCs/>
          <w:sz w:val="24"/>
          <w:szCs w:val="24"/>
          <w:lang w:val="en-US"/>
        </w:rPr>
        <w:t>King, A.M. Fair Value for Financial Reporting: Meeting the New FASB Requirements / A.M. King. – New York: John Wiley &amp; Sons, Inc., 2011. – 383 p.</w:t>
      </w:r>
    </w:p>
    <w:p w:rsidR="0065198B" w:rsidRDefault="0065198B" w:rsidP="005654E7">
      <w:pPr>
        <w:pStyle w:val="a3"/>
        <w:numPr>
          <w:ilvl w:val="0"/>
          <w:numId w:val="2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Reed </w:t>
      </w:r>
      <w:r w:rsidRPr="005503B8">
        <w:rPr>
          <w:rFonts w:ascii="Times New Roman" w:hAnsi="Times New Roman" w:cs="Times New Roman"/>
          <w:sz w:val="24"/>
          <w:szCs w:val="24"/>
          <w:lang w:val="en-US"/>
        </w:rPr>
        <w:t xml:space="preserve">S.F. The Art of M&amp;A, Fourth Edition: A Merger Acquisition Buyout Guide / S. F. Reed, A. </w:t>
      </w:r>
      <w:proofErr w:type="spellStart"/>
      <w:r w:rsidRPr="005503B8">
        <w:rPr>
          <w:rFonts w:ascii="Times New Roman" w:hAnsi="Times New Roman" w:cs="Times New Roman"/>
          <w:sz w:val="24"/>
          <w:szCs w:val="24"/>
          <w:lang w:val="en-US"/>
        </w:rPr>
        <w:t>Lajoux</w:t>
      </w:r>
      <w:proofErr w:type="spellEnd"/>
      <w:proofErr w:type="gramStart"/>
      <w:r w:rsidRPr="005503B8">
        <w:rPr>
          <w:rFonts w:ascii="Times New Roman" w:hAnsi="Times New Roman" w:cs="Times New Roman"/>
          <w:sz w:val="24"/>
          <w:szCs w:val="24"/>
          <w:lang w:val="en-US"/>
        </w:rPr>
        <w:t>,  H</w:t>
      </w:r>
      <w:proofErr w:type="gramEnd"/>
      <w:r w:rsidRPr="005503B8">
        <w:rPr>
          <w:rFonts w:ascii="Times New Roman" w:hAnsi="Times New Roman" w:cs="Times New Roman"/>
          <w:sz w:val="24"/>
          <w:szCs w:val="24"/>
          <w:lang w:val="en-US"/>
        </w:rPr>
        <w:t xml:space="preserve">. P. </w:t>
      </w:r>
      <w:proofErr w:type="spellStart"/>
      <w:r w:rsidRPr="005503B8">
        <w:rPr>
          <w:rFonts w:ascii="Times New Roman" w:hAnsi="Times New Roman" w:cs="Times New Roman"/>
          <w:sz w:val="24"/>
          <w:szCs w:val="24"/>
          <w:lang w:val="en-US"/>
        </w:rPr>
        <w:t>Nesvold</w:t>
      </w:r>
      <w:proofErr w:type="spellEnd"/>
      <w:r w:rsidRPr="005503B8">
        <w:rPr>
          <w:rFonts w:ascii="Times New Roman" w:hAnsi="Times New Roman" w:cs="Times New Roman"/>
          <w:sz w:val="24"/>
          <w:szCs w:val="24"/>
          <w:lang w:val="en-US"/>
        </w:rPr>
        <w:t xml:space="preserve"> . ― 4th ed. ―McGraw-Hill, 2007. — 15 p.</w:t>
      </w:r>
    </w:p>
    <w:p w:rsidR="0065198B" w:rsidRPr="005503B8" w:rsidRDefault="0065198B" w:rsidP="005654E7">
      <w:pPr>
        <w:pStyle w:val="a3"/>
        <w:numPr>
          <w:ilvl w:val="0"/>
          <w:numId w:val="22"/>
        </w:numPr>
        <w:spacing w:line="360" w:lineRule="auto"/>
        <w:jc w:val="both"/>
        <w:rPr>
          <w:rFonts w:ascii="Times New Roman" w:hAnsi="Times New Roman" w:cs="Times New Roman"/>
          <w:sz w:val="24"/>
          <w:szCs w:val="24"/>
          <w:lang w:val="en-US"/>
        </w:rPr>
      </w:pPr>
      <w:r w:rsidRPr="005503B8">
        <w:rPr>
          <w:rFonts w:ascii="Times New Roman" w:hAnsi="Times New Roman" w:cs="Times New Roman"/>
          <w:sz w:val="24"/>
          <w:szCs w:val="24"/>
          <w:lang w:val="en-US"/>
        </w:rPr>
        <w:t>Rosenbaum J. Investment Banking: Valuation, Leveraged Buyouts, and Mergers &amp; Acquisitions / J. Rosenbaum, J. Pearl, J. Harris. — 1st ed. — Wiley, 2009. – 497 p.</w:t>
      </w:r>
    </w:p>
    <w:p w:rsidR="00B567B0" w:rsidRPr="005E24FF" w:rsidRDefault="0065198B" w:rsidP="005654E7">
      <w:pPr>
        <w:pStyle w:val="a3"/>
        <w:numPr>
          <w:ilvl w:val="0"/>
          <w:numId w:val="22"/>
        </w:numPr>
        <w:spacing w:line="360" w:lineRule="auto"/>
        <w:jc w:val="both"/>
        <w:rPr>
          <w:rFonts w:ascii="Times New Roman" w:hAnsi="Times New Roman" w:cs="Times New Roman"/>
          <w:sz w:val="24"/>
          <w:szCs w:val="24"/>
          <w:lang w:val="en-US"/>
        </w:rPr>
      </w:pPr>
      <w:r w:rsidRPr="005503B8">
        <w:rPr>
          <w:rFonts w:ascii="Times New Roman" w:hAnsi="Times New Roman" w:cs="Times New Roman"/>
          <w:sz w:val="24"/>
          <w:szCs w:val="24"/>
          <w:lang w:val="en-US"/>
        </w:rPr>
        <w:t xml:space="preserve">Ross S.A. Corporate finance. International edition / S.A. Ross, R. W. </w:t>
      </w:r>
      <w:proofErr w:type="spellStart"/>
      <w:r w:rsidRPr="005503B8">
        <w:rPr>
          <w:rFonts w:ascii="Times New Roman" w:hAnsi="Times New Roman" w:cs="Times New Roman"/>
          <w:sz w:val="24"/>
          <w:szCs w:val="24"/>
          <w:lang w:val="en-US"/>
        </w:rPr>
        <w:t>Westerfield</w:t>
      </w:r>
      <w:proofErr w:type="spellEnd"/>
      <w:r w:rsidRPr="005503B8">
        <w:rPr>
          <w:rFonts w:ascii="Times New Roman" w:hAnsi="Times New Roman" w:cs="Times New Roman"/>
          <w:sz w:val="24"/>
          <w:szCs w:val="24"/>
          <w:lang w:val="en-US"/>
        </w:rPr>
        <w:t>, J. Jaffe. ― 4th ed. ― McGraw-Hill, 2010. — 901 p.</w:t>
      </w:r>
    </w:p>
    <w:p w:rsidR="005E24FF" w:rsidRPr="005E24FF" w:rsidRDefault="005E24FF" w:rsidP="005654E7">
      <w:pPr>
        <w:pStyle w:val="a3"/>
        <w:numPr>
          <w:ilvl w:val="0"/>
          <w:numId w:val="22"/>
        </w:numPr>
        <w:spacing w:line="360" w:lineRule="auto"/>
        <w:jc w:val="both"/>
        <w:rPr>
          <w:rFonts w:ascii="Times New Roman" w:hAnsi="Times New Roman" w:cs="Times New Roman"/>
          <w:sz w:val="24"/>
          <w:szCs w:val="24"/>
          <w:lang w:val="en-US"/>
        </w:rPr>
      </w:pPr>
      <w:r w:rsidRPr="005E24FF">
        <w:rPr>
          <w:rFonts w:ascii="Times New Roman" w:hAnsi="Times New Roman" w:cs="Times New Roman"/>
          <w:sz w:val="24"/>
          <w:szCs w:val="24"/>
          <w:lang w:val="en-US"/>
        </w:rPr>
        <w:t xml:space="preserve">Yahoo finance – historical data on </w:t>
      </w:r>
      <w:proofErr w:type="spellStart"/>
      <w:r w:rsidRPr="005E24FF">
        <w:rPr>
          <w:rFonts w:ascii="Times New Roman" w:hAnsi="Times New Roman" w:cs="Times New Roman"/>
          <w:sz w:val="24"/>
          <w:szCs w:val="24"/>
          <w:lang w:val="en-US"/>
        </w:rPr>
        <w:t>Rosneft</w:t>
      </w:r>
      <w:proofErr w:type="spellEnd"/>
      <w:r w:rsidRPr="005E24FF">
        <w:rPr>
          <w:rFonts w:ascii="Times New Roman" w:hAnsi="Times New Roman" w:cs="Times New Roman"/>
          <w:sz w:val="24"/>
          <w:szCs w:val="24"/>
          <w:lang w:val="en-US"/>
        </w:rPr>
        <w:t xml:space="preserve"> share prices </w:t>
      </w:r>
      <w:r>
        <w:rPr>
          <w:rFonts w:ascii="Times New Roman" w:hAnsi="Times New Roman" w:cs="Times New Roman"/>
          <w:sz w:val="24"/>
          <w:szCs w:val="24"/>
          <w:lang w:val="en-US"/>
        </w:rPr>
        <w:t xml:space="preserve">URL: </w:t>
      </w:r>
      <w:hyperlink r:id="rId23" w:history="1">
        <w:r w:rsidRPr="002F4C89">
          <w:rPr>
            <w:rStyle w:val="a4"/>
            <w:rFonts w:ascii="Times New Roman" w:hAnsi="Times New Roman" w:cs="Times New Roman"/>
            <w:sz w:val="24"/>
            <w:szCs w:val="24"/>
            <w:lang w:val="en-US"/>
          </w:rPr>
          <w:t>https://finance.yahoo.com/</w:t>
        </w:r>
      </w:hyperlink>
      <w:r w:rsidR="00CF07BE">
        <w:rPr>
          <w:rFonts w:ascii="Times New Roman" w:hAnsi="Times New Roman" w:cs="Times New Roman"/>
          <w:sz w:val="24"/>
          <w:szCs w:val="24"/>
          <w:lang w:val="en-US"/>
        </w:rPr>
        <w:t xml:space="preserve"> </w:t>
      </w:r>
      <w:r w:rsidRPr="005E24FF">
        <w:rPr>
          <w:rFonts w:ascii="Times New Roman" w:hAnsi="Times New Roman" w:cs="Times New Roman"/>
          <w:sz w:val="24"/>
          <w:szCs w:val="24"/>
          <w:lang w:val="en-US"/>
        </w:rPr>
        <w:t>(</w:t>
      </w:r>
      <w:proofErr w:type="spellStart"/>
      <w:r w:rsidRPr="005E24FF">
        <w:rPr>
          <w:rFonts w:ascii="Times New Roman" w:hAnsi="Times New Roman" w:cs="Times New Roman"/>
          <w:sz w:val="24"/>
          <w:szCs w:val="24"/>
          <w:lang w:val="en-US"/>
        </w:rPr>
        <w:t>Дата</w:t>
      </w:r>
      <w:proofErr w:type="spellEnd"/>
      <w:r w:rsidRPr="005E24FF">
        <w:rPr>
          <w:rFonts w:ascii="Times New Roman" w:hAnsi="Times New Roman" w:cs="Times New Roman"/>
          <w:sz w:val="24"/>
          <w:szCs w:val="24"/>
          <w:lang w:val="en-US"/>
        </w:rPr>
        <w:t xml:space="preserve"> </w:t>
      </w:r>
      <w:proofErr w:type="spellStart"/>
      <w:r w:rsidRPr="005E24FF">
        <w:rPr>
          <w:rFonts w:ascii="Times New Roman" w:hAnsi="Times New Roman" w:cs="Times New Roman"/>
          <w:sz w:val="24"/>
          <w:szCs w:val="24"/>
          <w:lang w:val="en-US"/>
        </w:rPr>
        <w:t>обращения</w:t>
      </w:r>
      <w:proofErr w:type="spellEnd"/>
      <w:r w:rsidRPr="005E24FF">
        <w:rPr>
          <w:rFonts w:ascii="Times New Roman" w:hAnsi="Times New Roman" w:cs="Times New Roman"/>
          <w:sz w:val="24"/>
          <w:szCs w:val="24"/>
          <w:lang w:val="en-US"/>
        </w:rPr>
        <w:t>: 8.05.2017)</w:t>
      </w:r>
    </w:p>
    <w:p w:rsidR="005E24FF" w:rsidRDefault="005E24FF" w:rsidP="005654E7">
      <w:pPr>
        <w:pStyle w:val="a3"/>
        <w:numPr>
          <w:ilvl w:val="0"/>
          <w:numId w:val="22"/>
        </w:numPr>
        <w:spacing w:line="360" w:lineRule="auto"/>
        <w:jc w:val="both"/>
        <w:rPr>
          <w:rFonts w:ascii="Times New Roman" w:hAnsi="Times New Roman" w:cs="Times New Roman"/>
          <w:sz w:val="24"/>
          <w:szCs w:val="24"/>
          <w:lang w:val="en-US"/>
        </w:rPr>
      </w:pPr>
      <w:r w:rsidRPr="005E24FF">
        <w:rPr>
          <w:rFonts w:ascii="Times New Roman" w:hAnsi="Times New Roman" w:cs="Times New Roman"/>
          <w:sz w:val="24"/>
          <w:szCs w:val="24"/>
          <w:lang w:val="en-US"/>
        </w:rPr>
        <w:t xml:space="preserve">Zephyr analysis of </w:t>
      </w:r>
      <w:proofErr w:type="spellStart"/>
      <w:r w:rsidRPr="005E24FF">
        <w:rPr>
          <w:rFonts w:ascii="Times New Roman" w:hAnsi="Times New Roman" w:cs="Times New Roman"/>
          <w:sz w:val="24"/>
          <w:szCs w:val="24"/>
          <w:lang w:val="en-US"/>
        </w:rPr>
        <w:t>Rosneft</w:t>
      </w:r>
      <w:proofErr w:type="spellEnd"/>
      <w:r w:rsidRPr="005E24FF">
        <w:rPr>
          <w:rFonts w:ascii="Times New Roman" w:hAnsi="Times New Roman" w:cs="Times New Roman"/>
          <w:sz w:val="24"/>
          <w:szCs w:val="24"/>
          <w:lang w:val="en-US"/>
        </w:rPr>
        <w:t xml:space="preserve"> – TNK-BP deal URL: </w:t>
      </w:r>
      <w:hyperlink r:id="rId24" w:history="1">
        <w:r w:rsidRPr="002F4C89">
          <w:rPr>
            <w:rStyle w:val="a4"/>
            <w:rFonts w:ascii="Times New Roman" w:hAnsi="Times New Roman" w:cs="Times New Roman"/>
            <w:sz w:val="24"/>
            <w:szCs w:val="24"/>
            <w:lang w:val="en-US"/>
          </w:rPr>
          <w:t>http://www.zephyr.bvdinfo.com</w:t>
        </w:r>
      </w:hyperlink>
      <w:r w:rsidRPr="005E24FF">
        <w:rPr>
          <w:rFonts w:ascii="Times New Roman" w:hAnsi="Times New Roman" w:cs="Times New Roman"/>
          <w:sz w:val="24"/>
          <w:szCs w:val="24"/>
          <w:lang w:val="en-US"/>
        </w:rPr>
        <w:t xml:space="preserve"> (</w:t>
      </w:r>
      <w:proofErr w:type="spellStart"/>
      <w:r w:rsidRPr="005E24FF">
        <w:rPr>
          <w:rFonts w:ascii="Times New Roman" w:hAnsi="Times New Roman" w:cs="Times New Roman"/>
          <w:sz w:val="24"/>
          <w:szCs w:val="24"/>
          <w:lang w:val="en-US"/>
        </w:rPr>
        <w:t>Дата</w:t>
      </w:r>
      <w:proofErr w:type="spellEnd"/>
      <w:r w:rsidRPr="005E24FF">
        <w:rPr>
          <w:rFonts w:ascii="Times New Roman" w:hAnsi="Times New Roman" w:cs="Times New Roman"/>
          <w:sz w:val="24"/>
          <w:szCs w:val="24"/>
          <w:lang w:val="en-US"/>
        </w:rPr>
        <w:t xml:space="preserve"> </w:t>
      </w:r>
      <w:proofErr w:type="spellStart"/>
      <w:r w:rsidRPr="005E24FF">
        <w:rPr>
          <w:rFonts w:ascii="Times New Roman" w:hAnsi="Times New Roman" w:cs="Times New Roman"/>
          <w:sz w:val="24"/>
          <w:szCs w:val="24"/>
          <w:lang w:val="en-US"/>
        </w:rPr>
        <w:t>обращения</w:t>
      </w:r>
      <w:proofErr w:type="spellEnd"/>
      <w:r w:rsidRPr="005E24FF">
        <w:rPr>
          <w:rFonts w:ascii="Times New Roman" w:hAnsi="Times New Roman" w:cs="Times New Roman"/>
          <w:sz w:val="24"/>
          <w:szCs w:val="24"/>
          <w:lang w:val="en-US"/>
        </w:rPr>
        <w:t>: 8.05.2017)</w:t>
      </w:r>
    </w:p>
    <w:p w:rsidR="00B567B0" w:rsidRPr="0049767F" w:rsidRDefault="00B567B0" w:rsidP="005654E7">
      <w:pPr>
        <w:pStyle w:val="a3"/>
        <w:numPr>
          <w:ilvl w:val="0"/>
          <w:numId w:val="22"/>
        </w:numPr>
        <w:spacing w:line="360" w:lineRule="auto"/>
        <w:jc w:val="both"/>
        <w:rPr>
          <w:rFonts w:ascii="Times New Roman" w:hAnsi="Times New Roman" w:cs="Times New Roman"/>
          <w:sz w:val="24"/>
          <w:szCs w:val="24"/>
        </w:rPr>
      </w:pPr>
      <w:proofErr w:type="spellStart"/>
      <w:r w:rsidRPr="0049767F">
        <w:rPr>
          <w:rFonts w:ascii="Times New Roman" w:eastAsia="Times New Roman" w:hAnsi="Times New Roman" w:cs="Times New Roman"/>
          <w:sz w:val="24"/>
          <w:szCs w:val="20"/>
          <w:shd w:val="clear" w:color="auto" w:fill="FFFFFF"/>
          <w:lang w:eastAsia="ru-RU"/>
        </w:rPr>
        <w:t>Абдувахидов</w:t>
      </w:r>
      <w:proofErr w:type="spellEnd"/>
      <w:r w:rsidRPr="0049767F">
        <w:rPr>
          <w:rFonts w:ascii="Times New Roman" w:eastAsia="Times New Roman" w:hAnsi="Times New Roman" w:cs="Times New Roman"/>
          <w:sz w:val="24"/>
          <w:szCs w:val="20"/>
          <w:shd w:val="clear" w:color="auto" w:fill="FFFFFF"/>
          <w:lang w:eastAsia="ru-RU"/>
        </w:rPr>
        <w:t xml:space="preserve"> А. И. Оценка эффективности операций по слияниям и поглощениям // Молодой уч</w:t>
      </w:r>
      <w:r w:rsidR="005916BF" w:rsidRPr="0049767F">
        <w:rPr>
          <w:rFonts w:ascii="Times New Roman" w:eastAsia="Times New Roman" w:hAnsi="Times New Roman" w:cs="Times New Roman"/>
          <w:sz w:val="24"/>
          <w:szCs w:val="20"/>
          <w:shd w:val="clear" w:color="auto" w:fill="FFFFFF"/>
          <w:lang w:eastAsia="ru-RU"/>
        </w:rPr>
        <w:t xml:space="preserve">еный. — 2015. — №8. — 543 </w:t>
      </w:r>
      <w:r w:rsidR="005916BF" w:rsidRPr="0049767F">
        <w:rPr>
          <w:rFonts w:ascii="Times New Roman" w:eastAsia="Times New Roman" w:hAnsi="Times New Roman" w:cs="Times New Roman"/>
          <w:sz w:val="24"/>
          <w:szCs w:val="20"/>
          <w:shd w:val="clear" w:color="auto" w:fill="FFFFFF"/>
          <w:lang w:val="en-US" w:eastAsia="ru-RU"/>
        </w:rPr>
        <w:t>c</w:t>
      </w:r>
      <w:r w:rsidRPr="0049767F">
        <w:rPr>
          <w:rFonts w:ascii="Times New Roman" w:eastAsia="Times New Roman" w:hAnsi="Times New Roman" w:cs="Times New Roman"/>
          <w:sz w:val="24"/>
          <w:szCs w:val="20"/>
          <w:shd w:val="clear" w:color="auto" w:fill="FFFFFF"/>
          <w:lang w:eastAsia="ru-RU"/>
        </w:rPr>
        <w:t>.</w:t>
      </w:r>
    </w:p>
    <w:p w:rsidR="0065198B" w:rsidRPr="005503B8" w:rsidRDefault="0065198B" w:rsidP="005654E7">
      <w:pPr>
        <w:pStyle w:val="a3"/>
        <w:numPr>
          <w:ilvl w:val="0"/>
          <w:numId w:val="22"/>
        </w:numPr>
        <w:spacing w:line="360" w:lineRule="auto"/>
        <w:jc w:val="both"/>
        <w:rPr>
          <w:rFonts w:ascii="Times New Roman" w:hAnsi="Times New Roman" w:cs="Times New Roman"/>
          <w:sz w:val="24"/>
          <w:szCs w:val="24"/>
        </w:rPr>
      </w:pPr>
      <w:r w:rsidRPr="005503B8">
        <w:rPr>
          <w:rFonts w:ascii="Times New Roman" w:hAnsi="Times New Roman" w:cs="Times New Roman"/>
          <w:sz w:val="24"/>
          <w:szCs w:val="24"/>
        </w:rPr>
        <w:t xml:space="preserve">Акционер. Газета акционеров ОАО «НК «Роснефть». – 2013. </w:t>
      </w:r>
      <w:r>
        <w:rPr>
          <w:rFonts w:ascii="Times New Roman" w:hAnsi="Times New Roman" w:cs="Times New Roman"/>
          <w:sz w:val="24"/>
          <w:szCs w:val="24"/>
          <w:lang w:val="en-US"/>
        </w:rPr>
        <w:t xml:space="preserve">№ 16. – </w:t>
      </w:r>
      <w:r>
        <w:rPr>
          <w:rFonts w:ascii="Times New Roman" w:hAnsi="Times New Roman" w:cs="Times New Roman"/>
          <w:sz w:val="24"/>
          <w:szCs w:val="24"/>
        </w:rPr>
        <w:t>7 с.</w:t>
      </w:r>
    </w:p>
    <w:p w:rsidR="0065198B" w:rsidRPr="00CE1025" w:rsidRDefault="0065198B" w:rsidP="005654E7">
      <w:pPr>
        <w:pStyle w:val="a3"/>
        <w:numPr>
          <w:ilvl w:val="0"/>
          <w:numId w:val="22"/>
        </w:numPr>
        <w:spacing w:line="360" w:lineRule="auto"/>
        <w:jc w:val="both"/>
        <w:rPr>
          <w:rFonts w:ascii="Times New Roman" w:eastAsiaTheme="majorEastAsia" w:hAnsi="Times New Roman" w:cs="Times New Roman"/>
          <w:b/>
          <w:bCs/>
          <w:sz w:val="24"/>
          <w:szCs w:val="24"/>
        </w:rPr>
      </w:pPr>
      <w:r w:rsidRPr="005503B8">
        <w:rPr>
          <w:rFonts w:ascii="Times New Roman" w:eastAsiaTheme="majorEastAsia" w:hAnsi="Times New Roman" w:cs="Times New Roman"/>
          <w:bCs/>
          <w:sz w:val="24"/>
          <w:szCs w:val="24"/>
        </w:rPr>
        <w:t xml:space="preserve"> </w:t>
      </w:r>
      <w:proofErr w:type="spellStart"/>
      <w:r w:rsidRPr="005503B8">
        <w:rPr>
          <w:rFonts w:ascii="Times New Roman" w:eastAsiaTheme="majorEastAsia" w:hAnsi="Times New Roman" w:cs="Times New Roman"/>
          <w:bCs/>
          <w:sz w:val="24"/>
          <w:szCs w:val="24"/>
        </w:rPr>
        <w:t>Валдайцев</w:t>
      </w:r>
      <w:proofErr w:type="spellEnd"/>
      <w:r w:rsidRPr="005503B8">
        <w:rPr>
          <w:rFonts w:ascii="Times New Roman" w:eastAsiaTheme="majorEastAsia" w:hAnsi="Times New Roman" w:cs="Times New Roman"/>
          <w:bCs/>
          <w:sz w:val="24"/>
          <w:szCs w:val="24"/>
        </w:rPr>
        <w:t xml:space="preserve">, С. В. Оценка бизнеса. / С. В. </w:t>
      </w:r>
      <w:proofErr w:type="spellStart"/>
      <w:r w:rsidRPr="005503B8">
        <w:rPr>
          <w:rFonts w:ascii="Times New Roman" w:eastAsiaTheme="majorEastAsia" w:hAnsi="Times New Roman" w:cs="Times New Roman"/>
          <w:bCs/>
          <w:sz w:val="24"/>
          <w:szCs w:val="24"/>
        </w:rPr>
        <w:t>Валдайцев</w:t>
      </w:r>
      <w:proofErr w:type="spellEnd"/>
      <w:r w:rsidRPr="005503B8">
        <w:rPr>
          <w:rFonts w:ascii="Times New Roman" w:eastAsiaTheme="majorEastAsia" w:hAnsi="Times New Roman" w:cs="Times New Roman"/>
          <w:bCs/>
          <w:sz w:val="24"/>
          <w:szCs w:val="24"/>
        </w:rPr>
        <w:t xml:space="preserve"> – М.: ТК </w:t>
      </w:r>
      <w:proofErr w:type="spellStart"/>
      <w:r w:rsidRPr="005503B8">
        <w:rPr>
          <w:rFonts w:ascii="Times New Roman" w:eastAsiaTheme="majorEastAsia" w:hAnsi="Times New Roman" w:cs="Times New Roman"/>
          <w:bCs/>
          <w:sz w:val="24"/>
          <w:szCs w:val="24"/>
        </w:rPr>
        <w:t>Велби</w:t>
      </w:r>
      <w:proofErr w:type="spellEnd"/>
      <w:r w:rsidRPr="005503B8">
        <w:rPr>
          <w:rFonts w:ascii="Times New Roman" w:eastAsiaTheme="majorEastAsia" w:hAnsi="Times New Roman" w:cs="Times New Roman"/>
          <w:bCs/>
          <w:sz w:val="24"/>
          <w:szCs w:val="24"/>
        </w:rPr>
        <w:t>, Изд-во Проспект, 2008. – 576 с.</w:t>
      </w:r>
    </w:p>
    <w:p w:rsidR="0065198B" w:rsidRPr="005503B8" w:rsidRDefault="0065198B" w:rsidP="005654E7">
      <w:pPr>
        <w:pStyle w:val="a3"/>
        <w:numPr>
          <w:ilvl w:val="0"/>
          <w:numId w:val="22"/>
        </w:numPr>
        <w:spacing w:line="360" w:lineRule="auto"/>
        <w:jc w:val="both"/>
        <w:rPr>
          <w:rFonts w:ascii="Times New Roman" w:hAnsi="Times New Roman" w:cs="Times New Roman"/>
          <w:sz w:val="24"/>
          <w:szCs w:val="24"/>
        </w:rPr>
      </w:pPr>
      <w:r w:rsidRPr="005503B8">
        <w:rPr>
          <w:rFonts w:ascii="Times New Roman" w:hAnsi="Times New Roman" w:cs="Times New Roman"/>
          <w:sz w:val="24"/>
          <w:szCs w:val="24"/>
        </w:rPr>
        <w:t>Владимирова, И. Г. Слияния и поглощения компаний / И. Г. Владимирова // Менеджмент в России</w:t>
      </w:r>
      <w:r>
        <w:rPr>
          <w:rFonts w:ascii="Times New Roman" w:hAnsi="Times New Roman" w:cs="Times New Roman"/>
          <w:sz w:val="24"/>
          <w:szCs w:val="24"/>
        </w:rPr>
        <w:t xml:space="preserve"> и за рубежом. – 1999. № 1. URL</w:t>
      </w:r>
      <w:r w:rsidR="00CF07BE">
        <w:rPr>
          <w:rFonts w:ascii="Times New Roman" w:hAnsi="Times New Roman" w:cs="Times New Roman"/>
          <w:sz w:val="24"/>
          <w:szCs w:val="24"/>
        </w:rPr>
        <w:t xml:space="preserve">: </w:t>
      </w:r>
      <w:hyperlink r:id="rId25" w:history="1">
        <w:r w:rsidR="00CF07BE" w:rsidRPr="00BD0602">
          <w:rPr>
            <w:rStyle w:val="a4"/>
            <w:rFonts w:ascii="Times New Roman" w:hAnsi="Times New Roman" w:cs="Times New Roman"/>
            <w:sz w:val="24"/>
            <w:szCs w:val="24"/>
          </w:rPr>
          <w:t>http://www.cfin.ru</w:t>
        </w:r>
      </w:hyperlink>
      <w:r w:rsidR="00CF07BE">
        <w:rPr>
          <w:rFonts w:ascii="Times New Roman" w:hAnsi="Times New Roman" w:cs="Times New Roman"/>
          <w:sz w:val="24"/>
          <w:szCs w:val="24"/>
        </w:rPr>
        <w:t xml:space="preserve"> </w:t>
      </w:r>
      <w:r w:rsidRPr="005503B8">
        <w:rPr>
          <w:rFonts w:ascii="Times New Roman" w:hAnsi="Times New Roman" w:cs="Times New Roman"/>
          <w:sz w:val="24"/>
          <w:szCs w:val="24"/>
        </w:rPr>
        <w:t xml:space="preserve">(Дата обращения: </w:t>
      </w:r>
      <w:r w:rsidR="00B567B0" w:rsidRPr="00B567B0">
        <w:rPr>
          <w:rFonts w:ascii="Times New Roman" w:hAnsi="Times New Roman" w:cs="Times New Roman"/>
          <w:sz w:val="24"/>
          <w:szCs w:val="24"/>
        </w:rPr>
        <w:t>24.04.2017</w:t>
      </w:r>
      <w:r w:rsidRPr="005503B8">
        <w:rPr>
          <w:rFonts w:ascii="Times New Roman" w:hAnsi="Times New Roman" w:cs="Times New Roman"/>
          <w:sz w:val="24"/>
          <w:szCs w:val="24"/>
        </w:rPr>
        <w:t>)</w:t>
      </w:r>
    </w:p>
    <w:p w:rsidR="0065198B" w:rsidRPr="005503B8" w:rsidRDefault="0065198B" w:rsidP="005654E7">
      <w:pPr>
        <w:pStyle w:val="a3"/>
        <w:numPr>
          <w:ilvl w:val="0"/>
          <w:numId w:val="22"/>
        </w:numPr>
        <w:spacing w:line="360" w:lineRule="auto"/>
        <w:jc w:val="both"/>
        <w:rPr>
          <w:rFonts w:ascii="Times New Roman" w:hAnsi="Times New Roman" w:cs="Times New Roman"/>
          <w:sz w:val="24"/>
          <w:szCs w:val="24"/>
        </w:rPr>
      </w:pPr>
      <w:r w:rsidRPr="005503B8">
        <w:rPr>
          <w:rFonts w:ascii="Times New Roman" w:hAnsi="Times New Roman" w:cs="Times New Roman"/>
          <w:sz w:val="24"/>
          <w:szCs w:val="24"/>
        </w:rPr>
        <w:t xml:space="preserve">Волков, В. Основы слияний </w:t>
      </w:r>
      <w:r>
        <w:rPr>
          <w:rFonts w:ascii="Times New Roman" w:hAnsi="Times New Roman" w:cs="Times New Roman"/>
          <w:sz w:val="24"/>
          <w:szCs w:val="24"/>
        </w:rPr>
        <w:t>и поглощений / В. Волков // URL</w:t>
      </w:r>
      <w:r w:rsidR="00CF07BE">
        <w:rPr>
          <w:rFonts w:ascii="Times New Roman" w:hAnsi="Times New Roman" w:cs="Times New Roman"/>
          <w:sz w:val="24"/>
          <w:szCs w:val="24"/>
        </w:rPr>
        <w:t xml:space="preserve">: </w:t>
      </w:r>
      <w:hyperlink r:id="rId26" w:history="1">
        <w:r w:rsidR="00CF07BE" w:rsidRPr="00BD0602">
          <w:rPr>
            <w:rStyle w:val="a4"/>
            <w:rFonts w:ascii="Times New Roman" w:hAnsi="Times New Roman" w:cs="Times New Roman"/>
            <w:sz w:val="24"/>
            <w:szCs w:val="24"/>
          </w:rPr>
          <w:t>http://www.cfin.ru</w:t>
        </w:r>
      </w:hyperlink>
      <w:r w:rsidR="00CF07BE">
        <w:rPr>
          <w:rFonts w:ascii="Times New Roman" w:hAnsi="Times New Roman" w:cs="Times New Roman"/>
          <w:sz w:val="24"/>
          <w:szCs w:val="24"/>
        </w:rPr>
        <w:t xml:space="preserve"> </w:t>
      </w:r>
      <w:r w:rsidRPr="005503B8">
        <w:rPr>
          <w:rFonts w:ascii="Times New Roman" w:hAnsi="Times New Roman" w:cs="Times New Roman"/>
          <w:sz w:val="24"/>
          <w:szCs w:val="24"/>
        </w:rPr>
        <w:t xml:space="preserve">(Дата обращения: </w:t>
      </w:r>
      <w:r w:rsidR="00B567B0" w:rsidRPr="00B567B0">
        <w:rPr>
          <w:rFonts w:ascii="Times New Roman" w:hAnsi="Times New Roman" w:cs="Times New Roman"/>
          <w:sz w:val="24"/>
          <w:szCs w:val="24"/>
        </w:rPr>
        <w:t>24.04.2017</w:t>
      </w:r>
      <w:r w:rsidRPr="005503B8">
        <w:rPr>
          <w:rFonts w:ascii="Times New Roman" w:hAnsi="Times New Roman" w:cs="Times New Roman"/>
          <w:sz w:val="24"/>
          <w:szCs w:val="24"/>
        </w:rPr>
        <w:t>)</w:t>
      </w:r>
    </w:p>
    <w:p w:rsidR="0065198B" w:rsidRPr="000C5F74" w:rsidRDefault="0065198B" w:rsidP="005654E7">
      <w:pPr>
        <w:pStyle w:val="a3"/>
        <w:numPr>
          <w:ilvl w:val="0"/>
          <w:numId w:val="22"/>
        </w:numPr>
        <w:spacing w:line="360" w:lineRule="auto"/>
        <w:jc w:val="both"/>
        <w:rPr>
          <w:rFonts w:ascii="Times New Roman" w:eastAsiaTheme="majorEastAsia" w:hAnsi="Times New Roman" w:cs="Times New Roman"/>
          <w:bCs/>
          <w:sz w:val="24"/>
          <w:szCs w:val="24"/>
        </w:rPr>
      </w:pPr>
      <w:proofErr w:type="spellStart"/>
      <w:r w:rsidRPr="000C5F74">
        <w:rPr>
          <w:rFonts w:ascii="Times New Roman" w:eastAsiaTheme="majorEastAsia" w:hAnsi="Times New Roman" w:cs="Times New Roman"/>
          <w:bCs/>
          <w:sz w:val="24"/>
          <w:szCs w:val="24"/>
        </w:rPr>
        <w:t>Ендовицкий</w:t>
      </w:r>
      <w:proofErr w:type="spellEnd"/>
      <w:r w:rsidRPr="000C5F74">
        <w:rPr>
          <w:rFonts w:ascii="Times New Roman" w:eastAsiaTheme="majorEastAsia" w:hAnsi="Times New Roman" w:cs="Times New Roman"/>
          <w:bCs/>
          <w:sz w:val="24"/>
          <w:szCs w:val="24"/>
        </w:rPr>
        <w:t xml:space="preserve"> Д.А., Соболева В.Е. Экономический анализ слияний/поглощений компаний: научное издание. — М.</w:t>
      </w:r>
      <w:proofErr w:type="gramStart"/>
      <w:r w:rsidRPr="000C5F74">
        <w:rPr>
          <w:rFonts w:ascii="Times New Roman" w:eastAsiaTheme="majorEastAsia" w:hAnsi="Times New Roman" w:cs="Times New Roman"/>
          <w:bCs/>
          <w:sz w:val="24"/>
          <w:szCs w:val="24"/>
        </w:rPr>
        <w:t xml:space="preserve"> :</w:t>
      </w:r>
      <w:proofErr w:type="gramEnd"/>
      <w:r w:rsidRPr="000C5F74">
        <w:rPr>
          <w:rFonts w:ascii="Times New Roman" w:eastAsiaTheme="majorEastAsia" w:hAnsi="Times New Roman" w:cs="Times New Roman"/>
          <w:bCs/>
          <w:sz w:val="24"/>
          <w:szCs w:val="24"/>
        </w:rPr>
        <w:t xml:space="preserve"> КНОРУС, 2008. — 448 с.</w:t>
      </w:r>
    </w:p>
    <w:p w:rsidR="0065198B" w:rsidRPr="005503B8" w:rsidRDefault="0065198B" w:rsidP="005654E7">
      <w:pPr>
        <w:pStyle w:val="a3"/>
        <w:numPr>
          <w:ilvl w:val="0"/>
          <w:numId w:val="22"/>
        </w:numPr>
        <w:spacing w:line="360" w:lineRule="auto"/>
        <w:jc w:val="both"/>
        <w:rPr>
          <w:rFonts w:ascii="Times New Roman" w:hAnsi="Times New Roman" w:cs="Times New Roman"/>
          <w:sz w:val="24"/>
          <w:szCs w:val="24"/>
        </w:rPr>
      </w:pPr>
      <w:proofErr w:type="spellStart"/>
      <w:r w:rsidRPr="005503B8">
        <w:rPr>
          <w:rFonts w:ascii="Times New Roman" w:hAnsi="Times New Roman" w:cs="Times New Roman"/>
          <w:sz w:val="24"/>
          <w:szCs w:val="24"/>
        </w:rPr>
        <w:t>Игнитишин</w:t>
      </w:r>
      <w:proofErr w:type="spellEnd"/>
      <w:r w:rsidRPr="005503B8">
        <w:rPr>
          <w:rFonts w:ascii="Times New Roman" w:hAnsi="Times New Roman" w:cs="Times New Roman"/>
          <w:sz w:val="24"/>
          <w:szCs w:val="24"/>
        </w:rPr>
        <w:t xml:space="preserve">, Ю.В. Слияния и поглощения: стратегия, тактика, финансы. / Ю. В. </w:t>
      </w:r>
      <w:proofErr w:type="spellStart"/>
      <w:r w:rsidRPr="005503B8">
        <w:rPr>
          <w:rFonts w:ascii="Times New Roman" w:hAnsi="Times New Roman" w:cs="Times New Roman"/>
          <w:sz w:val="24"/>
          <w:szCs w:val="24"/>
        </w:rPr>
        <w:t>Игнатишин</w:t>
      </w:r>
      <w:proofErr w:type="spellEnd"/>
      <w:r w:rsidRPr="005503B8">
        <w:rPr>
          <w:rFonts w:ascii="Times New Roman" w:hAnsi="Times New Roman" w:cs="Times New Roman"/>
          <w:sz w:val="24"/>
          <w:szCs w:val="24"/>
        </w:rPr>
        <w:t>. – СПб</w:t>
      </w:r>
      <w:proofErr w:type="gramStart"/>
      <w:r w:rsidRPr="005503B8">
        <w:rPr>
          <w:rFonts w:ascii="Times New Roman" w:hAnsi="Times New Roman" w:cs="Times New Roman"/>
          <w:sz w:val="24"/>
          <w:szCs w:val="24"/>
        </w:rPr>
        <w:t xml:space="preserve">.: </w:t>
      </w:r>
      <w:proofErr w:type="gramEnd"/>
      <w:r w:rsidRPr="005503B8">
        <w:rPr>
          <w:rFonts w:ascii="Times New Roman" w:hAnsi="Times New Roman" w:cs="Times New Roman"/>
          <w:sz w:val="24"/>
          <w:szCs w:val="24"/>
        </w:rPr>
        <w:t>Питер, 2005. – 208 с.</w:t>
      </w:r>
    </w:p>
    <w:p w:rsidR="00B567B0" w:rsidRPr="00B567B0" w:rsidRDefault="00B567B0" w:rsidP="005654E7">
      <w:pPr>
        <w:pStyle w:val="a3"/>
        <w:numPr>
          <w:ilvl w:val="0"/>
          <w:numId w:val="22"/>
        </w:numPr>
        <w:spacing w:line="360" w:lineRule="auto"/>
        <w:jc w:val="both"/>
        <w:rPr>
          <w:rFonts w:ascii="Times New Roman" w:eastAsiaTheme="majorEastAsia" w:hAnsi="Times New Roman" w:cs="Times New Roman"/>
          <w:b/>
          <w:bCs/>
          <w:sz w:val="24"/>
          <w:szCs w:val="24"/>
        </w:rPr>
      </w:pPr>
      <w:r w:rsidRPr="00B567B0">
        <w:rPr>
          <w:rFonts w:ascii="Times New Roman" w:hAnsi="Times New Roman" w:cs="Times New Roman"/>
          <w:sz w:val="24"/>
          <w:szCs w:val="24"/>
        </w:rPr>
        <w:t xml:space="preserve">Информационное агентство AK&amp;M. Рынок слияний и поглощений. Декабрь и итоги 2016 года. URL: </w:t>
      </w:r>
      <w:hyperlink r:id="rId27" w:history="1">
        <w:r w:rsidRPr="002F4C89">
          <w:rPr>
            <w:rStyle w:val="a4"/>
            <w:rFonts w:ascii="Times New Roman" w:hAnsi="Times New Roman" w:cs="Times New Roman"/>
            <w:sz w:val="24"/>
            <w:szCs w:val="24"/>
          </w:rPr>
          <w:t>http://mergers.akm.ru/</w:t>
        </w:r>
      </w:hyperlink>
      <w:r>
        <w:rPr>
          <w:rFonts w:ascii="Times New Roman" w:hAnsi="Times New Roman" w:cs="Times New Roman"/>
          <w:sz w:val="24"/>
          <w:szCs w:val="24"/>
        </w:rPr>
        <w:t xml:space="preserve"> </w:t>
      </w:r>
      <w:r w:rsidRPr="00B567B0">
        <w:rPr>
          <w:rFonts w:ascii="Times New Roman" w:hAnsi="Times New Roman" w:cs="Times New Roman"/>
          <w:sz w:val="24"/>
          <w:szCs w:val="24"/>
        </w:rPr>
        <w:t>(Дата обращения: 01.05.2017)</w:t>
      </w:r>
    </w:p>
    <w:p w:rsidR="00B567B0" w:rsidRPr="00B567B0" w:rsidRDefault="00B567B0" w:rsidP="005654E7">
      <w:pPr>
        <w:pStyle w:val="a3"/>
        <w:numPr>
          <w:ilvl w:val="0"/>
          <w:numId w:val="22"/>
        </w:numPr>
        <w:spacing w:line="360" w:lineRule="auto"/>
        <w:jc w:val="both"/>
        <w:rPr>
          <w:rFonts w:ascii="Times New Roman" w:eastAsiaTheme="majorEastAsia" w:hAnsi="Times New Roman" w:cs="Times New Roman"/>
          <w:b/>
          <w:bCs/>
          <w:sz w:val="28"/>
          <w:szCs w:val="24"/>
        </w:rPr>
      </w:pPr>
      <w:r w:rsidRPr="00B567B0">
        <w:rPr>
          <w:rFonts w:ascii="Times New Roman" w:hAnsi="Times New Roman" w:cs="Times New Roman"/>
          <w:sz w:val="24"/>
        </w:rPr>
        <w:t xml:space="preserve">Информационное агентство AK&amp;M. Рынок слияний и поглощений. Январь - февраль 2017 года. URL: </w:t>
      </w:r>
      <w:hyperlink r:id="rId28" w:history="1">
        <w:r w:rsidRPr="00B567B0">
          <w:rPr>
            <w:rStyle w:val="a4"/>
            <w:rFonts w:ascii="Times New Roman" w:hAnsi="Times New Roman" w:cs="Times New Roman"/>
            <w:sz w:val="24"/>
          </w:rPr>
          <w:t>http://mergers.akm.ru/</w:t>
        </w:r>
      </w:hyperlink>
      <w:r w:rsidRPr="00B567B0">
        <w:rPr>
          <w:rFonts w:ascii="Times New Roman" w:hAnsi="Times New Roman" w:cs="Times New Roman"/>
          <w:sz w:val="24"/>
        </w:rPr>
        <w:t xml:space="preserve"> (Дата обращения: 01.05.2017)</w:t>
      </w:r>
    </w:p>
    <w:p w:rsidR="0065198B" w:rsidRPr="005503B8" w:rsidRDefault="0065198B" w:rsidP="005654E7">
      <w:pPr>
        <w:pStyle w:val="a3"/>
        <w:numPr>
          <w:ilvl w:val="0"/>
          <w:numId w:val="22"/>
        </w:numPr>
        <w:spacing w:line="36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Cs/>
          <w:sz w:val="24"/>
          <w:szCs w:val="24"/>
        </w:rPr>
        <w:t>Консолидированная финансовая отчетность «НК «Роснефть» (2008 – 2012 гг.)</w:t>
      </w:r>
    </w:p>
    <w:p w:rsidR="0065198B" w:rsidRPr="00417137" w:rsidRDefault="0065198B" w:rsidP="005654E7">
      <w:pPr>
        <w:pStyle w:val="a3"/>
        <w:numPr>
          <w:ilvl w:val="0"/>
          <w:numId w:val="22"/>
        </w:numPr>
        <w:spacing w:line="36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Cs/>
          <w:sz w:val="24"/>
          <w:szCs w:val="24"/>
        </w:rPr>
        <w:t>Консолидированная финансовая отчетность ТНК-ВР (2008 – 2012 гг.)</w:t>
      </w:r>
    </w:p>
    <w:p w:rsidR="0065198B" w:rsidRDefault="0065198B" w:rsidP="005654E7">
      <w:pPr>
        <w:pStyle w:val="a3"/>
        <w:numPr>
          <w:ilvl w:val="0"/>
          <w:numId w:val="22"/>
        </w:numPr>
        <w:spacing w:line="360" w:lineRule="auto"/>
        <w:jc w:val="both"/>
        <w:rPr>
          <w:rFonts w:ascii="Times New Roman" w:hAnsi="Times New Roman" w:cs="Times New Roman"/>
          <w:sz w:val="24"/>
          <w:szCs w:val="24"/>
        </w:rPr>
      </w:pPr>
      <w:r w:rsidRPr="005503B8">
        <w:rPr>
          <w:rFonts w:ascii="Times New Roman" w:hAnsi="Times New Roman" w:cs="Times New Roman"/>
          <w:sz w:val="24"/>
          <w:szCs w:val="24"/>
        </w:rPr>
        <w:lastRenderedPageBreak/>
        <w:t xml:space="preserve">Манаков, Д. Наука поглощений / Д. Манаков, Г. </w:t>
      </w:r>
      <w:proofErr w:type="spellStart"/>
      <w:r w:rsidRPr="005503B8">
        <w:rPr>
          <w:rFonts w:ascii="Times New Roman" w:hAnsi="Times New Roman" w:cs="Times New Roman"/>
          <w:sz w:val="24"/>
          <w:szCs w:val="24"/>
        </w:rPr>
        <w:t>Газин</w:t>
      </w:r>
      <w:proofErr w:type="spellEnd"/>
      <w:r w:rsidRPr="005503B8">
        <w:rPr>
          <w:rFonts w:ascii="Times New Roman" w:hAnsi="Times New Roman" w:cs="Times New Roman"/>
          <w:sz w:val="24"/>
          <w:szCs w:val="24"/>
        </w:rPr>
        <w:t xml:space="preserve"> // Вестник </w:t>
      </w:r>
      <w:proofErr w:type="spellStart"/>
      <w:r w:rsidRPr="005503B8">
        <w:rPr>
          <w:rFonts w:ascii="Times New Roman" w:hAnsi="Times New Roman" w:cs="Times New Roman"/>
          <w:sz w:val="24"/>
          <w:szCs w:val="24"/>
        </w:rPr>
        <w:t>McKinsey</w:t>
      </w:r>
      <w:proofErr w:type="spellEnd"/>
      <w:r w:rsidRPr="005503B8">
        <w:rPr>
          <w:rFonts w:ascii="Times New Roman" w:hAnsi="Times New Roman" w:cs="Times New Roman"/>
          <w:sz w:val="24"/>
          <w:szCs w:val="24"/>
        </w:rPr>
        <w:t xml:space="preserve">. - 2003. № 2 (4). – 172 </w:t>
      </w:r>
      <w:r w:rsidRPr="005503B8">
        <w:rPr>
          <w:rFonts w:ascii="Times New Roman" w:hAnsi="Times New Roman" w:cs="Times New Roman"/>
          <w:sz w:val="24"/>
          <w:szCs w:val="24"/>
          <w:lang w:val="en-US"/>
        </w:rPr>
        <w:t>c</w:t>
      </w:r>
      <w:r w:rsidRPr="005503B8">
        <w:rPr>
          <w:rFonts w:ascii="Times New Roman" w:hAnsi="Times New Roman" w:cs="Times New Roman"/>
          <w:sz w:val="24"/>
          <w:szCs w:val="24"/>
        </w:rPr>
        <w:t>.</w:t>
      </w:r>
    </w:p>
    <w:p w:rsidR="00BB18D6" w:rsidRPr="005503B8" w:rsidRDefault="00BB18D6" w:rsidP="005654E7">
      <w:pPr>
        <w:pStyle w:val="a3"/>
        <w:numPr>
          <w:ilvl w:val="0"/>
          <w:numId w:val="22"/>
        </w:numPr>
        <w:spacing w:line="360" w:lineRule="auto"/>
        <w:jc w:val="both"/>
        <w:rPr>
          <w:rFonts w:ascii="Times New Roman" w:hAnsi="Times New Roman" w:cs="Times New Roman"/>
          <w:sz w:val="24"/>
          <w:szCs w:val="24"/>
        </w:rPr>
      </w:pPr>
      <w:r w:rsidRPr="00BB18D6">
        <w:rPr>
          <w:rFonts w:ascii="Times New Roman" w:hAnsi="Times New Roman" w:cs="Times New Roman"/>
          <w:sz w:val="24"/>
          <w:szCs w:val="24"/>
        </w:rPr>
        <w:t xml:space="preserve">Назарова, В.В. Методы оценки стоимости компании в сделках M&amp;A / В.В. Назарова, Дмитриева М.Б. URL: </w:t>
      </w:r>
      <w:hyperlink r:id="rId29" w:history="1">
        <w:r w:rsidRPr="002F4C89">
          <w:rPr>
            <w:rStyle w:val="a4"/>
            <w:rFonts w:ascii="Times New Roman" w:hAnsi="Times New Roman" w:cs="Times New Roman"/>
            <w:sz w:val="24"/>
            <w:szCs w:val="24"/>
          </w:rPr>
          <w:t>https://www.hse.ru/</w:t>
        </w:r>
      </w:hyperlink>
      <w:r>
        <w:rPr>
          <w:rFonts w:ascii="Times New Roman" w:hAnsi="Times New Roman" w:cs="Times New Roman"/>
          <w:sz w:val="24"/>
          <w:szCs w:val="24"/>
        </w:rPr>
        <w:t xml:space="preserve"> </w:t>
      </w:r>
      <w:r w:rsidRPr="00BB18D6">
        <w:rPr>
          <w:rFonts w:ascii="Times New Roman" w:hAnsi="Times New Roman" w:cs="Times New Roman"/>
          <w:sz w:val="24"/>
          <w:szCs w:val="24"/>
        </w:rPr>
        <w:t>(Дата обращения: 11.05.2017)</w:t>
      </w:r>
    </w:p>
    <w:p w:rsidR="0065198B" w:rsidRPr="005503B8" w:rsidRDefault="0065198B" w:rsidP="005654E7">
      <w:pPr>
        <w:pStyle w:val="a3"/>
        <w:numPr>
          <w:ilvl w:val="0"/>
          <w:numId w:val="22"/>
        </w:numPr>
        <w:spacing w:line="360" w:lineRule="auto"/>
        <w:jc w:val="both"/>
        <w:rPr>
          <w:rFonts w:ascii="Times New Roman" w:hAnsi="Times New Roman" w:cs="Times New Roman"/>
          <w:sz w:val="24"/>
          <w:szCs w:val="24"/>
        </w:rPr>
      </w:pPr>
      <w:r w:rsidRPr="005503B8">
        <w:rPr>
          <w:rFonts w:ascii="Times New Roman" w:hAnsi="Times New Roman" w:cs="Times New Roman"/>
          <w:sz w:val="24"/>
          <w:szCs w:val="24"/>
        </w:rPr>
        <w:t xml:space="preserve">Обзор КПМГ – «Рынок слияний и поглощений в России </w:t>
      </w:r>
      <w:r>
        <w:rPr>
          <w:rFonts w:ascii="Times New Roman" w:hAnsi="Times New Roman" w:cs="Times New Roman"/>
          <w:sz w:val="24"/>
          <w:szCs w:val="24"/>
        </w:rPr>
        <w:t>в 2015 году». Февраль 2016. – 32 с.</w:t>
      </w:r>
    </w:p>
    <w:p w:rsidR="0065198B" w:rsidRPr="005503B8" w:rsidRDefault="0065198B" w:rsidP="005654E7">
      <w:pPr>
        <w:pStyle w:val="a3"/>
        <w:numPr>
          <w:ilvl w:val="0"/>
          <w:numId w:val="22"/>
        </w:numPr>
        <w:spacing w:line="360" w:lineRule="auto"/>
        <w:jc w:val="both"/>
        <w:rPr>
          <w:rFonts w:ascii="Times New Roman" w:eastAsiaTheme="majorEastAsia" w:hAnsi="Times New Roman" w:cs="Times New Roman"/>
          <w:b/>
          <w:bCs/>
          <w:sz w:val="24"/>
          <w:szCs w:val="24"/>
        </w:rPr>
      </w:pPr>
      <w:r w:rsidRPr="005503B8">
        <w:rPr>
          <w:rFonts w:ascii="Times New Roman" w:hAnsi="Times New Roman" w:cs="Times New Roman"/>
          <w:sz w:val="24"/>
          <w:szCs w:val="24"/>
        </w:rPr>
        <w:t xml:space="preserve">Оценка бизнеса: учебное пособие / В. Е. Есипова, Г. А. </w:t>
      </w:r>
      <w:proofErr w:type="spellStart"/>
      <w:r w:rsidRPr="005503B8">
        <w:rPr>
          <w:rFonts w:ascii="Times New Roman" w:hAnsi="Times New Roman" w:cs="Times New Roman"/>
          <w:sz w:val="24"/>
          <w:szCs w:val="24"/>
        </w:rPr>
        <w:t>Маховикова</w:t>
      </w:r>
      <w:proofErr w:type="spellEnd"/>
      <w:r w:rsidRPr="005503B8">
        <w:rPr>
          <w:rFonts w:ascii="Times New Roman" w:hAnsi="Times New Roman" w:cs="Times New Roman"/>
          <w:sz w:val="24"/>
          <w:szCs w:val="24"/>
        </w:rPr>
        <w:t>. – СПб</w:t>
      </w:r>
      <w:proofErr w:type="gramStart"/>
      <w:r w:rsidRPr="005503B8">
        <w:rPr>
          <w:rFonts w:ascii="Times New Roman" w:hAnsi="Times New Roman" w:cs="Times New Roman"/>
          <w:sz w:val="24"/>
          <w:szCs w:val="24"/>
        </w:rPr>
        <w:t xml:space="preserve">.: </w:t>
      </w:r>
      <w:proofErr w:type="gramEnd"/>
      <w:r w:rsidRPr="005503B8">
        <w:rPr>
          <w:rFonts w:ascii="Times New Roman" w:hAnsi="Times New Roman" w:cs="Times New Roman"/>
          <w:sz w:val="24"/>
          <w:szCs w:val="24"/>
        </w:rPr>
        <w:t>Питер, 2010. – 512 с.</w:t>
      </w:r>
    </w:p>
    <w:p w:rsidR="00B567B0" w:rsidRPr="00B567B0" w:rsidRDefault="0065198B" w:rsidP="005654E7">
      <w:pPr>
        <w:pStyle w:val="a3"/>
        <w:numPr>
          <w:ilvl w:val="0"/>
          <w:numId w:val="22"/>
        </w:numPr>
        <w:spacing w:line="360" w:lineRule="auto"/>
        <w:jc w:val="both"/>
        <w:rPr>
          <w:rFonts w:ascii="Times New Roman" w:eastAsiaTheme="majorEastAsia" w:hAnsi="Times New Roman" w:cs="Times New Roman"/>
          <w:b/>
          <w:bCs/>
          <w:sz w:val="24"/>
          <w:szCs w:val="24"/>
        </w:rPr>
      </w:pPr>
      <w:r w:rsidRPr="005503B8">
        <w:rPr>
          <w:rFonts w:ascii="Times New Roman" w:hAnsi="Times New Roman" w:cs="Times New Roman"/>
          <w:sz w:val="24"/>
          <w:szCs w:val="24"/>
        </w:rPr>
        <w:t xml:space="preserve"> Пресс-релиз «НК «Роснефть» от 22 октября 2012. </w:t>
      </w:r>
      <w:r w:rsidRPr="005503B8">
        <w:rPr>
          <w:rFonts w:ascii="Times New Roman" w:hAnsi="Times New Roman" w:cs="Times New Roman"/>
          <w:sz w:val="24"/>
          <w:szCs w:val="24"/>
          <w:lang w:val="en-US"/>
        </w:rPr>
        <w:t>URL</w:t>
      </w:r>
      <w:r w:rsidRPr="005503B8">
        <w:rPr>
          <w:rFonts w:ascii="Times New Roman" w:hAnsi="Times New Roman" w:cs="Times New Roman"/>
          <w:sz w:val="24"/>
          <w:szCs w:val="24"/>
        </w:rPr>
        <w:t xml:space="preserve">: </w:t>
      </w:r>
      <w:hyperlink r:id="rId30" w:history="1">
        <w:r w:rsidRPr="00AD528F">
          <w:rPr>
            <w:rStyle w:val="a4"/>
            <w:rFonts w:ascii="Times New Roman" w:hAnsi="Times New Roman" w:cs="Times New Roman"/>
            <w:sz w:val="24"/>
            <w:szCs w:val="24"/>
            <w:lang w:val="en-US"/>
          </w:rPr>
          <w:t>https</w:t>
        </w:r>
        <w:r w:rsidRPr="00AD528F">
          <w:rPr>
            <w:rStyle w:val="a4"/>
            <w:rFonts w:ascii="Times New Roman" w:hAnsi="Times New Roman" w:cs="Times New Roman"/>
            <w:sz w:val="24"/>
            <w:szCs w:val="24"/>
          </w:rPr>
          <w:t>://</w:t>
        </w:r>
        <w:r w:rsidRPr="00AD528F">
          <w:rPr>
            <w:rStyle w:val="a4"/>
            <w:rFonts w:ascii="Times New Roman" w:hAnsi="Times New Roman" w:cs="Times New Roman"/>
            <w:sz w:val="24"/>
            <w:szCs w:val="24"/>
            <w:lang w:val="en-US"/>
          </w:rPr>
          <w:t>www</w:t>
        </w:r>
        <w:r w:rsidRPr="00AD528F">
          <w:rPr>
            <w:rStyle w:val="a4"/>
            <w:rFonts w:ascii="Times New Roman" w:hAnsi="Times New Roman" w:cs="Times New Roman"/>
            <w:sz w:val="24"/>
            <w:szCs w:val="24"/>
          </w:rPr>
          <w:t>.</w:t>
        </w:r>
        <w:proofErr w:type="spellStart"/>
        <w:r w:rsidRPr="00AD528F">
          <w:rPr>
            <w:rStyle w:val="a4"/>
            <w:rFonts w:ascii="Times New Roman" w:hAnsi="Times New Roman" w:cs="Times New Roman"/>
            <w:sz w:val="24"/>
            <w:szCs w:val="24"/>
            <w:lang w:val="en-US"/>
          </w:rPr>
          <w:t>rosneft</w:t>
        </w:r>
        <w:proofErr w:type="spellEnd"/>
        <w:r w:rsidRPr="00AD528F">
          <w:rPr>
            <w:rStyle w:val="a4"/>
            <w:rFonts w:ascii="Times New Roman" w:hAnsi="Times New Roman" w:cs="Times New Roman"/>
            <w:sz w:val="24"/>
            <w:szCs w:val="24"/>
          </w:rPr>
          <w:t>.</w:t>
        </w:r>
        <w:proofErr w:type="spellStart"/>
        <w:r w:rsidRPr="00AD528F">
          <w:rPr>
            <w:rStyle w:val="a4"/>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r w:rsidR="00CF07BE">
        <w:rPr>
          <w:rFonts w:ascii="Times New Roman" w:hAnsi="Times New Roman" w:cs="Times New Roman"/>
          <w:sz w:val="24"/>
          <w:szCs w:val="24"/>
        </w:rPr>
        <w:t>(Дата обращения: 22.04.2017</w:t>
      </w:r>
      <w:r w:rsidRPr="005503B8">
        <w:rPr>
          <w:rFonts w:ascii="Times New Roman" w:hAnsi="Times New Roman" w:cs="Times New Roman"/>
          <w:sz w:val="24"/>
          <w:szCs w:val="24"/>
        </w:rPr>
        <w:t>)</w:t>
      </w:r>
    </w:p>
    <w:p w:rsidR="00B567B0" w:rsidRPr="000C2D75" w:rsidRDefault="00B567B0" w:rsidP="005654E7">
      <w:pPr>
        <w:pStyle w:val="a3"/>
        <w:numPr>
          <w:ilvl w:val="0"/>
          <w:numId w:val="22"/>
        </w:numPr>
        <w:spacing w:line="360" w:lineRule="auto"/>
        <w:jc w:val="both"/>
        <w:rPr>
          <w:rFonts w:ascii="Times New Roman" w:eastAsiaTheme="majorEastAsia" w:hAnsi="Times New Roman" w:cs="Times New Roman"/>
          <w:b/>
          <w:bCs/>
          <w:sz w:val="24"/>
          <w:szCs w:val="24"/>
        </w:rPr>
      </w:pPr>
      <w:r w:rsidRPr="00B567B0">
        <w:rPr>
          <w:rFonts w:ascii="Times New Roman" w:hAnsi="Times New Roman" w:cs="Times New Roman"/>
          <w:sz w:val="24"/>
          <w:szCs w:val="24"/>
        </w:rPr>
        <w:t xml:space="preserve">Савостьянов, Ю. Все больше слияний и поглощений / Ю. Савостьянов // </w:t>
      </w:r>
      <w:r w:rsidRPr="00B567B0">
        <w:rPr>
          <w:rFonts w:ascii="Times New Roman" w:hAnsi="Times New Roman" w:cs="Times New Roman"/>
          <w:sz w:val="24"/>
          <w:szCs w:val="24"/>
          <w:lang w:val="en-US"/>
        </w:rPr>
        <w:t>Oil</w:t>
      </w:r>
      <w:r w:rsidRPr="00B567B0">
        <w:rPr>
          <w:rFonts w:ascii="Times New Roman" w:hAnsi="Times New Roman" w:cs="Times New Roman"/>
          <w:sz w:val="24"/>
          <w:szCs w:val="24"/>
        </w:rPr>
        <w:t xml:space="preserve"> &amp; </w:t>
      </w:r>
      <w:r w:rsidRPr="00B567B0">
        <w:rPr>
          <w:rFonts w:ascii="Times New Roman" w:hAnsi="Times New Roman" w:cs="Times New Roman"/>
          <w:sz w:val="24"/>
          <w:szCs w:val="24"/>
          <w:lang w:val="en-US"/>
        </w:rPr>
        <w:t>Gas</w:t>
      </w:r>
      <w:r w:rsidRPr="00B567B0">
        <w:rPr>
          <w:rFonts w:ascii="Times New Roman" w:hAnsi="Times New Roman" w:cs="Times New Roman"/>
          <w:sz w:val="24"/>
          <w:szCs w:val="24"/>
        </w:rPr>
        <w:t xml:space="preserve"> </w:t>
      </w:r>
      <w:r w:rsidRPr="00B567B0">
        <w:rPr>
          <w:rFonts w:ascii="Times New Roman" w:hAnsi="Times New Roman" w:cs="Times New Roman"/>
          <w:sz w:val="24"/>
          <w:szCs w:val="24"/>
          <w:lang w:val="en-US"/>
        </w:rPr>
        <w:t>Journal</w:t>
      </w:r>
      <w:r w:rsidRPr="00B567B0">
        <w:rPr>
          <w:rFonts w:ascii="Times New Roman" w:hAnsi="Times New Roman" w:cs="Times New Roman"/>
          <w:sz w:val="24"/>
          <w:szCs w:val="24"/>
        </w:rPr>
        <w:t xml:space="preserve"> </w:t>
      </w:r>
      <w:r w:rsidRPr="00B567B0">
        <w:rPr>
          <w:rFonts w:ascii="Times New Roman" w:hAnsi="Times New Roman" w:cs="Times New Roman"/>
          <w:sz w:val="24"/>
          <w:szCs w:val="24"/>
          <w:lang w:val="en-US"/>
        </w:rPr>
        <w:t>Russia</w:t>
      </w:r>
      <w:r w:rsidRPr="00B567B0">
        <w:rPr>
          <w:rFonts w:ascii="Times New Roman" w:hAnsi="Times New Roman" w:cs="Times New Roman"/>
          <w:sz w:val="24"/>
          <w:szCs w:val="24"/>
        </w:rPr>
        <w:t xml:space="preserve">. – Апрель 2017. № 04 (114). – 168 </w:t>
      </w:r>
      <w:r w:rsidRPr="00B567B0">
        <w:rPr>
          <w:rFonts w:ascii="Times New Roman" w:hAnsi="Times New Roman" w:cs="Times New Roman"/>
          <w:sz w:val="24"/>
          <w:szCs w:val="24"/>
          <w:lang w:val="en-US"/>
        </w:rPr>
        <w:t>c</w:t>
      </w:r>
      <w:r w:rsidRPr="00B567B0">
        <w:rPr>
          <w:rFonts w:ascii="Times New Roman" w:hAnsi="Times New Roman" w:cs="Times New Roman"/>
          <w:sz w:val="24"/>
          <w:szCs w:val="24"/>
        </w:rPr>
        <w:t>.</w:t>
      </w:r>
    </w:p>
    <w:p w:rsidR="000C2D75" w:rsidRPr="00BB18D6" w:rsidRDefault="000C2D75" w:rsidP="000C2D75">
      <w:pPr>
        <w:pStyle w:val="a3"/>
        <w:numPr>
          <w:ilvl w:val="0"/>
          <w:numId w:val="22"/>
        </w:numPr>
        <w:spacing w:line="360" w:lineRule="auto"/>
        <w:jc w:val="both"/>
        <w:rPr>
          <w:rFonts w:ascii="Times New Roman" w:eastAsiaTheme="majorEastAsia" w:hAnsi="Times New Roman" w:cs="Times New Roman"/>
          <w:b/>
          <w:bCs/>
          <w:sz w:val="24"/>
          <w:szCs w:val="24"/>
        </w:rPr>
      </w:pPr>
      <w:r>
        <w:rPr>
          <w:rFonts w:ascii="Times New Roman" w:hAnsi="Times New Roman" w:cs="Times New Roman"/>
          <w:sz w:val="24"/>
          <w:szCs w:val="24"/>
        </w:rPr>
        <w:t xml:space="preserve">Свиридов, О. </w:t>
      </w:r>
      <w:r w:rsidRPr="000C2D75">
        <w:rPr>
          <w:rFonts w:ascii="Times New Roman" w:hAnsi="Times New Roman" w:cs="Times New Roman"/>
          <w:sz w:val="24"/>
          <w:szCs w:val="24"/>
        </w:rPr>
        <w:t>Особенности и проблемы развития рынка слияний и поглощений в нефтегазовом секторе экономики России</w:t>
      </w:r>
      <w:r>
        <w:rPr>
          <w:rFonts w:ascii="Times New Roman" w:hAnsi="Times New Roman" w:cs="Times New Roman"/>
          <w:sz w:val="24"/>
          <w:szCs w:val="24"/>
        </w:rPr>
        <w:t xml:space="preserve"> / О. Свиридов, И. Некрасова, В. Калашников // Региональная экономика и управление: электронный научный журнал. – 2016. №4 (48). – 11 с. </w:t>
      </w:r>
      <w:r w:rsidRPr="000C2D75">
        <w:rPr>
          <w:rFonts w:ascii="Times New Roman" w:hAnsi="Times New Roman" w:cs="Times New Roman"/>
          <w:sz w:val="24"/>
          <w:szCs w:val="24"/>
        </w:rPr>
        <w:t>URL</w:t>
      </w:r>
      <w:r>
        <w:rPr>
          <w:rFonts w:ascii="Times New Roman" w:hAnsi="Times New Roman" w:cs="Times New Roman"/>
          <w:sz w:val="24"/>
          <w:szCs w:val="24"/>
        </w:rPr>
        <w:t xml:space="preserve">: </w:t>
      </w:r>
      <w:hyperlink r:id="rId31" w:history="1">
        <w:r w:rsidRPr="00BD0602">
          <w:rPr>
            <w:rStyle w:val="a4"/>
            <w:rFonts w:ascii="Times New Roman" w:hAnsi="Times New Roman" w:cs="Times New Roman"/>
            <w:sz w:val="24"/>
            <w:szCs w:val="24"/>
          </w:rPr>
          <w:t>http://eee-region.ru/</w:t>
        </w:r>
      </w:hyperlink>
      <w:r>
        <w:rPr>
          <w:rFonts w:ascii="Times New Roman" w:hAnsi="Times New Roman" w:cs="Times New Roman"/>
          <w:sz w:val="24"/>
          <w:szCs w:val="24"/>
        </w:rPr>
        <w:t xml:space="preserve"> (Дата обращения: 07.05.2017)</w:t>
      </w:r>
    </w:p>
    <w:p w:rsidR="00BB18D6" w:rsidRPr="00BB18D6" w:rsidRDefault="00BB18D6" w:rsidP="005654E7">
      <w:pPr>
        <w:pStyle w:val="a3"/>
        <w:numPr>
          <w:ilvl w:val="0"/>
          <w:numId w:val="22"/>
        </w:numPr>
        <w:spacing w:line="360" w:lineRule="auto"/>
        <w:jc w:val="both"/>
        <w:rPr>
          <w:rFonts w:ascii="Times New Roman" w:eastAsiaTheme="majorEastAsia" w:hAnsi="Times New Roman" w:cs="Times New Roman"/>
          <w:bCs/>
          <w:sz w:val="24"/>
          <w:szCs w:val="24"/>
        </w:rPr>
      </w:pPr>
      <w:r w:rsidRPr="00BB18D6">
        <w:rPr>
          <w:rFonts w:ascii="Times New Roman" w:eastAsiaTheme="majorEastAsia" w:hAnsi="Times New Roman" w:cs="Times New Roman"/>
          <w:bCs/>
          <w:sz w:val="24"/>
          <w:szCs w:val="24"/>
        </w:rPr>
        <w:t xml:space="preserve">Скворцова, И. Использование метода событий в исследованиях слияний и поглощений на развитых и развивающихся рынках капитала / И. Скворцова, С. Проскурин, В. </w:t>
      </w:r>
      <w:proofErr w:type="spellStart"/>
      <w:r w:rsidRPr="00BB18D6">
        <w:rPr>
          <w:rFonts w:ascii="Times New Roman" w:eastAsiaTheme="majorEastAsia" w:hAnsi="Times New Roman" w:cs="Times New Roman"/>
          <w:bCs/>
          <w:sz w:val="24"/>
          <w:szCs w:val="24"/>
        </w:rPr>
        <w:t>Крыхтин</w:t>
      </w:r>
      <w:proofErr w:type="spellEnd"/>
      <w:r w:rsidRPr="00BB18D6">
        <w:rPr>
          <w:rFonts w:ascii="Times New Roman" w:eastAsiaTheme="majorEastAsia" w:hAnsi="Times New Roman" w:cs="Times New Roman"/>
          <w:bCs/>
          <w:sz w:val="24"/>
          <w:szCs w:val="24"/>
        </w:rPr>
        <w:t xml:space="preserve">, Е. </w:t>
      </w:r>
      <w:proofErr w:type="spellStart"/>
      <w:r w:rsidRPr="00BB18D6">
        <w:rPr>
          <w:rFonts w:ascii="Times New Roman" w:eastAsiaTheme="majorEastAsia" w:hAnsi="Times New Roman" w:cs="Times New Roman"/>
          <w:bCs/>
          <w:sz w:val="24"/>
          <w:szCs w:val="24"/>
        </w:rPr>
        <w:t>Стельмахова</w:t>
      </w:r>
      <w:proofErr w:type="spellEnd"/>
      <w:r w:rsidRPr="00BB18D6">
        <w:rPr>
          <w:rFonts w:ascii="Times New Roman" w:eastAsiaTheme="majorEastAsia" w:hAnsi="Times New Roman" w:cs="Times New Roman"/>
          <w:bCs/>
          <w:sz w:val="24"/>
          <w:szCs w:val="24"/>
        </w:rPr>
        <w:t>, Е. Игнатьев // Электронный журнал Корпоративные финансы. – 2013</w:t>
      </w:r>
      <w:r w:rsidR="000C2D75">
        <w:rPr>
          <w:rFonts w:ascii="Times New Roman" w:eastAsiaTheme="majorEastAsia" w:hAnsi="Times New Roman" w:cs="Times New Roman"/>
          <w:bCs/>
          <w:sz w:val="24"/>
          <w:szCs w:val="24"/>
        </w:rPr>
        <w:t>.</w:t>
      </w:r>
      <w:r w:rsidRPr="00BB18D6">
        <w:rPr>
          <w:rFonts w:ascii="Times New Roman" w:eastAsiaTheme="majorEastAsia" w:hAnsi="Times New Roman" w:cs="Times New Roman"/>
          <w:bCs/>
          <w:sz w:val="24"/>
          <w:szCs w:val="24"/>
        </w:rPr>
        <w:t xml:space="preserve"> №4 (28). – 167 </w:t>
      </w:r>
      <w:r>
        <w:rPr>
          <w:rFonts w:ascii="Times New Roman" w:eastAsiaTheme="majorEastAsia" w:hAnsi="Times New Roman" w:cs="Times New Roman"/>
          <w:bCs/>
          <w:sz w:val="24"/>
          <w:szCs w:val="24"/>
        </w:rPr>
        <w:t xml:space="preserve">с. URL: </w:t>
      </w:r>
      <w:hyperlink r:id="rId32" w:history="1">
        <w:r w:rsidRPr="002F4C89">
          <w:rPr>
            <w:rStyle w:val="a4"/>
            <w:rFonts w:ascii="Times New Roman" w:eastAsiaTheme="majorEastAsia" w:hAnsi="Times New Roman" w:cs="Times New Roman"/>
            <w:bCs/>
            <w:sz w:val="24"/>
            <w:szCs w:val="24"/>
          </w:rPr>
          <w:t>https://www.hse.ru/</w:t>
        </w:r>
      </w:hyperlink>
      <w:r w:rsidRPr="00BB18D6">
        <w:rPr>
          <w:rFonts w:ascii="Times New Roman" w:eastAsiaTheme="majorEastAsia" w:hAnsi="Times New Roman" w:cs="Times New Roman"/>
          <w:bCs/>
          <w:sz w:val="24"/>
          <w:szCs w:val="24"/>
        </w:rPr>
        <w:t xml:space="preserve"> (Дата обращения: 11.05.2017)</w:t>
      </w:r>
    </w:p>
    <w:p w:rsidR="0065198B" w:rsidRPr="0049767F" w:rsidRDefault="0065198B" w:rsidP="005654E7">
      <w:pPr>
        <w:pStyle w:val="a3"/>
        <w:numPr>
          <w:ilvl w:val="0"/>
          <w:numId w:val="22"/>
        </w:num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Слияния и поглощения в России. </w:t>
      </w:r>
      <w:r>
        <w:rPr>
          <w:rFonts w:ascii="Times New Roman" w:eastAsiaTheme="majorEastAsia" w:hAnsi="Times New Roman" w:cs="Times New Roman"/>
          <w:bCs/>
          <w:sz w:val="24"/>
          <w:szCs w:val="24"/>
          <w:lang w:val="en-US"/>
        </w:rPr>
        <w:t>URL</w:t>
      </w:r>
      <w:r>
        <w:rPr>
          <w:rFonts w:ascii="Times New Roman" w:eastAsiaTheme="majorEastAsia" w:hAnsi="Times New Roman" w:cs="Times New Roman"/>
          <w:bCs/>
          <w:sz w:val="24"/>
          <w:szCs w:val="24"/>
        </w:rPr>
        <w:t xml:space="preserve">: </w:t>
      </w:r>
      <w:hyperlink r:id="rId33" w:history="1">
        <w:r w:rsidRPr="00AD528F">
          <w:rPr>
            <w:rStyle w:val="a4"/>
            <w:rFonts w:ascii="Times New Roman" w:eastAsiaTheme="majorEastAsia" w:hAnsi="Times New Roman" w:cs="Times New Roman"/>
            <w:bCs/>
            <w:sz w:val="24"/>
            <w:szCs w:val="24"/>
          </w:rPr>
          <w:t>www.mergers.ru</w:t>
        </w:r>
      </w:hyperlink>
      <w:r w:rsidRPr="00CE1025">
        <w:rPr>
          <w:rFonts w:ascii="Times New Roman" w:eastAsiaTheme="majorEastAsia" w:hAnsi="Times New Roman" w:cs="Times New Roman"/>
          <w:bCs/>
          <w:sz w:val="24"/>
          <w:szCs w:val="24"/>
        </w:rPr>
        <w:t xml:space="preserve"> </w:t>
      </w:r>
      <w:r w:rsidR="00CF07BE">
        <w:rPr>
          <w:rFonts w:ascii="Times New Roman" w:eastAsiaTheme="majorEastAsia" w:hAnsi="Times New Roman" w:cs="Times New Roman"/>
          <w:bCs/>
          <w:sz w:val="24"/>
          <w:szCs w:val="24"/>
        </w:rPr>
        <w:t>(Дата обращения: 09.05.2017</w:t>
      </w:r>
      <w:r>
        <w:rPr>
          <w:rFonts w:ascii="Times New Roman" w:eastAsiaTheme="majorEastAsia" w:hAnsi="Times New Roman" w:cs="Times New Roman"/>
          <w:bCs/>
          <w:sz w:val="24"/>
          <w:szCs w:val="24"/>
        </w:rPr>
        <w:t>)</w:t>
      </w:r>
    </w:p>
    <w:p w:rsidR="0049767F" w:rsidRDefault="0049767F" w:rsidP="005654E7">
      <w:pPr>
        <w:pStyle w:val="a3"/>
        <w:numPr>
          <w:ilvl w:val="0"/>
          <w:numId w:val="22"/>
        </w:numPr>
        <w:spacing w:line="360" w:lineRule="auto"/>
        <w:jc w:val="both"/>
        <w:rPr>
          <w:rFonts w:ascii="Times New Roman" w:eastAsiaTheme="majorEastAsia" w:hAnsi="Times New Roman" w:cs="Times New Roman"/>
          <w:bCs/>
          <w:sz w:val="24"/>
          <w:szCs w:val="24"/>
        </w:rPr>
      </w:pPr>
      <w:r w:rsidRPr="0049767F">
        <w:rPr>
          <w:rFonts w:ascii="Times New Roman" w:eastAsiaTheme="majorEastAsia" w:hAnsi="Times New Roman" w:cs="Times New Roman"/>
          <w:bCs/>
          <w:sz w:val="24"/>
          <w:szCs w:val="24"/>
        </w:rPr>
        <w:t xml:space="preserve">Теплова Т.В. </w:t>
      </w:r>
      <w:proofErr w:type="spellStart"/>
      <w:r w:rsidRPr="0049767F">
        <w:rPr>
          <w:rFonts w:ascii="Times New Roman" w:eastAsiaTheme="majorEastAsia" w:hAnsi="Times New Roman" w:cs="Times New Roman"/>
          <w:bCs/>
          <w:sz w:val="24"/>
          <w:szCs w:val="24"/>
        </w:rPr>
        <w:t>Эффективныи</w:t>
      </w:r>
      <w:proofErr w:type="spellEnd"/>
      <w:r w:rsidRPr="0049767F">
        <w:rPr>
          <w:rFonts w:ascii="Times New Roman" w:eastAsiaTheme="majorEastAsia" w:hAnsi="Times New Roman" w:cs="Times New Roman"/>
          <w:bCs/>
          <w:sz w:val="24"/>
          <w:szCs w:val="24"/>
        </w:rPr>
        <w:t xml:space="preserve">̆ </w:t>
      </w:r>
      <w:proofErr w:type="spellStart"/>
      <w:r w:rsidRPr="0049767F">
        <w:rPr>
          <w:rFonts w:ascii="Times New Roman" w:eastAsiaTheme="majorEastAsia" w:hAnsi="Times New Roman" w:cs="Times New Roman"/>
          <w:bCs/>
          <w:sz w:val="24"/>
          <w:szCs w:val="24"/>
        </w:rPr>
        <w:t>финансовыи</w:t>
      </w:r>
      <w:proofErr w:type="spellEnd"/>
      <w:r w:rsidRPr="0049767F">
        <w:rPr>
          <w:rFonts w:ascii="Times New Roman" w:eastAsiaTheme="majorEastAsia" w:hAnsi="Times New Roman" w:cs="Times New Roman"/>
          <w:bCs/>
          <w:sz w:val="24"/>
          <w:szCs w:val="24"/>
        </w:rPr>
        <w:t xml:space="preserve">̆ директор. – М.: Издательство </w:t>
      </w:r>
      <w:proofErr w:type="spellStart"/>
      <w:r w:rsidRPr="0049767F">
        <w:rPr>
          <w:rFonts w:ascii="Times New Roman" w:eastAsiaTheme="majorEastAsia" w:hAnsi="Times New Roman" w:cs="Times New Roman"/>
          <w:bCs/>
          <w:sz w:val="24"/>
          <w:szCs w:val="24"/>
        </w:rPr>
        <w:t>Юрайт</w:t>
      </w:r>
      <w:proofErr w:type="spellEnd"/>
      <w:r w:rsidRPr="0049767F">
        <w:rPr>
          <w:rFonts w:ascii="Times New Roman" w:eastAsiaTheme="majorEastAsia" w:hAnsi="Times New Roman" w:cs="Times New Roman"/>
          <w:bCs/>
          <w:sz w:val="24"/>
          <w:szCs w:val="24"/>
        </w:rPr>
        <w:t>, 2011.- 507с.</w:t>
      </w:r>
    </w:p>
    <w:p w:rsidR="0049767F" w:rsidRDefault="0049767F" w:rsidP="005654E7">
      <w:pPr>
        <w:pStyle w:val="a3"/>
        <w:numPr>
          <w:ilvl w:val="0"/>
          <w:numId w:val="22"/>
        </w:numPr>
        <w:spacing w:line="360" w:lineRule="auto"/>
        <w:jc w:val="both"/>
        <w:rPr>
          <w:rFonts w:ascii="Times New Roman" w:eastAsiaTheme="majorEastAsia" w:hAnsi="Times New Roman" w:cs="Times New Roman"/>
          <w:bCs/>
          <w:sz w:val="24"/>
          <w:szCs w:val="24"/>
        </w:rPr>
      </w:pPr>
      <w:proofErr w:type="spellStart"/>
      <w:r w:rsidRPr="0049767F">
        <w:rPr>
          <w:rFonts w:ascii="Times New Roman" w:eastAsiaTheme="majorEastAsia" w:hAnsi="Times New Roman" w:cs="Times New Roman"/>
          <w:bCs/>
          <w:sz w:val="24"/>
          <w:szCs w:val="24"/>
        </w:rPr>
        <w:t>Тихомиров</w:t>
      </w:r>
      <w:proofErr w:type="gramStart"/>
      <w:r w:rsidRPr="0049767F">
        <w:rPr>
          <w:rFonts w:ascii="Times New Roman" w:eastAsiaTheme="majorEastAsia" w:hAnsi="Times New Roman" w:cs="Times New Roman"/>
          <w:bCs/>
          <w:sz w:val="24"/>
          <w:szCs w:val="24"/>
        </w:rPr>
        <w:t>,Д</w:t>
      </w:r>
      <w:proofErr w:type="gramEnd"/>
      <w:r w:rsidRPr="0049767F">
        <w:rPr>
          <w:rFonts w:ascii="Times New Roman" w:eastAsiaTheme="majorEastAsia" w:hAnsi="Times New Roman" w:cs="Times New Roman"/>
          <w:bCs/>
          <w:sz w:val="24"/>
          <w:szCs w:val="24"/>
        </w:rPr>
        <w:t>.В</w:t>
      </w:r>
      <w:proofErr w:type="spellEnd"/>
      <w:r w:rsidRPr="0049767F">
        <w:rPr>
          <w:rFonts w:ascii="Times New Roman" w:eastAsiaTheme="majorEastAsia" w:hAnsi="Times New Roman" w:cs="Times New Roman"/>
          <w:bCs/>
          <w:sz w:val="24"/>
          <w:szCs w:val="24"/>
        </w:rPr>
        <w:t>. Оценка стоимости компаний пр</w:t>
      </w:r>
      <w:r w:rsidR="000C2D75">
        <w:rPr>
          <w:rFonts w:ascii="Times New Roman" w:eastAsiaTheme="majorEastAsia" w:hAnsi="Times New Roman" w:cs="Times New Roman"/>
          <w:bCs/>
          <w:sz w:val="24"/>
          <w:szCs w:val="24"/>
        </w:rPr>
        <w:t>и слияниях и поглощениях</w:t>
      </w:r>
      <w:r w:rsidRPr="0049767F">
        <w:rPr>
          <w:rFonts w:ascii="Times New Roman" w:eastAsiaTheme="majorEastAsia" w:hAnsi="Times New Roman" w:cs="Times New Roman"/>
          <w:bCs/>
          <w:sz w:val="24"/>
          <w:szCs w:val="24"/>
        </w:rPr>
        <w:t xml:space="preserve"> / Д.В. Тихомиров. – СПб</w:t>
      </w:r>
      <w:proofErr w:type="gramStart"/>
      <w:r w:rsidRPr="0049767F">
        <w:rPr>
          <w:rFonts w:ascii="Times New Roman" w:eastAsiaTheme="majorEastAsia" w:hAnsi="Times New Roman" w:cs="Times New Roman"/>
          <w:bCs/>
          <w:sz w:val="24"/>
          <w:szCs w:val="24"/>
        </w:rPr>
        <w:t xml:space="preserve">. : </w:t>
      </w:r>
      <w:proofErr w:type="gramEnd"/>
      <w:r w:rsidRPr="0049767F">
        <w:rPr>
          <w:rFonts w:ascii="Times New Roman" w:eastAsiaTheme="majorEastAsia" w:hAnsi="Times New Roman" w:cs="Times New Roman"/>
          <w:bCs/>
          <w:sz w:val="24"/>
          <w:szCs w:val="24"/>
        </w:rPr>
        <w:t xml:space="preserve">Изд-во </w:t>
      </w:r>
      <w:proofErr w:type="spellStart"/>
      <w:r w:rsidRPr="0049767F">
        <w:rPr>
          <w:rFonts w:ascii="Times New Roman" w:eastAsiaTheme="majorEastAsia" w:hAnsi="Times New Roman" w:cs="Times New Roman"/>
          <w:bCs/>
          <w:sz w:val="24"/>
          <w:szCs w:val="24"/>
        </w:rPr>
        <w:t>СПбГУЭФ</w:t>
      </w:r>
      <w:proofErr w:type="spellEnd"/>
      <w:r w:rsidRPr="0049767F">
        <w:rPr>
          <w:rFonts w:ascii="Times New Roman" w:eastAsiaTheme="majorEastAsia" w:hAnsi="Times New Roman" w:cs="Times New Roman"/>
          <w:bCs/>
          <w:sz w:val="24"/>
          <w:szCs w:val="24"/>
        </w:rPr>
        <w:t>, 2009.– 132 с.</w:t>
      </w:r>
    </w:p>
    <w:p w:rsidR="002B2796" w:rsidRDefault="002B2796" w:rsidP="005654E7">
      <w:pPr>
        <w:pStyle w:val="a3"/>
        <w:numPr>
          <w:ilvl w:val="0"/>
          <w:numId w:val="22"/>
        </w:numPr>
        <w:spacing w:line="360" w:lineRule="auto"/>
        <w:jc w:val="both"/>
        <w:rPr>
          <w:rFonts w:ascii="Times New Roman" w:eastAsiaTheme="majorEastAsia" w:hAnsi="Times New Roman" w:cs="Times New Roman"/>
          <w:bCs/>
          <w:sz w:val="24"/>
          <w:szCs w:val="24"/>
        </w:rPr>
      </w:pPr>
      <w:proofErr w:type="spellStart"/>
      <w:r>
        <w:rPr>
          <w:rFonts w:ascii="Times New Roman" w:eastAsiaTheme="majorEastAsia" w:hAnsi="Times New Roman" w:cs="Times New Roman"/>
          <w:bCs/>
          <w:sz w:val="24"/>
          <w:szCs w:val="24"/>
        </w:rPr>
        <w:t>Хасаншина</w:t>
      </w:r>
      <w:proofErr w:type="spellEnd"/>
      <w:r>
        <w:rPr>
          <w:rFonts w:ascii="Times New Roman" w:eastAsiaTheme="majorEastAsia" w:hAnsi="Times New Roman" w:cs="Times New Roman"/>
          <w:bCs/>
          <w:sz w:val="24"/>
          <w:szCs w:val="24"/>
        </w:rPr>
        <w:t xml:space="preserve"> Н.Б. Экономические цели и мотивы корпоративной интеграции / Н.Б. </w:t>
      </w:r>
      <w:proofErr w:type="spellStart"/>
      <w:r>
        <w:rPr>
          <w:rFonts w:ascii="Times New Roman" w:eastAsiaTheme="majorEastAsia" w:hAnsi="Times New Roman" w:cs="Times New Roman"/>
          <w:bCs/>
          <w:sz w:val="24"/>
          <w:szCs w:val="24"/>
        </w:rPr>
        <w:t>Хасаншина</w:t>
      </w:r>
      <w:proofErr w:type="spellEnd"/>
      <w:r>
        <w:rPr>
          <w:rFonts w:ascii="Times New Roman" w:eastAsiaTheme="majorEastAsia" w:hAnsi="Times New Roman" w:cs="Times New Roman"/>
          <w:bCs/>
          <w:sz w:val="24"/>
          <w:szCs w:val="24"/>
        </w:rPr>
        <w:t xml:space="preserve"> // Вестник Санкт-Петербургского Государственного Университета. Серия 5, Экономика. – 2010. №2. – С.100-107</w:t>
      </w:r>
    </w:p>
    <w:p w:rsidR="0065198B" w:rsidRDefault="0065198B" w:rsidP="005654E7">
      <w:pPr>
        <w:pStyle w:val="a3"/>
        <w:numPr>
          <w:ilvl w:val="0"/>
          <w:numId w:val="22"/>
        </w:numPr>
        <w:spacing w:line="360" w:lineRule="auto"/>
        <w:jc w:val="both"/>
        <w:rPr>
          <w:rFonts w:ascii="Times New Roman" w:eastAsiaTheme="majorEastAsia" w:hAnsi="Times New Roman" w:cs="Times New Roman"/>
          <w:bCs/>
          <w:sz w:val="24"/>
          <w:szCs w:val="24"/>
        </w:rPr>
      </w:pPr>
      <w:proofErr w:type="spellStart"/>
      <w:r w:rsidRPr="00AB0A91">
        <w:rPr>
          <w:rFonts w:ascii="Times New Roman" w:eastAsiaTheme="majorEastAsia" w:hAnsi="Times New Roman" w:cs="Times New Roman"/>
          <w:bCs/>
          <w:sz w:val="24"/>
          <w:szCs w:val="24"/>
        </w:rPr>
        <w:t>Шаленкова</w:t>
      </w:r>
      <w:proofErr w:type="spellEnd"/>
      <w:r w:rsidRPr="00AB0A91">
        <w:rPr>
          <w:rFonts w:ascii="Times New Roman" w:eastAsiaTheme="majorEastAsia" w:hAnsi="Times New Roman" w:cs="Times New Roman"/>
          <w:bCs/>
          <w:sz w:val="24"/>
          <w:szCs w:val="24"/>
        </w:rPr>
        <w:t xml:space="preserve"> О. Методика количественной оценки синергетического эффекта как ключевого фактора в принятии решения о проведении сделок M&amp;A.// Сл</w:t>
      </w:r>
      <w:r>
        <w:rPr>
          <w:rFonts w:ascii="Times New Roman" w:eastAsiaTheme="majorEastAsia" w:hAnsi="Times New Roman" w:cs="Times New Roman"/>
          <w:bCs/>
          <w:sz w:val="24"/>
          <w:szCs w:val="24"/>
        </w:rPr>
        <w:t>ияния и поглощения №1-2, 2008. – 26 с.</w:t>
      </w:r>
    </w:p>
    <w:p w:rsidR="005E24FF" w:rsidRDefault="005E24FF" w:rsidP="005E24FF">
      <w:pPr>
        <w:pStyle w:val="a3"/>
        <w:spacing w:line="360" w:lineRule="auto"/>
        <w:jc w:val="both"/>
        <w:rPr>
          <w:rFonts w:ascii="Times New Roman" w:eastAsiaTheme="majorEastAsia" w:hAnsi="Times New Roman" w:cs="Times New Roman"/>
          <w:bCs/>
          <w:sz w:val="24"/>
          <w:szCs w:val="24"/>
        </w:rPr>
        <w:sectPr w:rsidR="005E24FF" w:rsidSect="00234464">
          <w:headerReference w:type="default" r:id="rId34"/>
          <w:pgSz w:w="11906" w:h="16838"/>
          <w:pgMar w:top="1134" w:right="567" w:bottom="1134" w:left="1701" w:header="709" w:footer="709" w:gutter="0"/>
          <w:cols w:space="708"/>
          <w:titlePg/>
          <w:docGrid w:linePitch="360"/>
        </w:sectPr>
      </w:pPr>
    </w:p>
    <w:p w:rsidR="0065198B" w:rsidRPr="0065198B" w:rsidRDefault="0065198B" w:rsidP="0065198B">
      <w:pPr>
        <w:pStyle w:val="1"/>
        <w:jc w:val="center"/>
        <w:rPr>
          <w:rFonts w:ascii="Times New Roman" w:hAnsi="Times New Roman" w:cs="Times New Roman"/>
          <w:color w:val="auto"/>
          <w:lang w:val="en-US"/>
        </w:rPr>
      </w:pPr>
      <w:bookmarkStart w:id="22" w:name="_Toc469372288"/>
      <w:bookmarkStart w:id="23" w:name="_Toc482547527"/>
      <w:r w:rsidRPr="0065198B">
        <w:rPr>
          <w:rFonts w:ascii="Times New Roman" w:hAnsi="Times New Roman" w:cs="Times New Roman"/>
          <w:color w:val="auto"/>
        </w:rPr>
        <w:lastRenderedPageBreak/>
        <w:t>Прилож</w:t>
      </w:r>
      <w:bookmarkStart w:id="24" w:name="_GoBack"/>
      <w:bookmarkEnd w:id="24"/>
      <w:r w:rsidRPr="0065198B">
        <w:rPr>
          <w:rFonts w:ascii="Times New Roman" w:hAnsi="Times New Roman" w:cs="Times New Roman"/>
          <w:color w:val="auto"/>
        </w:rPr>
        <w:t>ения</w:t>
      </w:r>
      <w:bookmarkEnd w:id="22"/>
      <w:bookmarkEnd w:id="23"/>
    </w:p>
    <w:p w:rsidR="0065198B" w:rsidRPr="00B567B0" w:rsidRDefault="0065198B" w:rsidP="00B567B0">
      <w:pPr>
        <w:rPr>
          <w:rFonts w:ascii="Times New Roman" w:hAnsi="Times New Roman" w:cs="Times New Roman"/>
          <w:sz w:val="24"/>
          <w:lang w:val="en-US"/>
        </w:rPr>
      </w:pPr>
      <w:r w:rsidRPr="00B567B0">
        <w:rPr>
          <w:rFonts w:ascii="Times New Roman" w:hAnsi="Times New Roman" w:cs="Times New Roman"/>
          <w:sz w:val="24"/>
        </w:rPr>
        <w:t>ПРИЛОЖЕНИЕ</w:t>
      </w:r>
      <w:r w:rsidRPr="00B567B0">
        <w:rPr>
          <w:rFonts w:ascii="Times New Roman" w:hAnsi="Times New Roman" w:cs="Times New Roman"/>
          <w:sz w:val="24"/>
          <w:lang w:val="en-US"/>
        </w:rPr>
        <w:t xml:space="preserve"> 1</w:t>
      </w:r>
    </w:p>
    <w:tbl>
      <w:tblPr>
        <w:tblStyle w:val="a8"/>
        <w:tblW w:w="13579" w:type="dxa"/>
        <w:tblLook w:val="04A0" w:firstRow="1" w:lastRow="0" w:firstColumn="1" w:lastColumn="0" w:noHBand="0" w:noVBand="1"/>
      </w:tblPr>
      <w:tblGrid>
        <w:gridCol w:w="1545"/>
        <w:gridCol w:w="1544"/>
        <w:gridCol w:w="2689"/>
        <w:gridCol w:w="1418"/>
        <w:gridCol w:w="992"/>
        <w:gridCol w:w="284"/>
        <w:gridCol w:w="1275"/>
        <w:gridCol w:w="1276"/>
        <w:gridCol w:w="1276"/>
        <w:gridCol w:w="1280"/>
      </w:tblGrid>
      <w:tr w:rsidR="0065198B" w:rsidRPr="00FE3362" w:rsidTr="0065198B">
        <w:trPr>
          <w:trHeight w:val="315"/>
        </w:trPr>
        <w:tc>
          <w:tcPr>
            <w:tcW w:w="8188" w:type="dxa"/>
            <w:gridSpan w:val="5"/>
            <w:tcBorders>
              <w:top w:val="nil"/>
              <w:left w:val="nil"/>
              <w:bottom w:val="nil"/>
              <w:right w:val="nil"/>
            </w:tcBorders>
            <w:noWrap/>
            <w:hideMark/>
          </w:tcPr>
          <w:p w:rsidR="0065198B" w:rsidRPr="00FC385F" w:rsidRDefault="0065198B" w:rsidP="0065198B">
            <w:pPr>
              <w:rPr>
                <w:rFonts w:ascii="Times New Roman" w:eastAsia="Times New Roman" w:hAnsi="Times New Roman" w:cs="Times New Roman"/>
                <w:b/>
                <w:bCs/>
                <w:color w:val="000000"/>
                <w:sz w:val="24"/>
                <w:szCs w:val="20"/>
                <w:lang w:val="en-US" w:eastAsia="ru-RU"/>
              </w:rPr>
            </w:pPr>
            <w:proofErr w:type="spellStart"/>
            <w:r w:rsidRPr="00FC385F">
              <w:rPr>
                <w:rFonts w:ascii="Times New Roman" w:eastAsia="Times New Roman" w:hAnsi="Times New Roman" w:cs="Times New Roman"/>
                <w:b/>
                <w:bCs/>
                <w:color w:val="000000"/>
                <w:sz w:val="24"/>
                <w:szCs w:val="20"/>
                <w:lang w:val="en-US" w:eastAsia="ru-RU"/>
              </w:rPr>
              <w:t>Rosneft</w:t>
            </w:r>
            <w:proofErr w:type="spellEnd"/>
            <w:r w:rsidRPr="00FC385F">
              <w:rPr>
                <w:rFonts w:ascii="Times New Roman" w:eastAsia="Times New Roman" w:hAnsi="Times New Roman" w:cs="Times New Roman"/>
                <w:b/>
                <w:bCs/>
                <w:color w:val="000000"/>
                <w:sz w:val="24"/>
                <w:szCs w:val="20"/>
                <w:lang w:val="en-US" w:eastAsia="ru-RU"/>
              </w:rPr>
              <w:t xml:space="preserve"> TNK-BP Consolidated</w:t>
            </w:r>
            <w:r w:rsidRPr="00672849">
              <w:rPr>
                <w:rFonts w:ascii="Times New Roman" w:eastAsia="Times New Roman" w:hAnsi="Times New Roman" w:cs="Times New Roman"/>
                <w:b/>
                <w:bCs/>
                <w:color w:val="000000"/>
                <w:sz w:val="24"/>
                <w:szCs w:val="20"/>
                <w:lang w:val="en-US" w:eastAsia="ru-RU"/>
              </w:rPr>
              <w:t xml:space="preserve"> (</w:t>
            </w:r>
            <w:r w:rsidRPr="00FC385F">
              <w:rPr>
                <w:rFonts w:ascii="Times New Roman" w:eastAsia="Times New Roman" w:hAnsi="Times New Roman" w:cs="Times New Roman"/>
                <w:b/>
                <w:bCs/>
                <w:color w:val="000000"/>
                <w:sz w:val="24"/>
                <w:szCs w:val="20"/>
                <w:lang w:val="en-US" w:eastAsia="ru-RU"/>
              </w:rPr>
              <w:t>Discounted Cash Flow Analysis</w:t>
            </w:r>
            <w:r w:rsidRPr="00672849">
              <w:rPr>
                <w:rFonts w:ascii="Times New Roman" w:eastAsia="Times New Roman" w:hAnsi="Times New Roman" w:cs="Times New Roman"/>
                <w:b/>
                <w:bCs/>
                <w:color w:val="000000"/>
                <w:sz w:val="24"/>
                <w:szCs w:val="20"/>
                <w:lang w:val="en-US" w:eastAsia="ru-RU"/>
              </w:rPr>
              <w:t>)</w:t>
            </w:r>
          </w:p>
        </w:tc>
        <w:tc>
          <w:tcPr>
            <w:tcW w:w="284" w:type="dxa"/>
            <w:tcBorders>
              <w:top w:val="nil"/>
              <w:left w:val="nil"/>
              <w:bottom w:val="nil"/>
              <w:right w:val="nil"/>
            </w:tcBorders>
            <w:noWrap/>
            <w:hideMark/>
          </w:tcPr>
          <w:p w:rsidR="0065198B" w:rsidRPr="00FC385F" w:rsidRDefault="0065198B" w:rsidP="0065198B">
            <w:pPr>
              <w:rPr>
                <w:rFonts w:ascii="Times New Roman" w:eastAsia="Times New Roman" w:hAnsi="Times New Roman" w:cs="Times New Roman"/>
                <w:color w:val="000000"/>
                <w:sz w:val="20"/>
                <w:szCs w:val="20"/>
                <w:lang w:val="en-US" w:eastAsia="ru-RU"/>
              </w:rPr>
            </w:pPr>
            <w:r w:rsidRPr="00FC385F">
              <w:rPr>
                <w:rFonts w:ascii="Times New Roman" w:eastAsia="Times New Roman" w:hAnsi="Times New Roman" w:cs="Times New Roman"/>
                <w:color w:val="000000"/>
                <w:sz w:val="20"/>
                <w:szCs w:val="20"/>
                <w:lang w:val="en-US" w:eastAsia="ru-RU"/>
              </w:rPr>
              <w:t> </w:t>
            </w:r>
          </w:p>
        </w:tc>
        <w:tc>
          <w:tcPr>
            <w:tcW w:w="1275" w:type="dxa"/>
            <w:tcBorders>
              <w:top w:val="nil"/>
              <w:left w:val="nil"/>
              <w:bottom w:val="nil"/>
              <w:right w:val="nil"/>
            </w:tcBorders>
            <w:noWrap/>
            <w:hideMark/>
          </w:tcPr>
          <w:p w:rsidR="0065198B" w:rsidRPr="00FC385F" w:rsidRDefault="0065198B" w:rsidP="0065198B">
            <w:pPr>
              <w:rPr>
                <w:rFonts w:ascii="Times New Roman" w:eastAsia="Times New Roman" w:hAnsi="Times New Roman" w:cs="Times New Roman"/>
                <w:color w:val="000000"/>
                <w:sz w:val="20"/>
                <w:szCs w:val="20"/>
                <w:lang w:val="en-US" w:eastAsia="ru-RU"/>
              </w:rPr>
            </w:pPr>
            <w:r w:rsidRPr="00FC385F">
              <w:rPr>
                <w:rFonts w:ascii="Times New Roman" w:eastAsia="Times New Roman" w:hAnsi="Times New Roman" w:cs="Times New Roman"/>
                <w:color w:val="000000"/>
                <w:sz w:val="20"/>
                <w:szCs w:val="20"/>
                <w:lang w:val="en-US" w:eastAsia="ru-RU"/>
              </w:rPr>
              <w:t> </w:t>
            </w:r>
          </w:p>
        </w:tc>
        <w:tc>
          <w:tcPr>
            <w:tcW w:w="1276" w:type="dxa"/>
            <w:tcBorders>
              <w:top w:val="nil"/>
              <w:left w:val="nil"/>
              <w:bottom w:val="nil"/>
              <w:right w:val="nil"/>
            </w:tcBorders>
            <w:noWrap/>
            <w:hideMark/>
          </w:tcPr>
          <w:p w:rsidR="0065198B" w:rsidRPr="00FC385F" w:rsidRDefault="0065198B" w:rsidP="0065198B">
            <w:pPr>
              <w:rPr>
                <w:rFonts w:ascii="Times New Roman" w:eastAsia="Times New Roman" w:hAnsi="Times New Roman" w:cs="Times New Roman"/>
                <w:color w:val="000000"/>
                <w:sz w:val="20"/>
                <w:szCs w:val="20"/>
                <w:lang w:val="en-US" w:eastAsia="ru-RU"/>
              </w:rPr>
            </w:pPr>
            <w:r w:rsidRPr="00FC385F">
              <w:rPr>
                <w:rFonts w:ascii="Times New Roman" w:eastAsia="Times New Roman" w:hAnsi="Times New Roman" w:cs="Times New Roman"/>
                <w:color w:val="000000"/>
                <w:sz w:val="20"/>
                <w:szCs w:val="20"/>
                <w:lang w:val="en-US" w:eastAsia="ru-RU"/>
              </w:rPr>
              <w:t> </w:t>
            </w:r>
          </w:p>
        </w:tc>
        <w:tc>
          <w:tcPr>
            <w:tcW w:w="1276" w:type="dxa"/>
            <w:tcBorders>
              <w:top w:val="nil"/>
              <w:left w:val="nil"/>
              <w:bottom w:val="nil"/>
              <w:right w:val="nil"/>
            </w:tcBorders>
            <w:noWrap/>
            <w:hideMark/>
          </w:tcPr>
          <w:p w:rsidR="0065198B" w:rsidRPr="00FC385F" w:rsidRDefault="0065198B" w:rsidP="0065198B">
            <w:pPr>
              <w:rPr>
                <w:rFonts w:ascii="Times New Roman" w:eastAsia="Times New Roman" w:hAnsi="Times New Roman" w:cs="Times New Roman"/>
                <w:color w:val="000000"/>
                <w:sz w:val="20"/>
                <w:szCs w:val="20"/>
                <w:lang w:val="en-US" w:eastAsia="ru-RU"/>
              </w:rPr>
            </w:pPr>
            <w:r w:rsidRPr="00FC385F">
              <w:rPr>
                <w:rFonts w:ascii="Times New Roman" w:eastAsia="Times New Roman" w:hAnsi="Times New Roman" w:cs="Times New Roman"/>
                <w:color w:val="000000"/>
                <w:sz w:val="20"/>
                <w:szCs w:val="20"/>
                <w:lang w:val="en-US" w:eastAsia="ru-RU"/>
              </w:rPr>
              <w:t> </w:t>
            </w:r>
          </w:p>
        </w:tc>
        <w:tc>
          <w:tcPr>
            <w:tcW w:w="1280" w:type="dxa"/>
            <w:tcBorders>
              <w:top w:val="nil"/>
              <w:left w:val="nil"/>
              <w:bottom w:val="nil"/>
              <w:right w:val="nil"/>
            </w:tcBorders>
            <w:noWrap/>
            <w:hideMark/>
          </w:tcPr>
          <w:p w:rsidR="0065198B" w:rsidRPr="00FC385F" w:rsidRDefault="0065198B" w:rsidP="0065198B">
            <w:pPr>
              <w:rPr>
                <w:rFonts w:ascii="Times New Roman" w:eastAsia="Times New Roman" w:hAnsi="Times New Roman" w:cs="Times New Roman"/>
                <w:color w:val="000000"/>
                <w:sz w:val="20"/>
                <w:szCs w:val="20"/>
                <w:lang w:val="en-US" w:eastAsia="ru-RU"/>
              </w:rPr>
            </w:pPr>
            <w:r w:rsidRPr="00FC385F">
              <w:rPr>
                <w:rFonts w:ascii="Times New Roman" w:eastAsia="Times New Roman" w:hAnsi="Times New Roman" w:cs="Times New Roman"/>
                <w:color w:val="000000"/>
                <w:sz w:val="20"/>
                <w:szCs w:val="20"/>
                <w:lang w:val="en-US" w:eastAsia="ru-RU"/>
              </w:rPr>
              <w:t> </w:t>
            </w:r>
          </w:p>
        </w:tc>
      </w:tr>
      <w:tr w:rsidR="0065198B" w:rsidRPr="00FE3362" w:rsidTr="0065198B">
        <w:trPr>
          <w:trHeight w:val="255"/>
        </w:trPr>
        <w:tc>
          <w:tcPr>
            <w:tcW w:w="8472" w:type="dxa"/>
            <w:gridSpan w:val="6"/>
            <w:tcBorders>
              <w:top w:val="nil"/>
              <w:left w:val="nil"/>
              <w:bottom w:val="single" w:sz="18" w:space="0" w:color="auto"/>
              <w:right w:val="nil"/>
            </w:tcBorders>
            <w:noWrap/>
            <w:hideMark/>
          </w:tcPr>
          <w:p w:rsidR="0065198B" w:rsidRPr="00FC385F" w:rsidRDefault="0065198B" w:rsidP="0065198B">
            <w:pPr>
              <w:rPr>
                <w:rFonts w:ascii="Times New Roman" w:eastAsia="Times New Roman" w:hAnsi="Times New Roman" w:cs="Times New Roman"/>
                <w:i/>
                <w:iCs/>
                <w:color w:val="000000"/>
                <w:szCs w:val="20"/>
                <w:lang w:val="en-US" w:eastAsia="ru-RU"/>
              </w:rPr>
            </w:pPr>
            <w:r w:rsidRPr="00FC385F">
              <w:rPr>
                <w:rFonts w:ascii="Times New Roman" w:eastAsia="Times New Roman" w:hAnsi="Times New Roman" w:cs="Times New Roman"/>
                <w:i/>
                <w:iCs/>
                <w:color w:val="000000"/>
                <w:szCs w:val="20"/>
                <w:lang w:val="en-US" w:eastAsia="ru-RU"/>
              </w:rPr>
              <w:t>(USD in millions fiscal year ending December 31)</w:t>
            </w:r>
          </w:p>
        </w:tc>
        <w:tc>
          <w:tcPr>
            <w:tcW w:w="1275" w:type="dxa"/>
            <w:tcBorders>
              <w:top w:val="nil"/>
              <w:left w:val="nil"/>
              <w:bottom w:val="single" w:sz="18" w:space="0" w:color="auto"/>
              <w:right w:val="nil"/>
            </w:tcBorders>
            <w:noWrap/>
            <w:hideMark/>
          </w:tcPr>
          <w:p w:rsidR="0065198B" w:rsidRPr="00FC385F" w:rsidRDefault="0065198B" w:rsidP="0065198B">
            <w:pPr>
              <w:rPr>
                <w:rFonts w:ascii="Times New Roman" w:eastAsia="Times New Roman" w:hAnsi="Times New Roman" w:cs="Times New Roman"/>
                <w:color w:val="000000"/>
                <w:sz w:val="20"/>
                <w:szCs w:val="20"/>
                <w:lang w:val="en-US" w:eastAsia="ru-RU"/>
              </w:rPr>
            </w:pPr>
            <w:r w:rsidRPr="00FC385F">
              <w:rPr>
                <w:rFonts w:ascii="Times New Roman" w:eastAsia="Times New Roman" w:hAnsi="Times New Roman" w:cs="Times New Roman"/>
                <w:color w:val="000000"/>
                <w:sz w:val="20"/>
                <w:szCs w:val="20"/>
                <w:lang w:val="en-US" w:eastAsia="ru-RU"/>
              </w:rPr>
              <w:t> </w:t>
            </w:r>
          </w:p>
        </w:tc>
        <w:tc>
          <w:tcPr>
            <w:tcW w:w="1276" w:type="dxa"/>
            <w:tcBorders>
              <w:top w:val="nil"/>
              <w:left w:val="nil"/>
              <w:bottom w:val="single" w:sz="18" w:space="0" w:color="auto"/>
              <w:right w:val="nil"/>
            </w:tcBorders>
            <w:noWrap/>
            <w:hideMark/>
          </w:tcPr>
          <w:p w:rsidR="0065198B" w:rsidRPr="00FC385F" w:rsidRDefault="0065198B" w:rsidP="0065198B">
            <w:pPr>
              <w:rPr>
                <w:rFonts w:ascii="Times New Roman" w:eastAsia="Times New Roman" w:hAnsi="Times New Roman" w:cs="Times New Roman"/>
                <w:b/>
                <w:bCs/>
                <w:color w:val="000000"/>
                <w:sz w:val="20"/>
                <w:szCs w:val="20"/>
                <w:lang w:val="en-US" w:eastAsia="ru-RU"/>
              </w:rPr>
            </w:pPr>
            <w:r w:rsidRPr="00FC385F">
              <w:rPr>
                <w:rFonts w:ascii="Times New Roman" w:eastAsia="Times New Roman" w:hAnsi="Times New Roman" w:cs="Times New Roman"/>
                <w:b/>
                <w:bCs/>
                <w:color w:val="000000"/>
                <w:sz w:val="20"/>
                <w:szCs w:val="20"/>
                <w:lang w:val="en-US" w:eastAsia="ru-RU"/>
              </w:rPr>
              <w:t> </w:t>
            </w:r>
          </w:p>
        </w:tc>
        <w:tc>
          <w:tcPr>
            <w:tcW w:w="1276" w:type="dxa"/>
            <w:tcBorders>
              <w:top w:val="nil"/>
              <w:left w:val="nil"/>
              <w:bottom w:val="single" w:sz="18" w:space="0" w:color="auto"/>
              <w:right w:val="nil"/>
            </w:tcBorders>
            <w:noWrap/>
            <w:hideMark/>
          </w:tcPr>
          <w:p w:rsidR="0065198B" w:rsidRPr="00FC385F" w:rsidRDefault="0065198B" w:rsidP="0065198B">
            <w:pPr>
              <w:rPr>
                <w:rFonts w:ascii="Times New Roman" w:eastAsia="Times New Roman" w:hAnsi="Times New Roman" w:cs="Times New Roman"/>
                <w:color w:val="000000"/>
                <w:sz w:val="20"/>
                <w:szCs w:val="20"/>
                <w:lang w:val="en-US" w:eastAsia="ru-RU"/>
              </w:rPr>
            </w:pPr>
            <w:r w:rsidRPr="00FC385F">
              <w:rPr>
                <w:rFonts w:ascii="Times New Roman" w:eastAsia="Times New Roman" w:hAnsi="Times New Roman" w:cs="Times New Roman"/>
                <w:color w:val="000000"/>
                <w:sz w:val="20"/>
                <w:szCs w:val="20"/>
                <w:lang w:val="en-US" w:eastAsia="ru-RU"/>
              </w:rPr>
              <w:t> </w:t>
            </w:r>
          </w:p>
        </w:tc>
        <w:tc>
          <w:tcPr>
            <w:tcW w:w="1280" w:type="dxa"/>
            <w:tcBorders>
              <w:top w:val="nil"/>
              <w:left w:val="nil"/>
              <w:bottom w:val="single" w:sz="18" w:space="0" w:color="auto"/>
              <w:right w:val="nil"/>
            </w:tcBorders>
            <w:noWrap/>
            <w:hideMark/>
          </w:tcPr>
          <w:p w:rsidR="0065198B" w:rsidRPr="00FC385F" w:rsidRDefault="0065198B" w:rsidP="0065198B">
            <w:pPr>
              <w:jc w:val="right"/>
              <w:rPr>
                <w:rFonts w:ascii="Times New Roman" w:eastAsia="Times New Roman" w:hAnsi="Times New Roman" w:cs="Times New Roman"/>
                <w:b/>
                <w:bCs/>
                <w:color w:val="000000"/>
                <w:sz w:val="20"/>
                <w:szCs w:val="20"/>
                <w:lang w:val="en-US" w:eastAsia="ru-RU"/>
              </w:rPr>
            </w:pPr>
            <w:r w:rsidRPr="00FC385F">
              <w:rPr>
                <w:rFonts w:ascii="Times New Roman" w:eastAsia="Times New Roman" w:hAnsi="Times New Roman" w:cs="Times New Roman"/>
                <w:b/>
                <w:bCs/>
                <w:color w:val="000000"/>
                <w:sz w:val="20"/>
                <w:szCs w:val="20"/>
                <w:lang w:val="en-US" w:eastAsia="ru-RU"/>
              </w:rPr>
              <w:t> </w:t>
            </w:r>
          </w:p>
        </w:tc>
      </w:tr>
      <w:tr w:rsidR="0065198B" w:rsidRPr="00FC385F" w:rsidTr="0065198B">
        <w:trPr>
          <w:trHeight w:val="262"/>
        </w:trPr>
        <w:tc>
          <w:tcPr>
            <w:tcW w:w="1545" w:type="dxa"/>
            <w:tcBorders>
              <w:top w:val="single" w:sz="18" w:space="0" w:color="auto"/>
              <w:left w:val="nil"/>
              <w:bottom w:val="single" w:sz="18" w:space="0" w:color="auto"/>
              <w:right w:val="nil"/>
            </w:tcBorders>
            <w:noWrap/>
            <w:hideMark/>
          </w:tcPr>
          <w:p w:rsidR="0065198B" w:rsidRPr="00FC385F" w:rsidRDefault="0065198B" w:rsidP="0065198B">
            <w:pPr>
              <w:rPr>
                <w:rFonts w:ascii="Times New Roman" w:eastAsia="Times New Roman" w:hAnsi="Times New Roman" w:cs="Times New Roman"/>
                <w:color w:val="000000"/>
                <w:sz w:val="20"/>
                <w:szCs w:val="20"/>
                <w:lang w:val="en-US" w:eastAsia="ru-RU"/>
              </w:rPr>
            </w:pPr>
            <w:r w:rsidRPr="00FC385F">
              <w:rPr>
                <w:rFonts w:ascii="Times New Roman" w:eastAsia="Times New Roman" w:hAnsi="Times New Roman" w:cs="Times New Roman"/>
                <w:color w:val="000000"/>
                <w:sz w:val="20"/>
                <w:szCs w:val="20"/>
                <w:lang w:val="en-US" w:eastAsia="ru-RU"/>
              </w:rPr>
              <w:t> </w:t>
            </w:r>
          </w:p>
        </w:tc>
        <w:tc>
          <w:tcPr>
            <w:tcW w:w="1544" w:type="dxa"/>
            <w:tcBorders>
              <w:top w:val="single" w:sz="18" w:space="0" w:color="auto"/>
              <w:left w:val="nil"/>
              <w:bottom w:val="single" w:sz="18" w:space="0" w:color="auto"/>
              <w:right w:val="nil"/>
            </w:tcBorders>
            <w:noWrap/>
            <w:hideMark/>
          </w:tcPr>
          <w:p w:rsidR="0065198B" w:rsidRPr="00FC385F" w:rsidRDefault="0065198B" w:rsidP="0065198B">
            <w:pPr>
              <w:rPr>
                <w:rFonts w:ascii="Times New Roman" w:eastAsia="Times New Roman" w:hAnsi="Times New Roman" w:cs="Times New Roman"/>
                <w:color w:val="000000"/>
                <w:sz w:val="20"/>
                <w:szCs w:val="20"/>
                <w:lang w:val="en-US" w:eastAsia="ru-RU"/>
              </w:rPr>
            </w:pPr>
            <w:r w:rsidRPr="00FC385F">
              <w:rPr>
                <w:rFonts w:ascii="Times New Roman" w:eastAsia="Times New Roman" w:hAnsi="Times New Roman" w:cs="Times New Roman"/>
                <w:color w:val="000000"/>
                <w:sz w:val="20"/>
                <w:szCs w:val="20"/>
                <w:lang w:val="en-US" w:eastAsia="ru-RU"/>
              </w:rPr>
              <w:t> </w:t>
            </w:r>
          </w:p>
        </w:tc>
        <w:tc>
          <w:tcPr>
            <w:tcW w:w="2689" w:type="dxa"/>
            <w:tcBorders>
              <w:top w:val="single" w:sz="18" w:space="0" w:color="auto"/>
              <w:left w:val="nil"/>
              <w:bottom w:val="single" w:sz="18" w:space="0" w:color="auto"/>
              <w:right w:val="nil"/>
            </w:tcBorders>
            <w:noWrap/>
            <w:hideMark/>
          </w:tcPr>
          <w:p w:rsidR="0065198B" w:rsidRPr="00FC385F" w:rsidRDefault="0065198B" w:rsidP="0065198B">
            <w:pPr>
              <w:rPr>
                <w:rFonts w:ascii="Times New Roman" w:eastAsia="Times New Roman" w:hAnsi="Times New Roman" w:cs="Times New Roman"/>
                <w:color w:val="000000"/>
                <w:sz w:val="20"/>
                <w:szCs w:val="20"/>
                <w:lang w:val="en-US" w:eastAsia="ru-RU"/>
              </w:rPr>
            </w:pPr>
            <w:r w:rsidRPr="00FC385F">
              <w:rPr>
                <w:rFonts w:ascii="Times New Roman" w:eastAsia="Times New Roman" w:hAnsi="Times New Roman" w:cs="Times New Roman"/>
                <w:color w:val="000000"/>
                <w:sz w:val="20"/>
                <w:szCs w:val="20"/>
                <w:lang w:val="en-US" w:eastAsia="ru-RU"/>
              </w:rPr>
              <w:t> </w:t>
            </w:r>
          </w:p>
        </w:tc>
        <w:tc>
          <w:tcPr>
            <w:tcW w:w="1418"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u w:val="single"/>
                <w:lang w:eastAsia="ru-RU"/>
              </w:rPr>
            </w:pPr>
            <w:r w:rsidRPr="00FC385F">
              <w:rPr>
                <w:rFonts w:ascii="Times New Roman" w:eastAsia="Times New Roman" w:hAnsi="Times New Roman" w:cs="Times New Roman"/>
                <w:b/>
                <w:bCs/>
                <w:color w:val="000000"/>
                <w:sz w:val="20"/>
                <w:szCs w:val="20"/>
                <w:u w:val="single"/>
                <w:lang w:eastAsia="ru-RU"/>
              </w:rPr>
              <w:t>2013E</w:t>
            </w:r>
          </w:p>
        </w:tc>
        <w:tc>
          <w:tcPr>
            <w:tcW w:w="1276" w:type="dxa"/>
            <w:gridSpan w:val="2"/>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u w:val="single"/>
                <w:lang w:eastAsia="ru-RU"/>
              </w:rPr>
            </w:pPr>
            <w:r w:rsidRPr="00FC385F">
              <w:rPr>
                <w:rFonts w:ascii="Times New Roman" w:eastAsia="Times New Roman" w:hAnsi="Times New Roman" w:cs="Times New Roman"/>
                <w:b/>
                <w:bCs/>
                <w:color w:val="000000"/>
                <w:sz w:val="20"/>
                <w:szCs w:val="20"/>
                <w:u w:val="single"/>
                <w:lang w:eastAsia="ru-RU"/>
              </w:rPr>
              <w:t>2014</w:t>
            </w:r>
          </w:p>
        </w:tc>
        <w:tc>
          <w:tcPr>
            <w:tcW w:w="1275"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u w:val="single"/>
                <w:lang w:eastAsia="ru-RU"/>
              </w:rPr>
            </w:pPr>
            <w:r w:rsidRPr="00FC385F">
              <w:rPr>
                <w:rFonts w:ascii="Times New Roman" w:eastAsia="Times New Roman" w:hAnsi="Times New Roman" w:cs="Times New Roman"/>
                <w:b/>
                <w:bCs/>
                <w:color w:val="000000"/>
                <w:sz w:val="20"/>
                <w:szCs w:val="20"/>
                <w:u w:val="single"/>
                <w:lang w:eastAsia="ru-RU"/>
              </w:rPr>
              <w:t>2015</w:t>
            </w:r>
          </w:p>
        </w:tc>
        <w:tc>
          <w:tcPr>
            <w:tcW w:w="1276"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u w:val="single"/>
                <w:lang w:eastAsia="ru-RU"/>
              </w:rPr>
            </w:pPr>
            <w:r w:rsidRPr="00FC385F">
              <w:rPr>
                <w:rFonts w:ascii="Times New Roman" w:eastAsia="Times New Roman" w:hAnsi="Times New Roman" w:cs="Times New Roman"/>
                <w:b/>
                <w:bCs/>
                <w:color w:val="000000"/>
                <w:sz w:val="20"/>
                <w:szCs w:val="20"/>
                <w:u w:val="single"/>
                <w:lang w:eastAsia="ru-RU"/>
              </w:rPr>
              <w:t>2016</w:t>
            </w:r>
          </w:p>
        </w:tc>
        <w:tc>
          <w:tcPr>
            <w:tcW w:w="1276"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u w:val="single"/>
                <w:lang w:eastAsia="ru-RU"/>
              </w:rPr>
            </w:pPr>
            <w:r w:rsidRPr="00FC385F">
              <w:rPr>
                <w:rFonts w:ascii="Times New Roman" w:eastAsia="Times New Roman" w:hAnsi="Times New Roman" w:cs="Times New Roman"/>
                <w:b/>
                <w:bCs/>
                <w:color w:val="000000"/>
                <w:sz w:val="20"/>
                <w:szCs w:val="20"/>
                <w:u w:val="single"/>
                <w:lang w:eastAsia="ru-RU"/>
              </w:rPr>
              <w:t>2017</w:t>
            </w:r>
          </w:p>
        </w:tc>
        <w:tc>
          <w:tcPr>
            <w:tcW w:w="1280"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u w:val="single"/>
                <w:lang w:eastAsia="ru-RU"/>
              </w:rPr>
            </w:pPr>
            <w:r w:rsidRPr="00FC385F">
              <w:rPr>
                <w:rFonts w:ascii="Times New Roman" w:eastAsia="Times New Roman" w:hAnsi="Times New Roman" w:cs="Times New Roman"/>
                <w:b/>
                <w:bCs/>
                <w:color w:val="000000"/>
                <w:sz w:val="20"/>
                <w:szCs w:val="20"/>
                <w:u w:val="single"/>
                <w:lang w:eastAsia="ru-RU"/>
              </w:rPr>
              <w:t>2018</w:t>
            </w:r>
          </w:p>
        </w:tc>
      </w:tr>
      <w:tr w:rsidR="0065198B" w:rsidRPr="00FC385F" w:rsidTr="0065198B">
        <w:trPr>
          <w:trHeight w:val="56"/>
        </w:trPr>
        <w:tc>
          <w:tcPr>
            <w:tcW w:w="1545" w:type="dxa"/>
            <w:tcBorders>
              <w:top w:val="single" w:sz="18" w:space="0" w:color="auto"/>
              <w:left w:val="nil"/>
              <w:bottom w:val="nil"/>
              <w:right w:val="nil"/>
            </w:tcBorders>
            <w:noWrap/>
          </w:tcPr>
          <w:p w:rsidR="0065198B" w:rsidRPr="00FC385F" w:rsidRDefault="0065198B" w:rsidP="0065198B">
            <w:pPr>
              <w:rPr>
                <w:rFonts w:ascii="Times New Roman" w:eastAsia="Times New Roman" w:hAnsi="Times New Roman" w:cs="Times New Roman"/>
                <w:color w:val="000000"/>
                <w:sz w:val="20"/>
                <w:szCs w:val="20"/>
                <w:lang w:val="en-US" w:eastAsia="ru-RU"/>
              </w:rPr>
            </w:pPr>
          </w:p>
        </w:tc>
        <w:tc>
          <w:tcPr>
            <w:tcW w:w="1544" w:type="dxa"/>
            <w:tcBorders>
              <w:top w:val="single" w:sz="18" w:space="0" w:color="auto"/>
              <w:left w:val="nil"/>
              <w:bottom w:val="nil"/>
              <w:right w:val="nil"/>
            </w:tcBorders>
            <w:noWrap/>
          </w:tcPr>
          <w:p w:rsidR="0065198B" w:rsidRPr="00FC385F" w:rsidRDefault="0065198B" w:rsidP="0065198B">
            <w:pPr>
              <w:rPr>
                <w:rFonts w:ascii="Times New Roman" w:eastAsia="Times New Roman" w:hAnsi="Times New Roman" w:cs="Times New Roman"/>
                <w:color w:val="000000"/>
                <w:sz w:val="20"/>
                <w:szCs w:val="20"/>
                <w:lang w:val="en-US" w:eastAsia="ru-RU"/>
              </w:rPr>
            </w:pPr>
          </w:p>
        </w:tc>
        <w:tc>
          <w:tcPr>
            <w:tcW w:w="2689" w:type="dxa"/>
            <w:tcBorders>
              <w:top w:val="single" w:sz="18" w:space="0" w:color="auto"/>
              <w:left w:val="nil"/>
              <w:bottom w:val="nil"/>
              <w:right w:val="nil"/>
            </w:tcBorders>
            <w:noWrap/>
          </w:tcPr>
          <w:p w:rsidR="0065198B" w:rsidRPr="00FC385F" w:rsidRDefault="0065198B" w:rsidP="0065198B">
            <w:pPr>
              <w:rPr>
                <w:rFonts w:ascii="Times New Roman" w:eastAsia="Times New Roman" w:hAnsi="Times New Roman" w:cs="Times New Roman"/>
                <w:color w:val="000000"/>
                <w:sz w:val="20"/>
                <w:szCs w:val="20"/>
                <w:lang w:val="en-US" w:eastAsia="ru-RU"/>
              </w:rPr>
            </w:pPr>
          </w:p>
        </w:tc>
        <w:tc>
          <w:tcPr>
            <w:tcW w:w="1418" w:type="dxa"/>
            <w:tcBorders>
              <w:top w:val="single" w:sz="18" w:space="0" w:color="auto"/>
              <w:left w:val="nil"/>
              <w:bottom w:val="nil"/>
              <w:right w:val="nil"/>
            </w:tcBorders>
            <w:noWrap/>
          </w:tcPr>
          <w:p w:rsidR="0065198B" w:rsidRPr="00FC385F" w:rsidRDefault="0065198B" w:rsidP="0065198B">
            <w:pPr>
              <w:jc w:val="center"/>
              <w:rPr>
                <w:rFonts w:ascii="Times New Roman" w:eastAsia="Times New Roman" w:hAnsi="Times New Roman" w:cs="Times New Roman"/>
                <w:b/>
                <w:bCs/>
                <w:color w:val="000000"/>
                <w:sz w:val="20"/>
                <w:szCs w:val="20"/>
                <w:u w:val="single"/>
                <w:lang w:eastAsia="ru-RU"/>
              </w:rPr>
            </w:pPr>
          </w:p>
        </w:tc>
        <w:tc>
          <w:tcPr>
            <w:tcW w:w="1276" w:type="dxa"/>
            <w:gridSpan w:val="2"/>
            <w:tcBorders>
              <w:top w:val="single" w:sz="18" w:space="0" w:color="auto"/>
              <w:left w:val="nil"/>
              <w:bottom w:val="nil"/>
              <w:right w:val="nil"/>
            </w:tcBorders>
            <w:noWrap/>
          </w:tcPr>
          <w:p w:rsidR="0065198B" w:rsidRPr="00FC385F" w:rsidRDefault="0065198B" w:rsidP="0065198B">
            <w:pPr>
              <w:jc w:val="center"/>
              <w:rPr>
                <w:rFonts w:ascii="Times New Roman" w:eastAsia="Times New Roman" w:hAnsi="Times New Roman" w:cs="Times New Roman"/>
                <w:b/>
                <w:bCs/>
                <w:color w:val="000000"/>
                <w:sz w:val="20"/>
                <w:szCs w:val="20"/>
                <w:u w:val="single"/>
                <w:lang w:eastAsia="ru-RU"/>
              </w:rPr>
            </w:pPr>
          </w:p>
        </w:tc>
        <w:tc>
          <w:tcPr>
            <w:tcW w:w="1275" w:type="dxa"/>
            <w:tcBorders>
              <w:top w:val="single" w:sz="18" w:space="0" w:color="auto"/>
              <w:left w:val="nil"/>
              <w:bottom w:val="nil"/>
              <w:right w:val="nil"/>
            </w:tcBorders>
            <w:noWrap/>
          </w:tcPr>
          <w:p w:rsidR="0065198B" w:rsidRPr="00FC385F" w:rsidRDefault="0065198B" w:rsidP="0065198B">
            <w:pPr>
              <w:jc w:val="center"/>
              <w:rPr>
                <w:rFonts w:ascii="Times New Roman" w:eastAsia="Times New Roman" w:hAnsi="Times New Roman" w:cs="Times New Roman"/>
                <w:b/>
                <w:bCs/>
                <w:color w:val="000000"/>
                <w:sz w:val="20"/>
                <w:szCs w:val="20"/>
                <w:u w:val="single"/>
                <w:lang w:eastAsia="ru-RU"/>
              </w:rPr>
            </w:pPr>
          </w:p>
        </w:tc>
        <w:tc>
          <w:tcPr>
            <w:tcW w:w="1276" w:type="dxa"/>
            <w:tcBorders>
              <w:top w:val="single" w:sz="18" w:space="0" w:color="auto"/>
              <w:left w:val="nil"/>
              <w:bottom w:val="nil"/>
              <w:right w:val="nil"/>
            </w:tcBorders>
            <w:noWrap/>
          </w:tcPr>
          <w:p w:rsidR="0065198B" w:rsidRPr="00FC385F" w:rsidRDefault="0065198B" w:rsidP="0065198B">
            <w:pPr>
              <w:jc w:val="center"/>
              <w:rPr>
                <w:rFonts w:ascii="Times New Roman" w:eastAsia="Times New Roman" w:hAnsi="Times New Roman" w:cs="Times New Roman"/>
                <w:b/>
                <w:bCs/>
                <w:color w:val="000000"/>
                <w:sz w:val="20"/>
                <w:szCs w:val="20"/>
                <w:u w:val="single"/>
                <w:lang w:eastAsia="ru-RU"/>
              </w:rPr>
            </w:pPr>
          </w:p>
        </w:tc>
        <w:tc>
          <w:tcPr>
            <w:tcW w:w="1276" w:type="dxa"/>
            <w:tcBorders>
              <w:top w:val="single" w:sz="18" w:space="0" w:color="auto"/>
              <w:left w:val="nil"/>
              <w:bottom w:val="nil"/>
              <w:right w:val="nil"/>
            </w:tcBorders>
            <w:noWrap/>
          </w:tcPr>
          <w:p w:rsidR="0065198B" w:rsidRPr="00FC385F" w:rsidRDefault="0065198B" w:rsidP="0065198B">
            <w:pPr>
              <w:jc w:val="center"/>
              <w:rPr>
                <w:rFonts w:ascii="Times New Roman" w:eastAsia="Times New Roman" w:hAnsi="Times New Roman" w:cs="Times New Roman"/>
                <w:b/>
                <w:bCs/>
                <w:color w:val="000000"/>
                <w:sz w:val="20"/>
                <w:szCs w:val="20"/>
                <w:u w:val="single"/>
                <w:lang w:eastAsia="ru-RU"/>
              </w:rPr>
            </w:pPr>
          </w:p>
        </w:tc>
        <w:tc>
          <w:tcPr>
            <w:tcW w:w="1280" w:type="dxa"/>
            <w:tcBorders>
              <w:top w:val="single" w:sz="18" w:space="0" w:color="auto"/>
              <w:left w:val="nil"/>
              <w:bottom w:val="nil"/>
              <w:right w:val="nil"/>
            </w:tcBorders>
            <w:noWrap/>
          </w:tcPr>
          <w:p w:rsidR="0065198B" w:rsidRPr="00FC385F" w:rsidRDefault="0065198B" w:rsidP="0065198B">
            <w:pPr>
              <w:jc w:val="center"/>
              <w:rPr>
                <w:rFonts w:ascii="Times New Roman" w:eastAsia="Times New Roman" w:hAnsi="Times New Roman" w:cs="Times New Roman"/>
                <w:b/>
                <w:bCs/>
                <w:color w:val="000000"/>
                <w:sz w:val="20"/>
                <w:szCs w:val="20"/>
                <w:u w:val="single"/>
                <w:lang w:eastAsia="ru-RU"/>
              </w:rPr>
            </w:pPr>
          </w:p>
        </w:tc>
      </w:tr>
      <w:tr w:rsidR="0065198B" w:rsidRPr="00FC385F" w:rsidTr="0065198B">
        <w:trPr>
          <w:trHeight w:val="315"/>
        </w:trPr>
        <w:tc>
          <w:tcPr>
            <w:tcW w:w="5778" w:type="dxa"/>
            <w:gridSpan w:val="3"/>
            <w:tcBorders>
              <w:top w:val="nil"/>
              <w:left w:val="nil"/>
              <w:bottom w:val="nil"/>
              <w:right w:val="nil"/>
            </w:tcBorders>
            <w:noWrap/>
            <w:hideMark/>
          </w:tcPr>
          <w:p w:rsidR="0065198B" w:rsidRPr="00FC385F" w:rsidRDefault="0065198B" w:rsidP="0065198B">
            <w:pPr>
              <w:rPr>
                <w:rFonts w:ascii="Times New Roman" w:eastAsia="Times New Roman" w:hAnsi="Times New Roman" w:cs="Times New Roman"/>
                <w:b/>
                <w:bCs/>
                <w:color w:val="000000"/>
                <w:sz w:val="20"/>
                <w:szCs w:val="20"/>
                <w:lang w:eastAsia="ru-RU"/>
              </w:rPr>
            </w:pPr>
            <w:proofErr w:type="spellStart"/>
            <w:r w:rsidRPr="00FC385F">
              <w:rPr>
                <w:rFonts w:ascii="Times New Roman" w:eastAsia="Times New Roman" w:hAnsi="Times New Roman" w:cs="Times New Roman"/>
                <w:b/>
                <w:bCs/>
                <w:color w:val="000000"/>
                <w:sz w:val="20"/>
                <w:szCs w:val="20"/>
                <w:lang w:eastAsia="ru-RU"/>
              </w:rPr>
              <w:t>Total</w:t>
            </w:r>
            <w:proofErr w:type="spellEnd"/>
            <w:r w:rsidRPr="00FC385F">
              <w:rPr>
                <w:rFonts w:ascii="Times New Roman" w:eastAsia="Times New Roman" w:hAnsi="Times New Roman" w:cs="Times New Roman"/>
                <w:b/>
                <w:bCs/>
                <w:color w:val="000000"/>
                <w:sz w:val="20"/>
                <w:szCs w:val="20"/>
                <w:lang w:eastAsia="ru-RU"/>
              </w:rPr>
              <w:t xml:space="preserve"> </w:t>
            </w:r>
            <w:proofErr w:type="spellStart"/>
            <w:r w:rsidRPr="00FC385F">
              <w:rPr>
                <w:rFonts w:ascii="Times New Roman" w:eastAsia="Times New Roman" w:hAnsi="Times New Roman" w:cs="Times New Roman"/>
                <w:b/>
                <w:bCs/>
                <w:color w:val="000000"/>
                <w:sz w:val="20"/>
                <w:szCs w:val="20"/>
                <w:lang w:eastAsia="ru-RU"/>
              </w:rPr>
              <w:t>Combined</w:t>
            </w:r>
            <w:proofErr w:type="spellEnd"/>
            <w:r w:rsidRPr="00FC385F">
              <w:rPr>
                <w:rFonts w:ascii="Times New Roman" w:eastAsia="Times New Roman" w:hAnsi="Times New Roman" w:cs="Times New Roman"/>
                <w:b/>
                <w:bCs/>
                <w:color w:val="000000"/>
                <w:sz w:val="20"/>
                <w:szCs w:val="20"/>
                <w:lang w:eastAsia="ru-RU"/>
              </w:rPr>
              <w:t xml:space="preserve"> </w:t>
            </w:r>
            <w:proofErr w:type="spellStart"/>
            <w:r w:rsidRPr="00FC385F">
              <w:rPr>
                <w:rFonts w:ascii="Times New Roman" w:eastAsia="Times New Roman" w:hAnsi="Times New Roman" w:cs="Times New Roman"/>
                <w:b/>
                <w:bCs/>
                <w:color w:val="000000"/>
                <w:sz w:val="20"/>
                <w:szCs w:val="20"/>
                <w:lang w:eastAsia="ru-RU"/>
              </w:rPr>
              <w:t>Revenues</w:t>
            </w:r>
            <w:proofErr w:type="spellEnd"/>
          </w:p>
        </w:tc>
        <w:tc>
          <w:tcPr>
            <w:tcW w:w="1418" w:type="dxa"/>
            <w:tcBorders>
              <w:top w:val="nil"/>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147 267</w:t>
            </w:r>
          </w:p>
        </w:tc>
        <w:tc>
          <w:tcPr>
            <w:tcW w:w="1276" w:type="dxa"/>
            <w:gridSpan w:val="2"/>
            <w:tcBorders>
              <w:top w:val="nil"/>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154 827</w:t>
            </w:r>
          </w:p>
        </w:tc>
        <w:tc>
          <w:tcPr>
            <w:tcW w:w="1275" w:type="dxa"/>
            <w:tcBorders>
              <w:top w:val="nil"/>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161 369</w:t>
            </w:r>
          </w:p>
        </w:tc>
        <w:tc>
          <w:tcPr>
            <w:tcW w:w="1276" w:type="dxa"/>
            <w:tcBorders>
              <w:top w:val="nil"/>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166 657</w:t>
            </w:r>
          </w:p>
        </w:tc>
        <w:tc>
          <w:tcPr>
            <w:tcW w:w="1276" w:type="dxa"/>
            <w:tcBorders>
              <w:top w:val="nil"/>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170 401</w:t>
            </w:r>
          </w:p>
        </w:tc>
        <w:tc>
          <w:tcPr>
            <w:tcW w:w="1280" w:type="dxa"/>
            <w:tcBorders>
              <w:top w:val="nil"/>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173 809</w:t>
            </w:r>
          </w:p>
        </w:tc>
      </w:tr>
      <w:tr w:rsidR="0065198B" w:rsidRPr="00FC385F" w:rsidTr="0065198B">
        <w:trPr>
          <w:trHeight w:val="315"/>
        </w:trPr>
        <w:tc>
          <w:tcPr>
            <w:tcW w:w="3089" w:type="dxa"/>
            <w:gridSpan w:val="2"/>
            <w:tcBorders>
              <w:top w:val="nil"/>
              <w:left w:val="nil"/>
              <w:bottom w:val="single" w:sz="8" w:space="0" w:color="auto"/>
              <w:right w:val="nil"/>
            </w:tcBorders>
            <w:noWrap/>
            <w:hideMark/>
          </w:tcPr>
          <w:p w:rsidR="0065198B" w:rsidRPr="00FC385F" w:rsidRDefault="0065198B" w:rsidP="0065198B">
            <w:pP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 xml:space="preserve">   % </w:t>
            </w:r>
            <w:proofErr w:type="spellStart"/>
            <w:r w:rsidRPr="00FC385F">
              <w:rPr>
                <w:rFonts w:ascii="Times New Roman" w:eastAsia="Times New Roman" w:hAnsi="Times New Roman" w:cs="Times New Roman"/>
                <w:i/>
                <w:iCs/>
                <w:color w:val="000000"/>
                <w:sz w:val="20"/>
                <w:szCs w:val="20"/>
                <w:lang w:eastAsia="ru-RU"/>
              </w:rPr>
              <w:t>change</w:t>
            </w:r>
            <w:proofErr w:type="spellEnd"/>
          </w:p>
        </w:tc>
        <w:tc>
          <w:tcPr>
            <w:tcW w:w="2689" w:type="dxa"/>
            <w:tcBorders>
              <w:top w:val="nil"/>
              <w:left w:val="nil"/>
              <w:bottom w:val="single" w:sz="8" w:space="0" w:color="auto"/>
              <w:right w:val="nil"/>
            </w:tcBorders>
            <w:noWrap/>
            <w:hideMark/>
          </w:tcPr>
          <w:p w:rsidR="0065198B" w:rsidRPr="00FC385F" w:rsidRDefault="0065198B" w:rsidP="0065198B">
            <w:pP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 </w:t>
            </w:r>
          </w:p>
        </w:tc>
        <w:tc>
          <w:tcPr>
            <w:tcW w:w="1418"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p>
        </w:tc>
        <w:tc>
          <w:tcPr>
            <w:tcW w:w="1276" w:type="dxa"/>
            <w:gridSpan w:val="2"/>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5,1%</w:t>
            </w:r>
          </w:p>
        </w:tc>
        <w:tc>
          <w:tcPr>
            <w:tcW w:w="1275"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4,2%</w:t>
            </w:r>
          </w:p>
        </w:tc>
        <w:tc>
          <w:tcPr>
            <w:tcW w:w="1276"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3,3%</w:t>
            </w:r>
          </w:p>
        </w:tc>
        <w:tc>
          <w:tcPr>
            <w:tcW w:w="1276"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2,2%</w:t>
            </w:r>
          </w:p>
        </w:tc>
        <w:tc>
          <w:tcPr>
            <w:tcW w:w="1280"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2,0%</w:t>
            </w:r>
          </w:p>
        </w:tc>
      </w:tr>
      <w:tr w:rsidR="0065198B" w:rsidRPr="00FC385F" w:rsidTr="0065198B">
        <w:trPr>
          <w:trHeight w:val="315"/>
        </w:trPr>
        <w:tc>
          <w:tcPr>
            <w:tcW w:w="5778" w:type="dxa"/>
            <w:gridSpan w:val="3"/>
            <w:tcBorders>
              <w:top w:val="single" w:sz="8" w:space="0" w:color="auto"/>
              <w:left w:val="nil"/>
              <w:bottom w:val="nil"/>
              <w:right w:val="nil"/>
            </w:tcBorders>
            <w:noWrap/>
            <w:hideMark/>
          </w:tcPr>
          <w:p w:rsidR="0065198B" w:rsidRPr="00FC385F" w:rsidRDefault="0065198B" w:rsidP="0065198B">
            <w:pPr>
              <w:rPr>
                <w:rFonts w:ascii="Times New Roman" w:eastAsia="Times New Roman" w:hAnsi="Times New Roman" w:cs="Times New Roman"/>
                <w:color w:val="000000"/>
                <w:sz w:val="20"/>
                <w:szCs w:val="20"/>
                <w:lang w:eastAsia="ru-RU"/>
              </w:rPr>
            </w:pPr>
            <w:proofErr w:type="spellStart"/>
            <w:r w:rsidRPr="00FC385F">
              <w:rPr>
                <w:rFonts w:ascii="Times New Roman" w:eastAsia="Times New Roman" w:hAnsi="Times New Roman" w:cs="Times New Roman"/>
                <w:color w:val="000000"/>
                <w:sz w:val="20"/>
                <w:szCs w:val="20"/>
                <w:lang w:eastAsia="ru-RU"/>
              </w:rPr>
              <w:t>Total</w:t>
            </w:r>
            <w:proofErr w:type="spellEnd"/>
            <w:r w:rsidRPr="00FC385F">
              <w:rPr>
                <w:rFonts w:ascii="Times New Roman" w:eastAsia="Times New Roman" w:hAnsi="Times New Roman" w:cs="Times New Roman"/>
                <w:color w:val="000000"/>
                <w:sz w:val="20"/>
                <w:szCs w:val="20"/>
                <w:lang w:eastAsia="ru-RU"/>
              </w:rPr>
              <w:t xml:space="preserve"> </w:t>
            </w:r>
            <w:proofErr w:type="spellStart"/>
            <w:r w:rsidRPr="00FC385F">
              <w:rPr>
                <w:rFonts w:ascii="Times New Roman" w:eastAsia="Times New Roman" w:hAnsi="Times New Roman" w:cs="Times New Roman"/>
                <w:color w:val="000000"/>
                <w:sz w:val="20"/>
                <w:szCs w:val="20"/>
                <w:lang w:eastAsia="ru-RU"/>
              </w:rPr>
              <w:t>Combined</w:t>
            </w:r>
            <w:proofErr w:type="spellEnd"/>
            <w:r w:rsidRPr="00FC385F">
              <w:rPr>
                <w:rFonts w:ascii="Times New Roman" w:eastAsia="Times New Roman" w:hAnsi="Times New Roman" w:cs="Times New Roman"/>
                <w:color w:val="000000"/>
                <w:sz w:val="20"/>
                <w:szCs w:val="20"/>
                <w:lang w:eastAsia="ru-RU"/>
              </w:rPr>
              <w:t xml:space="preserve"> COGS</w:t>
            </w:r>
          </w:p>
        </w:tc>
        <w:tc>
          <w:tcPr>
            <w:tcW w:w="1418"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97 039</w:t>
            </w:r>
          </w:p>
        </w:tc>
        <w:tc>
          <w:tcPr>
            <w:tcW w:w="1276" w:type="dxa"/>
            <w:gridSpan w:val="2"/>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102 159</w:t>
            </w:r>
          </w:p>
        </w:tc>
        <w:tc>
          <w:tcPr>
            <w:tcW w:w="1275"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106 573</w:t>
            </w:r>
          </w:p>
        </w:tc>
        <w:tc>
          <w:tcPr>
            <w:tcW w:w="1276"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110 123</w:t>
            </w:r>
          </w:p>
        </w:tc>
        <w:tc>
          <w:tcPr>
            <w:tcW w:w="1276"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112 607</w:t>
            </w:r>
          </w:p>
        </w:tc>
        <w:tc>
          <w:tcPr>
            <w:tcW w:w="1280"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114 859</w:t>
            </w:r>
          </w:p>
        </w:tc>
      </w:tr>
      <w:tr w:rsidR="0065198B" w:rsidRPr="00FC385F" w:rsidTr="0065198B">
        <w:trPr>
          <w:trHeight w:val="315"/>
        </w:trPr>
        <w:tc>
          <w:tcPr>
            <w:tcW w:w="3089" w:type="dxa"/>
            <w:gridSpan w:val="2"/>
            <w:tcBorders>
              <w:top w:val="nil"/>
              <w:left w:val="nil"/>
              <w:bottom w:val="single" w:sz="8" w:space="0" w:color="auto"/>
              <w:right w:val="nil"/>
            </w:tcBorders>
            <w:noWrap/>
            <w:hideMark/>
          </w:tcPr>
          <w:p w:rsidR="0065198B" w:rsidRPr="00FC385F" w:rsidRDefault="0065198B" w:rsidP="0065198B">
            <w:pPr>
              <w:ind w:firstLineChars="100" w:firstLine="200"/>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 xml:space="preserve">   % </w:t>
            </w:r>
            <w:proofErr w:type="spellStart"/>
            <w:r w:rsidRPr="00FC385F">
              <w:rPr>
                <w:rFonts w:ascii="Times New Roman" w:eastAsia="Times New Roman" w:hAnsi="Times New Roman" w:cs="Times New Roman"/>
                <w:i/>
                <w:iCs/>
                <w:color w:val="000000"/>
                <w:sz w:val="20"/>
                <w:szCs w:val="20"/>
                <w:lang w:eastAsia="ru-RU"/>
              </w:rPr>
              <w:t>of</w:t>
            </w:r>
            <w:proofErr w:type="spellEnd"/>
            <w:r w:rsidRPr="00FC385F">
              <w:rPr>
                <w:rFonts w:ascii="Times New Roman" w:eastAsia="Times New Roman" w:hAnsi="Times New Roman" w:cs="Times New Roman"/>
                <w:i/>
                <w:iCs/>
                <w:color w:val="000000"/>
                <w:sz w:val="20"/>
                <w:szCs w:val="20"/>
                <w:lang w:eastAsia="ru-RU"/>
              </w:rPr>
              <w:t xml:space="preserve"> </w:t>
            </w:r>
            <w:proofErr w:type="spellStart"/>
            <w:r w:rsidRPr="00FC385F">
              <w:rPr>
                <w:rFonts w:ascii="Times New Roman" w:eastAsia="Times New Roman" w:hAnsi="Times New Roman" w:cs="Times New Roman"/>
                <w:i/>
                <w:iCs/>
                <w:color w:val="000000"/>
                <w:sz w:val="20"/>
                <w:szCs w:val="20"/>
                <w:lang w:eastAsia="ru-RU"/>
              </w:rPr>
              <w:t>Revenues</w:t>
            </w:r>
            <w:proofErr w:type="spellEnd"/>
          </w:p>
        </w:tc>
        <w:tc>
          <w:tcPr>
            <w:tcW w:w="2689" w:type="dxa"/>
            <w:tcBorders>
              <w:top w:val="nil"/>
              <w:left w:val="nil"/>
              <w:bottom w:val="single" w:sz="8" w:space="0" w:color="auto"/>
              <w:right w:val="nil"/>
            </w:tcBorders>
            <w:noWrap/>
            <w:hideMark/>
          </w:tcPr>
          <w:p w:rsidR="0065198B" w:rsidRPr="00FC385F" w:rsidRDefault="0065198B" w:rsidP="0065198B">
            <w:pP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 </w:t>
            </w:r>
          </w:p>
        </w:tc>
        <w:tc>
          <w:tcPr>
            <w:tcW w:w="1418"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65,9%</w:t>
            </w:r>
          </w:p>
        </w:tc>
        <w:tc>
          <w:tcPr>
            <w:tcW w:w="1276" w:type="dxa"/>
            <w:gridSpan w:val="2"/>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66,0%</w:t>
            </w:r>
          </w:p>
        </w:tc>
        <w:tc>
          <w:tcPr>
            <w:tcW w:w="1275"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66,0%</w:t>
            </w:r>
          </w:p>
        </w:tc>
        <w:tc>
          <w:tcPr>
            <w:tcW w:w="1276"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66,1%</w:t>
            </w:r>
          </w:p>
        </w:tc>
        <w:tc>
          <w:tcPr>
            <w:tcW w:w="1276"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66,1%</w:t>
            </w:r>
          </w:p>
        </w:tc>
        <w:tc>
          <w:tcPr>
            <w:tcW w:w="1280"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66,1%</w:t>
            </w:r>
          </w:p>
        </w:tc>
      </w:tr>
      <w:tr w:rsidR="0065198B" w:rsidRPr="00FC385F" w:rsidTr="0065198B">
        <w:trPr>
          <w:trHeight w:val="315"/>
        </w:trPr>
        <w:tc>
          <w:tcPr>
            <w:tcW w:w="3089" w:type="dxa"/>
            <w:gridSpan w:val="2"/>
            <w:tcBorders>
              <w:top w:val="single" w:sz="8" w:space="0" w:color="auto"/>
              <w:left w:val="nil"/>
              <w:bottom w:val="nil"/>
              <w:right w:val="nil"/>
            </w:tcBorders>
            <w:noWrap/>
            <w:hideMark/>
          </w:tcPr>
          <w:p w:rsidR="0065198B" w:rsidRPr="00FC385F" w:rsidRDefault="0065198B" w:rsidP="0065198B">
            <w:pPr>
              <w:rPr>
                <w:rFonts w:ascii="Times New Roman" w:eastAsia="Times New Roman" w:hAnsi="Times New Roman" w:cs="Times New Roman"/>
                <w:b/>
                <w:bCs/>
                <w:color w:val="000000"/>
                <w:sz w:val="20"/>
                <w:szCs w:val="20"/>
                <w:lang w:eastAsia="ru-RU"/>
              </w:rPr>
            </w:pPr>
            <w:proofErr w:type="spellStart"/>
            <w:r w:rsidRPr="00FC385F">
              <w:rPr>
                <w:rFonts w:ascii="Times New Roman" w:eastAsia="Times New Roman" w:hAnsi="Times New Roman" w:cs="Times New Roman"/>
                <w:b/>
                <w:bCs/>
                <w:color w:val="000000"/>
                <w:sz w:val="20"/>
                <w:szCs w:val="20"/>
                <w:lang w:eastAsia="ru-RU"/>
              </w:rPr>
              <w:t>Gross</w:t>
            </w:r>
            <w:proofErr w:type="spellEnd"/>
            <w:r w:rsidRPr="00FC385F">
              <w:rPr>
                <w:rFonts w:ascii="Times New Roman" w:eastAsia="Times New Roman" w:hAnsi="Times New Roman" w:cs="Times New Roman"/>
                <w:b/>
                <w:bCs/>
                <w:color w:val="000000"/>
                <w:sz w:val="20"/>
                <w:szCs w:val="20"/>
                <w:lang w:eastAsia="ru-RU"/>
              </w:rPr>
              <w:t xml:space="preserve"> </w:t>
            </w:r>
            <w:proofErr w:type="spellStart"/>
            <w:r w:rsidRPr="00FC385F">
              <w:rPr>
                <w:rFonts w:ascii="Times New Roman" w:eastAsia="Times New Roman" w:hAnsi="Times New Roman" w:cs="Times New Roman"/>
                <w:b/>
                <w:bCs/>
                <w:color w:val="000000"/>
                <w:sz w:val="20"/>
                <w:szCs w:val="20"/>
                <w:lang w:eastAsia="ru-RU"/>
              </w:rPr>
              <w:t>Profit</w:t>
            </w:r>
            <w:proofErr w:type="spellEnd"/>
          </w:p>
        </w:tc>
        <w:tc>
          <w:tcPr>
            <w:tcW w:w="2689" w:type="dxa"/>
            <w:tcBorders>
              <w:top w:val="single" w:sz="8" w:space="0" w:color="auto"/>
              <w:left w:val="nil"/>
              <w:bottom w:val="nil"/>
              <w:right w:val="nil"/>
            </w:tcBorders>
            <w:noWrap/>
            <w:hideMark/>
          </w:tcPr>
          <w:p w:rsidR="0065198B" w:rsidRPr="00FC385F" w:rsidRDefault="0065198B" w:rsidP="0065198B">
            <w:pP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 </w:t>
            </w:r>
          </w:p>
        </w:tc>
        <w:tc>
          <w:tcPr>
            <w:tcW w:w="1418"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50 228</w:t>
            </w:r>
          </w:p>
        </w:tc>
        <w:tc>
          <w:tcPr>
            <w:tcW w:w="1276" w:type="dxa"/>
            <w:gridSpan w:val="2"/>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52 668</w:t>
            </w:r>
          </w:p>
        </w:tc>
        <w:tc>
          <w:tcPr>
            <w:tcW w:w="1275"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54 796</w:t>
            </w:r>
          </w:p>
        </w:tc>
        <w:tc>
          <w:tcPr>
            <w:tcW w:w="1276"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56 534</w:t>
            </w:r>
          </w:p>
        </w:tc>
        <w:tc>
          <w:tcPr>
            <w:tcW w:w="1276"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57 794</w:t>
            </w:r>
          </w:p>
        </w:tc>
        <w:tc>
          <w:tcPr>
            <w:tcW w:w="1280"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58 950</w:t>
            </w:r>
          </w:p>
        </w:tc>
      </w:tr>
      <w:tr w:rsidR="0065198B" w:rsidRPr="00FC385F" w:rsidTr="0065198B">
        <w:trPr>
          <w:trHeight w:val="315"/>
        </w:trPr>
        <w:tc>
          <w:tcPr>
            <w:tcW w:w="3089" w:type="dxa"/>
            <w:gridSpan w:val="2"/>
            <w:tcBorders>
              <w:top w:val="nil"/>
              <w:left w:val="nil"/>
              <w:bottom w:val="single" w:sz="8" w:space="0" w:color="auto"/>
              <w:right w:val="nil"/>
            </w:tcBorders>
            <w:noWrap/>
            <w:hideMark/>
          </w:tcPr>
          <w:p w:rsidR="0065198B" w:rsidRPr="00FC385F" w:rsidRDefault="0065198B" w:rsidP="0065198B">
            <w:pPr>
              <w:ind w:firstLineChars="100" w:firstLine="200"/>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 xml:space="preserve">% </w:t>
            </w:r>
            <w:proofErr w:type="spellStart"/>
            <w:r w:rsidRPr="00FC385F">
              <w:rPr>
                <w:rFonts w:ascii="Times New Roman" w:eastAsia="Times New Roman" w:hAnsi="Times New Roman" w:cs="Times New Roman"/>
                <w:i/>
                <w:iCs/>
                <w:color w:val="000000"/>
                <w:sz w:val="20"/>
                <w:szCs w:val="20"/>
                <w:lang w:eastAsia="ru-RU"/>
              </w:rPr>
              <w:t>Gross</w:t>
            </w:r>
            <w:proofErr w:type="spellEnd"/>
            <w:r w:rsidRPr="00FC385F">
              <w:rPr>
                <w:rFonts w:ascii="Times New Roman" w:eastAsia="Times New Roman" w:hAnsi="Times New Roman" w:cs="Times New Roman"/>
                <w:i/>
                <w:iCs/>
                <w:color w:val="000000"/>
                <w:sz w:val="20"/>
                <w:szCs w:val="20"/>
                <w:lang w:eastAsia="ru-RU"/>
              </w:rPr>
              <w:t xml:space="preserve"> </w:t>
            </w:r>
            <w:proofErr w:type="spellStart"/>
            <w:r w:rsidRPr="00FC385F">
              <w:rPr>
                <w:rFonts w:ascii="Times New Roman" w:eastAsia="Times New Roman" w:hAnsi="Times New Roman" w:cs="Times New Roman"/>
                <w:i/>
                <w:iCs/>
                <w:color w:val="000000"/>
                <w:sz w:val="20"/>
                <w:szCs w:val="20"/>
                <w:lang w:eastAsia="ru-RU"/>
              </w:rPr>
              <w:t>Margin</w:t>
            </w:r>
            <w:proofErr w:type="spellEnd"/>
          </w:p>
        </w:tc>
        <w:tc>
          <w:tcPr>
            <w:tcW w:w="2689" w:type="dxa"/>
            <w:tcBorders>
              <w:top w:val="nil"/>
              <w:left w:val="nil"/>
              <w:bottom w:val="single" w:sz="8" w:space="0" w:color="auto"/>
              <w:right w:val="nil"/>
            </w:tcBorders>
            <w:noWrap/>
            <w:hideMark/>
          </w:tcPr>
          <w:p w:rsidR="0065198B" w:rsidRPr="00FC385F" w:rsidRDefault="0065198B" w:rsidP="0065198B">
            <w:pP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 </w:t>
            </w:r>
          </w:p>
        </w:tc>
        <w:tc>
          <w:tcPr>
            <w:tcW w:w="1418"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34,1%</w:t>
            </w:r>
          </w:p>
        </w:tc>
        <w:tc>
          <w:tcPr>
            <w:tcW w:w="1276" w:type="dxa"/>
            <w:gridSpan w:val="2"/>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34,0%</w:t>
            </w:r>
          </w:p>
        </w:tc>
        <w:tc>
          <w:tcPr>
            <w:tcW w:w="1275"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34,0%</w:t>
            </w:r>
          </w:p>
        </w:tc>
        <w:tc>
          <w:tcPr>
            <w:tcW w:w="1276"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33,9%</w:t>
            </w:r>
          </w:p>
        </w:tc>
        <w:tc>
          <w:tcPr>
            <w:tcW w:w="1276"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33,9%</w:t>
            </w:r>
          </w:p>
        </w:tc>
        <w:tc>
          <w:tcPr>
            <w:tcW w:w="1280"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33,9%</w:t>
            </w:r>
          </w:p>
        </w:tc>
      </w:tr>
      <w:tr w:rsidR="0065198B" w:rsidRPr="00FC385F" w:rsidTr="0065198B">
        <w:trPr>
          <w:trHeight w:val="315"/>
        </w:trPr>
        <w:tc>
          <w:tcPr>
            <w:tcW w:w="5778" w:type="dxa"/>
            <w:gridSpan w:val="3"/>
            <w:tcBorders>
              <w:top w:val="single" w:sz="8" w:space="0" w:color="auto"/>
              <w:left w:val="nil"/>
              <w:bottom w:val="nil"/>
              <w:right w:val="nil"/>
            </w:tcBorders>
            <w:noWrap/>
            <w:hideMark/>
          </w:tcPr>
          <w:p w:rsidR="0065198B" w:rsidRPr="00FC385F" w:rsidRDefault="0065198B" w:rsidP="0065198B">
            <w:pPr>
              <w:rPr>
                <w:rFonts w:ascii="Times New Roman" w:eastAsia="Times New Roman" w:hAnsi="Times New Roman" w:cs="Times New Roman"/>
                <w:color w:val="000000"/>
                <w:sz w:val="20"/>
                <w:szCs w:val="20"/>
                <w:lang w:val="en-US" w:eastAsia="ru-RU"/>
              </w:rPr>
            </w:pPr>
            <w:r w:rsidRPr="00FC385F">
              <w:rPr>
                <w:rFonts w:ascii="Times New Roman" w:eastAsia="Times New Roman" w:hAnsi="Times New Roman" w:cs="Times New Roman"/>
                <w:color w:val="000000"/>
                <w:sz w:val="20"/>
                <w:szCs w:val="20"/>
                <w:lang w:val="en-US" w:eastAsia="ru-RU"/>
              </w:rPr>
              <w:t>Total Combined Operating  &amp; Exploration Expenses</w:t>
            </w:r>
          </w:p>
        </w:tc>
        <w:tc>
          <w:tcPr>
            <w:tcW w:w="1418"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20 764</w:t>
            </w:r>
          </w:p>
        </w:tc>
        <w:tc>
          <w:tcPr>
            <w:tcW w:w="1276" w:type="dxa"/>
            <w:gridSpan w:val="2"/>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21 800</w:t>
            </w:r>
          </w:p>
        </w:tc>
        <w:tc>
          <w:tcPr>
            <w:tcW w:w="1275"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22 700</w:t>
            </w:r>
          </w:p>
        </w:tc>
        <w:tc>
          <w:tcPr>
            <w:tcW w:w="1276"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23 432</w:t>
            </w:r>
          </w:p>
        </w:tc>
        <w:tc>
          <w:tcPr>
            <w:tcW w:w="1276"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23 956</w:t>
            </w:r>
          </w:p>
        </w:tc>
        <w:tc>
          <w:tcPr>
            <w:tcW w:w="1280"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24 435</w:t>
            </w:r>
          </w:p>
        </w:tc>
      </w:tr>
      <w:tr w:rsidR="0065198B" w:rsidRPr="00FC385F" w:rsidTr="0065198B">
        <w:trPr>
          <w:trHeight w:val="315"/>
        </w:trPr>
        <w:tc>
          <w:tcPr>
            <w:tcW w:w="3089" w:type="dxa"/>
            <w:gridSpan w:val="2"/>
            <w:tcBorders>
              <w:top w:val="nil"/>
              <w:left w:val="nil"/>
              <w:bottom w:val="single" w:sz="18" w:space="0" w:color="auto"/>
              <w:right w:val="nil"/>
            </w:tcBorders>
            <w:noWrap/>
            <w:hideMark/>
          </w:tcPr>
          <w:p w:rsidR="0065198B" w:rsidRPr="00FC385F" w:rsidRDefault="0065198B" w:rsidP="0065198B">
            <w:pPr>
              <w:ind w:firstLineChars="100" w:firstLine="200"/>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 xml:space="preserve">   % </w:t>
            </w:r>
            <w:proofErr w:type="spellStart"/>
            <w:r w:rsidRPr="00FC385F">
              <w:rPr>
                <w:rFonts w:ascii="Times New Roman" w:eastAsia="Times New Roman" w:hAnsi="Times New Roman" w:cs="Times New Roman"/>
                <w:i/>
                <w:iCs/>
                <w:color w:val="000000"/>
                <w:sz w:val="20"/>
                <w:szCs w:val="20"/>
                <w:lang w:eastAsia="ru-RU"/>
              </w:rPr>
              <w:t>of</w:t>
            </w:r>
            <w:proofErr w:type="spellEnd"/>
            <w:r w:rsidRPr="00FC385F">
              <w:rPr>
                <w:rFonts w:ascii="Times New Roman" w:eastAsia="Times New Roman" w:hAnsi="Times New Roman" w:cs="Times New Roman"/>
                <w:i/>
                <w:iCs/>
                <w:color w:val="000000"/>
                <w:sz w:val="20"/>
                <w:szCs w:val="20"/>
                <w:lang w:eastAsia="ru-RU"/>
              </w:rPr>
              <w:t xml:space="preserve"> </w:t>
            </w:r>
            <w:proofErr w:type="spellStart"/>
            <w:r w:rsidRPr="00FC385F">
              <w:rPr>
                <w:rFonts w:ascii="Times New Roman" w:eastAsia="Times New Roman" w:hAnsi="Times New Roman" w:cs="Times New Roman"/>
                <w:i/>
                <w:iCs/>
                <w:color w:val="000000"/>
                <w:sz w:val="20"/>
                <w:szCs w:val="20"/>
                <w:lang w:eastAsia="ru-RU"/>
              </w:rPr>
              <w:t>Revenues</w:t>
            </w:r>
            <w:proofErr w:type="spellEnd"/>
          </w:p>
        </w:tc>
        <w:tc>
          <w:tcPr>
            <w:tcW w:w="2689" w:type="dxa"/>
            <w:tcBorders>
              <w:top w:val="nil"/>
              <w:left w:val="nil"/>
              <w:bottom w:val="single" w:sz="18" w:space="0" w:color="auto"/>
              <w:right w:val="nil"/>
            </w:tcBorders>
            <w:noWrap/>
            <w:hideMark/>
          </w:tcPr>
          <w:p w:rsidR="0065198B" w:rsidRPr="00FC385F" w:rsidRDefault="0065198B" w:rsidP="0065198B">
            <w:pP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 </w:t>
            </w:r>
          </w:p>
        </w:tc>
        <w:tc>
          <w:tcPr>
            <w:tcW w:w="1418" w:type="dxa"/>
            <w:tcBorders>
              <w:top w:val="nil"/>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14,1%</w:t>
            </w:r>
          </w:p>
        </w:tc>
        <w:tc>
          <w:tcPr>
            <w:tcW w:w="1276" w:type="dxa"/>
            <w:gridSpan w:val="2"/>
            <w:tcBorders>
              <w:top w:val="nil"/>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14,1%</w:t>
            </w:r>
          </w:p>
        </w:tc>
        <w:tc>
          <w:tcPr>
            <w:tcW w:w="1275" w:type="dxa"/>
            <w:tcBorders>
              <w:top w:val="nil"/>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14,1%</w:t>
            </w:r>
          </w:p>
        </w:tc>
        <w:tc>
          <w:tcPr>
            <w:tcW w:w="1276" w:type="dxa"/>
            <w:tcBorders>
              <w:top w:val="nil"/>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14,1%</w:t>
            </w:r>
          </w:p>
        </w:tc>
        <w:tc>
          <w:tcPr>
            <w:tcW w:w="1276" w:type="dxa"/>
            <w:tcBorders>
              <w:top w:val="nil"/>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14,1%</w:t>
            </w:r>
          </w:p>
        </w:tc>
        <w:tc>
          <w:tcPr>
            <w:tcW w:w="1280" w:type="dxa"/>
            <w:tcBorders>
              <w:top w:val="nil"/>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14,1%</w:t>
            </w:r>
          </w:p>
        </w:tc>
      </w:tr>
      <w:tr w:rsidR="0065198B" w:rsidRPr="00FC385F" w:rsidTr="0065198B">
        <w:trPr>
          <w:trHeight w:val="315"/>
        </w:trPr>
        <w:tc>
          <w:tcPr>
            <w:tcW w:w="3089" w:type="dxa"/>
            <w:gridSpan w:val="2"/>
            <w:tcBorders>
              <w:top w:val="single" w:sz="18" w:space="0" w:color="auto"/>
              <w:left w:val="nil"/>
              <w:bottom w:val="single" w:sz="18" w:space="0" w:color="auto"/>
              <w:right w:val="nil"/>
            </w:tcBorders>
            <w:noWrap/>
            <w:hideMark/>
          </w:tcPr>
          <w:p w:rsidR="0065198B" w:rsidRPr="00FC385F" w:rsidRDefault="0065198B" w:rsidP="0065198B">
            <w:pPr>
              <w:rPr>
                <w:rFonts w:ascii="Times New Roman" w:eastAsia="Times New Roman" w:hAnsi="Times New Roman" w:cs="Times New Roman"/>
                <w:b/>
                <w:bCs/>
                <w:color w:val="000000"/>
                <w:sz w:val="20"/>
                <w:szCs w:val="20"/>
                <w:lang w:eastAsia="ru-RU"/>
              </w:rPr>
            </w:pPr>
            <w:proofErr w:type="spellStart"/>
            <w:r w:rsidRPr="00FC385F">
              <w:rPr>
                <w:rFonts w:ascii="Times New Roman" w:eastAsia="Times New Roman" w:hAnsi="Times New Roman" w:cs="Times New Roman"/>
                <w:b/>
                <w:bCs/>
                <w:color w:val="000000"/>
                <w:sz w:val="20"/>
                <w:szCs w:val="20"/>
                <w:lang w:eastAsia="ru-RU"/>
              </w:rPr>
              <w:t>Synergies</w:t>
            </w:r>
            <w:proofErr w:type="spellEnd"/>
          </w:p>
        </w:tc>
        <w:tc>
          <w:tcPr>
            <w:tcW w:w="2689" w:type="dxa"/>
            <w:tcBorders>
              <w:top w:val="single" w:sz="18" w:space="0" w:color="auto"/>
              <w:left w:val="nil"/>
              <w:bottom w:val="single" w:sz="18" w:space="0" w:color="auto"/>
              <w:right w:val="nil"/>
            </w:tcBorders>
            <w:noWrap/>
            <w:hideMark/>
          </w:tcPr>
          <w:p w:rsidR="0065198B" w:rsidRPr="00FC385F" w:rsidRDefault="0065198B" w:rsidP="0065198B">
            <w:pP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 </w:t>
            </w:r>
          </w:p>
        </w:tc>
        <w:tc>
          <w:tcPr>
            <w:tcW w:w="1418"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2 963</w:t>
            </w:r>
          </w:p>
        </w:tc>
        <w:tc>
          <w:tcPr>
            <w:tcW w:w="1276" w:type="dxa"/>
            <w:gridSpan w:val="2"/>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2 657</w:t>
            </w:r>
          </w:p>
        </w:tc>
        <w:tc>
          <w:tcPr>
            <w:tcW w:w="1275"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2 308</w:t>
            </w:r>
          </w:p>
        </w:tc>
        <w:tc>
          <w:tcPr>
            <w:tcW w:w="1276"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1 974</w:t>
            </w:r>
          </w:p>
        </w:tc>
        <w:tc>
          <w:tcPr>
            <w:tcW w:w="1276"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1 572</w:t>
            </w:r>
          </w:p>
        </w:tc>
        <w:tc>
          <w:tcPr>
            <w:tcW w:w="1280"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1 513</w:t>
            </w:r>
          </w:p>
        </w:tc>
      </w:tr>
      <w:tr w:rsidR="0065198B" w:rsidRPr="00FC385F" w:rsidTr="0065198B">
        <w:trPr>
          <w:trHeight w:val="315"/>
        </w:trPr>
        <w:tc>
          <w:tcPr>
            <w:tcW w:w="5778" w:type="dxa"/>
            <w:gridSpan w:val="3"/>
            <w:tcBorders>
              <w:top w:val="single" w:sz="18" w:space="0" w:color="auto"/>
              <w:left w:val="nil"/>
              <w:bottom w:val="nil"/>
              <w:right w:val="nil"/>
            </w:tcBorders>
            <w:noWrap/>
            <w:hideMark/>
          </w:tcPr>
          <w:p w:rsidR="0065198B" w:rsidRPr="00FC385F" w:rsidRDefault="0065198B" w:rsidP="0065198B">
            <w:pPr>
              <w:rPr>
                <w:rFonts w:ascii="Times New Roman" w:eastAsia="Times New Roman" w:hAnsi="Times New Roman" w:cs="Times New Roman"/>
                <w:b/>
                <w:bCs/>
                <w:color w:val="000000"/>
                <w:sz w:val="20"/>
                <w:szCs w:val="20"/>
                <w:lang w:eastAsia="ru-RU"/>
              </w:rPr>
            </w:pPr>
            <w:proofErr w:type="spellStart"/>
            <w:r w:rsidRPr="00FC385F">
              <w:rPr>
                <w:rFonts w:ascii="Times New Roman" w:eastAsia="Times New Roman" w:hAnsi="Times New Roman" w:cs="Times New Roman"/>
                <w:b/>
                <w:bCs/>
                <w:color w:val="000000"/>
                <w:sz w:val="20"/>
                <w:szCs w:val="20"/>
                <w:lang w:eastAsia="ru-RU"/>
              </w:rPr>
              <w:t>Total</w:t>
            </w:r>
            <w:proofErr w:type="spellEnd"/>
            <w:r w:rsidRPr="00FC385F">
              <w:rPr>
                <w:rFonts w:ascii="Times New Roman" w:eastAsia="Times New Roman" w:hAnsi="Times New Roman" w:cs="Times New Roman"/>
                <w:b/>
                <w:bCs/>
                <w:color w:val="000000"/>
                <w:sz w:val="20"/>
                <w:szCs w:val="20"/>
                <w:lang w:eastAsia="ru-RU"/>
              </w:rPr>
              <w:t xml:space="preserve"> </w:t>
            </w:r>
            <w:proofErr w:type="spellStart"/>
            <w:r w:rsidRPr="00FC385F">
              <w:rPr>
                <w:rFonts w:ascii="Times New Roman" w:eastAsia="Times New Roman" w:hAnsi="Times New Roman" w:cs="Times New Roman"/>
                <w:b/>
                <w:bCs/>
                <w:color w:val="000000"/>
                <w:sz w:val="20"/>
                <w:szCs w:val="20"/>
                <w:lang w:eastAsia="ru-RU"/>
              </w:rPr>
              <w:t>Adjusted</w:t>
            </w:r>
            <w:proofErr w:type="spellEnd"/>
            <w:r w:rsidRPr="00FC385F">
              <w:rPr>
                <w:rFonts w:ascii="Times New Roman" w:eastAsia="Times New Roman" w:hAnsi="Times New Roman" w:cs="Times New Roman"/>
                <w:b/>
                <w:bCs/>
                <w:color w:val="000000"/>
                <w:sz w:val="20"/>
                <w:szCs w:val="20"/>
                <w:lang w:eastAsia="ru-RU"/>
              </w:rPr>
              <w:t xml:space="preserve"> EBIT</w:t>
            </w:r>
          </w:p>
        </w:tc>
        <w:tc>
          <w:tcPr>
            <w:tcW w:w="1418" w:type="dxa"/>
            <w:tcBorders>
              <w:top w:val="single" w:sz="1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32 427</w:t>
            </w:r>
          </w:p>
        </w:tc>
        <w:tc>
          <w:tcPr>
            <w:tcW w:w="1276" w:type="dxa"/>
            <w:gridSpan w:val="2"/>
            <w:tcBorders>
              <w:top w:val="single" w:sz="1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33 525</w:t>
            </w:r>
          </w:p>
        </w:tc>
        <w:tc>
          <w:tcPr>
            <w:tcW w:w="1275" w:type="dxa"/>
            <w:tcBorders>
              <w:top w:val="single" w:sz="1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34 404</w:t>
            </w:r>
          </w:p>
        </w:tc>
        <w:tc>
          <w:tcPr>
            <w:tcW w:w="1276" w:type="dxa"/>
            <w:tcBorders>
              <w:top w:val="single" w:sz="1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35 077</w:t>
            </w:r>
          </w:p>
        </w:tc>
        <w:tc>
          <w:tcPr>
            <w:tcW w:w="1276" w:type="dxa"/>
            <w:tcBorders>
              <w:top w:val="single" w:sz="1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35 410</w:t>
            </w:r>
          </w:p>
        </w:tc>
        <w:tc>
          <w:tcPr>
            <w:tcW w:w="1280" w:type="dxa"/>
            <w:tcBorders>
              <w:top w:val="single" w:sz="1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36 028</w:t>
            </w:r>
          </w:p>
        </w:tc>
      </w:tr>
      <w:tr w:rsidR="0065198B" w:rsidRPr="00FC385F" w:rsidTr="0065198B">
        <w:trPr>
          <w:trHeight w:val="315"/>
        </w:trPr>
        <w:tc>
          <w:tcPr>
            <w:tcW w:w="3089" w:type="dxa"/>
            <w:gridSpan w:val="2"/>
            <w:tcBorders>
              <w:top w:val="nil"/>
              <w:left w:val="nil"/>
              <w:bottom w:val="single" w:sz="8" w:space="0" w:color="auto"/>
              <w:right w:val="nil"/>
            </w:tcBorders>
            <w:noWrap/>
            <w:hideMark/>
          </w:tcPr>
          <w:p w:rsidR="0065198B" w:rsidRPr="00FC385F" w:rsidRDefault="0065198B" w:rsidP="0065198B">
            <w:pPr>
              <w:ind w:firstLineChars="100" w:firstLine="200"/>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 xml:space="preserve">   % EBIT </w:t>
            </w:r>
            <w:proofErr w:type="spellStart"/>
            <w:r w:rsidRPr="00FC385F">
              <w:rPr>
                <w:rFonts w:ascii="Times New Roman" w:eastAsia="Times New Roman" w:hAnsi="Times New Roman" w:cs="Times New Roman"/>
                <w:i/>
                <w:iCs/>
                <w:color w:val="000000"/>
                <w:sz w:val="20"/>
                <w:szCs w:val="20"/>
                <w:lang w:eastAsia="ru-RU"/>
              </w:rPr>
              <w:t>margin</w:t>
            </w:r>
            <w:proofErr w:type="spellEnd"/>
          </w:p>
        </w:tc>
        <w:tc>
          <w:tcPr>
            <w:tcW w:w="2689" w:type="dxa"/>
            <w:tcBorders>
              <w:top w:val="nil"/>
              <w:left w:val="nil"/>
              <w:bottom w:val="single" w:sz="8" w:space="0" w:color="auto"/>
              <w:right w:val="nil"/>
            </w:tcBorders>
            <w:noWrap/>
            <w:hideMark/>
          </w:tcPr>
          <w:p w:rsidR="0065198B" w:rsidRPr="00FC385F" w:rsidRDefault="0065198B" w:rsidP="0065198B">
            <w:pP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 </w:t>
            </w:r>
          </w:p>
        </w:tc>
        <w:tc>
          <w:tcPr>
            <w:tcW w:w="1418"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22,0%</w:t>
            </w:r>
          </w:p>
        </w:tc>
        <w:tc>
          <w:tcPr>
            <w:tcW w:w="1276" w:type="dxa"/>
            <w:gridSpan w:val="2"/>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21,7%</w:t>
            </w:r>
          </w:p>
        </w:tc>
        <w:tc>
          <w:tcPr>
            <w:tcW w:w="1275"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21,3%</w:t>
            </w:r>
          </w:p>
        </w:tc>
        <w:tc>
          <w:tcPr>
            <w:tcW w:w="1276"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21,0%</w:t>
            </w:r>
          </w:p>
        </w:tc>
        <w:tc>
          <w:tcPr>
            <w:tcW w:w="1276"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20,8%</w:t>
            </w:r>
          </w:p>
        </w:tc>
        <w:tc>
          <w:tcPr>
            <w:tcW w:w="1280"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20,7%</w:t>
            </w:r>
          </w:p>
        </w:tc>
      </w:tr>
      <w:tr w:rsidR="0065198B" w:rsidRPr="00FC385F" w:rsidTr="0065198B">
        <w:trPr>
          <w:trHeight w:val="315"/>
        </w:trPr>
        <w:tc>
          <w:tcPr>
            <w:tcW w:w="3089" w:type="dxa"/>
            <w:gridSpan w:val="2"/>
            <w:tcBorders>
              <w:top w:val="single" w:sz="8" w:space="0" w:color="auto"/>
              <w:left w:val="nil"/>
              <w:bottom w:val="single" w:sz="18" w:space="0" w:color="auto"/>
              <w:right w:val="nil"/>
            </w:tcBorders>
            <w:noWrap/>
            <w:hideMark/>
          </w:tcPr>
          <w:p w:rsidR="0065198B" w:rsidRPr="00FC385F" w:rsidRDefault="0065198B" w:rsidP="0065198B">
            <w:pPr>
              <w:rPr>
                <w:rFonts w:ascii="Times New Roman" w:eastAsia="Times New Roman" w:hAnsi="Times New Roman" w:cs="Times New Roman"/>
                <w:color w:val="000000"/>
                <w:sz w:val="20"/>
                <w:szCs w:val="20"/>
                <w:lang w:eastAsia="ru-RU"/>
              </w:rPr>
            </w:pPr>
            <w:proofErr w:type="spellStart"/>
            <w:r w:rsidRPr="00FC385F">
              <w:rPr>
                <w:rFonts w:ascii="Times New Roman" w:eastAsia="Times New Roman" w:hAnsi="Times New Roman" w:cs="Times New Roman"/>
                <w:color w:val="000000"/>
                <w:sz w:val="20"/>
                <w:szCs w:val="20"/>
                <w:lang w:eastAsia="ru-RU"/>
              </w:rPr>
              <w:t>Income</w:t>
            </w:r>
            <w:proofErr w:type="spellEnd"/>
            <w:r w:rsidRPr="00FC385F">
              <w:rPr>
                <w:rFonts w:ascii="Times New Roman" w:eastAsia="Times New Roman" w:hAnsi="Times New Roman" w:cs="Times New Roman"/>
                <w:color w:val="000000"/>
                <w:sz w:val="20"/>
                <w:szCs w:val="20"/>
                <w:lang w:eastAsia="ru-RU"/>
              </w:rPr>
              <w:t xml:space="preserve"> </w:t>
            </w:r>
            <w:proofErr w:type="spellStart"/>
            <w:r w:rsidRPr="00FC385F">
              <w:rPr>
                <w:rFonts w:ascii="Times New Roman" w:eastAsia="Times New Roman" w:hAnsi="Times New Roman" w:cs="Times New Roman"/>
                <w:color w:val="000000"/>
                <w:sz w:val="20"/>
                <w:szCs w:val="20"/>
                <w:lang w:eastAsia="ru-RU"/>
              </w:rPr>
              <w:t>Taxes</w:t>
            </w:r>
            <w:proofErr w:type="spellEnd"/>
          </w:p>
        </w:tc>
        <w:tc>
          <w:tcPr>
            <w:tcW w:w="2689" w:type="dxa"/>
            <w:tcBorders>
              <w:top w:val="single" w:sz="8" w:space="0" w:color="auto"/>
              <w:left w:val="nil"/>
              <w:bottom w:val="single" w:sz="18" w:space="0" w:color="auto"/>
              <w:right w:val="nil"/>
            </w:tcBorders>
            <w:noWrap/>
            <w:hideMark/>
          </w:tcPr>
          <w:p w:rsidR="0065198B" w:rsidRPr="00FC385F" w:rsidRDefault="0065198B" w:rsidP="0065198B">
            <w:pP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 </w:t>
            </w:r>
          </w:p>
        </w:tc>
        <w:tc>
          <w:tcPr>
            <w:tcW w:w="1418" w:type="dxa"/>
            <w:tcBorders>
              <w:top w:val="single" w:sz="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7 973</w:t>
            </w:r>
          </w:p>
        </w:tc>
        <w:tc>
          <w:tcPr>
            <w:tcW w:w="1276" w:type="dxa"/>
            <w:gridSpan w:val="2"/>
            <w:tcBorders>
              <w:top w:val="single" w:sz="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8 243</w:t>
            </w:r>
          </w:p>
        </w:tc>
        <w:tc>
          <w:tcPr>
            <w:tcW w:w="1275" w:type="dxa"/>
            <w:tcBorders>
              <w:top w:val="single" w:sz="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8 459</w:t>
            </w:r>
          </w:p>
        </w:tc>
        <w:tc>
          <w:tcPr>
            <w:tcW w:w="1276" w:type="dxa"/>
            <w:tcBorders>
              <w:top w:val="single" w:sz="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8 624</w:t>
            </w:r>
          </w:p>
        </w:tc>
        <w:tc>
          <w:tcPr>
            <w:tcW w:w="1276" w:type="dxa"/>
            <w:tcBorders>
              <w:top w:val="single" w:sz="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8 707</w:t>
            </w:r>
          </w:p>
        </w:tc>
        <w:tc>
          <w:tcPr>
            <w:tcW w:w="1280" w:type="dxa"/>
            <w:tcBorders>
              <w:top w:val="single" w:sz="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8 858</w:t>
            </w:r>
          </w:p>
        </w:tc>
      </w:tr>
      <w:tr w:rsidR="0065198B" w:rsidRPr="00FC385F" w:rsidTr="0065198B">
        <w:trPr>
          <w:trHeight w:val="315"/>
        </w:trPr>
        <w:tc>
          <w:tcPr>
            <w:tcW w:w="3089" w:type="dxa"/>
            <w:gridSpan w:val="2"/>
            <w:tcBorders>
              <w:top w:val="single" w:sz="18" w:space="0" w:color="auto"/>
              <w:left w:val="nil"/>
              <w:bottom w:val="single" w:sz="18" w:space="0" w:color="auto"/>
              <w:right w:val="nil"/>
            </w:tcBorders>
            <w:noWrap/>
            <w:hideMark/>
          </w:tcPr>
          <w:p w:rsidR="0065198B" w:rsidRPr="00FC385F" w:rsidRDefault="0065198B" w:rsidP="0065198B">
            <w:pPr>
              <w:rPr>
                <w:rFonts w:ascii="Times New Roman" w:eastAsia="Times New Roman" w:hAnsi="Times New Roman" w:cs="Times New Roman"/>
                <w:b/>
                <w:bCs/>
                <w:color w:val="000000"/>
                <w:sz w:val="20"/>
                <w:szCs w:val="20"/>
                <w:lang w:eastAsia="ru-RU"/>
              </w:rPr>
            </w:pPr>
            <w:proofErr w:type="spellStart"/>
            <w:r w:rsidRPr="00FC385F">
              <w:rPr>
                <w:rFonts w:ascii="Times New Roman" w:eastAsia="Times New Roman" w:hAnsi="Times New Roman" w:cs="Times New Roman"/>
                <w:b/>
                <w:bCs/>
                <w:color w:val="000000"/>
                <w:sz w:val="20"/>
                <w:szCs w:val="20"/>
                <w:lang w:eastAsia="ru-RU"/>
              </w:rPr>
              <w:t>Total</w:t>
            </w:r>
            <w:proofErr w:type="spellEnd"/>
            <w:r w:rsidRPr="00FC385F">
              <w:rPr>
                <w:rFonts w:ascii="Times New Roman" w:eastAsia="Times New Roman" w:hAnsi="Times New Roman" w:cs="Times New Roman"/>
                <w:b/>
                <w:bCs/>
                <w:color w:val="000000"/>
                <w:sz w:val="20"/>
                <w:szCs w:val="20"/>
                <w:lang w:eastAsia="ru-RU"/>
              </w:rPr>
              <w:t xml:space="preserve"> NOPAT</w:t>
            </w:r>
          </w:p>
        </w:tc>
        <w:tc>
          <w:tcPr>
            <w:tcW w:w="2689" w:type="dxa"/>
            <w:tcBorders>
              <w:top w:val="single" w:sz="18" w:space="0" w:color="auto"/>
              <w:left w:val="nil"/>
              <w:bottom w:val="single" w:sz="18" w:space="0" w:color="auto"/>
              <w:right w:val="nil"/>
            </w:tcBorders>
            <w:noWrap/>
            <w:hideMark/>
          </w:tcPr>
          <w:p w:rsidR="0065198B" w:rsidRPr="00FC385F" w:rsidRDefault="0065198B" w:rsidP="0065198B">
            <w:pPr>
              <w:rPr>
                <w:rFonts w:ascii="Times New Roman" w:eastAsia="Times New Roman" w:hAnsi="Times New Roman" w:cs="Times New Roman"/>
                <w:color w:val="000000"/>
                <w:sz w:val="20"/>
                <w:szCs w:val="20"/>
                <w:lang w:eastAsia="ru-RU"/>
              </w:rPr>
            </w:pPr>
            <w:r w:rsidRPr="00FC385F">
              <w:rPr>
                <w:rFonts w:ascii="Times New Roman" w:eastAsia="Times New Roman" w:hAnsi="Times New Roman" w:cs="Times New Roman"/>
                <w:color w:val="000000"/>
                <w:sz w:val="20"/>
                <w:szCs w:val="20"/>
                <w:lang w:eastAsia="ru-RU"/>
              </w:rPr>
              <w:t> </w:t>
            </w:r>
          </w:p>
        </w:tc>
        <w:tc>
          <w:tcPr>
            <w:tcW w:w="1418"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24 454</w:t>
            </w:r>
          </w:p>
        </w:tc>
        <w:tc>
          <w:tcPr>
            <w:tcW w:w="1276" w:type="dxa"/>
            <w:gridSpan w:val="2"/>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25 282</w:t>
            </w:r>
          </w:p>
        </w:tc>
        <w:tc>
          <w:tcPr>
            <w:tcW w:w="1275"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25 945</w:t>
            </w:r>
          </w:p>
        </w:tc>
        <w:tc>
          <w:tcPr>
            <w:tcW w:w="1276"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26 452</w:t>
            </w:r>
          </w:p>
        </w:tc>
        <w:tc>
          <w:tcPr>
            <w:tcW w:w="1276"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26 704</w:t>
            </w:r>
          </w:p>
        </w:tc>
        <w:tc>
          <w:tcPr>
            <w:tcW w:w="1280"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27 169</w:t>
            </w:r>
          </w:p>
        </w:tc>
      </w:tr>
      <w:tr w:rsidR="0065198B" w:rsidRPr="00FC385F" w:rsidTr="0065198B">
        <w:trPr>
          <w:trHeight w:val="315"/>
        </w:trPr>
        <w:tc>
          <w:tcPr>
            <w:tcW w:w="5778" w:type="dxa"/>
            <w:gridSpan w:val="3"/>
            <w:tcBorders>
              <w:top w:val="single" w:sz="18" w:space="0" w:color="auto"/>
              <w:left w:val="nil"/>
              <w:bottom w:val="nil"/>
              <w:right w:val="nil"/>
            </w:tcBorders>
            <w:noWrap/>
            <w:hideMark/>
          </w:tcPr>
          <w:p w:rsidR="0065198B" w:rsidRPr="00FC385F" w:rsidRDefault="0065198B" w:rsidP="0065198B">
            <w:pPr>
              <w:rPr>
                <w:rFonts w:ascii="Times New Roman" w:eastAsia="Times New Roman" w:hAnsi="Times New Roman" w:cs="Times New Roman"/>
                <w:b/>
                <w:bCs/>
                <w:color w:val="000000"/>
                <w:sz w:val="20"/>
                <w:szCs w:val="20"/>
                <w:lang w:eastAsia="ru-RU"/>
              </w:rPr>
            </w:pPr>
            <w:proofErr w:type="spellStart"/>
            <w:r w:rsidRPr="00FC385F">
              <w:rPr>
                <w:rFonts w:ascii="Times New Roman" w:eastAsia="Times New Roman" w:hAnsi="Times New Roman" w:cs="Times New Roman"/>
                <w:b/>
                <w:bCs/>
                <w:color w:val="000000"/>
                <w:sz w:val="20"/>
                <w:szCs w:val="20"/>
                <w:lang w:eastAsia="ru-RU"/>
              </w:rPr>
              <w:t>Plus</w:t>
            </w:r>
            <w:proofErr w:type="spellEnd"/>
            <w:r w:rsidRPr="00FC385F">
              <w:rPr>
                <w:rFonts w:ascii="Times New Roman" w:eastAsia="Times New Roman" w:hAnsi="Times New Roman" w:cs="Times New Roman"/>
                <w:b/>
                <w:bCs/>
                <w:color w:val="000000"/>
                <w:sz w:val="20"/>
                <w:szCs w:val="20"/>
                <w:lang w:eastAsia="ru-RU"/>
              </w:rPr>
              <w:t xml:space="preserve">: </w:t>
            </w:r>
            <w:proofErr w:type="spellStart"/>
            <w:r w:rsidRPr="00FC385F">
              <w:rPr>
                <w:rFonts w:ascii="Times New Roman" w:eastAsia="Times New Roman" w:hAnsi="Times New Roman" w:cs="Times New Roman"/>
                <w:b/>
                <w:bCs/>
                <w:color w:val="000000"/>
                <w:sz w:val="20"/>
                <w:szCs w:val="20"/>
                <w:lang w:eastAsia="ru-RU"/>
              </w:rPr>
              <w:t>Depreciation</w:t>
            </w:r>
            <w:proofErr w:type="spellEnd"/>
            <w:r w:rsidRPr="00FC385F">
              <w:rPr>
                <w:rFonts w:ascii="Times New Roman" w:eastAsia="Times New Roman" w:hAnsi="Times New Roman" w:cs="Times New Roman"/>
                <w:b/>
                <w:bCs/>
                <w:color w:val="000000"/>
                <w:sz w:val="20"/>
                <w:szCs w:val="20"/>
                <w:lang w:eastAsia="ru-RU"/>
              </w:rPr>
              <w:t xml:space="preserve"> &amp; </w:t>
            </w:r>
            <w:proofErr w:type="spellStart"/>
            <w:r w:rsidRPr="00FC385F">
              <w:rPr>
                <w:rFonts w:ascii="Times New Roman" w:eastAsia="Times New Roman" w:hAnsi="Times New Roman" w:cs="Times New Roman"/>
                <w:b/>
                <w:bCs/>
                <w:color w:val="000000"/>
                <w:sz w:val="20"/>
                <w:szCs w:val="20"/>
                <w:lang w:eastAsia="ru-RU"/>
              </w:rPr>
              <w:t>Amortization</w:t>
            </w:r>
            <w:proofErr w:type="spellEnd"/>
          </w:p>
        </w:tc>
        <w:tc>
          <w:tcPr>
            <w:tcW w:w="1418" w:type="dxa"/>
            <w:tcBorders>
              <w:top w:val="single" w:sz="1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10 861</w:t>
            </w:r>
          </w:p>
        </w:tc>
        <w:tc>
          <w:tcPr>
            <w:tcW w:w="1276" w:type="dxa"/>
            <w:gridSpan w:val="2"/>
            <w:tcBorders>
              <w:top w:val="single" w:sz="1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11 418</w:t>
            </w:r>
          </w:p>
        </w:tc>
        <w:tc>
          <w:tcPr>
            <w:tcW w:w="1275" w:type="dxa"/>
            <w:tcBorders>
              <w:top w:val="single" w:sz="1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11 901</w:t>
            </w:r>
          </w:p>
        </w:tc>
        <w:tc>
          <w:tcPr>
            <w:tcW w:w="1276" w:type="dxa"/>
            <w:tcBorders>
              <w:top w:val="single" w:sz="1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12 291</w:t>
            </w:r>
          </w:p>
        </w:tc>
        <w:tc>
          <w:tcPr>
            <w:tcW w:w="1276" w:type="dxa"/>
            <w:tcBorders>
              <w:top w:val="single" w:sz="1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12 567</w:t>
            </w:r>
          </w:p>
        </w:tc>
        <w:tc>
          <w:tcPr>
            <w:tcW w:w="1280" w:type="dxa"/>
            <w:tcBorders>
              <w:top w:val="single" w:sz="1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12 818</w:t>
            </w:r>
          </w:p>
        </w:tc>
      </w:tr>
      <w:tr w:rsidR="0065198B" w:rsidRPr="00FC385F" w:rsidTr="0065198B">
        <w:trPr>
          <w:trHeight w:val="315"/>
        </w:trPr>
        <w:tc>
          <w:tcPr>
            <w:tcW w:w="5778" w:type="dxa"/>
            <w:gridSpan w:val="3"/>
            <w:tcBorders>
              <w:top w:val="nil"/>
              <w:left w:val="nil"/>
              <w:bottom w:val="single" w:sz="8" w:space="0" w:color="auto"/>
              <w:right w:val="nil"/>
            </w:tcBorders>
            <w:noWrap/>
            <w:hideMark/>
          </w:tcPr>
          <w:p w:rsidR="0065198B" w:rsidRPr="00FC385F" w:rsidRDefault="0065198B" w:rsidP="0065198B">
            <w:pPr>
              <w:ind w:firstLineChars="100" w:firstLine="200"/>
              <w:rPr>
                <w:rFonts w:ascii="Times New Roman" w:eastAsia="Times New Roman" w:hAnsi="Times New Roman" w:cs="Times New Roman"/>
                <w:i/>
                <w:iCs/>
                <w:color w:val="000000"/>
                <w:sz w:val="20"/>
                <w:szCs w:val="20"/>
                <w:lang w:val="en-US" w:eastAsia="ru-RU"/>
              </w:rPr>
            </w:pPr>
            <w:r w:rsidRPr="00FC385F">
              <w:rPr>
                <w:rFonts w:ascii="Times New Roman" w:eastAsia="Times New Roman" w:hAnsi="Times New Roman" w:cs="Times New Roman"/>
                <w:i/>
                <w:iCs/>
                <w:color w:val="000000"/>
                <w:sz w:val="20"/>
                <w:szCs w:val="20"/>
                <w:lang w:val="en-US" w:eastAsia="ru-RU"/>
              </w:rPr>
              <w:t>D&amp;A (as % of Revenues)</w:t>
            </w:r>
          </w:p>
        </w:tc>
        <w:tc>
          <w:tcPr>
            <w:tcW w:w="1418"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7,4%</w:t>
            </w:r>
          </w:p>
        </w:tc>
        <w:tc>
          <w:tcPr>
            <w:tcW w:w="1276" w:type="dxa"/>
            <w:gridSpan w:val="2"/>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7,4%</w:t>
            </w:r>
          </w:p>
        </w:tc>
        <w:tc>
          <w:tcPr>
            <w:tcW w:w="1275"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7,4%</w:t>
            </w:r>
          </w:p>
        </w:tc>
        <w:tc>
          <w:tcPr>
            <w:tcW w:w="1276"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7,4%</w:t>
            </w:r>
          </w:p>
        </w:tc>
        <w:tc>
          <w:tcPr>
            <w:tcW w:w="1276"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7,4%</w:t>
            </w:r>
          </w:p>
        </w:tc>
        <w:tc>
          <w:tcPr>
            <w:tcW w:w="1280"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7,4%</w:t>
            </w:r>
          </w:p>
        </w:tc>
      </w:tr>
      <w:tr w:rsidR="0065198B" w:rsidRPr="00FC385F" w:rsidTr="0065198B">
        <w:trPr>
          <w:trHeight w:val="315"/>
        </w:trPr>
        <w:tc>
          <w:tcPr>
            <w:tcW w:w="5778" w:type="dxa"/>
            <w:gridSpan w:val="3"/>
            <w:tcBorders>
              <w:top w:val="single" w:sz="8" w:space="0" w:color="auto"/>
              <w:left w:val="nil"/>
              <w:bottom w:val="nil"/>
              <w:right w:val="nil"/>
            </w:tcBorders>
            <w:noWrap/>
            <w:hideMark/>
          </w:tcPr>
          <w:p w:rsidR="0065198B" w:rsidRPr="00FC385F" w:rsidRDefault="0065198B" w:rsidP="0065198B">
            <w:pPr>
              <w:rPr>
                <w:rFonts w:ascii="Times New Roman" w:eastAsia="Times New Roman" w:hAnsi="Times New Roman" w:cs="Times New Roman"/>
                <w:b/>
                <w:bCs/>
                <w:color w:val="000000"/>
                <w:sz w:val="20"/>
                <w:szCs w:val="20"/>
                <w:lang w:eastAsia="ru-RU"/>
              </w:rPr>
            </w:pPr>
            <w:proofErr w:type="spellStart"/>
            <w:r w:rsidRPr="00FC385F">
              <w:rPr>
                <w:rFonts w:ascii="Times New Roman" w:eastAsia="Times New Roman" w:hAnsi="Times New Roman" w:cs="Times New Roman"/>
                <w:b/>
                <w:bCs/>
                <w:color w:val="000000"/>
                <w:sz w:val="20"/>
                <w:szCs w:val="20"/>
                <w:lang w:eastAsia="ru-RU"/>
              </w:rPr>
              <w:t>Less</w:t>
            </w:r>
            <w:proofErr w:type="spellEnd"/>
            <w:r w:rsidRPr="00FC385F">
              <w:rPr>
                <w:rFonts w:ascii="Times New Roman" w:eastAsia="Times New Roman" w:hAnsi="Times New Roman" w:cs="Times New Roman"/>
                <w:b/>
                <w:bCs/>
                <w:color w:val="000000"/>
                <w:sz w:val="20"/>
                <w:szCs w:val="20"/>
                <w:lang w:eastAsia="ru-RU"/>
              </w:rPr>
              <w:t xml:space="preserve">: </w:t>
            </w:r>
            <w:proofErr w:type="spellStart"/>
            <w:r w:rsidRPr="00FC385F">
              <w:rPr>
                <w:rFonts w:ascii="Times New Roman" w:eastAsia="Times New Roman" w:hAnsi="Times New Roman" w:cs="Times New Roman"/>
                <w:b/>
                <w:bCs/>
                <w:color w:val="000000"/>
                <w:sz w:val="20"/>
                <w:szCs w:val="20"/>
                <w:lang w:eastAsia="ru-RU"/>
              </w:rPr>
              <w:t>Capital</w:t>
            </w:r>
            <w:proofErr w:type="spellEnd"/>
            <w:r w:rsidRPr="00FC385F">
              <w:rPr>
                <w:rFonts w:ascii="Times New Roman" w:eastAsia="Times New Roman" w:hAnsi="Times New Roman" w:cs="Times New Roman"/>
                <w:b/>
                <w:bCs/>
                <w:color w:val="000000"/>
                <w:sz w:val="20"/>
                <w:szCs w:val="20"/>
                <w:lang w:eastAsia="ru-RU"/>
              </w:rPr>
              <w:t xml:space="preserve"> </w:t>
            </w:r>
            <w:proofErr w:type="spellStart"/>
            <w:r w:rsidRPr="00FC385F">
              <w:rPr>
                <w:rFonts w:ascii="Times New Roman" w:eastAsia="Times New Roman" w:hAnsi="Times New Roman" w:cs="Times New Roman"/>
                <w:b/>
                <w:bCs/>
                <w:color w:val="000000"/>
                <w:sz w:val="20"/>
                <w:szCs w:val="20"/>
                <w:lang w:eastAsia="ru-RU"/>
              </w:rPr>
              <w:t>Expenditures</w:t>
            </w:r>
            <w:proofErr w:type="spellEnd"/>
          </w:p>
        </w:tc>
        <w:tc>
          <w:tcPr>
            <w:tcW w:w="1418"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31 865</w:t>
            </w:r>
          </w:p>
        </w:tc>
        <w:tc>
          <w:tcPr>
            <w:tcW w:w="1276" w:type="dxa"/>
            <w:gridSpan w:val="2"/>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33 501</w:t>
            </w:r>
          </w:p>
        </w:tc>
        <w:tc>
          <w:tcPr>
            <w:tcW w:w="1275"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34 916</w:t>
            </w:r>
          </w:p>
        </w:tc>
        <w:tc>
          <w:tcPr>
            <w:tcW w:w="1276"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36 060</w:t>
            </w:r>
          </w:p>
        </w:tc>
        <w:tc>
          <w:tcPr>
            <w:tcW w:w="1276"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36 870</w:t>
            </w:r>
          </w:p>
        </w:tc>
        <w:tc>
          <w:tcPr>
            <w:tcW w:w="1280" w:type="dxa"/>
            <w:tcBorders>
              <w:top w:val="single" w:sz="8" w:space="0" w:color="auto"/>
              <w:left w:val="nil"/>
              <w:bottom w:val="nil"/>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37 608</w:t>
            </w:r>
          </w:p>
        </w:tc>
      </w:tr>
      <w:tr w:rsidR="0065198B" w:rsidRPr="00FC385F" w:rsidTr="0065198B">
        <w:trPr>
          <w:trHeight w:val="315"/>
        </w:trPr>
        <w:tc>
          <w:tcPr>
            <w:tcW w:w="5778" w:type="dxa"/>
            <w:gridSpan w:val="3"/>
            <w:tcBorders>
              <w:top w:val="nil"/>
              <w:left w:val="nil"/>
              <w:bottom w:val="single" w:sz="8" w:space="0" w:color="auto"/>
              <w:right w:val="nil"/>
            </w:tcBorders>
            <w:noWrap/>
            <w:hideMark/>
          </w:tcPr>
          <w:p w:rsidR="0065198B" w:rsidRPr="00FC385F" w:rsidRDefault="0065198B" w:rsidP="0065198B">
            <w:pPr>
              <w:ind w:firstLineChars="100" w:firstLine="200"/>
              <w:rPr>
                <w:rFonts w:ascii="Times New Roman" w:eastAsia="Times New Roman" w:hAnsi="Times New Roman" w:cs="Times New Roman"/>
                <w:i/>
                <w:iCs/>
                <w:color w:val="000000"/>
                <w:sz w:val="20"/>
                <w:szCs w:val="20"/>
                <w:lang w:eastAsia="ru-RU"/>
              </w:rPr>
            </w:pPr>
            <w:proofErr w:type="spellStart"/>
            <w:r w:rsidRPr="00FC385F">
              <w:rPr>
                <w:rFonts w:ascii="Times New Roman" w:eastAsia="Times New Roman" w:hAnsi="Times New Roman" w:cs="Times New Roman"/>
                <w:i/>
                <w:iCs/>
                <w:color w:val="000000"/>
                <w:sz w:val="20"/>
                <w:szCs w:val="20"/>
                <w:lang w:eastAsia="ru-RU"/>
              </w:rPr>
              <w:t>Capex</w:t>
            </w:r>
            <w:proofErr w:type="spellEnd"/>
            <w:r w:rsidRPr="00FC385F">
              <w:rPr>
                <w:rFonts w:ascii="Times New Roman" w:eastAsia="Times New Roman" w:hAnsi="Times New Roman" w:cs="Times New Roman"/>
                <w:i/>
                <w:iCs/>
                <w:color w:val="000000"/>
                <w:sz w:val="20"/>
                <w:szCs w:val="20"/>
                <w:lang w:eastAsia="ru-RU"/>
              </w:rPr>
              <w:t xml:space="preserve"> (</w:t>
            </w:r>
            <w:proofErr w:type="spellStart"/>
            <w:r w:rsidRPr="00FC385F">
              <w:rPr>
                <w:rFonts w:ascii="Times New Roman" w:eastAsia="Times New Roman" w:hAnsi="Times New Roman" w:cs="Times New Roman"/>
                <w:i/>
                <w:iCs/>
                <w:color w:val="000000"/>
                <w:sz w:val="20"/>
                <w:szCs w:val="20"/>
                <w:lang w:eastAsia="ru-RU"/>
              </w:rPr>
              <w:t>as</w:t>
            </w:r>
            <w:proofErr w:type="spellEnd"/>
            <w:r w:rsidRPr="00FC385F">
              <w:rPr>
                <w:rFonts w:ascii="Times New Roman" w:eastAsia="Times New Roman" w:hAnsi="Times New Roman" w:cs="Times New Roman"/>
                <w:i/>
                <w:iCs/>
                <w:color w:val="000000"/>
                <w:sz w:val="20"/>
                <w:szCs w:val="20"/>
                <w:lang w:eastAsia="ru-RU"/>
              </w:rPr>
              <w:t xml:space="preserve"> % </w:t>
            </w:r>
            <w:proofErr w:type="spellStart"/>
            <w:r w:rsidRPr="00FC385F">
              <w:rPr>
                <w:rFonts w:ascii="Times New Roman" w:eastAsia="Times New Roman" w:hAnsi="Times New Roman" w:cs="Times New Roman"/>
                <w:i/>
                <w:iCs/>
                <w:color w:val="000000"/>
                <w:sz w:val="20"/>
                <w:szCs w:val="20"/>
                <w:lang w:eastAsia="ru-RU"/>
              </w:rPr>
              <w:t>of</w:t>
            </w:r>
            <w:proofErr w:type="spellEnd"/>
            <w:r w:rsidRPr="00FC385F">
              <w:rPr>
                <w:rFonts w:ascii="Times New Roman" w:eastAsia="Times New Roman" w:hAnsi="Times New Roman" w:cs="Times New Roman"/>
                <w:i/>
                <w:iCs/>
                <w:color w:val="000000"/>
                <w:sz w:val="20"/>
                <w:szCs w:val="20"/>
                <w:lang w:eastAsia="ru-RU"/>
              </w:rPr>
              <w:t xml:space="preserve"> </w:t>
            </w:r>
            <w:proofErr w:type="spellStart"/>
            <w:r w:rsidRPr="00FC385F">
              <w:rPr>
                <w:rFonts w:ascii="Times New Roman" w:eastAsia="Times New Roman" w:hAnsi="Times New Roman" w:cs="Times New Roman"/>
                <w:i/>
                <w:iCs/>
                <w:color w:val="000000"/>
                <w:sz w:val="20"/>
                <w:szCs w:val="20"/>
                <w:lang w:eastAsia="ru-RU"/>
              </w:rPr>
              <w:t>Revenues</w:t>
            </w:r>
            <w:proofErr w:type="spellEnd"/>
            <w:r w:rsidRPr="00FC385F">
              <w:rPr>
                <w:rFonts w:ascii="Times New Roman" w:eastAsia="Times New Roman" w:hAnsi="Times New Roman" w:cs="Times New Roman"/>
                <w:i/>
                <w:iCs/>
                <w:color w:val="000000"/>
                <w:sz w:val="20"/>
                <w:szCs w:val="20"/>
                <w:lang w:eastAsia="ru-RU"/>
              </w:rPr>
              <w:t>)</w:t>
            </w:r>
          </w:p>
        </w:tc>
        <w:tc>
          <w:tcPr>
            <w:tcW w:w="1418"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21,6%</w:t>
            </w:r>
          </w:p>
        </w:tc>
        <w:tc>
          <w:tcPr>
            <w:tcW w:w="1276" w:type="dxa"/>
            <w:gridSpan w:val="2"/>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21,6%</w:t>
            </w:r>
          </w:p>
        </w:tc>
        <w:tc>
          <w:tcPr>
            <w:tcW w:w="1275"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21,6%</w:t>
            </w:r>
          </w:p>
        </w:tc>
        <w:tc>
          <w:tcPr>
            <w:tcW w:w="1276"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21,6%</w:t>
            </w:r>
          </w:p>
        </w:tc>
        <w:tc>
          <w:tcPr>
            <w:tcW w:w="1276"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21,6%</w:t>
            </w:r>
          </w:p>
        </w:tc>
        <w:tc>
          <w:tcPr>
            <w:tcW w:w="1280" w:type="dxa"/>
            <w:tcBorders>
              <w:top w:val="nil"/>
              <w:left w:val="nil"/>
              <w:bottom w:val="single" w:sz="8" w:space="0" w:color="auto"/>
              <w:right w:val="nil"/>
            </w:tcBorders>
            <w:noWrap/>
            <w:hideMark/>
          </w:tcPr>
          <w:p w:rsidR="0065198B" w:rsidRPr="00FC385F" w:rsidRDefault="0065198B" w:rsidP="0065198B">
            <w:pPr>
              <w:jc w:val="center"/>
              <w:rPr>
                <w:rFonts w:ascii="Times New Roman" w:eastAsia="Times New Roman" w:hAnsi="Times New Roman" w:cs="Times New Roman"/>
                <w:i/>
                <w:iCs/>
                <w:color w:val="000000"/>
                <w:sz w:val="20"/>
                <w:szCs w:val="20"/>
                <w:lang w:eastAsia="ru-RU"/>
              </w:rPr>
            </w:pPr>
            <w:r w:rsidRPr="00FC385F">
              <w:rPr>
                <w:rFonts w:ascii="Times New Roman" w:eastAsia="Times New Roman" w:hAnsi="Times New Roman" w:cs="Times New Roman"/>
                <w:i/>
                <w:iCs/>
                <w:color w:val="000000"/>
                <w:sz w:val="20"/>
                <w:szCs w:val="20"/>
                <w:lang w:eastAsia="ru-RU"/>
              </w:rPr>
              <w:t>21,6%</w:t>
            </w:r>
          </w:p>
        </w:tc>
      </w:tr>
      <w:tr w:rsidR="0065198B" w:rsidRPr="00FC385F" w:rsidTr="0065198B">
        <w:trPr>
          <w:trHeight w:val="315"/>
        </w:trPr>
        <w:tc>
          <w:tcPr>
            <w:tcW w:w="5778" w:type="dxa"/>
            <w:gridSpan w:val="3"/>
            <w:tcBorders>
              <w:top w:val="single" w:sz="8" w:space="0" w:color="auto"/>
              <w:left w:val="nil"/>
              <w:bottom w:val="single" w:sz="18" w:space="0" w:color="auto"/>
              <w:right w:val="nil"/>
            </w:tcBorders>
            <w:noWrap/>
            <w:hideMark/>
          </w:tcPr>
          <w:p w:rsidR="0065198B" w:rsidRPr="00FC385F" w:rsidRDefault="0065198B" w:rsidP="0065198B">
            <w:pPr>
              <w:rPr>
                <w:rFonts w:ascii="Times New Roman" w:eastAsia="Times New Roman" w:hAnsi="Times New Roman" w:cs="Times New Roman"/>
                <w:b/>
                <w:bCs/>
                <w:color w:val="000000"/>
                <w:sz w:val="20"/>
                <w:szCs w:val="20"/>
                <w:lang w:val="en-US" w:eastAsia="ru-RU"/>
              </w:rPr>
            </w:pPr>
            <w:r w:rsidRPr="00FC385F">
              <w:rPr>
                <w:rFonts w:ascii="Times New Roman" w:eastAsia="Times New Roman" w:hAnsi="Times New Roman" w:cs="Times New Roman"/>
                <w:b/>
                <w:bCs/>
                <w:color w:val="000000"/>
                <w:sz w:val="20"/>
                <w:szCs w:val="20"/>
                <w:lang w:val="en-US" w:eastAsia="ru-RU"/>
              </w:rPr>
              <w:t>Less: Increase in Net Working Capital</w:t>
            </w:r>
          </w:p>
        </w:tc>
        <w:tc>
          <w:tcPr>
            <w:tcW w:w="1418" w:type="dxa"/>
            <w:tcBorders>
              <w:top w:val="single" w:sz="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$(4 784,50)</w:t>
            </w:r>
          </w:p>
        </w:tc>
        <w:tc>
          <w:tcPr>
            <w:tcW w:w="1276" w:type="dxa"/>
            <w:gridSpan w:val="2"/>
            <w:tcBorders>
              <w:top w:val="single" w:sz="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$(5 030,12)</w:t>
            </w:r>
          </w:p>
        </w:tc>
        <w:tc>
          <w:tcPr>
            <w:tcW w:w="1275" w:type="dxa"/>
            <w:tcBorders>
              <w:top w:val="single" w:sz="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$(5 242,67)</w:t>
            </w:r>
          </w:p>
        </w:tc>
        <w:tc>
          <w:tcPr>
            <w:tcW w:w="1276" w:type="dxa"/>
            <w:tcBorders>
              <w:top w:val="single" w:sz="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$(5 414,45)</w:t>
            </w:r>
          </w:p>
        </w:tc>
        <w:tc>
          <w:tcPr>
            <w:tcW w:w="1276" w:type="dxa"/>
            <w:tcBorders>
              <w:top w:val="single" w:sz="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$(5 536,08)</w:t>
            </w:r>
          </w:p>
        </w:tc>
        <w:tc>
          <w:tcPr>
            <w:tcW w:w="1280" w:type="dxa"/>
            <w:tcBorders>
              <w:top w:val="single" w:sz="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$(5 646,81)</w:t>
            </w:r>
          </w:p>
        </w:tc>
      </w:tr>
      <w:tr w:rsidR="0065198B" w:rsidRPr="00FC385F" w:rsidTr="0065198B">
        <w:trPr>
          <w:trHeight w:val="113"/>
        </w:trPr>
        <w:tc>
          <w:tcPr>
            <w:tcW w:w="5778" w:type="dxa"/>
            <w:gridSpan w:val="3"/>
            <w:tcBorders>
              <w:top w:val="single" w:sz="18" w:space="0" w:color="auto"/>
              <w:left w:val="nil"/>
              <w:bottom w:val="single" w:sz="18" w:space="0" w:color="auto"/>
              <w:right w:val="nil"/>
            </w:tcBorders>
            <w:noWrap/>
            <w:hideMark/>
          </w:tcPr>
          <w:p w:rsidR="0065198B" w:rsidRPr="00FC385F" w:rsidRDefault="0065198B" w:rsidP="0065198B">
            <w:pPr>
              <w:rPr>
                <w:rFonts w:ascii="Times New Roman" w:eastAsia="Times New Roman" w:hAnsi="Times New Roman" w:cs="Times New Roman"/>
                <w:b/>
                <w:bCs/>
                <w:color w:val="000000"/>
                <w:sz w:val="20"/>
                <w:szCs w:val="20"/>
                <w:lang w:eastAsia="ru-RU"/>
              </w:rPr>
            </w:pPr>
            <w:proofErr w:type="spellStart"/>
            <w:r w:rsidRPr="00FC385F">
              <w:rPr>
                <w:rFonts w:ascii="Times New Roman" w:eastAsia="Times New Roman" w:hAnsi="Times New Roman" w:cs="Times New Roman"/>
                <w:b/>
                <w:bCs/>
                <w:color w:val="000000"/>
                <w:sz w:val="20"/>
                <w:szCs w:val="20"/>
                <w:lang w:eastAsia="ru-RU"/>
              </w:rPr>
              <w:t>Unlevered</w:t>
            </w:r>
            <w:proofErr w:type="spellEnd"/>
            <w:r w:rsidRPr="00FC385F">
              <w:rPr>
                <w:rFonts w:ascii="Times New Roman" w:eastAsia="Times New Roman" w:hAnsi="Times New Roman" w:cs="Times New Roman"/>
                <w:b/>
                <w:bCs/>
                <w:color w:val="000000"/>
                <w:sz w:val="20"/>
                <w:szCs w:val="20"/>
                <w:lang w:eastAsia="ru-RU"/>
              </w:rPr>
              <w:t xml:space="preserve"> </w:t>
            </w:r>
            <w:proofErr w:type="spellStart"/>
            <w:r w:rsidRPr="00FC385F">
              <w:rPr>
                <w:rFonts w:ascii="Times New Roman" w:eastAsia="Times New Roman" w:hAnsi="Times New Roman" w:cs="Times New Roman"/>
                <w:b/>
                <w:bCs/>
                <w:color w:val="000000"/>
                <w:sz w:val="20"/>
                <w:szCs w:val="20"/>
                <w:lang w:eastAsia="ru-RU"/>
              </w:rPr>
              <w:t>Free</w:t>
            </w:r>
            <w:proofErr w:type="spellEnd"/>
            <w:r w:rsidRPr="00FC385F">
              <w:rPr>
                <w:rFonts w:ascii="Times New Roman" w:eastAsia="Times New Roman" w:hAnsi="Times New Roman" w:cs="Times New Roman"/>
                <w:b/>
                <w:bCs/>
                <w:color w:val="000000"/>
                <w:sz w:val="20"/>
                <w:szCs w:val="20"/>
                <w:lang w:eastAsia="ru-RU"/>
              </w:rPr>
              <w:t xml:space="preserve"> </w:t>
            </w:r>
            <w:proofErr w:type="spellStart"/>
            <w:r w:rsidRPr="00FC385F">
              <w:rPr>
                <w:rFonts w:ascii="Times New Roman" w:eastAsia="Times New Roman" w:hAnsi="Times New Roman" w:cs="Times New Roman"/>
                <w:b/>
                <w:bCs/>
                <w:color w:val="000000"/>
                <w:sz w:val="20"/>
                <w:szCs w:val="20"/>
                <w:lang w:eastAsia="ru-RU"/>
              </w:rPr>
              <w:t>Cash</w:t>
            </w:r>
            <w:proofErr w:type="spellEnd"/>
            <w:r w:rsidRPr="00FC385F">
              <w:rPr>
                <w:rFonts w:ascii="Times New Roman" w:eastAsia="Times New Roman" w:hAnsi="Times New Roman" w:cs="Times New Roman"/>
                <w:b/>
                <w:bCs/>
                <w:color w:val="000000"/>
                <w:sz w:val="20"/>
                <w:szCs w:val="20"/>
                <w:lang w:eastAsia="ru-RU"/>
              </w:rPr>
              <w:t xml:space="preserve"> </w:t>
            </w:r>
            <w:proofErr w:type="spellStart"/>
            <w:r w:rsidRPr="00FC385F">
              <w:rPr>
                <w:rFonts w:ascii="Times New Roman" w:eastAsia="Times New Roman" w:hAnsi="Times New Roman" w:cs="Times New Roman"/>
                <w:b/>
                <w:bCs/>
                <w:color w:val="000000"/>
                <w:sz w:val="20"/>
                <w:szCs w:val="20"/>
                <w:lang w:eastAsia="ru-RU"/>
              </w:rPr>
              <w:t>Flow</w:t>
            </w:r>
            <w:proofErr w:type="spellEnd"/>
          </w:p>
        </w:tc>
        <w:tc>
          <w:tcPr>
            <w:tcW w:w="1418"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8 234</w:t>
            </w:r>
          </w:p>
        </w:tc>
        <w:tc>
          <w:tcPr>
            <w:tcW w:w="1276" w:type="dxa"/>
            <w:gridSpan w:val="2"/>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8 230</w:t>
            </w:r>
          </w:p>
        </w:tc>
        <w:tc>
          <w:tcPr>
            <w:tcW w:w="1275"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8 172</w:t>
            </w:r>
          </w:p>
        </w:tc>
        <w:tc>
          <w:tcPr>
            <w:tcW w:w="1276"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8 097</w:t>
            </w:r>
          </w:p>
        </w:tc>
        <w:tc>
          <w:tcPr>
            <w:tcW w:w="1276"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7 936</w:t>
            </w:r>
          </w:p>
        </w:tc>
        <w:tc>
          <w:tcPr>
            <w:tcW w:w="1280" w:type="dxa"/>
            <w:tcBorders>
              <w:top w:val="single" w:sz="18" w:space="0" w:color="auto"/>
              <w:left w:val="nil"/>
              <w:bottom w:val="single" w:sz="18" w:space="0" w:color="auto"/>
              <w:right w:val="nil"/>
            </w:tcBorders>
            <w:noWrap/>
            <w:hideMark/>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r w:rsidRPr="00FC385F">
              <w:rPr>
                <w:rFonts w:ascii="Times New Roman" w:eastAsia="Times New Roman" w:hAnsi="Times New Roman" w:cs="Times New Roman"/>
                <w:b/>
                <w:bCs/>
                <w:color w:val="000000"/>
                <w:sz w:val="20"/>
                <w:szCs w:val="20"/>
                <w:lang w:eastAsia="ru-RU"/>
              </w:rPr>
              <w:t>$      8 027</w:t>
            </w:r>
          </w:p>
        </w:tc>
      </w:tr>
      <w:tr w:rsidR="0065198B" w:rsidRPr="00FC385F" w:rsidTr="0065198B">
        <w:trPr>
          <w:trHeight w:val="168"/>
        </w:trPr>
        <w:tc>
          <w:tcPr>
            <w:tcW w:w="5778" w:type="dxa"/>
            <w:gridSpan w:val="3"/>
            <w:tcBorders>
              <w:top w:val="single" w:sz="18" w:space="0" w:color="auto"/>
              <w:left w:val="nil"/>
              <w:bottom w:val="nil"/>
              <w:right w:val="nil"/>
            </w:tcBorders>
            <w:noWrap/>
          </w:tcPr>
          <w:p w:rsidR="0065198B" w:rsidRPr="00FC385F" w:rsidRDefault="0065198B" w:rsidP="0065198B">
            <w:pPr>
              <w:rPr>
                <w:rFonts w:ascii="Times New Roman" w:eastAsia="Times New Roman" w:hAnsi="Times New Roman" w:cs="Times New Roman"/>
                <w:b/>
                <w:bCs/>
                <w:color w:val="000000"/>
                <w:sz w:val="20"/>
                <w:szCs w:val="20"/>
                <w:lang w:eastAsia="ru-RU"/>
              </w:rPr>
            </w:pPr>
          </w:p>
        </w:tc>
        <w:tc>
          <w:tcPr>
            <w:tcW w:w="1418" w:type="dxa"/>
            <w:tcBorders>
              <w:top w:val="single" w:sz="18" w:space="0" w:color="auto"/>
              <w:left w:val="nil"/>
              <w:bottom w:val="nil"/>
              <w:right w:val="nil"/>
            </w:tcBorders>
            <w:noWrap/>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p>
        </w:tc>
        <w:tc>
          <w:tcPr>
            <w:tcW w:w="1276" w:type="dxa"/>
            <w:gridSpan w:val="2"/>
            <w:tcBorders>
              <w:top w:val="single" w:sz="18" w:space="0" w:color="auto"/>
              <w:left w:val="nil"/>
              <w:bottom w:val="nil"/>
              <w:right w:val="nil"/>
            </w:tcBorders>
            <w:noWrap/>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p>
        </w:tc>
        <w:tc>
          <w:tcPr>
            <w:tcW w:w="1275" w:type="dxa"/>
            <w:tcBorders>
              <w:top w:val="single" w:sz="18" w:space="0" w:color="auto"/>
              <w:left w:val="nil"/>
              <w:bottom w:val="nil"/>
              <w:right w:val="nil"/>
            </w:tcBorders>
            <w:noWrap/>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p>
        </w:tc>
        <w:tc>
          <w:tcPr>
            <w:tcW w:w="1276" w:type="dxa"/>
            <w:tcBorders>
              <w:top w:val="single" w:sz="18" w:space="0" w:color="auto"/>
              <w:left w:val="nil"/>
              <w:bottom w:val="nil"/>
              <w:right w:val="nil"/>
            </w:tcBorders>
            <w:noWrap/>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p>
        </w:tc>
        <w:tc>
          <w:tcPr>
            <w:tcW w:w="1276" w:type="dxa"/>
            <w:tcBorders>
              <w:top w:val="single" w:sz="18" w:space="0" w:color="auto"/>
              <w:left w:val="nil"/>
              <w:bottom w:val="nil"/>
              <w:right w:val="nil"/>
            </w:tcBorders>
            <w:noWrap/>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p>
        </w:tc>
        <w:tc>
          <w:tcPr>
            <w:tcW w:w="1280" w:type="dxa"/>
            <w:tcBorders>
              <w:top w:val="single" w:sz="18" w:space="0" w:color="auto"/>
              <w:left w:val="nil"/>
              <w:bottom w:val="nil"/>
              <w:right w:val="nil"/>
            </w:tcBorders>
            <w:noWrap/>
          </w:tcPr>
          <w:p w:rsidR="0065198B" w:rsidRPr="00FC385F" w:rsidRDefault="0065198B" w:rsidP="0065198B">
            <w:pPr>
              <w:jc w:val="center"/>
              <w:rPr>
                <w:rFonts w:ascii="Times New Roman" w:eastAsia="Times New Roman" w:hAnsi="Times New Roman" w:cs="Times New Roman"/>
                <w:b/>
                <w:bCs/>
                <w:color w:val="000000"/>
                <w:sz w:val="20"/>
                <w:szCs w:val="20"/>
                <w:lang w:eastAsia="ru-RU"/>
              </w:rPr>
            </w:pPr>
          </w:p>
        </w:tc>
      </w:tr>
    </w:tbl>
    <w:p w:rsidR="002F4269" w:rsidRDefault="002F4269" w:rsidP="0065198B">
      <w:pPr>
        <w:rPr>
          <w:rFonts w:ascii="Times New Roman" w:hAnsi="Times New Roman" w:cs="Times New Roman"/>
          <w:sz w:val="24"/>
          <w:szCs w:val="20"/>
        </w:rPr>
      </w:pPr>
    </w:p>
    <w:p w:rsidR="0065198B" w:rsidRDefault="0065198B" w:rsidP="0065198B">
      <w:pPr>
        <w:rPr>
          <w:rFonts w:ascii="Times New Roman" w:hAnsi="Times New Roman" w:cs="Times New Roman"/>
          <w:sz w:val="24"/>
          <w:szCs w:val="20"/>
        </w:rPr>
      </w:pPr>
      <w:r w:rsidRPr="00672849">
        <w:rPr>
          <w:rFonts w:ascii="Times New Roman" w:hAnsi="Times New Roman" w:cs="Times New Roman"/>
          <w:sz w:val="24"/>
          <w:szCs w:val="20"/>
        </w:rPr>
        <w:lastRenderedPageBreak/>
        <w:t>ПРИЛОЖЕНИЕ 2</w:t>
      </w:r>
    </w:p>
    <w:tbl>
      <w:tblPr>
        <w:tblStyle w:val="a8"/>
        <w:tblW w:w="13575" w:type="dxa"/>
        <w:tblLook w:val="04A0" w:firstRow="1" w:lastRow="0" w:firstColumn="1" w:lastColumn="0" w:noHBand="0" w:noVBand="1"/>
      </w:tblPr>
      <w:tblGrid>
        <w:gridCol w:w="3364"/>
        <w:gridCol w:w="1280"/>
        <w:gridCol w:w="284"/>
        <w:gridCol w:w="283"/>
        <w:gridCol w:w="284"/>
        <w:gridCol w:w="425"/>
        <w:gridCol w:w="1276"/>
        <w:gridCol w:w="1276"/>
        <w:gridCol w:w="1275"/>
        <w:gridCol w:w="1276"/>
        <w:gridCol w:w="1276"/>
        <w:gridCol w:w="1276"/>
      </w:tblGrid>
      <w:tr w:rsidR="0065198B" w:rsidRPr="00FE3362" w:rsidTr="0065198B">
        <w:trPr>
          <w:trHeight w:val="315"/>
        </w:trPr>
        <w:tc>
          <w:tcPr>
            <w:tcW w:w="4644" w:type="dxa"/>
            <w:gridSpan w:val="2"/>
            <w:tcBorders>
              <w:top w:val="nil"/>
              <w:left w:val="nil"/>
              <w:bottom w:val="nil"/>
              <w:right w:val="nil"/>
            </w:tcBorders>
            <w:noWrap/>
            <w:hideMark/>
          </w:tcPr>
          <w:p w:rsidR="0065198B" w:rsidRPr="00672849" w:rsidRDefault="0065198B" w:rsidP="0065198B">
            <w:pPr>
              <w:rPr>
                <w:rFonts w:ascii="Times New Roman" w:eastAsia="Times New Roman" w:hAnsi="Times New Roman" w:cs="Times New Roman"/>
                <w:b/>
                <w:color w:val="000000"/>
                <w:sz w:val="24"/>
                <w:szCs w:val="18"/>
                <w:lang w:val="en-US" w:eastAsia="ru-RU"/>
              </w:rPr>
            </w:pPr>
            <w:proofErr w:type="spellStart"/>
            <w:r w:rsidRPr="00672849">
              <w:rPr>
                <w:rFonts w:ascii="Times New Roman" w:eastAsia="Times New Roman" w:hAnsi="Times New Roman" w:cs="Times New Roman"/>
                <w:b/>
                <w:color w:val="000000"/>
                <w:sz w:val="24"/>
                <w:szCs w:val="18"/>
                <w:lang w:val="en-US" w:eastAsia="ru-RU"/>
              </w:rPr>
              <w:t>Rosneft</w:t>
            </w:r>
            <w:proofErr w:type="spellEnd"/>
            <w:r w:rsidRPr="003E1AC8">
              <w:rPr>
                <w:rFonts w:ascii="Times New Roman" w:eastAsia="Times New Roman" w:hAnsi="Times New Roman" w:cs="Times New Roman"/>
                <w:b/>
                <w:color w:val="000000"/>
                <w:sz w:val="24"/>
                <w:szCs w:val="18"/>
                <w:lang w:val="en-US" w:eastAsia="ru-RU"/>
              </w:rPr>
              <w:t xml:space="preserve"> (</w:t>
            </w:r>
            <w:r w:rsidRPr="00672849">
              <w:rPr>
                <w:rFonts w:ascii="Times New Roman" w:eastAsia="Times New Roman" w:hAnsi="Times New Roman" w:cs="Times New Roman"/>
                <w:b/>
                <w:color w:val="000000"/>
                <w:sz w:val="24"/>
                <w:szCs w:val="18"/>
                <w:lang w:val="en-US" w:eastAsia="ru-RU"/>
              </w:rPr>
              <w:t>Discounted Cash Flow Analysis</w:t>
            </w:r>
            <w:r w:rsidRPr="003E1AC8">
              <w:rPr>
                <w:rFonts w:ascii="Times New Roman" w:eastAsia="Times New Roman" w:hAnsi="Times New Roman" w:cs="Times New Roman"/>
                <w:b/>
                <w:color w:val="000000"/>
                <w:sz w:val="24"/>
                <w:szCs w:val="18"/>
                <w:lang w:val="en-US" w:eastAsia="ru-RU"/>
              </w:rPr>
              <w:t>)</w:t>
            </w:r>
          </w:p>
        </w:tc>
        <w:tc>
          <w:tcPr>
            <w:tcW w:w="284" w:type="dxa"/>
            <w:tcBorders>
              <w:top w:val="nil"/>
              <w:left w:val="nil"/>
              <w:bottom w:val="nil"/>
              <w:right w:val="nil"/>
            </w:tcBorders>
            <w:noWrap/>
            <w:hideMark/>
          </w:tcPr>
          <w:p w:rsidR="0065198B" w:rsidRPr="00672849" w:rsidRDefault="0065198B" w:rsidP="0065198B">
            <w:pPr>
              <w:rPr>
                <w:rFonts w:ascii="Times New Roman" w:eastAsia="Times New Roman" w:hAnsi="Times New Roman" w:cs="Times New Roman"/>
                <w:color w:val="000000"/>
                <w:sz w:val="24"/>
                <w:szCs w:val="18"/>
                <w:lang w:val="en-US" w:eastAsia="ru-RU"/>
              </w:rPr>
            </w:pPr>
            <w:r w:rsidRPr="00672849">
              <w:rPr>
                <w:rFonts w:ascii="Times New Roman" w:eastAsia="Times New Roman" w:hAnsi="Times New Roman" w:cs="Times New Roman"/>
                <w:color w:val="000000"/>
                <w:sz w:val="24"/>
                <w:szCs w:val="18"/>
                <w:lang w:val="en-US" w:eastAsia="ru-RU"/>
              </w:rPr>
              <w:t> </w:t>
            </w:r>
          </w:p>
        </w:tc>
        <w:tc>
          <w:tcPr>
            <w:tcW w:w="283" w:type="dxa"/>
            <w:tcBorders>
              <w:top w:val="nil"/>
              <w:left w:val="nil"/>
              <w:bottom w:val="nil"/>
              <w:right w:val="nil"/>
            </w:tcBorders>
            <w:noWrap/>
            <w:hideMark/>
          </w:tcPr>
          <w:p w:rsidR="0065198B" w:rsidRPr="00672849" w:rsidRDefault="0065198B" w:rsidP="0065198B">
            <w:pPr>
              <w:rPr>
                <w:rFonts w:ascii="Times New Roman" w:eastAsia="Times New Roman" w:hAnsi="Times New Roman" w:cs="Times New Roman"/>
                <w:color w:val="000000"/>
                <w:sz w:val="24"/>
                <w:szCs w:val="18"/>
                <w:lang w:val="en-US" w:eastAsia="ru-RU"/>
              </w:rPr>
            </w:pPr>
            <w:r w:rsidRPr="00672849">
              <w:rPr>
                <w:rFonts w:ascii="Times New Roman" w:eastAsia="Times New Roman" w:hAnsi="Times New Roman" w:cs="Times New Roman"/>
                <w:color w:val="000000"/>
                <w:sz w:val="24"/>
                <w:szCs w:val="18"/>
                <w:lang w:val="en-US" w:eastAsia="ru-RU"/>
              </w:rPr>
              <w:t> </w:t>
            </w:r>
          </w:p>
        </w:tc>
        <w:tc>
          <w:tcPr>
            <w:tcW w:w="284" w:type="dxa"/>
            <w:tcBorders>
              <w:top w:val="nil"/>
              <w:left w:val="nil"/>
              <w:bottom w:val="nil"/>
              <w:right w:val="nil"/>
            </w:tcBorders>
            <w:noWrap/>
            <w:hideMark/>
          </w:tcPr>
          <w:p w:rsidR="0065198B" w:rsidRPr="00672849" w:rsidRDefault="0065198B" w:rsidP="0065198B">
            <w:pPr>
              <w:rPr>
                <w:rFonts w:ascii="Times New Roman" w:eastAsia="Times New Roman" w:hAnsi="Times New Roman" w:cs="Times New Roman"/>
                <w:color w:val="000000"/>
                <w:sz w:val="24"/>
                <w:szCs w:val="18"/>
                <w:lang w:val="en-US" w:eastAsia="ru-RU"/>
              </w:rPr>
            </w:pPr>
            <w:r w:rsidRPr="00672849">
              <w:rPr>
                <w:rFonts w:ascii="Times New Roman" w:eastAsia="Times New Roman" w:hAnsi="Times New Roman" w:cs="Times New Roman"/>
                <w:color w:val="000000"/>
                <w:sz w:val="24"/>
                <w:szCs w:val="18"/>
                <w:lang w:val="en-US" w:eastAsia="ru-RU"/>
              </w:rPr>
              <w:t> </w:t>
            </w:r>
          </w:p>
        </w:tc>
        <w:tc>
          <w:tcPr>
            <w:tcW w:w="2977" w:type="dxa"/>
            <w:gridSpan w:val="3"/>
            <w:tcBorders>
              <w:top w:val="nil"/>
              <w:left w:val="nil"/>
              <w:bottom w:val="nil"/>
              <w:right w:val="nil"/>
            </w:tcBorders>
            <w:noWrap/>
            <w:hideMark/>
          </w:tcPr>
          <w:p w:rsidR="0065198B" w:rsidRPr="00672849" w:rsidRDefault="0065198B" w:rsidP="0065198B">
            <w:pPr>
              <w:rPr>
                <w:rFonts w:ascii="Times New Roman" w:eastAsia="Times New Roman" w:hAnsi="Times New Roman" w:cs="Times New Roman"/>
                <w:color w:val="000000"/>
                <w:sz w:val="24"/>
                <w:szCs w:val="18"/>
                <w:lang w:val="en-US" w:eastAsia="ru-RU"/>
              </w:rPr>
            </w:pPr>
            <w:r w:rsidRPr="00672849">
              <w:rPr>
                <w:rFonts w:ascii="Times New Roman" w:eastAsia="Times New Roman" w:hAnsi="Times New Roman" w:cs="Times New Roman"/>
                <w:color w:val="000000"/>
                <w:sz w:val="24"/>
                <w:szCs w:val="18"/>
                <w:lang w:val="en-US" w:eastAsia="ru-RU"/>
              </w:rPr>
              <w:t> </w:t>
            </w:r>
          </w:p>
        </w:tc>
        <w:tc>
          <w:tcPr>
            <w:tcW w:w="1275" w:type="dxa"/>
            <w:tcBorders>
              <w:top w:val="nil"/>
              <w:left w:val="nil"/>
              <w:bottom w:val="nil"/>
              <w:right w:val="nil"/>
            </w:tcBorders>
            <w:noWrap/>
            <w:hideMark/>
          </w:tcPr>
          <w:p w:rsidR="0065198B" w:rsidRPr="00672849" w:rsidRDefault="0065198B" w:rsidP="0065198B">
            <w:pPr>
              <w:rPr>
                <w:rFonts w:ascii="Arial" w:eastAsia="Times New Roman" w:hAnsi="Arial" w:cs="Arial"/>
                <w:color w:val="000000"/>
                <w:sz w:val="18"/>
                <w:szCs w:val="18"/>
                <w:lang w:val="en-US" w:eastAsia="ru-RU"/>
              </w:rPr>
            </w:pPr>
            <w:r w:rsidRPr="00672849">
              <w:rPr>
                <w:rFonts w:ascii="Arial" w:eastAsia="Times New Roman" w:hAnsi="Arial" w:cs="Arial"/>
                <w:color w:val="000000"/>
                <w:sz w:val="18"/>
                <w:szCs w:val="18"/>
                <w:lang w:val="en-US" w:eastAsia="ru-RU"/>
              </w:rPr>
              <w:t> </w:t>
            </w:r>
          </w:p>
        </w:tc>
        <w:tc>
          <w:tcPr>
            <w:tcW w:w="1276" w:type="dxa"/>
            <w:tcBorders>
              <w:top w:val="nil"/>
              <w:left w:val="nil"/>
              <w:bottom w:val="nil"/>
              <w:right w:val="nil"/>
            </w:tcBorders>
            <w:noWrap/>
            <w:hideMark/>
          </w:tcPr>
          <w:p w:rsidR="0065198B" w:rsidRPr="00672849" w:rsidRDefault="0065198B" w:rsidP="0065198B">
            <w:pPr>
              <w:rPr>
                <w:rFonts w:ascii="Arial" w:eastAsia="Times New Roman" w:hAnsi="Arial" w:cs="Arial"/>
                <w:color w:val="000000"/>
                <w:sz w:val="18"/>
                <w:szCs w:val="18"/>
                <w:lang w:val="en-US" w:eastAsia="ru-RU"/>
              </w:rPr>
            </w:pPr>
            <w:r w:rsidRPr="00672849">
              <w:rPr>
                <w:rFonts w:ascii="Arial" w:eastAsia="Times New Roman" w:hAnsi="Arial" w:cs="Arial"/>
                <w:color w:val="000000"/>
                <w:sz w:val="18"/>
                <w:szCs w:val="18"/>
                <w:lang w:val="en-US" w:eastAsia="ru-RU"/>
              </w:rPr>
              <w:t> </w:t>
            </w:r>
          </w:p>
        </w:tc>
        <w:tc>
          <w:tcPr>
            <w:tcW w:w="1276" w:type="dxa"/>
            <w:tcBorders>
              <w:top w:val="nil"/>
              <w:left w:val="nil"/>
              <w:bottom w:val="nil"/>
              <w:right w:val="nil"/>
            </w:tcBorders>
            <w:noWrap/>
            <w:hideMark/>
          </w:tcPr>
          <w:p w:rsidR="0065198B" w:rsidRPr="00672849" w:rsidRDefault="0065198B" w:rsidP="0065198B">
            <w:pPr>
              <w:rPr>
                <w:rFonts w:ascii="Arial" w:eastAsia="Times New Roman" w:hAnsi="Arial" w:cs="Arial"/>
                <w:color w:val="000000"/>
                <w:sz w:val="18"/>
                <w:szCs w:val="18"/>
                <w:lang w:val="en-US" w:eastAsia="ru-RU"/>
              </w:rPr>
            </w:pPr>
            <w:r w:rsidRPr="00672849">
              <w:rPr>
                <w:rFonts w:ascii="Arial" w:eastAsia="Times New Roman" w:hAnsi="Arial" w:cs="Arial"/>
                <w:color w:val="000000"/>
                <w:sz w:val="18"/>
                <w:szCs w:val="18"/>
                <w:lang w:val="en-US" w:eastAsia="ru-RU"/>
              </w:rPr>
              <w:t> </w:t>
            </w:r>
          </w:p>
        </w:tc>
        <w:tc>
          <w:tcPr>
            <w:tcW w:w="1276" w:type="dxa"/>
            <w:tcBorders>
              <w:top w:val="nil"/>
              <w:left w:val="nil"/>
              <w:bottom w:val="nil"/>
              <w:right w:val="nil"/>
            </w:tcBorders>
            <w:noWrap/>
            <w:hideMark/>
          </w:tcPr>
          <w:p w:rsidR="0065198B" w:rsidRPr="00672849" w:rsidRDefault="0065198B" w:rsidP="0065198B">
            <w:pPr>
              <w:rPr>
                <w:rFonts w:ascii="Arial" w:eastAsia="Times New Roman" w:hAnsi="Arial" w:cs="Arial"/>
                <w:color w:val="000000"/>
                <w:sz w:val="18"/>
                <w:szCs w:val="18"/>
                <w:lang w:val="en-US" w:eastAsia="ru-RU"/>
              </w:rPr>
            </w:pPr>
            <w:r w:rsidRPr="00672849">
              <w:rPr>
                <w:rFonts w:ascii="Arial" w:eastAsia="Times New Roman" w:hAnsi="Arial" w:cs="Arial"/>
                <w:color w:val="000000"/>
                <w:sz w:val="18"/>
                <w:szCs w:val="18"/>
                <w:lang w:val="en-US" w:eastAsia="ru-RU"/>
              </w:rPr>
              <w:t> </w:t>
            </w:r>
          </w:p>
        </w:tc>
      </w:tr>
      <w:tr w:rsidR="0065198B" w:rsidRPr="00FE3362" w:rsidTr="0065198B">
        <w:trPr>
          <w:trHeight w:val="255"/>
        </w:trPr>
        <w:tc>
          <w:tcPr>
            <w:tcW w:w="8472" w:type="dxa"/>
            <w:gridSpan w:val="8"/>
            <w:tcBorders>
              <w:top w:val="nil"/>
              <w:left w:val="nil"/>
              <w:bottom w:val="single" w:sz="18" w:space="0" w:color="auto"/>
              <w:right w:val="nil"/>
            </w:tcBorders>
            <w:noWrap/>
            <w:hideMark/>
          </w:tcPr>
          <w:p w:rsidR="0065198B" w:rsidRPr="00672849" w:rsidRDefault="0065198B" w:rsidP="0065198B">
            <w:pPr>
              <w:rPr>
                <w:rFonts w:ascii="Times New Roman" w:eastAsia="Times New Roman" w:hAnsi="Times New Roman" w:cs="Times New Roman"/>
                <w:i/>
                <w:color w:val="000000"/>
                <w:szCs w:val="18"/>
                <w:lang w:val="en-US" w:eastAsia="ru-RU"/>
              </w:rPr>
            </w:pPr>
            <w:r w:rsidRPr="00672849">
              <w:rPr>
                <w:rFonts w:ascii="Times New Roman" w:eastAsia="Times New Roman" w:hAnsi="Times New Roman" w:cs="Times New Roman"/>
                <w:i/>
                <w:color w:val="000000"/>
                <w:szCs w:val="18"/>
                <w:lang w:val="en-US" w:eastAsia="ru-RU"/>
              </w:rPr>
              <w:t>(USD in millions fiscal year ending December 31)</w:t>
            </w:r>
          </w:p>
        </w:tc>
        <w:tc>
          <w:tcPr>
            <w:tcW w:w="1275" w:type="dxa"/>
            <w:tcBorders>
              <w:top w:val="nil"/>
              <w:left w:val="nil"/>
              <w:bottom w:val="single" w:sz="18" w:space="0" w:color="auto"/>
              <w:right w:val="nil"/>
            </w:tcBorders>
            <w:noWrap/>
            <w:hideMark/>
          </w:tcPr>
          <w:p w:rsidR="0065198B" w:rsidRPr="00672849" w:rsidRDefault="0065198B" w:rsidP="0065198B">
            <w:pPr>
              <w:rPr>
                <w:rFonts w:ascii="Arial" w:eastAsia="Times New Roman" w:hAnsi="Arial" w:cs="Arial"/>
                <w:color w:val="000000"/>
                <w:sz w:val="18"/>
                <w:szCs w:val="18"/>
                <w:lang w:val="en-US" w:eastAsia="ru-RU"/>
              </w:rPr>
            </w:pPr>
            <w:r w:rsidRPr="00672849">
              <w:rPr>
                <w:rFonts w:ascii="Arial" w:eastAsia="Times New Roman" w:hAnsi="Arial" w:cs="Arial"/>
                <w:color w:val="000000"/>
                <w:sz w:val="18"/>
                <w:szCs w:val="18"/>
                <w:lang w:val="en-US" w:eastAsia="ru-RU"/>
              </w:rPr>
              <w:t> </w:t>
            </w:r>
          </w:p>
        </w:tc>
        <w:tc>
          <w:tcPr>
            <w:tcW w:w="1276" w:type="dxa"/>
            <w:tcBorders>
              <w:top w:val="nil"/>
              <w:left w:val="nil"/>
              <w:bottom w:val="single" w:sz="18" w:space="0" w:color="auto"/>
              <w:right w:val="nil"/>
            </w:tcBorders>
            <w:noWrap/>
            <w:hideMark/>
          </w:tcPr>
          <w:p w:rsidR="0065198B" w:rsidRPr="00672849" w:rsidRDefault="0065198B" w:rsidP="0065198B">
            <w:pPr>
              <w:rPr>
                <w:rFonts w:ascii="Arial" w:eastAsia="Times New Roman" w:hAnsi="Arial" w:cs="Arial"/>
                <w:b/>
                <w:bCs/>
                <w:color w:val="000000"/>
                <w:sz w:val="20"/>
                <w:szCs w:val="20"/>
                <w:lang w:val="en-US" w:eastAsia="ru-RU"/>
              </w:rPr>
            </w:pPr>
            <w:r w:rsidRPr="00672849">
              <w:rPr>
                <w:rFonts w:ascii="Arial" w:eastAsia="Times New Roman" w:hAnsi="Arial" w:cs="Arial"/>
                <w:b/>
                <w:bCs/>
                <w:color w:val="000000"/>
                <w:sz w:val="20"/>
                <w:szCs w:val="20"/>
                <w:lang w:val="en-US" w:eastAsia="ru-RU"/>
              </w:rPr>
              <w:t> </w:t>
            </w:r>
          </w:p>
        </w:tc>
        <w:tc>
          <w:tcPr>
            <w:tcW w:w="1276" w:type="dxa"/>
            <w:tcBorders>
              <w:top w:val="nil"/>
              <w:left w:val="nil"/>
              <w:bottom w:val="single" w:sz="18" w:space="0" w:color="auto"/>
              <w:right w:val="nil"/>
            </w:tcBorders>
            <w:noWrap/>
            <w:hideMark/>
          </w:tcPr>
          <w:p w:rsidR="0065198B" w:rsidRPr="00672849" w:rsidRDefault="0065198B" w:rsidP="0065198B">
            <w:pPr>
              <w:rPr>
                <w:rFonts w:ascii="Arial" w:eastAsia="Times New Roman" w:hAnsi="Arial" w:cs="Arial"/>
                <w:color w:val="000000"/>
                <w:sz w:val="18"/>
                <w:szCs w:val="18"/>
                <w:lang w:val="en-US" w:eastAsia="ru-RU"/>
              </w:rPr>
            </w:pPr>
            <w:r w:rsidRPr="00672849">
              <w:rPr>
                <w:rFonts w:ascii="Arial" w:eastAsia="Times New Roman" w:hAnsi="Arial" w:cs="Arial"/>
                <w:color w:val="000000"/>
                <w:sz w:val="18"/>
                <w:szCs w:val="18"/>
                <w:lang w:val="en-US" w:eastAsia="ru-RU"/>
              </w:rPr>
              <w:t> </w:t>
            </w:r>
          </w:p>
        </w:tc>
        <w:tc>
          <w:tcPr>
            <w:tcW w:w="1276" w:type="dxa"/>
            <w:tcBorders>
              <w:top w:val="nil"/>
              <w:left w:val="nil"/>
              <w:bottom w:val="single" w:sz="18" w:space="0" w:color="auto"/>
              <w:right w:val="nil"/>
            </w:tcBorders>
            <w:noWrap/>
            <w:hideMark/>
          </w:tcPr>
          <w:p w:rsidR="0065198B" w:rsidRPr="00672849" w:rsidRDefault="0065198B" w:rsidP="0065198B">
            <w:pPr>
              <w:jc w:val="right"/>
              <w:rPr>
                <w:rFonts w:ascii="Arial" w:eastAsia="Times New Roman" w:hAnsi="Arial" w:cs="Arial"/>
                <w:b/>
                <w:bCs/>
                <w:color w:val="000000"/>
                <w:sz w:val="20"/>
                <w:szCs w:val="20"/>
                <w:lang w:val="en-US" w:eastAsia="ru-RU"/>
              </w:rPr>
            </w:pPr>
            <w:r w:rsidRPr="00672849">
              <w:rPr>
                <w:rFonts w:ascii="Arial" w:eastAsia="Times New Roman" w:hAnsi="Arial" w:cs="Arial"/>
                <w:b/>
                <w:bCs/>
                <w:color w:val="000000"/>
                <w:sz w:val="20"/>
                <w:szCs w:val="20"/>
                <w:lang w:val="en-US" w:eastAsia="ru-RU"/>
              </w:rPr>
              <w:t> </w:t>
            </w:r>
          </w:p>
        </w:tc>
      </w:tr>
      <w:tr w:rsidR="0065198B" w:rsidRPr="00672849" w:rsidTr="0065198B">
        <w:trPr>
          <w:trHeight w:val="345"/>
        </w:trPr>
        <w:tc>
          <w:tcPr>
            <w:tcW w:w="3364" w:type="dxa"/>
            <w:tcBorders>
              <w:top w:val="single" w:sz="18" w:space="0" w:color="auto"/>
              <w:left w:val="nil"/>
              <w:bottom w:val="single" w:sz="18" w:space="0" w:color="auto"/>
              <w:right w:val="nil"/>
            </w:tcBorders>
            <w:noWrap/>
            <w:hideMark/>
          </w:tcPr>
          <w:p w:rsidR="0065198B" w:rsidRPr="00672849" w:rsidRDefault="0065198B" w:rsidP="0065198B">
            <w:pPr>
              <w:rPr>
                <w:rFonts w:ascii="Times New Roman" w:eastAsia="Times New Roman" w:hAnsi="Times New Roman" w:cs="Times New Roman"/>
                <w:color w:val="000000"/>
                <w:sz w:val="20"/>
                <w:szCs w:val="20"/>
                <w:lang w:val="en-US" w:eastAsia="ru-RU"/>
              </w:rPr>
            </w:pPr>
            <w:r w:rsidRPr="00672849">
              <w:rPr>
                <w:rFonts w:ascii="Times New Roman" w:eastAsia="Times New Roman" w:hAnsi="Times New Roman" w:cs="Times New Roman"/>
                <w:color w:val="000000"/>
                <w:sz w:val="20"/>
                <w:szCs w:val="20"/>
                <w:lang w:val="en-US" w:eastAsia="ru-RU"/>
              </w:rPr>
              <w:t> </w:t>
            </w:r>
          </w:p>
        </w:tc>
        <w:tc>
          <w:tcPr>
            <w:tcW w:w="1564" w:type="dxa"/>
            <w:gridSpan w:val="2"/>
            <w:tcBorders>
              <w:top w:val="single" w:sz="18" w:space="0" w:color="auto"/>
              <w:left w:val="nil"/>
              <w:bottom w:val="single" w:sz="18" w:space="0" w:color="auto"/>
              <w:right w:val="nil"/>
            </w:tcBorders>
            <w:noWrap/>
            <w:hideMark/>
          </w:tcPr>
          <w:p w:rsidR="0065198B" w:rsidRPr="00672849" w:rsidRDefault="0065198B" w:rsidP="0065198B">
            <w:pPr>
              <w:rPr>
                <w:rFonts w:ascii="Times New Roman" w:eastAsia="Times New Roman" w:hAnsi="Times New Roman" w:cs="Times New Roman"/>
                <w:color w:val="000000"/>
                <w:sz w:val="20"/>
                <w:szCs w:val="20"/>
                <w:lang w:val="en-US" w:eastAsia="ru-RU"/>
              </w:rPr>
            </w:pPr>
            <w:r w:rsidRPr="00672849">
              <w:rPr>
                <w:rFonts w:ascii="Times New Roman" w:eastAsia="Times New Roman" w:hAnsi="Times New Roman" w:cs="Times New Roman"/>
                <w:color w:val="000000"/>
                <w:sz w:val="20"/>
                <w:szCs w:val="20"/>
                <w:lang w:val="en-US" w:eastAsia="ru-RU"/>
              </w:rPr>
              <w:t> </w:t>
            </w:r>
          </w:p>
        </w:tc>
        <w:tc>
          <w:tcPr>
            <w:tcW w:w="992" w:type="dxa"/>
            <w:gridSpan w:val="3"/>
            <w:tcBorders>
              <w:top w:val="single" w:sz="18" w:space="0" w:color="auto"/>
              <w:left w:val="nil"/>
              <w:bottom w:val="single" w:sz="18" w:space="0" w:color="auto"/>
              <w:right w:val="nil"/>
            </w:tcBorders>
            <w:noWrap/>
            <w:hideMark/>
          </w:tcPr>
          <w:p w:rsidR="0065198B" w:rsidRPr="00672849" w:rsidRDefault="0065198B" w:rsidP="0065198B">
            <w:pPr>
              <w:rPr>
                <w:rFonts w:ascii="Times New Roman" w:eastAsia="Times New Roman" w:hAnsi="Times New Roman" w:cs="Times New Roman"/>
                <w:color w:val="000000"/>
                <w:sz w:val="20"/>
                <w:szCs w:val="20"/>
                <w:lang w:val="en-US" w:eastAsia="ru-RU"/>
              </w:rPr>
            </w:pPr>
            <w:r w:rsidRPr="00672849">
              <w:rPr>
                <w:rFonts w:ascii="Times New Roman" w:eastAsia="Times New Roman" w:hAnsi="Times New Roman" w:cs="Times New Roman"/>
                <w:color w:val="000000"/>
                <w:sz w:val="20"/>
                <w:szCs w:val="20"/>
                <w:lang w:val="en-US" w:eastAsia="ru-RU"/>
              </w:rPr>
              <w:t> </w:t>
            </w:r>
          </w:p>
        </w:tc>
        <w:tc>
          <w:tcPr>
            <w:tcW w:w="1276"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u w:val="single"/>
                <w:lang w:eastAsia="ru-RU"/>
              </w:rPr>
            </w:pPr>
            <w:r w:rsidRPr="00672849">
              <w:rPr>
                <w:rFonts w:ascii="Times New Roman" w:eastAsia="Times New Roman" w:hAnsi="Times New Roman" w:cs="Times New Roman"/>
                <w:b/>
                <w:bCs/>
                <w:color w:val="000000"/>
                <w:sz w:val="20"/>
                <w:szCs w:val="20"/>
                <w:u w:val="single"/>
                <w:lang w:eastAsia="ru-RU"/>
              </w:rPr>
              <w:t>2013E</w:t>
            </w:r>
          </w:p>
        </w:tc>
        <w:tc>
          <w:tcPr>
            <w:tcW w:w="1276"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u w:val="single"/>
                <w:lang w:eastAsia="ru-RU"/>
              </w:rPr>
            </w:pPr>
            <w:r w:rsidRPr="00672849">
              <w:rPr>
                <w:rFonts w:ascii="Times New Roman" w:eastAsia="Times New Roman" w:hAnsi="Times New Roman" w:cs="Times New Roman"/>
                <w:b/>
                <w:bCs/>
                <w:color w:val="000000"/>
                <w:sz w:val="20"/>
                <w:szCs w:val="20"/>
                <w:u w:val="single"/>
                <w:lang w:eastAsia="ru-RU"/>
              </w:rPr>
              <w:t>2014</w:t>
            </w:r>
          </w:p>
        </w:tc>
        <w:tc>
          <w:tcPr>
            <w:tcW w:w="1275"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u w:val="single"/>
                <w:lang w:eastAsia="ru-RU"/>
              </w:rPr>
            </w:pPr>
            <w:r w:rsidRPr="00672849">
              <w:rPr>
                <w:rFonts w:ascii="Times New Roman" w:eastAsia="Times New Roman" w:hAnsi="Times New Roman" w:cs="Times New Roman"/>
                <w:b/>
                <w:bCs/>
                <w:color w:val="000000"/>
                <w:sz w:val="20"/>
                <w:szCs w:val="20"/>
                <w:u w:val="single"/>
                <w:lang w:eastAsia="ru-RU"/>
              </w:rPr>
              <w:t>2015</w:t>
            </w:r>
          </w:p>
        </w:tc>
        <w:tc>
          <w:tcPr>
            <w:tcW w:w="1276"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u w:val="single"/>
                <w:lang w:eastAsia="ru-RU"/>
              </w:rPr>
            </w:pPr>
            <w:r w:rsidRPr="00672849">
              <w:rPr>
                <w:rFonts w:ascii="Times New Roman" w:eastAsia="Times New Roman" w:hAnsi="Times New Roman" w:cs="Times New Roman"/>
                <w:b/>
                <w:bCs/>
                <w:color w:val="000000"/>
                <w:sz w:val="20"/>
                <w:szCs w:val="20"/>
                <w:u w:val="single"/>
                <w:lang w:eastAsia="ru-RU"/>
              </w:rPr>
              <w:t>2016</w:t>
            </w:r>
          </w:p>
        </w:tc>
        <w:tc>
          <w:tcPr>
            <w:tcW w:w="1276"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u w:val="single"/>
                <w:lang w:eastAsia="ru-RU"/>
              </w:rPr>
            </w:pPr>
            <w:r w:rsidRPr="00672849">
              <w:rPr>
                <w:rFonts w:ascii="Times New Roman" w:eastAsia="Times New Roman" w:hAnsi="Times New Roman" w:cs="Times New Roman"/>
                <w:b/>
                <w:bCs/>
                <w:color w:val="000000"/>
                <w:sz w:val="20"/>
                <w:szCs w:val="20"/>
                <w:u w:val="single"/>
                <w:lang w:eastAsia="ru-RU"/>
              </w:rPr>
              <w:t>2017</w:t>
            </w:r>
          </w:p>
        </w:tc>
        <w:tc>
          <w:tcPr>
            <w:tcW w:w="1276"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u w:val="single"/>
                <w:lang w:eastAsia="ru-RU"/>
              </w:rPr>
            </w:pPr>
            <w:r w:rsidRPr="00672849">
              <w:rPr>
                <w:rFonts w:ascii="Times New Roman" w:eastAsia="Times New Roman" w:hAnsi="Times New Roman" w:cs="Times New Roman"/>
                <w:b/>
                <w:bCs/>
                <w:color w:val="000000"/>
                <w:sz w:val="20"/>
                <w:szCs w:val="20"/>
                <w:u w:val="single"/>
                <w:lang w:eastAsia="ru-RU"/>
              </w:rPr>
              <w:t>2018</w:t>
            </w:r>
          </w:p>
        </w:tc>
      </w:tr>
      <w:tr w:rsidR="0065198B" w:rsidRPr="00672849" w:rsidTr="0065198B">
        <w:trPr>
          <w:trHeight w:val="315"/>
        </w:trPr>
        <w:tc>
          <w:tcPr>
            <w:tcW w:w="4928" w:type="dxa"/>
            <w:gridSpan w:val="3"/>
            <w:tcBorders>
              <w:top w:val="single" w:sz="18" w:space="0" w:color="auto"/>
              <w:left w:val="nil"/>
              <w:bottom w:val="nil"/>
              <w:right w:val="nil"/>
            </w:tcBorders>
            <w:noWrap/>
            <w:hideMark/>
          </w:tcPr>
          <w:p w:rsidR="0065198B" w:rsidRPr="00672849" w:rsidRDefault="0065198B" w:rsidP="0065198B">
            <w:pPr>
              <w:rPr>
                <w:rFonts w:ascii="Times New Roman" w:eastAsia="Times New Roman" w:hAnsi="Times New Roman" w:cs="Times New Roman"/>
                <w:b/>
                <w:bCs/>
                <w:color w:val="000000"/>
                <w:sz w:val="20"/>
                <w:szCs w:val="20"/>
                <w:lang w:eastAsia="ru-RU"/>
              </w:rPr>
            </w:pPr>
            <w:proofErr w:type="spellStart"/>
            <w:r w:rsidRPr="00672849">
              <w:rPr>
                <w:rFonts w:ascii="Times New Roman" w:eastAsia="Times New Roman" w:hAnsi="Times New Roman" w:cs="Times New Roman"/>
                <w:b/>
                <w:bCs/>
                <w:color w:val="000000"/>
                <w:sz w:val="20"/>
                <w:szCs w:val="20"/>
                <w:lang w:eastAsia="ru-RU"/>
              </w:rPr>
              <w:t>Revenues</w:t>
            </w:r>
            <w:proofErr w:type="spellEnd"/>
          </w:p>
        </w:tc>
        <w:tc>
          <w:tcPr>
            <w:tcW w:w="992" w:type="dxa"/>
            <w:gridSpan w:val="3"/>
            <w:tcBorders>
              <w:top w:val="single" w:sz="18" w:space="0" w:color="auto"/>
              <w:left w:val="nil"/>
              <w:bottom w:val="nil"/>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 </w:t>
            </w:r>
          </w:p>
        </w:tc>
        <w:tc>
          <w:tcPr>
            <w:tcW w:w="1276" w:type="dxa"/>
            <w:tcBorders>
              <w:top w:val="single" w:sz="1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106 107</w:t>
            </w:r>
          </w:p>
        </w:tc>
        <w:tc>
          <w:tcPr>
            <w:tcW w:w="1276" w:type="dxa"/>
            <w:tcBorders>
              <w:top w:val="single" w:sz="1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112 473</w:t>
            </w:r>
          </w:p>
        </w:tc>
        <w:tc>
          <w:tcPr>
            <w:tcW w:w="1275" w:type="dxa"/>
            <w:tcBorders>
              <w:top w:val="single" w:sz="1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117 872</w:t>
            </w:r>
          </w:p>
        </w:tc>
        <w:tc>
          <w:tcPr>
            <w:tcW w:w="1276" w:type="dxa"/>
            <w:tcBorders>
              <w:top w:val="single" w:sz="1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122 115</w:t>
            </w:r>
          </w:p>
        </w:tc>
        <w:tc>
          <w:tcPr>
            <w:tcW w:w="1276" w:type="dxa"/>
            <w:tcBorders>
              <w:top w:val="single" w:sz="1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124 924</w:t>
            </w:r>
          </w:p>
        </w:tc>
        <w:tc>
          <w:tcPr>
            <w:tcW w:w="1276" w:type="dxa"/>
            <w:tcBorders>
              <w:top w:val="single" w:sz="1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127 423</w:t>
            </w:r>
          </w:p>
        </w:tc>
      </w:tr>
      <w:tr w:rsidR="0065198B" w:rsidRPr="00672849" w:rsidTr="0065198B">
        <w:trPr>
          <w:trHeight w:val="315"/>
        </w:trPr>
        <w:tc>
          <w:tcPr>
            <w:tcW w:w="4928" w:type="dxa"/>
            <w:gridSpan w:val="3"/>
            <w:tcBorders>
              <w:top w:val="nil"/>
              <w:left w:val="nil"/>
              <w:bottom w:val="single" w:sz="8" w:space="0" w:color="auto"/>
              <w:right w:val="nil"/>
            </w:tcBorders>
            <w:noWrap/>
            <w:hideMark/>
          </w:tcPr>
          <w:p w:rsidR="0065198B" w:rsidRPr="00672849" w:rsidRDefault="0065198B" w:rsidP="0065198B">
            <w:pP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 xml:space="preserve">   % </w:t>
            </w:r>
            <w:proofErr w:type="spellStart"/>
            <w:r w:rsidRPr="00672849">
              <w:rPr>
                <w:rFonts w:ascii="Times New Roman" w:eastAsia="Times New Roman" w:hAnsi="Times New Roman" w:cs="Times New Roman"/>
                <w:i/>
                <w:iCs/>
                <w:color w:val="000000"/>
                <w:sz w:val="20"/>
                <w:szCs w:val="20"/>
                <w:lang w:eastAsia="ru-RU"/>
              </w:rPr>
              <w:t>change</w:t>
            </w:r>
            <w:proofErr w:type="spellEnd"/>
          </w:p>
        </w:tc>
        <w:tc>
          <w:tcPr>
            <w:tcW w:w="992" w:type="dxa"/>
            <w:gridSpan w:val="3"/>
            <w:tcBorders>
              <w:top w:val="nil"/>
              <w:left w:val="nil"/>
              <w:bottom w:val="single" w:sz="8" w:space="0" w:color="auto"/>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7,1%</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6,0%</w:t>
            </w:r>
          </w:p>
        </w:tc>
        <w:tc>
          <w:tcPr>
            <w:tcW w:w="1275"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4,8%</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3,6%</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2,3%</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2,0%</w:t>
            </w:r>
          </w:p>
        </w:tc>
      </w:tr>
      <w:tr w:rsidR="0065198B" w:rsidRPr="00672849" w:rsidTr="0065198B">
        <w:trPr>
          <w:trHeight w:val="315"/>
        </w:trPr>
        <w:tc>
          <w:tcPr>
            <w:tcW w:w="3364" w:type="dxa"/>
            <w:tcBorders>
              <w:top w:val="single" w:sz="8" w:space="0" w:color="auto"/>
              <w:left w:val="nil"/>
              <w:bottom w:val="nil"/>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COGS</w:t>
            </w:r>
          </w:p>
        </w:tc>
        <w:tc>
          <w:tcPr>
            <w:tcW w:w="1564" w:type="dxa"/>
            <w:gridSpan w:val="2"/>
            <w:tcBorders>
              <w:top w:val="single" w:sz="8" w:space="0" w:color="auto"/>
              <w:left w:val="nil"/>
              <w:bottom w:val="nil"/>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 </w:t>
            </w:r>
          </w:p>
        </w:tc>
        <w:tc>
          <w:tcPr>
            <w:tcW w:w="992" w:type="dxa"/>
            <w:gridSpan w:val="3"/>
            <w:tcBorders>
              <w:top w:val="single" w:sz="8" w:space="0" w:color="auto"/>
              <w:left w:val="nil"/>
              <w:bottom w:val="nil"/>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 </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74 392</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78 856</w:t>
            </w:r>
          </w:p>
        </w:tc>
        <w:tc>
          <w:tcPr>
            <w:tcW w:w="1275"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82 641</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85 616</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87 585</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89 337</w:t>
            </w:r>
          </w:p>
        </w:tc>
      </w:tr>
      <w:tr w:rsidR="0065198B" w:rsidRPr="00672849" w:rsidTr="0065198B">
        <w:trPr>
          <w:trHeight w:val="315"/>
        </w:trPr>
        <w:tc>
          <w:tcPr>
            <w:tcW w:w="4928" w:type="dxa"/>
            <w:gridSpan w:val="3"/>
            <w:tcBorders>
              <w:top w:val="nil"/>
              <w:left w:val="nil"/>
              <w:bottom w:val="single" w:sz="8" w:space="0" w:color="auto"/>
              <w:right w:val="nil"/>
            </w:tcBorders>
            <w:noWrap/>
            <w:hideMark/>
          </w:tcPr>
          <w:p w:rsidR="0065198B" w:rsidRPr="00672849" w:rsidRDefault="0065198B" w:rsidP="0065198B">
            <w:pPr>
              <w:ind w:firstLineChars="100" w:firstLine="200"/>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 xml:space="preserve">   % </w:t>
            </w:r>
            <w:proofErr w:type="spellStart"/>
            <w:r w:rsidRPr="00672849">
              <w:rPr>
                <w:rFonts w:ascii="Times New Roman" w:eastAsia="Times New Roman" w:hAnsi="Times New Roman" w:cs="Times New Roman"/>
                <w:i/>
                <w:iCs/>
                <w:color w:val="000000"/>
                <w:sz w:val="20"/>
                <w:szCs w:val="20"/>
                <w:lang w:eastAsia="ru-RU"/>
              </w:rPr>
              <w:t>of</w:t>
            </w:r>
            <w:proofErr w:type="spellEnd"/>
            <w:r w:rsidRPr="00672849">
              <w:rPr>
                <w:rFonts w:ascii="Times New Roman" w:eastAsia="Times New Roman" w:hAnsi="Times New Roman" w:cs="Times New Roman"/>
                <w:i/>
                <w:iCs/>
                <w:color w:val="000000"/>
                <w:sz w:val="20"/>
                <w:szCs w:val="20"/>
                <w:lang w:eastAsia="ru-RU"/>
              </w:rPr>
              <w:t xml:space="preserve"> </w:t>
            </w:r>
            <w:proofErr w:type="spellStart"/>
            <w:r w:rsidRPr="00672849">
              <w:rPr>
                <w:rFonts w:ascii="Times New Roman" w:eastAsia="Times New Roman" w:hAnsi="Times New Roman" w:cs="Times New Roman"/>
                <w:i/>
                <w:iCs/>
                <w:color w:val="000000"/>
                <w:sz w:val="20"/>
                <w:szCs w:val="20"/>
                <w:lang w:eastAsia="ru-RU"/>
              </w:rPr>
              <w:t>Revenues</w:t>
            </w:r>
            <w:proofErr w:type="spellEnd"/>
          </w:p>
        </w:tc>
        <w:tc>
          <w:tcPr>
            <w:tcW w:w="992" w:type="dxa"/>
            <w:gridSpan w:val="3"/>
            <w:tcBorders>
              <w:top w:val="nil"/>
              <w:left w:val="nil"/>
              <w:bottom w:val="single" w:sz="8" w:space="0" w:color="auto"/>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70,1%</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70,1%</w:t>
            </w:r>
          </w:p>
        </w:tc>
        <w:tc>
          <w:tcPr>
            <w:tcW w:w="1275"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70,1%</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70,1%</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70,1%</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70,1%</w:t>
            </w:r>
          </w:p>
        </w:tc>
      </w:tr>
      <w:tr w:rsidR="0065198B" w:rsidRPr="00672849" w:rsidTr="0065198B">
        <w:trPr>
          <w:trHeight w:val="315"/>
        </w:trPr>
        <w:tc>
          <w:tcPr>
            <w:tcW w:w="4928" w:type="dxa"/>
            <w:gridSpan w:val="3"/>
            <w:tcBorders>
              <w:top w:val="single" w:sz="8" w:space="0" w:color="auto"/>
              <w:left w:val="nil"/>
              <w:bottom w:val="nil"/>
              <w:right w:val="nil"/>
            </w:tcBorders>
            <w:noWrap/>
            <w:hideMark/>
          </w:tcPr>
          <w:p w:rsidR="0065198B" w:rsidRPr="00672849" w:rsidRDefault="0065198B" w:rsidP="0065198B">
            <w:pPr>
              <w:rPr>
                <w:rFonts w:ascii="Times New Roman" w:eastAsia="Times New Roman" w:hAnsi="Times New Roman" w:cs="Times New Roman"/>
                <w:b/>
                <w:bCs/>
                <w:color w:val="000000"/>
                <w:sz w:val="20"/>
                <w:szCs w:val="20"/>
                <w:lang w:eastAsia="ru-RU"/>
              </w:rPr>
            </w:pPr>
            <w:proofErr w:type="spellStart"/>
            <w:r w:rsidRPr="00672849">
              <w:rPr>
                <w:rFonts w:ascii="Times New Roman" w:eastAsia="Times New Roman" w:hAnsi="Times New Roman" w:cs="Times New Roman"/>
                <w:b/>
                <w:bCs/>
                <w:color w:val="000000"/>
                <w:sz w:val="20"/>
                <w:szCs w:val="20"/>
                <w:lang w:eastAsia="ru-RU"/>
              </w:rPr>
              <w:t>Gross</w:t>
            </w:r>
            <w:proofErr w:type="spellEnd"/>
            <w:r w:rsidRPr="00672849">
              <w:rPr>
                <w:rFonts w:ascii="Times New Roman" w:eastAsia="Times New Roman" w:hAnsi="Times New Roman" w:cs="Times New Roman"/>
                <w:b/>
                <w:bCs/>
                <w:color w:val="000000"/>
                <w:sz w:val="20"/>
                <w:szCs w:val="20"/>
                <w:lang w:eastAsia="ru-RU"/>
              </w:rPr>
              <w:t xml:space="preserve"> </w:t>
            </w:r>
            <w:proofErr w:type="spellStart"/>
            <w:r w:rsidRPr="00672849">
              <w:rPr>
                <w:rFonts w:ascii="Times New Roman" w:eastAsia="Times New Roman" w:hAnsi="Times New Roman" w:cs="Times New Roman"/>
                <w:b/>
                <w:bCs/>
                <w:color w:val="000000"/>
                <w:sz w:val="20"/>
                <w:szCs w:val="20"/>
                <w:lang w:eastAsia="ru-RU"/>
              </w:rPr>
              <w:t>Profit</w:t>
            </w:r>
            <w:proofErr w:type="spellEnd"/>
          </w:p>
        </w:tc>
        <w:tc>
          <w:tcPr>
            <w:tcW w:w="992" w:type="dxa"/>
            <w:gridSpan w:val="3"/>
            <w:tcBorders>
              <w:top w:val="single" w:sz="8" w:space="0" w:color="auto"/>
              <w:left w:val="nil"/>
              <w:bottom w:val="nil"/>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 </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color w:val="000000"/>
                <w:sz w:val="20"/>
                <w:szCs w:val="20"/>
                <w:lang w:eastAsia="ru-RU"/>
              </w:rPr>
            </w:pPr>
            <w:r w:rsidRPr="00672849">
              <w:rPr>
                <w:rFonts w:ascii="Times New Roman" w:eastAsia="Times New Roman" w:hAnsi="Times New Roman" w:cs="Times New Roman"/>
                <w:b/>
                <w:color w:val="000000"/>
                <w:sz w:val="20"/>
                <w:szCs w:val="20"/>
                <w:lang w:eastAsia="ru-RU"/>
              </w:rPr>
              <w:t>$    31 715</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color w:val="000000"/>
                <w:sz w:val="20"/>
                <w:szCs w:val="20"/>
                <w:lang w:eastAsia="ru-RU"/>
              </w:rPr>
            </w:pPr>
            <w:r w:rsidRPr="00672849">
              <w:rPr>
                <w:rFonts w:ascii="Times New Roman" w:eastAsia="Times New Roman" w:hAnsi="Times New Roman" w:cs="Times New Roman"/>
                <w:b/>
                <w:color w:val="000000"/>
                <w:sz w:val="20"/>
                <w:szCs w:val="20"/>
                <w:lang w:eastAsia="ru-RU"/>
              </w:rPr>
              <w:t>$    33 618</w:t>
            </w:r>
          </w:p>
        </w:tc>
        <w:tc>
          <w:tcPr>
            <w:tcW w:w="1275"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color w:val="000000"/>
                <w:sz w:val="20"/>
                <w:szCs w:val="20"/>
                <w:lang w:eastAsia="ru-RU"/>
              </w:rPr>
            </w:pPr>
            <w:r w:rsidRPr="00672849">
              <w:rPr>
                <w:rFonts w:ascii="Times New Roman" w:eastAsia="Times New Roman" w:hAnsi="Times New Roman" w:cs="Times New Roman"/>
                <w:b/>
                <w:color w:val="000000"/>
                <w:sz w:val="20"/>
                <w:szCs w:val="20"/>
                <w:lang w:eastAsia="ru-RU"/>
              </w:rPr>
              <w:t>$    35 231</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color w:val="000000"/>
                <w:sz w:val="20"/>
                <w:szCs w:val="20"/>
                <w:lang w:eastAsia="ru-RU"/>
              </w:rPr>
            </w:pPr>
            <w:r w:rsidRPr="00672849">
              <w:rPr>
                <w:rFonts w:ascii="Times New Roman" w:eastAsia="Times New Roman" w:hAnsi="Times New Roman" w:cs="Times New Roman"/>
                <w:b/>
                <w:color w:val="000000"/>
                <w:sz w:val="20"/>
                <w:szCs w:val="20"/>
                <w:lang w:eastAsia="ru-RU"/>
              </w:rPr>
              <w:t>$    36 500</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color w:val="000000"/>
                <w:sz w:val="20"/>
                <w:szCs w:val="20"/>
                <w:lang w:eastAsia="ru-RU"/>
              </w:rPr>
            </w:pPr>
            <w:r w:rsidRPr="00672849">
              <w:rPr>
                <w:rFonts w:ascii="Times New Roman" w:eastAsia="Times New Roman" w:hAnsi="Times New Roman" w:cs="Times New Roman"/>
                <w:b/>
                <w:color w:val="000000"/>
                <w:sz w:val="20"/>
                <w:szCs w:val="20"/>
                <w:lang w:eastAsia="ru-RU"/>
              </w:rPr>
              <w:t>$    37 339</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color w:val="000000"/>
                <w:sz w:val="20"/>
                <w:szCs w:val="20"/>
                <w:lang w:eastAsia="ru-RU"/>
              </w:rPr>
            </w:pPr>
            <w:r w:rsidRPr="00672849">
              <w:rPr>
                <w:rFonts w:ascii="Times New Roman" w:eastAsia="Times New Roman" w:hAnsi="Times New Roman" w:cs="Times New Roman"/>
                <w:b/>
                <w:color w:val="000000"/>
                <w:sz w:val="20"/>
                <w:szCs w:val="20"/>
                <w:lang w:eastAsia="ru-RU"/>
              </w:rPr>
              <w:t>$    38 086</w:t>
            </w:r>
          </w:p>
        </w:tc>
      </w:tr>
      <w:tr w:rsidR="0065198B" w:rsidRPr="00672849" w:rsidTr="0065198B">
        <w:trPr>
          <w:trHeight w:val="315"/>
        </w:trPr>
        <w:tc>
          <w:tcPr>
            <w:tcW w:w="4928" w:type="dxa"/>
            <w:gridSpan w:val="3"/>
            <w:tcBorders>
              <w:top w:val="nil"/>
              <w:left w:val="nil"/>
              <w:bottom w:val="single" w:sz="8" w:space="0" w:color="auto"/>
              <w:right w:val="nil"/>
            </w:tcBorders>
            <w:noWrap/>
            <w:hideMark/>
          </w:tcPr>
          <w:p w:rsidR="0065198B" w:rsidRPr="00672849" w:rsidRDefault="0065198B" w:rsidP="0065198B">
            <w:pPr>
              <w:ind w:firstLineChars="100" w:firstLine="200"/>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 xml:space="preserve">% </w:t>
            </w:r>
            <w:proofErr w:type="spellStart"/>
            <w:r w:rsidRPr="00672849">
              <w:rPr>
                <w:rFonts w:ascii="Times New Roman" w:eastAsia="Times New Roman" w:hAnsi="Times New Roman" w:cs="Times New Roman"/>
                <w:i/>
                <w:iCs/>
                <w:color w:val="000000"/>
                <w:sz w:val="20"/>
                <w:szCs w:val="20"/>
                <w:lang w:eastAsia="ru-RU"/>
              </w:rPr>
              <w:t>Gross</w:t>
            </w:r>
            <w:proofErr w:type="spellEnd"/>
            <w:r w:rsidRPr="00672849">
              <w:rPr>
                <w:rFonts w:ascii="Times New Roman" w:eastAsia="Times New Roman" w:hAnsi="Times New Roman" w:cs="Times New Roman"/>
                <w:i/>
                <w:iCs/>
                <w:color w:val="000000"/>
                <w:sz w:val="20"/>
                <w:szCs w:val="20"/>
                <w:lang w:eastAsia="ru-RU"/>
              </w:rPr>
              <w:t xml:space="preserve"> </w:t>
            </w:r>
            <w:proofErr w:type="spellStart"/>
            <w:r w:rsidRPr="00672849">
              <w:rPr>
                <w:rFonts w:ascii="Times New Roman" w:eastAsia="Times New Roman" w:hAnsi="Times New Roman" w:cs="Times New Roman"/>
                <w:i/>
                <w:iCs/>
                <w:color w:val="000000"/>
                <w:sz w:val="20"/>
                <w:szCs w:val="20"/>
                <w:lang w:eastAsia="ru-RU"/>
              </w:rPr>
              <w:t>Margin</w:t>
            </w:r>
            <w:proofErr w:type="spellEnd"/>
          </w:p>
        </w:tc>
        <w:tc>
          <w:tcPr>
            <w:tcW w:w="992" w:type="dxa"/>
            <w:gridSpan w:val="3"/>
            <w:tcBorders>
              <w:top w:val="nil"/>
              <w:left w:val="nil"/>
              <w:bottom w:val="single" w:sz="8" w:space="0" w:color="auto"/>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29,89%</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29,89%</w:t>
            </w:r>
          </w:p>
        </w:tc>
        <w:tc>
          <w:tcPr>
            <w:tcW w:w="1275"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29,89%</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29,89%</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29,89%</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29,89%</w:t>
            </w:r>
          </w:p>
        </w:tc>
      </w:tr>
      <w:tr w:rsidR="0065198B" w:rsidRPr="00672849" w:rsidTr="0065198B">
        <w:trPr>
          <w:trHeight w:val="315"/>
        </w:trPr>
        <w:tc>
          <w:tcPr>
            <w:tcW w:w="4928" w:type="dxa"/>
            <w:gridSpan w:val="3"/>
            <w:tcBorders>
              <w:top w:val="single" w:sz="8" w:space="0" w:color="auto"/>
              <w:left w:val="nil"/>
              <w:bottom w:val="nil"/>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proofErr w:type="spellStart"/>
            <w:r w:rsidRPr="00672849">
              <w:rPr>
                <w:rFonts w:ascii="Times New Roman" w:eastAsia="Times New Roman" w:hAnsi="Times New Roman" w:cs="Times New Roman"/>
                <w:color w:val="000000"/>
                <w:sz w:val="20"/>
                <w:szCs w:val="20"/>
                <w:lang w:eastAsia="ru-RU"/>
              </w:rPr>
              <w:t>Rosneft</w:t>
            </w:r>
            <w:proofErr w:type="spellEnd"/>
            <w:r w:rsidRPr="00672849">
              <w:rPr>
                <w:rFonts w:ascii="Times New Roman" w:eastAsia="Times New Roman" w:hAnsi="Times New Roman" w:cs="Times New Roman"/>
                <w:color w:val="000000"/>
                <w:sz w:val="20"/>
                <w:szCs w:val="20"/>
                <w:lang w:eastAsia="ru-RU"/>
              </w:rPr>
              <w:t xml:space="preserve"> OPEX</w:t>
            </w:r>
          </w:p>
        </w:tc>
        <w:tc>
          <w:tcPr>
            <w:tcW w:w="992" w:type="dxa"/>
            <w:gridSpan w:val="3"/>
            <w:tcBorders>
              <w:top w:val="single" w:sz="8" w:space="0" w:color="auto"/>
              <w:left w:val="nil"/>
              <w:bottom w:val="nil"/>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 </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13 994</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14 833</w:t>
            </w:r>
          </w:p>
        </w:tc>
        <w:tc>
          <w:tcPr>
            <w:tcW w:w="1275"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15 545</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16 105</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16 475</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16 805</w:t>
            </w:r>
          </w:p>
        </w:tc>
      </w:tr>
      <w:tr w:rsidR="0065198B" w:rsidRPr="00672849" w:rsidTr="0065198B">
        <w:trPr>
          <w:trHeight w:val="315"/>
        </w:trPr>
        <w:tc>
          <w:tcPr>
            <w:tcW w:w="4928" w:type="dxa"/>
            <w:gridSpan w:val="3"/>
            <w:tcBorders>
              <w:top w:val="nil"/>
              <w:left w:val="nil"/>
              <w:bottom w:val="single" w:sz="8" w:space="0" w:color="auto"/>
              <w:right w:val="nil"/>
            </w:tcBorders>
            <w:noWrap/>
            <w:hideMark/>
          </w:tcPr>
          <w:p w:rsidR="0065198B" w:rsidRPr="00672849" w:rsidRDefault="0065198B" w:rsidP="0065198B">
            <w:pPr>
              <w:ind w:firstLineChars="100" w:firstLine="200"/>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 xml:space="preserve">   % </w:t>
            </w:r>
            <w:proofErr w:type="spellStart"/>
            <w:r w:rsidRPr="00672849">
              <w:rPr>
                <w:rFonts w:ascii="Times New Roman" w:eastAsia="Times New Roman" w:hAnsi="Times New Roman" w:cs="Times New Roman"/>
                <w:i/>
                <w:iCs/>
                <w:color w:val="000000"/>
                <w:sz w:val="20"/>
                <w:szCs w:val="20"/>
                <w:lang w:eastAsia="ru-RU"/>
              </w:rPr>
              <w:t>of</w:t>
            </w:r>
            <w:proofErr w:type="spellEnd"/>
            <w:r w:rsidRPr="00672849">
              <w:rPr>
                <w:rFonts w:ascii="Times New Roman" w:eastAsia="Times New Roman" w:hAnsi="Times New Roman" w:cs="Times New Roman"/>
                <w:i/>
                <w:iCs/>
                <w:color w:val="000000"/>
                <w:sz w:val="20"/>
                <w:szCs w:val="20"/>
                <w:lang w:eastAsia="ru-RU"/>
              </w:rPr>
              <w:t xml:space="preserve"> </w:t>
            </w:r>
            <w:proofErr w:type="spellStart"/>
            <w:r w:rsidRPr="00672849">
              <w:rPr>
                <w:rFonts w:ascii="Times New Roman" w:eastAsia="Times New Roman" w:hAnsi="Times New Roman" w:cs="Times New Roman"/>
                <w:i/>
                <w:iCs/>
                <w:color w:val="000000"/>
                <w:sz w:val="20"/>
                <w:szCs w:val="20"/>
                <w:lang w:eastAsia="ru-RU"/>
              </w:rPr>
              <w:t>Revenues</w:t>
            </w:r>
            <w:proofErr w:type="spellEnd"/>
          </w:p>
        </w:tc>
        <w:tc>
          <w:tcPr>
            <w:tcW w:w="992" w:type="dxa"/>
            <w:gridSpan w:val="3"/>
            <w:tcBorders>
              <w:top w:val="nil"/>
              <w:left w:val="nil"/>
              <w:bottom w:val="single" w:sz="8" w:space="0" w:color="auto"/>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13,2%</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13,2%</w:t>
            </w:r>
          </w:p>
        </w:tc>
        <w:tc>
          <w:tcPr>
            <w:tcW w:w="1275"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13,2%</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13,2%</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13,2%</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13,2%</w:t>
            </w:r>
          </w:p>
        </w:tc>
      </w:tr>
      <w:tr w:rsidR="0065198B" w:rsidRPr="00672849" w:rsidTr="0065198B">
        <w:trPr>
          <w:trHeight w:val="315"/>
        </w:trPr>
        <w:tc>
          <w:tcPr>
            <w:tcW w:w="4928" w:type="dxa"/>
            <w:gridSpan w:val="3"/>
            <w:tcBorders>
              <w:top w:val="single" w:sz="8" w:space="0" w:color="auto"/>
              <w:left w:val="nil"/>
              <w:bottom w:val="nil"/>
              <w:right w:val="nil"/>
            </w:tcBorders>
            <w:noWrap/>
            <w:hideMark/>
          </w:tcPr>
          <w:p w:rsidR="0065198B" w:rsidRPr="00672849" w:rsidRDefault="0065198B" w:rsidP="0065198B">
            <w:pPr>
              <w:rPr>
                <w:rFonts w:ascii="Times New Roman" w:eastAsia="Times New Roman" w:hAnsi="Times New Roman" w:cs="Times New Roman"/>
                <w:b/>
                <w:bCs/>
                <w:color w:val="000000"/>
                <w:sz w:val="20"/>
                <w:szCs w:val="20"/>
                <w:lang w:eastAsia="ru-RU"/>
              </w:rPr>
            </w:pPr>
            <w:proofErr w:type="spellStart"/>
            <w:r w:rsidRPr="00672849">
              <w:rPr>
                <w:rFonts w:ascii="Times New Roman" w:eastAsia="Times New Roman" w:hAnsi="Times New Roman" w:cs="Times New Roman"/>
                <w:b/>
                <w:bCs/>
                <w:color w:val="000000"/>
                <w:sz w:val="20"/>
                <w:szCs w:val="20"/>
                <w:lang w:eastAsia="ru-RU"/>
              </w:rPr>
              <w:t>Adjusted</w:t>
            </w:r>
            <w:proofErr w:type="spellEnd"/>
            <w:r w:rsidRPr="00672849">
              <w:rPr>
                <w:rFonts w:ascii="Times New Roman" w:eastAsia="Times New Roman" w:hAnsi="Times New Roman" w:cs="Times New Roman"/>
                <w:b/>
                <w:bCs/>
                <w:color w:val="000000"/>
                <w:sz w:val="20"/>
                <w:szCs w:val="20"/>
                <w:lang w:eastAsia="ru-RU"/>
              </w:rPr>
              <w:t xml:space="preserve"> EBIT</w:t>
            </w:r>
          </w:p>
        </w:tc>
        <w:tc>
          <w:tcPr>
            <w:tcW w:w="992" w:type="dxa"/>
            <w:gridSpan w:val="3"/>
            <w:tcBorders>
              <w:top w:val="single" w:sz="8" w:space="0" w:color="auto"/>
              <w:left w:val="nil"/>
              <w:bottom w:val="nil"/>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 </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color w:val="000000"/>
                <w:sz w:val="20"/>
                <w:szCs w:val="20"/>
                <w:lang w:eastAsia="ru-RU"/>
              </w:rPr>
            </w:pPr>
            <w:r w:rsidRPr="00672849">
              <w:rPr>
                <w:rFonts w:ascii="Times New Roman" w:eastAsia="Times New Roman" w:hAnsi="Times New Roman" w:cs="Times New Roman"/>
                <w:b/>
                <w:color w:val="000000"/>
                <w:sz w:val="20"/>
                <w:szCs w:val="20"/>
                <w:lang w:eastAsia="ru-RU"/>
              </w:rPr>
              <w:t>$    17 721</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color w:val="000000"/>
                <w:sz w:val="20"/>
                <w:szCs w:val="20"/>
                <w:lang w:eastAsia="ru-RU"/>
              </w:rPr>
            </w:pPr>
            <w:r w:rsidRPr="00672849">
              <w:rPr>
                <w:rFonts w:ascii="Times New Roman" w:eastAsia="Times New Roman" w:hAnsi="Times New Roman" w:cs="Times New Roman"/>
                <w:b/>
                <w:color w:val="000000"/>
                <w:sz w:val="20"/>
                <w:szCs w:val="20"/>
                <w:lang w:eastAsia="ru-RU"/>
              </w:rPr>
              <w:t>$    18 784</w:t>
            </w:r>
          </w:p>
        </w:tc>
        <w:tc>
          <w:tcPr>
            <w:tcW w:w="1275"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color w:val="000000"/>
                <w:sz w:val="20"/>
                <w:szCs w:val="20"/>
                <w:lang w:eastAsia="ru-RU"/>
              </w:rPr>
            </w:pPr>
            <w:r w:rsidRPr="00672849">
              <w:rPr>
                <w:rFonts w:ascii="Times New Roman" w:eastAsia="Times New Roman" w:hAnsi="Times New Roman" w:cs="Times New Roman"/>
                <w:b/>
                <w:color w:val="000000"/>
                <w:sz w:val="20"/>
                <w:szCs w:val="20"/>
                <w:lang w:eastAsia="ru-RU"/>
              </w:rPr>
              <w:t>$    19 686</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color w:val="000000"/>
                <w:sz w:val="20"/>
                <w:szCs w:val="20"/>
                <w:lang w:eastAsia="ru-RU"/>
              </w:rPr>
            </w:pPr>
            <w:r w:rsidRPr="00672849">
              <w:rPr>
                <w:rFonts w:ascii="Times New Roman" w:eastAsia="Times New Roman" w:hAnsi="Times New Roman" w:cs="Times New Roman"/>
                <w:b/>
                <w:color w:val="000000"/>
                <w:sz w:val="20"/>
                <w:szCs w:val="20"/>
                <w:lang w:eastAsia="ru-RU"/>
              </w:rPr>
              <w:t>$    20 395</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color w:val="000000"/>
                <w:sz w:val="20"/>
                <w:szCs w:val="20"/>
                <w:lang w:eastAsia="ru-RU"/>
              </w:rPr>
            </w:pPr>
            <w:r w:rsidRPr="00672849">
              <w:rPr>
                <w:rFonts w:ascii="Times New Roman" w:eastAsia="Times New Roman" w:hAnsi="Times New Roman" w:cs="Times New Roman"/>
                <w:b/>
                <w:color w:val="000000"/>
                <w:sz w:val="20"/>
                <w:szCs w:val="20"/>
                <w:lang w:eastAsia="ru-RU"/>
              </w:rPr>
              <w:t>$    20 864</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color w:val="000000"/>
                <w:sz w:val="20"/>
                <w:szCs w:val="20"/>
                <w:lang w:eastAsia="ru-RU"/>
              </w:rPr>
            </w:pPr>
            <w:r w:rsidRPr="00672849">
              <w:rPr>
                <w:rFonts w:ascii="Times New Roman" w:eastAsia="Times New Roman" w:hAnsi="Times New Roman" w:cs="Times New Roman"/>
                <w:b/>
                <w:color w:val="000000"/>
                <w:sz w:val="20"/>
                <w:szCs w:val="20"/>
                <w:lang w:eastAsia="ru-RU"/>
              </w:rPr>
              <w:t>$    21 281</w:t>
            </w:r>
          </w:p>
        </w:tc>
      </w:tr>
      <w:tr w:rsidR="0065198B" w:rsidRPr="00672849" w:rsidTr="0065198B">
        <w:trPr>
          <w:trHeight w:val="315"/>
        </w:trPr>
        <w:tc>
          <w:tcPr>
            <w:tcW w:w="4928" w:type="dxa"/>
            <w:gridSpan w:val="3"/>
            <w:tcBorders>
              <w:top w:val="nil"/>
              <w:left w:val="nil"/>
              <w:bottom w:val="single" w:sz="8" w:space="0" w:color="auto"/>
              <w:right w:val="nil"/>
            </w:tcBorders>
            <w:noWrap/>
            <w:hideMark/>
          </w:tcPr>
          <w:p w:rsidR="0065198B" w:rsidRPr="00672849" w:rsidRDefault="0065198B" w:rsidP="0065198B">
            <w:pPr>
              <w:ind w:firstLineChars="100" w:firstLine="200"/>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 xml:space="preserve">   % EBIT </w:t>
            </w:r>
            <w:proofErr w:type="spellStart"/>
            <w:r w:rsidRPr="00672849">
              <w:rPr>
                <w:rFonts w:ascii="Times New Roman" w:eastAsia="Times New Roman" w:hAnsi="Times New Roman" w:cs="Times New Roman"/>
                <w:i/>
                <w:iCs/>
                <w:color w:val="000000"/>
                <w:sz w:val="20"/>
                <w:szCs w:val="20"/>
                <w:lang w:eastAsia="ru-RU"/>
              </w:rPr>
              <w:t>margin</w:t>
            </w:r>
            <w:proofErr w:type="spellEnd"/>
          </w:p>
        </w:tc>
        <w:tc>
          <w:tcPr>
            <w:tcW w:w="992" w:type="dxa"/>
            <w:gridSpan w:val="3"/>
            <w:tcBorders>
              <w:top w:val="nil"/>
              <w:left w:val="nil"/>
              <w:bottom w:val="single" w:sz="8" w:space="0" w:color="auto"/>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16,70%</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16,70%</w:t>
            </w:r>
          </w:p>
        </w:tc>
        <w:tc>
          <w:tcPr>
            <w:tcW w:w="1275"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16,70%</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16,70%</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16,70%</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16,70%</w:t>
            </w:r>
          </w:p>
        </w:tc>
      </w:tr>
      <w:tr w:rsidR="0065198B" w:rsidRPr="00672849" w:rsidTr="0065198B">
        <w:trPr>
          <w:trHeight w:val="315"/>
        </w:trPr>
        <w:tc>
          <w:tcPr>
            <w:tcW w:w="4928" w:type="dxa"/>
            <w:gridSpan w:val="3"/>
            <w:tcBorders>
              <w:top w:val="single" w:sz="8" w:space="0" w:color="auto"/>
              <w:left w:val="nil"/>
              <w:bottom w:val="single" w:sz="18" w:space="0" w:color="auto"/>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proofErr w:type="spellStart"/>
            <w:r w:rsidRPr="00672849">
              <w:rPr>
                <w:rFonts w:ascii="Times New Roman" w:eastAsia="Times New Roman" w:hAnsi="Times New Roman" w:cs="Times New Roman"/>
                <w:color w:val="000000"/>
                <w:sz w:val="20"/>
                <w:szCs w:val="20"/>
                <w:lang w:eastAsia="ru-RU"/>
              </w:rPr>
              <w:t>Income</w:t>
            </w:r>
            <w:proofErr w:type="spellEnd"/>
            <w:r w:rsidRPr="00672849">
              <w:rPr>
                <w:rFonts w:ascii="Times New Roman" w:eastAsia="Times New Roman" w:hAnsi="Times New Roman" w:cs="Times New Roman"/>
                <w:color w:val="000000"/>
                <w:sz w:val="20"/>
                <w:szCs w:val="20"/>
                <w:lang w:eastAsia="ru-RU"/>
              </w:rPr>
              <w:t xml:space="preserve"> </w:t>
            </w:r>
            <w:proofErr w:type="spellStart"/>
            <w:r w:rsidRPr="00672849">
              <w:rPr>
                <w:rFonts w:ascii="Times New Roman" w:eastAsia="Times New Roman" w:hAnsi="Times New Roman" w:cs="Times New Roman"/>
                <w:color w:val="000000"/>
                <w:sz w:val="20"/>
                <w:szCs w:val="20"/>
                <w:lang w:eastAsia="ru-RU"/>
              </w:rPr>
              <w:t>Taxes</w:t>
            </w:r>
            <w:proofErr w:type="spellEnd"/>
          </w:p>
        </w:tc>
        <w:tc>
          <w:tcPr>
            <w:tcW w:w="992" w:type="dxa"/>
            <w:gridSpan w:val="3"/>
            <w:tcBorders>
              <w:top w:val="single" w:sz="8" w:space="0" w:color="auto"/>
              <w:left w:val="nil"/>
              <w:bottom w:val="single" w:sz="18" w:space="0" w:color="auto"/>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 </w:t>
            </w:r>
          </w:p>
        </w:tc>
        <w:tc>
          <w:tcPr>
            <w:tcW w:w="1276" w:type="dxa"/>
            <w:tcBorders>
              <w:top w:val="single" w:sz="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4 357</w:t>
            </w:r>
          </w:p>
        </w:tc>
        <w:tc>
          <w:tcPr>
            <w:tcW w:w="1276" w:type="dxa"/>
            <w:tcBorders>
              <w:top w:val="single" w:sz="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4 619</w:t>
            </w:r>
          </w:p>
        </w:tc>
        <w:tc>
          <w:tcPr>
            <w:tcW w:w="1275" w:type="dxa"/>
            <w:tcBorders>
              <w:top w:val="single" w:sz="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4 840</w:t>
            </w:r>
          </w:p>
        </w:tc>
        <w:tc>
          <w:tcPr>
            <w:tcW w:w="1276" w:type="dxa"/>
            <w:tcBorders>
              <w:top w:val="single" w:sz="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5 015</w:t>
            </w:r>
          </w:p>
        </w:tc>
        <w:tc>
          <w:tcPr>
            <w:tcW w:w="1276" w:type="dxa"/>
            <w:tcBorders>
              <w:top w:val="single" w:sz="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5 130</w:t>
            </w:r>
          </w:p>
        </w:tc>
        <w:tc>
          <w:tcPr>
            <w:tcW w:w="1276" w:type="dxa"/>
            <w:tcBorders>
              <w:top w:val="single" w:sz="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5 233</w:t>
            </w:r>
          </w:p>
        </w:tc>
      </w:tr>
      <w:tr w:rsidR="0065198B" w:rsidRPr="00672849" w:rsidTr="0065198B">
        <w:trPr>
          <w:trHeight w:val="262"/>
        </w:trPr>
        <w:tc>
          <w:tcPr>
            <w:tcW w:w="3364" w:type="dxa"/>
            <w:tcBorders>
              <w:top w:val="single" w:sz="18" w:space="0" w:color="auto"/>
              <w:left w:val="nil"/>
              <w:bottom w:val="single" w:sz="18" w:space="0" w:color="auto"/>
              <w:right w:val="nil"/>
            </w:tcBorders>
            <w:noWrap/>
            <w:hideMark/>
          </w:tcPr>
          <w:p w:rsidR="0065198B" w:rsidRPr="00672849" w:rsidRDefault="0065198B" w:rsidP="0065198B">
            <w:pP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NOPAT</w:t>
            </w:r>
          </w:p>
        </w:tc>
        <w:tc>
          <w:tcPr>
            <w:tcW w:w="1564" w:type="dxa"/>
            <w:gridSpan w:val="2"/>
            <w:tcBorders>
              <w:top w:val="single" w:sz="18" w:space="0" w:color="auto"/>
              <w:left w:val="nil"/>
              <w:bottom w:val="single" w:sz="18" w:space="0" w:color="auto"/>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 </w:t>
            </w:r>
          </w:p>
        </w:tc>
        <w:tc>
          <w:tcPr>
            <w:tcW w:w="992" w:type="dxa"/>
            <w:gridSpan w:val="3"/>
            <w:tcBorders>
              <w:top w:val="single" w:sz="18" w:space="0" w:color="auto"/>
              <w:left w:val="nil"/>
              <w:bottom w:val="single" w:sz="18" w:space="0" w:color="auto"/>
              <w:right w:val="nil"/>
            </w:tcBorders>
            <w:noWrap/>
            <w:hideMark/>
          </w:tcPr>
          <w:p w:rsidR="0065198B" w:rsidRPr="00672849" w:rsidRDefault="0065198B" w:rsidP="0065198B">
            <w:pPr>
              <w:rPr>
                <w:rFonts w:ascii="Times New Roman" w:eastAsia="Times New Roman" w:hAnsi="Times New Roman" w:cs="Times New Roman"/>
                <w:color w:val="000000"/>
                <w:sz w:val="20"/>
                <w:szCs w:val="20"/>
                <w:lang w:eastAsia="ru-RU"/>
              </w:rPr>
            </w:pPr>
            <w:r w:rsidRPr="00672849">
              <w:rPr>
                <w:rFonts w:ascii="Times New Roman" w:eastAsia="Times New Roman" w:hAnsi="Times New Roman" w:cs="Times New Roman"/>
                <w:color w:val="000000"/>
                <w:sz w:val="20"/>
                <w:szCs w:val="20"/>
                <w:lang w:eastAsia="ru-RU"/>
              </w:rPr>
              <w:t> </w:t>
            </w:r>
          </w:p>
        </w:tc>
        <w:tc>
          <w:tcPr>
            <w:tcW w:w="1276"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13 364</w:t>
            </w:r>
          </w:p>
        </w:tc>
        <w:tc>
          <w:tcPr>
            <w:tcW w:w="1276"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14 166</w:t>
            </w:r>
          </w:p>
        </w:tc>
        <w:tc>
          <w:tcPr>
            <w:tcW w:w="1275"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14 846</w:t>
            </w:r>
          </w:p>
        </w:tc>
        <w:tc>
          <w:tcPr>
            <w:tcW w:w="1276"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15 380</w:t>
            </w:r>
          </w:p>
        </w:tc>
        <w:tc>
          <w:tcPr>
            <w:tcW w:w="1276"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15 734</w:t>
            </w:r>
          </w:p>
        </w:tc>
        <w:tc>
          <w:tcPr>
            <w:tcW w:w="1276"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16 049</w:t>
            </w:r>
          </w:p>
        </w:tc>
      </w:tr>
      <w:tr w:rsidR="0065198B" w:rsidRPr="00672849" w:rsidTr="0065198B">
        <w:trPr>
          <w:trHeight w:val="37"/>
        </w:trPr>
        <w:tc>
          <w:tcPr>
            <w:tcW w:w="3364" w:type="dxa"/>
            <w:tcBorders>
              <w:top w:val="single" w:sz="18" w:space="0" w:color="auto"/>
              <w:left w:val="nil"/>
              <w:bottom w:val="nil"/>
              <w:right w:val="nil"/>
            </w:tcBorders>
            <w:noWrap/>
          </w:tcPr>
          <w:p w:rsidR="0065198B" w:rsidRPr="00672849" w:rsidRDefault="0065198B" w:rsidP="0065198B">
            <w:pPr>
              <w:rPr>
                <w:rFonts w:ascii="Times New Roman" w:eastAsia="Times New Roman" w:hAnsi="Times New Roman" w:cs="Times New Roman"/>
                <w:b/>
                <w:bCs/>
                <w:color w:val="000000"/>
                <w:sz w:val="20"/>
                <w:szCs w:val="20"/>
                <w:lang w:eastAsia="ru-RU"/>
              </w:rPr>
            </w:pPr>
          </w:p>
        </w:tc>
        <w:tc>
          <w:tcPr>
            <w:tcW w:w="1564" w:type="dxa"/>
            <w:gridSpan w:val="2"/>
            <w:tcBorders>
              <w:top w:val="single" w:sz="18" w:space="0" w:color="auto"/>
              <w:left w:val="nil"/>
              <w:bottom w:val="nil"/>
              <w:right w:val="nil"/>
            </w:tcBorders>
            <w:noWrap/>
          </w:tcPr>
          <w:p w:rsidR="0065198B" w:rsidRPr="00672849" w:rsidRDefault="0065198B" w:rsidP="0065198B">
            <w:pPr>
              <w:rPr>
                <w:rFonts w:ascii="Times New Roman" w:eastAsia="Times New Roman" w:hAnsi="Times New Roman" w:cs="Times New Roman"/>
                <w:color w:val="000000"/>
                <w:sz w:val="20"/>
                <w:szCs w:val="20"/>
                <w:lang w:eastAsia="ru-RU"/>
              </w:rPr>
            </w:pPr>
          </w:p>
        </w:tc>
        <w:tc>
          <w:tcPr>
            <w:tcW w:w="992" w:type="dxa"/>
            <w:gridSpan w:val="3"/>
            <w:tcBorders>
              <w:top w:val="single" w:sz="18" w:space="0" w:color="auto"/>
              <w:left w:val="nil"/>
              <w:bottom w:val="nil"/>
              <w:right w:val="nil"/>
            </w:tcBorders>
            <w:noWrap/>
          </w:tcPr>
          <w:p w:rsidR="0065198B" w:rsidRPr="00672849" w:rsidRDefault="0065198B" w:rsidP="0065198B">
            <w:pPr>
              <w:rPr>
                <w:rFonts w:ascii="Times New Roman" w:eastAsia="Times New Roman" w:hAnsi="Times New Roman" w:cs="Times New Roman"/>
                <w:color w:val="000000"/>
                <w:sz w:val="20"/>
                <w:szCs w:val="20"/>
                <w:lang w:eastAsia="ru-RU"/>
              </w:rPr>
            </w:pPr>
          </w:p>
        </w:tc>
        <w:tc>
          <w:tcPr>
            <w:tcW w:w="1276" w:type="dxa"/>
            <w:tcBorders>
              <w:top w:val="single" w:sz="18" w:space="0" w:color="auto"/>
              <w:left w:val="nil"/>
              <w:bottom w:val="nil"/>
              <w:right w:val="nil"/>
            </w:tcBorders>
            <w:noWrap/>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p>
        </w:tc>
        <w:tc>
          <w:tcPr>
            <w:tcW w:w="1276" w:type="dxa"/>
            <w:tcBorders>
              <w:top w:val="single" w:sz="18" w:space="0" w:color="auto"/>
              <w:left w:val="nil"/>
              <w:bottom w:val="nil"/>
              <w:right w:val="nil"/>
            </w:tcBorders>
            <w:noWrap/>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p>
        </w:tc>
        <w:tc>
          <w:tcPr>
            <w:tcW w:w="1275" w:type="dxa"/>
            <w:tcBorders>
              <w:top w:val="single" w:sz="18" w:space="0" w:color="auto"/>
              <w:left w:val="nil"/>
              <w:bottom w:val="nil"/>
              <w:right w:val="nil"/>
            </w:tcBorders>
            <w:noWrap/>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p>
        </w:tc>
        <w:tc>
          <w:tcPr>
            <w:tcW w:w="1276" w:type="dxa"/>
            <w:tcBorders>
              <w:top w:val="single" w:sz="18" w:space="0" w:color="auto"/>
              <w:left w:val="nil"/>
              <w:bottom w:val="nil"/>
              <w:right w:val="nil"/>
            </w:tcBorders>
            <w:noWrap/>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p>
        </w:tc>
        <w:tc>
          <w:tcPr>
            <w:tcW w:w="1276" w:type="dxa"/>
            <w:tcBorders>
              <w:top w:val="single" w:sz="18" w:space="0" w:color="auto"/>
              <w:left w:val="nil"/>
              <w:bottom w:val="nil"/>
              <w:right w:val="nil"/>
            </w:tcBorders>
            <w:noWrap/>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p>
        </w:tc>
        <w:tc>
          <w:tcPr>
            <w:tcW w:w="1276" w:type="dxa"/>
            <w:tcBorders>
              <w:top w:val="single" w:sz="18" w:space="0" w:color="auto"/>
              <w:left w:val="nil"/>
              <w:bottom w:val="nil"/>
              <w:right w:val="nil"/>
            </w:tcBorders>
            <w:noWrap/>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p>
        </w:tc>
      </w:tr>
      <w:tr w:rsidR="0065198B" w:rsidRPr="00672849" w:rsidTr="0065198B">
        <w:trPr>
          <w:trHeight w:val="315"/>
        </w:trPr>
        <w:tc>
          <w:tcPr>
            <w:tcW w:w="5920" w:type="dxa"/>
            <w:gridSpan w:val="6"/>
            <w:tcBorders>
              <w:top w:val="nil"/>
              <w:left w:val="nil"/>
              <w:bottom w:val="nil"/>
              <w:right w:val="nil"/>
            </w:tcBorders>
            <w:noWrap/>
            <w:hideMark/>
          </w:tcPr>
          <w:p w:rsidR="0065198B" w:rsidRPr="00672849" w:rsidRDefault="0065198B" w:rsidP="0065198B">
            <w:pPr>
              <w:rPr>
                <w:rFonts w:ascii="Times New Roman" w:eastAsia="Times New Roman" w:hAnsi="Times New Roman" w:cs="Times New Roman"/>
                <w:b/>
                <w:bCs/>
                <w:color w:val="000000"/>
                <w:sz w:val="20"/>
                <w:szCs w:val="20"/>
                <w:lang w:eastAsia="ru-RU"/>
              </w:rPr>
            </w:pPr>
            <w:proofErr w:type="spellStart"/>
            <w:r w:rsidRPr="00672849">
              <w:rPr>
                <w:rFonts w:ascii="Times New Roman" w:eastAsia="Times New Roman" w:hAnsi="Times New Roman" w:cs="Times New Roman"/>
                <w:b/>
                <w:bCs/>
                <w:color w:val="000000"/>
                <w:sz w:val="20"/>
                <w:szCs w:val="20"/>
                <w:lang w:eastAsia="ru-RU"/>
              </w:rPr>
              <w:t>Plus</w:t>
            </w:r>
            <w:proofErr w:type="spellEnd"/>
            <w:r w:rsidRPr="00672849">
              <w:rPr>
                <w:rFonts w:ascii="Times New Roman" w:eastAsia="Times New Roman" w:hAnsi="Times New Roman" w:cs="Times New Roman"/>
                <w:b/>
                <w:bCs/>
                <w:color w:val="000000"/>
                <w:sz w:val="20"/>
                <w:szCs w:val="20"/>
                <w:lang w:eastAsia="ru-RU"/>
              </w:rPr>
              <w:t xml:space="preserve">: </w:t>
            </w:r>
            <w:proofErr w:type="spellStart"/>
            <w:r w:rsidRPr="00672849">
              <w:rPr>
                <w:rFonts w:ascii="Times New Roman" w:eastAsia="Times New Roman" w:hAnsi="Times New Roman" w:cs="Times New Roman"/>
                <w:b/>
                <w:bCs/>
                <w:color w:val="000000"/>
                <w:sz w:val="20"/>
                <w:szCs w:val="20"/>
                <w:lang w:eastAsia="ru-RU"/>
              </w:rPr>
              <w:t>Depreciation</w:t>
            </w:r>
            <w:proofErr w:type="spellEnd"/>
            <w:r w:rsidRPr="00672849">
              <w:rPr>
                <w:rFonts w:ascii="Times New Roman" w:eastAsia="Times New Roman" w:hAnsi="Times New Roman" w:cs="Times New Roman"/>
                <w:b/>
                <w:bCs/>
                <w:color w:val="000000"/>
                <w:sz w:val="20"/>
                <w:szCs w:val="20"/>
                <w:lang w:eastAsia="ru-RU"/>
              </w:rPr>
              <w:t xml:space="preserve"> &amp; </w:t>
            </w:r>
            <w:proofErr w:type="spellStart"/>
            <w:r w:rsidRPr="00672849">
              <w:rPr>
                <w:rFonts w:ascii="Times New Roman" w:eastAsia="Times New Roman" w:hAnsi="Times New Roman" w:cs="Times New Roman"/>
                <w:b/>
                <w:bCs/>
                <w:color w:val="000000"/>
                <w:sz w:val="20"/>
                <w:szCs w:val="20"/>
                <w:lang w:eastAsia="ru-RU"/>
              </w:rPr>
              <w:t>Amortization</w:t>
            </w:r>
            <w:proofErr w:type="spellEnd"/>
          </w:p>
        </w:tc>
        <w:tc>
          <w:tcPr>
            <w:tcW w:w="1276" w:type="dxa"/>
            <w:tcBorders>
              <w:top w:val="nil"/>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7 825</w:t>
            </w:r>
          </w:p>
        </w:tc>
        <w:tc>
          <w:tcPr>
            <w:tcW w:w="1276" w:type="dxa"/>
            <w:tcBorders>
              <w:top w:val="nil"/>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8 295</w:t>
            </w:r>
          </w:p>
        </w:tc>
        <w:tc>
          <w:tcPr>
            <w:tcW w:w="1275" w:type="dxa"/>
            <w:tcBorders>
              <w:top w:val="nil"/>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8 693</w:t>
            </w:r>
          </w:p>
        </w:tc>
        <w:tc>
          <w:tcPr>
            <w:tcW w:w="1276" w:type="dxa"/>
            <w:tcBorders>
              <w:top w:val="nil"/>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9 006</w:t>
            </w:r>
          </w:p>
        </w:tc>
        <w:tc>
          <w:tcPr>
            <w:tcW w:w="1276" w:type="dxa"/>
            <w:tcBorders>
              <w:top w:val="nil"/>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9 213</w:t>
            </w:r>
          </w:p>
        </w:tc>
        <w:tc>
          <w:tcPr>
            <w:tcW w:w="1276" w:type="dxa"/>
            <w:tcBorders>
              <w:top w:val="nil"/>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9 397</w:t>
            </w:r>
          </w:p>
        </w:tc>
      </w:tr>
      <w:tr w:rsidR="0065198B" w:rsidRPr="00672849" w:rsidTr="0065198B">
        <w:trPr>
          <w:trHeight w:val="315"/>
        </w:trPr>
        <w:tc>
          <w:tcPr>
            <w:tcW w:w="5920" w:type="dxa"/>
            <w:gridSpan w:val="6"/>
            <w:tcBorders>
              <w:top w:val="nil"/>
              <w:left w:val="nil"/>
              <w:bottom w:val="single" w:sz="8" w:space="0" w:color="auto"/>
              <w:right w:val="nil"/>
            </w:tcBorders>
            <w:noWrap/>
            <w:hideMark/>
          </w:tcPr>
          <w:p w:rsidR="0065198B" w:rsidRPr="00672849" w:rsidRDefault="0065198B" w:rsidP="0065198B">
            <w:pPr>
              <w:ind w:firstLineChars="100" w:firstLine="200"/>
              <w:rPr>
                <w:rFonts w:ascii="Times New Roman" w:eastAsia="Times New Roman" w:hAnsi="Times New Roman" w:cs="Times New Roman"/>
                <w:i/>
                <w:iCs/>
                <w:color w:val="000000"/>
                <w:sz w:val="20"/>
                <w:szCs w:val="20"/>
                <w:lang w:val="en-US" w:eastAsia="ru-RU"/>
              </w:rPr>
            </w:pPr>
            <w:r w:rsidRPr="00672849">
              <w:rPr>
                <w:rFonts w:ascii="Times New Roman" w:eastAsia="Times New Roman" w:hAnsi="Times New Roman" w:cs="Times New Roman"/>
                <w:i/>
                <w:iCs/>
                <w:color w:val="000000"/>
                <w:sz w:val="20"/>
                <w:szCs w:val="20"/>
                <w:lang w:val="en-US" w:eastAsia="ru-RU"/>
              </w:rPr>
              <w:t>D&amp;A (as % of Revenues)</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7,4%</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7,4%</w:t>
            </w:r>
          </w:p>
        </w:tc>
        <w:tc>
          <w:tcPr>
            <w:tcW w:w="1275"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7,4%</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7,4%</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7,4%</w:t>
            </w:r>
          </w:p>
        </w:tc>
        <w:tc>
          <w:tcPr>
            <w:tcW w:w="1276" w:type="dxa"/>
            <w:tcBorders>
              <w:top w:val="nil"/>
              <w:left w:val="nil"/>
              <w:bottom w:val="single" w:sz="8" w:space="0" w:color="auto"/>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7,4%</w:t>
            </w:r>
          </w:p>
        </w:tc>
      </w:tr>
      <w:tr w:rsidR="0065198B" w:rsidRPr="00672849" w:rsidTr="0065198B">
        <w:trPr>
          <w:trHeight w:val="315"/>
        </w:trPr>
        <w:tc>
          <w:tcPr>
            <w:tcW w:w="5920" w:type="dxa"/>
            <w:gridSpan w:val="6"/>
            <w:tcBorders>
              <w:top w:val="single" w:sz="8" w:space="0" w:color="auto"/>
              <w:left w:val="nil"/>
              <w:bottom w:val="nil"/>
              <w:right w:val="nil"/>
            </w:tcBorders>
            <w:noWrap/>
            <w:hideMark/>
          </w:tcPr>
          <w:p w:rsidR="0065198B" w:rsidRPr="00672849" w:rsidRDefault="0065198B" w:rsidP="0065198B">
            <w:pPr>
              <w:rPr>
                <w:rFonts w:ascii="Times New Roman" w:eastAsia="Times New Roman" w:hAnsi="Times New Roman" w:cs="Times New Roman"/>
                <w:b/>
                <w:bCs/>
                <w:color w:val="000000"/>
                <w:sz w:val="20"/>
                <w:szCs w:val="20"/>
                <w:lang w:eastAsia="ru-RU"/>
              </w:rPr>
            </w:pPr>
            <w:proofErr w:type="spellStart"/>
            <w:r w:rsidRPr="00672849">
              <w:rPr>
                <w:rFonts w:ascii="Times New Roman" w:eastAsia="Times New Roman" w:hAnsi="Times New Roman" w:cs="Times New Roman"/>
                <w:b/>
                <w:bCs/>
                <w:color w:val="000000"/>
                <w:sz w:val="20"/>
                <w:szCs w:val="20"/>
                <w:lang w:eastAsia="ru-RU"/>
              </w:rPr>
              <w:t>Less</w:t>
            </w:r>
            <w:proofErr w:type="spellEnd"/>
            <w:r w:rsidRPr="00672849">
              <w:rPr>
                <w:rFonts w:ascii="Times New Roman" w:eastAsia="Times New Roman" w:hAnsi="Times New Roman" w:cs="Times New Roman"/>
                <w:b/>
                <w:bCs/>
                <w:color w:val="000000"/>
                <w:sz w:val="20"/>
                <w:szCs w:val="20"/>
                <w:lang w:eastAsia="ru-RU"/>
              </w:rPr>
              <w:t xml:space="preserve">: </w:t>
            </w:r>
            <w:proofErr w:type="spellStart"/>
            <w:r w:rsidRPr="00672849">
              <w:rPr>
                <w:rFonts w:ascii="Times New Roman" w:eastAsia="Times New Roman" w:hAnsi="Times New Roman" w:cs="Times New Roman"/>
                <w:b/>
                <w:bCs/>
                <w:color w:val="000000"/>
                <w:sz w:val="20"/>
                <w:szCs w:val="20"/>
                <w:lang w:eastAsia="ru-RU"/>
              </w:rPr>
              <w:t>Capital</w:t>
            </w:r>
            <w:proofErr w:type="spellEnd"/>
            <w:r w:rsidRPr="00672849">
              <w:rPr>
                <w:rFonts w:ascii="Times New Roman" w:eastAsia="Times New Roman" w:hAnsi="Times New Roman" w:cs="Times New Roman"/>
                <w:b/>
                <w:bCs/>
                <w:color w:val="000000"/>
                <w:sz w:val="20"/>
                <w:szCs w:val="20"/>
                <w:lang w:eastAsia="ru-RU"/>
              </w:rPr>
              <w:t xml:space="preserve"> </w:t>
            </w:r>
            <w:proofErr w:type="spellStart"/>
            <w:r w:rsidRPr="00672849">
              <w:rPr>
                <w:rFonts w:ascii="Times New Roman" w:eastAsia="Times New Roman" w:hAnsi="Times New Roman" w:cs="Times New Roman"/>
                <w:b/>
                <w:bCs/>
                <w:color w:val="000000"/>
                <w:sz w:val="20"/>
                <w:szCs w:val="20"/>
                <w:lang w:eastAsia="ru-RU"/>
              </w:rPr>
              <w:t>Expenditures</w:t>
            </w:r>
            <w:proofErr w:type="spellEnd"/>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22 959</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24 336</w:t>
            </w:r>
          </w:p>
        </w:tc>
        <w:tc>
          <w:tcPr>
            <w:tcW w:w="1275"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25 504</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26 423</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27 030</w:t>
            </w:r>
          </w:p>
        </w:tc>
        <w:tc>
          <w:tcPr>
            <w:tcW w:w="1276" w:type="dxa"/>
            <w:tcBorders>
              <w:top w:val="single" w:sz="8" w:space="0" w:color="auto"/>
              <w:left w:val="nil"/>
              <w:bottom w:val="nil"/>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27 571</w:t>
            </w:r>
          </w:p>
        </w:tc>
      </w:tr>
      <w:tr w:rsidR="0065198B" w:rsidRPr="00672849" w:rsidTr="0065198B">
        <w:trPr>
          <w:trHeight w:val="315"/>
        </w:trPr>
        <w:tc>
          <w:tcPr>
            <w:tcW w:w="5920" w:type="dxa"/>
            <w:gridSpan w:val="6"/>
            <w:tcBorders>
              <w:top w:val="nil"/>
              <w:left w:val="nil"/>
              <w:bottom w:val="nil"/>
              <w:right w:val="nil"/>
            </w:tcBorders>
            <w:noWrap/>
            <w:hideMark/>
          </w:tcPr>
          <w:p w:rsidR="0065198B" w:rsidRPr="00672849" w:rsidRDefault="0065198B" w:rsidP="0065198B">
            <w:pPr>
              <w:ind w:firstLineChars="100" w:firstLine="200"/>
              <w:rPr>
                <w:rFonts w:ascii="Times New Roman" w:eastAsia="Times New Roman" w:hAnsi="Times New Roman" w:cs="Times New Roman"/>
                <w:i/>
                <w:iCs/>
                <w:color w:val="000000"/>
                <w:sz w:val="20"/>
                <w:szCs w:val="20"/>
                <w:lang w:eastAsia="ru-RU"/>
              </w:rPr>
            </w:pPr>
            <w:proofErr w:type="spellStart"/>
            <w:r w:rsidRPr="00672849">
              <w:rPr>
                <w:rFonts w:ascii="Times New Roman" w:eastAsia="Times New Roman" w:hAnsi="Times New Roman" w:cs="Times New Roman"/>
                <w:i/>
                <w:iCs/>
                <w:color w:val="000000"/>
                <w:sz w:val="20"/>
                <w:szCs w:val="20"/>
                <w:lang w:eastAsia="ru-RU"/>
              </w:rPr>
              <w:t>Capex</w:t>
            </w:r>
            <w:proofErr w:type="spellEnd"/>
            <w:r w:rsidRPr="00672849">
              <w:rPr>
                <w:rFonts w:ascii="Times New Roman" w:eastAsia="Times New Roman" w:hAnsi="Times New Roman" w:cs="Times New Roman"/>
                <w:i/>
                <w:iCs/>
                <w:color w:val="000000"/>
                <w:sz w:val="20"/>
                <w:szCs w:val="20"/>
                <w:lang w:eastAsia="ru-RU"/>
              </w:rPr>
              <w:t xml:space="preserve"> (</w:t>
            </w:r>
            <w:proofErr w:type="spellStart"/>
            <w:r w:rsidRPr="00672849">
              <w:rPr>
                <w:rFonts w:ascii="Times New Roman" w:eastAsia="Times New Roman" w:hAnsi="Times New Roman" w:cs="Times New Roman"/>
                <w:i/>
                <w:iCs/>
                <w:color w:val="000000"/>
                <w:sz w:val="20"/>
                <w:szCs w:val="20"/>
                <w:lang w:eastAsia="ru-RU"/>
              </w:rPr>
              <w:t>as</w:t>
            </w:r>
            <w:proofErr w:type="spellEnd"/>
            <w:r w:rsidRPr="00672849">
              <w:rPr>
                <w:rFonts w:ascii="Times New Roman" w:eastAsia="Times New Roman" w:hAnsi="Times New Roman" w:cs="Times New Roman"/>
                <w:i/>
                <w:iCs/>
                <w:color w:val="000000"/>
                <w:sz w:val="20"/>
                <w:szCs w:val="20"/>
                <w:lang w:eastAsia="ru-RU"/>
              </w:rPr>
              <w:t xml:space="preserve"> % </w:t>
            </w:r>
            <w:proofErr w:type="spellStart"/>
            <w:r w:rsidRPr="00672849">
              <w:rPr>
                <w:rFonts w:ascii="Times New Roman" w:eastAsia="Times New Roman" w:hAnsi="Times New Roman" w:cs="Times New Roman"/>
                <w:i/>
                <w:iCs/>
                <w:color w:val="000000"/>
                <w:sz w:val="20"/>
                <w:szCs w:val="20"/>
                <w:lang w:eastAsia="ru-RU"/>
              </w:rPr>
              <w:t>of</w:t>
            </w:r>
            <w:proofErr w:type="spellEnd"/>
            <w:r w:rsidRPr="00672849">
              <w:rPr>
                <w:rFonts w:ascii="Times New Roman" w:eastAsia="Times New Roman" w:hAnsi="Times New Roman" w:cs="Times New Roman"/>
                <w:i/>
                <w:iCs/>
                <w:color w:val="000000"/>
                <w:sz w:val="20"/>
                <w:szCs w:val="20"/>
                <w:lang w:eastAsia="ru-RU"/>
              </w:rPr>
              <w:t xml:space="preserve"> </w:t>
            </w:r>
            <w:proofErr w:type="spellStart"/>
            <w:r w:rsidRPr="00672849">
              <w:rPr>
                <w:rFonts w:ascii="Times New Roman" w:eastAsia="Times New Roman" w:hAnsi="Times New Roman" w:cs="Times New Roman"/>
                <w:i/>
                <w:iCs/>
                <w:color w:val="000000"/>
                <w:sz w:val="20"/>
                <w:szCs w:val="20"/>
                <w:lang w:eastAsia="ru-RU"/>
              </w:rPr>
              <w:t>Revenues</w:t>
            </w:r>
            <w:proofErr w:type="spellEnd"/>
            <w:r w:rsidRPr="00672849">
              <w:rPr>
                <w:rFonts w:ascii="Times New Roman" w:eastAsia="Times New Roman" w:hAnsi="Times New Roman" w:cs="Times New Roman"/>
                <w:i/>
                <w:iCs/>
                <w:color w:val="000000"/>
                <w:sz w:val="20"/>
                <w:szCs w:val="20"/>
                <w:lang w:eastAsia="ru-RU"/>
              </w:rPr>
              <w:t>)</w:t>
            </w:r>
          </w:p>
        </w:tc>
        <w:tc>
          <w:tcPr>
            <w:tcW w:w="1276" w:type="dxa"/>
            <w:tcBorders>
              <w:top w:val="nil"/>
              <w:left w:val="nil"/>
              <w:bottom w:val="nil"/>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21,6%</w:t>
            </w:r>
          </w:p>
        </w:tc>
        <w:tc>
          <w:tcPr>
            <w:tcW w:w="1276" w:type="dxa"/>
            <w:tcBorders>
              <w:top w:val="nil"/>
              <w:left w:val="nil"/>
              <w:bottom w:val="nil"/>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21,6%</w:t>
            </w:r>
          </w:p>
        </w:tc>
        <w:tc>
          <w:tcPr>
            <w:tcW w:w="1275" w:type="dxa"/>
            <w:tcBorders>
              <w:top w:val="nil"/>
              <w:left w:val="nil"/>
              <w:bottom w:val="nil"/>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21,6%</w:t>
            </w:r>
          </w:p>
        </w:tc>
        <w:tc>
          <w:tcPr>
            <w:tcW w:w="1276" w:type="dxa"/>
            <w:tcBorders>
              <w:top w:val="nil"/>
              <w:left w:val="nil"/>
              <w:bottom w:val="nil"/>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21,6%</w:t>
            </w:r>
          </w:p>
        </w:tc>
        <w:tc>
          <w:tcPr>
            <w:tcW w:w="1276" w:type="dxa"/>
            <w:tcBorders>
              <w:top w:val="nil"/>
              <w:left w:val="nil"/>
              <w:bottom w:val="nil"/>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21,6%</w:t>
            </w:r>
          </w:p>
        </w:tc>
        <w:tc>
          <w:tcPr>
            <w:tcW w:w="1276" w:type="dxa"/>
            <w:tcBorders>
              <w:top w:val="nil"/>
              <w:left w:val="nil"/>
              <w:bottom w:val="nil"/>
              <w:right w:val="nil"/>
            </w:tcBorders>
            <w:noWrap/>
            <w:hideMark/>
          </w:tcPr>
          <w:p w:rsidR="0065198B" w:rsidRPr="00672849" w:rsidRDefault="0065198B" w:rsidP="0065198B">
            <w:pPr>
              <w:jc w:val="center"/>
              <w:rPr>
                <w:rFonts w:ascii="Times New Roman" w:eastAsia="Times New Roman" w:hAnsi="Times New Roman" w:cs="Times New Roman"/>
                <w:i/>
                <w:iCs/>
                <w:color w:val="000000"/>
                <w:sz w:val="20"/>
                <w:szCs w:val="20"/>
                <w:lang w:eastAsia="ru-RU"/>
              </w:rPr>
            </w:pPr>
            <w:r w:rsidRPr="00672849">
              <w:rPr>
                <w:rFonts w:ascii="Times New Roman" w:eastAsia="Times New Roman" w:hAnsi="Times New Roman" w:cs="Times New Roman"/>
                <w:i/>
                <w:iCs/>
                <w:color w:val="000000"/>
                <w:sz w:val="20"/>
                <w:szCs w:val="20"/>
                <w:lang w:eastAsia="ru-RU"/>
              </w:rPr>
              <w:t>21,6%</w:t>
            </w:r>
          </w:p>
        </w:tc>
      </w:tr>
      <w:tr w:rsidR="0065198B" w:rsidRPr="00672849" w:rsidTr="0065198B">
        <w:trPr>
          <w:trHeight w:val="315"/>
        </w:trPr>
        <w:tc>
          <w:tcPr>
            <w:tcW w:w="5920" w:type="dxa"/>
            <w:gridSpan w:val="6"/>
            <w:tcBorders>
              <w:top w:val="nil"/>
              <w:left w:val="nil"/>
              <w:bottom w:val="single" w:sz="18" w:space="0" w:color="auto"/>
              <w:right w:val="nil"/>
            </w:tcBorders>
            <w:noWrap/>
            <w:hideMark/>
          </w:tcPr>
          <w:p w:rsidR="0065198B" w:rsidRPr="00672849" w:rsidRDefault="0065198B" w:rsidP="0065198B">
            <w:pPr>
              <w:rPr>
                <w:rFonts w:ascii="Times New Roman" w:eastAsia="Times New Roman" w:hAnsi="Times New Roman" w:cs="Times New Roman"/>
                <w:b/>
                <w:bCs/>
                <w:color w:val="000000"/>
                <w:sz w:val="20"/>
                <w:szCs w:val="20"/>
                <w:lang w:val="en-US" w:eastAsia="ru-RU"/>
              </w:rPr>
            </w:pPr>
            <w:r w:rsidRPr="00672849">
              <w:rPr>
                <w:rFonts w:ascii="Times New Roman" w:eastAsia="Times New Roman" w:hAnsi="Times New Roman" w:cs="Times New Roman"/>
                <w:b/>
                <w:bCs/>
                <w:color w:val="000000"/>
                <w:sz w:val="20"/>
                <w:szCs w:val="20"/>
                <w:lang w:val="en-US" w:eastAsia="ru-RU"/>
              </w:rPr>
              <w:t>Less: Increase in Net Working Capital</w:t>
            </w:r>
          </w:p>
        </w:tc>
        <w:tc>
          <w:tcPr>
            <w:tcW w:w="1276" w:type="dxa"/>
            <w:tcBorders>
              <w:top w:val="nil"/>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$(3 447,27)</w:t>
            </w:r>
          </w:p>
        </w:tc>
        <w:tc>
          <w:tcPr>
            <w:tcW w:w="1276" w:type="dxa"/>
            <w:tcBorders>
              <w:top w:val="nil"/>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$(3 654,11)</w:t>
            </w:r>
          </w:p>
        </w:tc>
        <w:tc>
          <w:tcPr>
            <w:tcW w:w="1275" w:type="dxa"/>
            <w:tcBorders>
              <w:top w:val="nil"/>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$(3 829,50)</w:t>
            </w:r>
          </w:p>
        </w:tc>
        <w:tc>
          <w:tcPr>
            <w:tcW w:w="1276" w:type="dxa"/>
            <w:tcBorders>
              <w:top w:val="nil"/>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$(3 967,36)</w:t>
            </w:r>
          </w:p>
        </w:tc>
        <w:tc>
          <w:tcPr>
            <w:tcW w:w="1276" w:type="dxa"/>
            <w:tcBorders>
              <w:top w:val="nil"/>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$(4 058,61)</w:t>
            </w:r>
          </w:p>
        </w:tc>
        <w:tc>
          <w:tcPr>
            <w:tcW w:w="1276" w:type="dxa"/>
            <w:tcBorders>
              <w:top w:val="nil"/>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$(4 139,79)</w:t>
            </w:r>
          </w:p>
        </w:tc>
      </w:tr>
      <w:tr w:rsidR="0065198B" w:rsidRPr="00672849" w:rsidTr="0065198B">
        <w:trPr>
          <w:trHeight w:val="187"/>
        </w:trPr>
        <w:tc>
          <w:tcPr>
            <w:tcW w:w="5920" w:type="dxa"/>
            <w:gridSpan w:val="6"/>
            <w:tcBorders>
              <w:top w:val="single" w:sz="18" w:space="0" w:color="auto"/>
              <w:left w:val="nil"/>
              <w:bottom w:val="single" w:sz="18" w:space="0" w:color="auto"/>
              <w:right w:val="nil"/>
            </w:tcBorders>
            <w:noWrap/>
            <w:hideMark/>
          </w:tcPr>
          <w:p w:rsidR="0065198B" w:rsidRPr="00672849" w:rsidRDefault="0065198B" w:rsidP="0065198B">
            <w:pPr>
              <w:rPr>
                <w:rFonts w:ascii="Times New Roman" w:eastAsia="Times New Roman" w:hAnsi="Times New Roman" w:cs="Times New Roman"/>
                <w:b/>
                <w:bCs/>
                <w:color w:val="000000"/>
                <w:sz w:val="20"/>
                <w:szCs w:val="20"/>
                <w:lang w:eastAsia="ru-RU"/>
              </w:rPr>
            </w:pPr>
            <w:proofErr w:type="spellStart"/>
            <w:r w:rsidRPr="00672849">
              <w:rPr>
                <w:rFonts w:ascii="Times New Roman" w:eastAsia="Times New Roman" w:hAnsi="Times New Roman" w:cs="Times New Roman"/>
                <w:b/>
                <w:bCs/>
                <w:color w:val="000000"/>
                <w:sz w:val="20"/>
                <w:szCs w:val="20"/>
                <w:lang w:eastAsia="ru-RU"/>
              </w:rPr>
              <w:t>Unlevered</w:t>
            </w:r>
            <w:proofErr w:type="spellEnd"/>
            <w:r w:rsidRPr="00672849">
              <w:rPr>
                <w:rFonts w:ascii="Times New Roman" w:eastAsia="Times New Roman" w:hAnsi="Times New Roman" w:cs="Times New Roman"/>
                <w:b/>
                <w:bCs/>
                <w:color w:val="000000"/>
                <w:sz w:val="20"/>
                <w:szCs w:val="20"/>
                <w:lang w:eastAsia="ru-RU"/>
              </w:rPr>
              <w:t xml:space="preserve"> </w:t>
            </w:r>
            <w:proofErr w:type="spellStart"/>
            <w:r w:rsidRPr="00672849">
              <w:rPr>
                <w:rFonts w:ascii="Times New Roman" w:eastAsia="Times New Roman" w:hAnsi="Times New Roman" w:cs="Times New Roman"/>
                <w:b/>
                <w:bCs/>
                <w:color w:val="000000"/>
                <w:sz w:val="20"/>
                <w:szCs w:val="20"/>
                <w:lang w:eastAsia="ru-RU"/>
              </w:rPr>
              <w:t>Free</w:t>
            </w:r>
            <w:proofErr w:type="spellEnd"/>
            <w:r w:rsidRPr="00672849">
              <w:rPr>
                <w:rFonts w:ascii="Times New Roman" w:eastAsia="Times New Roman" w:hAnsi="Times New Roman" w:cs="Times New Roman"/>
                <w:b/>
                <w:bCs/>
                <w:color w:val="000000"/>
                <w:sz w:val="20"/>
                <w:szCs w:val="20"/>
                <w:lang w:eastAsia="ru-RU"/>
              </w:rPr>
              <w:t xml:space="preserve"> </w:t>
            </w:r>
            <w:proofErr w:type="spellStart"/>
            <w:r w:rsidRPr="00672849">
              <w:rPr>
                <w:rFonts w:ascii="Times New Roman" w:eastAsia="Times New Roman" w:hAnsi="Times New Roman" w:cs="Times New Roman"/>
                <w:b/>
                <w:bCs/>
                <w:color w:val="000000"/>
                <w:sz w:val="20"/>
                <w:szCs w:val="20"/>
                <w:lang w:eastAsia="ru-RU"/>
              </w:rPr>
              <w:t>Cash</w:t>
            </w:r>
            <w:proofErr w:type="spellEnd"/>
            <w:r w:rsidRPr="00672849">
              <w:rPr>
                <w:rFonts w:ascii="Times New Roman" w:eastAsia="Times New Roman" w:hAnsi="Times New Roman" w:cs="Times New Roman"/>
                <w:b/>
                <w:bCs/>
                <w:color w:val="000000"/>
                <w:sz w:val="20"/>
                <w:szCs w:val="20"/>
                <w:lang w:eastAsia="ru-RU"/>
              </w:rPr>
              <w:t xml:space="preserve"> </w:t>
            </w:r>
            <w:proofErr w:type="spellStart"/>
            <w:r w:rsidRPr="00672849">
              <w:rPr>
                <w:rFonts w:ascii="Times New Roman" w:eastAsia="Times New Roman" w:hAnsi="Times New Roman" w:cs="Times New Roman"/>
                <w:b/>
                <w:bCs/>
                <w:color w:val="000000"/>
                <w:sz w:val="20"/>
                <w:szCs w:val="20"/>
                <w:lang w:eastAsia="ru-RU"/>
              </w:rPr>
              <w:t>Flow</w:t>
            </w:r>
            <w:proofErr w:type="spellEnd"/>
          </w:p>
        </w:tc>
        <w:tc>
          <w:tcPr>
            <w:tcW w:w="1276"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1 678</w:t>
            </w:r>
          </w:p>
        </w:tc>
        <w:tc>
          <w:tcPr>
            <w:tcW w:w="1276"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1 778</w:t>
            </w:r>
          </w:p>
        </w:tc>
        <w:tc>
          <w:tcPr>
            <w:tcW w:w="1275"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1 864</w:t>
            </w:r>
          </w:p>
        </w:tc>
        <w:tc>
          <w:tcPr>
            <w:tcW w:w="1276"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1 931</w:t>
            </w:r>
          </w:p>
        </w:tc>
        <w:tc>
          <w:tcPr>
            <w:tcW w:w="1276"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1 975</w:t>
            </w:r>
          </w:p>
        </w:tc>
        <w:tc>
          <w:tcPr>
            <w:tcW w:w="1276" w:type="dxa"/>
            <w:tcBorders>
              <w:top w:val="single" w:sz="18" w:space="0" w:color="auto"/>
              <w:left w:val="nil"/>
              <w:bottom w:val="single" w:sz="18" w:space="0" w:color="auto"/>
              <w:right w:val="nil"/>
            </w:tcBorders>
            <w:noWrap/>
            <w:hideMark/>
          </w:tcPr>
          <w:p w:rsidR="0065198B" w:rsidRPr="00672849" w:rsidRDefault="0065198B" w:rsidP="0065198B">
            <w:pPr>
              <w:jc w:val="center"/>
              <w:rPr>
                <w:rFonts w:ascii="Times New Roman" w:eastAsia="Times New Roman" w:hAnsi="Times New Roman" w:cs="Times New Roman"/>
                <w:b/>
                <w:bCs/>
                <w:color w:val="000000"/>
                <w:sz w:val="20"/>
                <w:szCs w:val="20"/>
                <w:lang w:eastAsia="ru-RU"/>
              </w:rPr>
            </w:pPr>
            <w:r w:rsidRPr="00672849">
              <w:rPr>
                <w:rFonts w:ascii="Times New Roman" w:eastAsia="Times New Roman" w:hAnsi="Times New Roman" w:cs="Times New Roman"/>
                <w:b/>
                <w:bCs/>
                <w:color w:val="000000"/>
                <w:sz w:val="20"/>
                <w:szCs w:val="20"/>
                <w:lang w:eastAsia="ru-RU"/>
              </w:rPr>
              <w:t>$      2 015</w:t>
            </w:r>
          </w:p>
        </w:tc>
      </w:tr>
    </w:tbl>
    <w:p w:rsidR="0065198B" w:rsidRPr="0065198B" w:rsidRDefault="0065198B" w:rsidP="0065198B"/>
    <w:sectPr w:rsidR="0065198B" w:rsidRPr="0065198B" w:rsidSect="0065198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191" w:rsidRDefault="002F0191" w:rsidP="0059775B">
      <w:pPr>
        <w:spacing w:after="0" w:line="240" w:lineRule="auto"/>
      </w:pPr>
      <w:r>
        <w:separator/>
      </w:r>
    </w:p>
  </w:endnote>
  <w:endnote w:type="continuationSeparator" w:id="0">
    <w:p w:rsidR="002F0191" w:rsidRDefault="002F0191" w:rsidP="0059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191" w:rsidRDefault="002F0191" w:rsidP="0059775B">
      <w:pPr>
        <w:spacing w:after="0" w:line="240" w:lineRule="auto"/>
      </w:pPr>
      <w:r>
        <w:separator/>
      </w:r>
    </w:p>
  </w:footnote>
  <w:footnote w:type="continuationSeparator" w:id="0">
    <w:p w:rsidR="002F0191" w:rsidRDefault="002F0191" w:rsidP="0059775B">
      <w:pPr>
        <w:spacing w:after="0" w:line="240" w:lineRule="auto"/>
      </w:pPr>
      <w:r>
        <w:continuationSeparator/>
      </w:r>
    </w:p>
  </w:footnote>
  <w:footnote w:id="1">
    <w:p w:rsidR="004D6A9F" w:rsidRPr="00145025" w:rsidRDefault="004D6A9F" w:rsidP="0059775B">
      <w:pPr>
        <w:pStyle w:val="a5"/>
        <w:jc w:val="both"/>
        <w:rPr>
          <w:rFonts w:ascii="Times New Roman" w:hAnsi="Times New Roman" w:cs="Times New Roman"/>
          <w:lang w:val="en-US"/>
        </w:rPr>
      </w:pPr>
      <w:r w:rsidRPr="00145025">
        <w:rPr>
          <w:rStyle w:val="a7"/>
          <w:rFonts w:ascii="Times New Roman" w:hAnsi="Times New Roman" w:cs="Times New Roman"/>
        </w:rPr>
        <w:footnoteRef/>
      </w:r>
      <w:r w:rsidRPr="00145025">
        <w:rPr>
          <w:rFonts w:ascii="Times New Roman" w:hAnsi="Times New Roman" w:cs="Times New Roman"/>
          <w:lang w:val="en-US"/>
        </w:rPr>
        <w:t xml:space="preserve"> </w:t>
      </w:r>
      <w:proofErr w:type="gramStart"/>
      <w:r w:rsidRPr="00145025">
        <w:rPr>
          <w:rFonts w:ascii="Times New Roman" w:hAnsi="Times New Roman" w:cs="Times New Roman"/>
          <w:lang w:val="en-US"/>
        </w:rPr>
        <w:t>Reed.</w:t>
      </w:r>
      <w:proofErr w:type="gramEnd"/>
      <w:r w:rsidRPr="00145025">
        <w:rPr>
          <w:rFonts w:ascii="Times New Roman" w:hAnsi="Times New Roman" w:cs="Times New Roman"/>
          <w:lang w:val="en-US"/>
        </w:rPr>
        <w:t xml:space="preserve"> </w:t>
      </w:r>
      <w:proofErr w:type="gramStart"/>
      <w:r w:rsidRPr="00145025">
        <w:rPr>
          <w:rFonts w:ascii="Times New Roman" w:hAnsi="Times New Roman" w:cs="Times New Roman"/>
          <w:lang w:val="en-US"/>
        </w:rPr>
        <w:t>S.F.</w:t>
      </w:r>
      <w:proofErr w:type="gramEnd"/>
      <w:r w:rsidRPr="00145025">
        <w:rPr>
          <w:rFonts w:ascii="Times New Roman" w:hAnsi="Times New Roman" w:cs="Times New Roman"/>
          <w:lang w:val="en-US"/>
        </w:rPr>
        <w:t xml:space="preserve"> The Art of M&amp;A, Fourth Edition: A Merger Acquisition Buyout Guide / S. F. Reed, A. </w:t>
      </w:r>
      <w:proofErr w:type="spellStart"/>
      <w:r w:rsidRPr="00145025">
        <w:rPr>
          <w:rFonts w:ascii="Times New Roman" w:hAnsi="Times New Roman" w:cs="Times New Roman"/>
          <w:lang w:val="en-US"/>
        </w:rPr>
        <w:t>Lajoux</w:t>
      </w:r>
      <w:proofErr w:type="spellEnd"/>
      <w:proofErr w:type="gramStart"/>
      <w:r w:rsidRPr="00145025">
        <w:rPr>
          <w:rFonts w:ascii="Times New Roman" w:hAnsi="Times New Roman" w:cs="Times New Roman"/>
          <w:lang w:val="en-US"/>
        </w:rPr>
        <w:t>,  H</w:t>
      </w:r>
      <w:proofErr w:type="gramEnd"/>
      <w:r w:rsidRPr="00145025">
        <w:rPr>
          <w:rFonts w:ascii="Times New Roman" w:hAnsi="Times New Roman" w:cs="Times New Roman"/>
          <w:lang w:val="en-US"/>
        </w:rPr>
        <w:t>. P.</w:t>
      </w:r>
    </w:p>
    <w:p w:rsidR="004D6A9F" w:rsidRPr="00145025" w:rsidRDefault="004D6A9F" w:rsidP="0059775B">
      <w:pPr>
        <w:pStyle w:val="a5"/>
        <w:jc w:val="both"/>
        <w:rPr>
          <w:rFonts w:ascii="Times New Roman" w:hAnsi="Times New Roman" w:cs="Times New Roman"/>
          <w:lang w:val="en-US"/>
        </w:rPr>
      </w:pPr>
      <w:proofErr w:type="spellStart"/>
      <w:proofErr w:type="gramStart"/>
      <w:r w:rsidRPr="00145025">
        <w:rPr>
          <w:rFonts w:ascii="Times New Roman" w:hAnsi="Times New Roman" w:cs="Times New Roman"/>
          <w:lang w:val="en-US"/>
        </w:rPr>
        <w:t>Nesvold</w:t>
      </w:r>
      <w:proofErr w:type="spellEnd"/>
      <w:r w:rsidRPr="00145025">
        <w:rPr>
          <w:rFonts w:ascii="Times New Roman" w:hAnsi="Times New Roman" w:cs="Times New Roman"/>
          <w:lang w:val="en-US"/>
        </w:rPr>
        <w:t xml:space="preserve"> .</w:t>
      </w:r>
      <w:proofErr w:type="gramEnd"/>
      <w:r w:rsidRPr="00145025">
        <w:rPr>
          <w:rFonts w:ascii="Times New Roman" w:hAnsi="Times New Roman" w:cs="Times New Roman"/>
          <w:lang w:val="en-US"/>
        </w:rPr>
        <w:t xml:space="preserve"> </w:t>
      </w:r>
      <w:proofErr w:type="gramStart"/>
      <w:r w:rsidRPr="00145025">
        <w:rPr>
          <w:rFonts w:ascii="Times New Roman" w:hAnsi="Times New Roman" w:cs="Times New Roman"/>
          <w:lang w:val="en-US"/>
        </w:rPr>
        <w:t xml:space="preserve">― </w:t>
      </w:r>
      <w:r>
        <w:rPr>
          <w:rFonts w:ascii="Times New Roman" w:hAnsi="Times New Roman" w:cs="Times New Roman"/>
          <w:lang w:val="en-US"/>
        </w:rPr>
        <w:t>4th ed. ―McGraw-Hill, 2007.</w:t>
      </w:r>
      <w:proofErr w:type="gramEnd"/>
      <w:r>
        <w:rPr>
          <w:rFonts w:ascii="Times New Roman" w:hAnsi="Times New Roman" w:cs="Times New Roman"/>
          <w:lang w:val="en-US"/>
        </w:rPr>
        <w:t xml:space="preserve"> — 15</w:t>
      </w:r>
      <w:r w:rsidRPr="00145025">
        <w:rPr>
          <w:rFonts w:ascii="Times New Roman" w:hAnsi="Times New Roman" w:cs="Times New Roman"/>
          <w:lang w:val="en-US"/>
        </w:rPr>
        <w:t xml:space="preserve"> p.</w:t>
      </w:r>
    </w:p>
  </w:footnote>
  <w:footnote w:id="2">
    <w:p w:rsidR="004D6A9F" w:rsidRDefault="004D6A9F" w:rsidP="0059775B">
      <w:pPr>
        <w:pStyle w:val="a5"/>
        <w:jc w:val="both"/>
      </w:pPr>
      <w:r w:rsidRPr="00145025">
        <w:rPr>
          <w:rStyle w:val="a7"/>
          <w:rFonts w:ascii="Times New Roman" w:hAnsi="Times New Roman" w:cs="Times New Roman"/>
        </w:rPr>
        <w:footnoteRef/>
      </w:r>
      <w:r w:rsidRPr="00145025">
        <w:rPr>
          <w:rFonts w:ascii="Times New Roman" w:hAnsi="Times New Roman" w:cs="Times New Roman"/>
        </w:rPr>
        <w:t xml:space="preserve"> Федеральный закон от 26.12.1995 N 208-ФЗ (ред. от 03.07.2016) "Об акционерных обществах"</w:t>
      </w:r>
    </w:p>
  </w:footnote>
  <w:footnote w:id="3">
    <w:p w:rsidR="004D6A9F" w:rsidRPr="007228A0" w:rsidRDefault="004D6A9F" w:rsidP="0059775B">
      <w:pPr>
        <w:pStyle w:val="a5"/>
        <w:jc w:val="both"/>
        <w:rPr>
          <w:rFonts w:ascii="Times New Roman" w:hAnsi="Times New Roman" w:cs="Times New Roman"/>
        </w:rPr>
      </w:pPr>
      <w:r w:rsidRPr="00AE2AC8">
        <w:rPr>
          <w:rStyle w:val="a7"/>
          <w:rFonts w:ascii="Times New Roman" w:hAnsi="Times New Roman" w:cs="Times New Roman"/>
        </w:rPr>
        <w:footnoteRef/>
      </w:r>
      <w:r w:rsidRPr="00AE2AC8">
        <w:rPr>
          <w:rFonts w:ascii="Times New Roman" w:hAnsi="Times New Roman" w:cs="Times New Roman"/>
        </w:rPr>
        <w:t xml:space="preserve"> Владимирова, И. Г. Слияния и поглощения компаний / И. Г. Владимирова // Менеджмент в России и за рубежом. – 1999. </w:t>
      </w:r>
      <w:r w:rsidRPr="007228A0">
        <w:rPr>
          <w:rFonts w:ascii="Times New Roman" w:hAnsi="Times New Roman" w:cs="Times New Roman"/>
        </w:rPr>
        <w:t xml:space="preserve">№ 1. </w:t>
      </w:r>
      <w:r w:rsidRPr="00AE2AC8">
        <w:rPr>
          <w:rFonts w:ascii="Times New Roman" w:hAnsi="Times New Roman" w:cs="Times New Roman"/>
          <w:lang w:val="en-US"/>
        </w:rPr>
        <w:t>URL</w:t>
      </w:r>
      <w:r w:rsidRPr="007228A0">
        <w:rPr>
          <w:rFonts w:ascii="Times New Roman" w:hAnsi="Times New Roman" w:cs="Times New Roman"/>
        </w:rPr>
        <w:t xml:space="preserve"> : </w:t>
      </w:r>
      <w:hyperlink r:id="rId1" w:history="1">
        <w:r w:rsidRPr="00AE2AC8">
          <w:rPr>
            <w:rStyle w:val="a4"/>
            <w:rFonts w:ascii="Times New Roman" w:hAnsi="Times New Roman" w:cs="Times New Roman"/>
            <w:lang w:val="en-US"/>
          </w:rPr>
          <w:t>http</w:t>
        </w:r>
        <w:r w:rsidRPr="007228A0">
          <w:rPr>
            <w:rStyle w:val="a4"/>
            <w:rFonts w:ascii="Times New Roman" w:hAnsi="Times New Roman" w:cs="Times New Roman"/>
          </w:rPr>
          <w:t>://</w:t>
        </w:r>
        <w:r w:rsidRPr="00AE2AC8">
          <w:rPr>
            <w:rStyle w:val="a4"/>
            <w:rFonts w:ascii="Times New Roman" w:hAnsi="Times New Roman" w:cs="Times New Roman"/>
            <w:lang w:val="en-US"/>
          </w:rPr>
          <w:t>www</w:t>
        </w:r>
        <w:r w:rsidRPr="007228A0">
          <w:rPr>
            <w:rStyle w:val="a4"/>
            <w:rFonts w:ascii="Times New Roman" w:hAnsi="Times New Roman" w:cs="Times New Roman"/>
          </w:rPr>
          <w:t>.</w:t>
        </w:r>
        <w:proofErr w:type="spellStart"/>
        <w:r w:rsidRPr="00AE2AC8">
          <w:rPr>
            <w:rStyle w:val="a4"/>
            <w:rFonts w:ascii="Times New Roman" w:hAnsi="Times New Roman" w:cs="Times New Roman"/>
            <w:lang w:val="en-US"/>
          </w:rPr>
          <w:t>cfin</w:t>
        </w:r>
        <w:proofErr w:type="spellEnd"/>
        <w:r w:rsidRPr="007228A0">
          <w:rPr>
            <w:rStyle w:val="a4"/>
            <w:rFonts w:ascii="Times New Roman" w:hAnsi="Times New Roman" w:cs="Times New Roman"/>
          </w:rPr>
          <w:t>.</w:t>
        </w:r>
        <w:proofErr w:type="spellStart"/>
        <w:r w:rsidRPr="00AE2AC8">
          <w:rPr>
            <w:rStyle w:val="a4"/>
            <w:rFonts w:ascii="Times New Roman" w:hAnsi="Times New Roman" w:cs="Times New Roman"/>
            <w:lang w:val="en-US"/>
          </w:rPr>
          <w:t>ru</w:t>
        </w:r>
        <w:proofErr w:type="spellEnd"/>
      </w:hyperlink>
      <w:r w:rsidRPr="007228A0">
        <w:rPr>
          <w:rFonts w:ascii="Times New Roman" w:hAnsi="Times New Roman" w:cs="Times New Roman"/>
        </w:rPr>
        <w:t xml:space="preserve"> </w:t>
      </w:r>
      <w:r>
        <w:rPr>
          <w:rFonts w:ascii="Times New Roman" w:hAnsi="Times New Roman" w:cs="Times New Roman"/>
        </w:rPr>
        <w:t>(Дата обращения: 24.04.2017</w:t>
      </w:r>
      <w:r w:rsidRPr="00F04194">
        <w:rPr>
          <w:rFonts w:ascii="Times New Roman" w:hAnsi="Times New Roman" w:cs="Times New Roman"/>
        </w:rPr>
        <w:t>)</w:t>
      </w:r>
    </w:p>
  </w:footnote>
  <w:footnote w:id="4">
    <w:p w:rsidR="004D6A9F" w:rsidRPr="00021970" w:rsidRDefault="004D6A9F" w:rsidP="0059775B">
      <w:pPr>
        <w:pStyle w:val="a5"/>
        <w:jc w:val="both"/>
        <w:rPr>
          <w:rFonts w:ascii="Times New Roman" w:hAnsi="Times New Roman" w:cs="Times New Roman"/>
        </w:rPr>
      </w:pPr>
      <w:r w:rsidRPr="00021970">
        <w:rPr>
          <w:rStyle w:val="a7"/>
          <w:rFonts w:ascii="Times New Roman" w:hAnsi="Times New Roman" w:cs="Times New Roman"/>
        </w:rPr>
        <w:footnoteRef/>
      </w:r>
      <w:r w:rsidRPr="00021970">
        <w:rPr>
          <w:rFonts w:ascii="Times New Roman" w:hAnsi="Times New Roman" w:cs="Times New Roman"/>
        </w:rPr>
        <w:t xml:space="preserve"> Манаков, Д. Наука поглощений / Д. Манаков, Г. </w:t>
      </w:r>
      <w:proofErr w:type="spellStart"/>
      <w:r w:rsidRPr="00021970">
        <w:rPr>
          <w:rFonts w:ascii="Times New Roman" w:hAnsi="Times New Roman" w:cs="Times New Roman"/>
        </w:rPr>
        <w:t>Газин</w:t>
      </w:r>
      <w:proofErr w:type="spellEnd"/>
      <w:r w:rsidRPr="00021970">
        <w:rPr>
          <w:rFonts w:ascii="Times New Roman" w:hAnsi="Times New Roman" w:cs="Times New Roman"/>
        </w:rPr>
        <w:t xml:space="preserve"> // Вестник </w:t>
      </w:r>
      <w:r w:rsidRPr="00021970">
        <w:rPr>
          <w:rFonts w:ascii="Times New Roman" w:hAnsi="Times New Roman" w:cs="Times New Roman"/>
          <w:lang w:val="en-US"/>
        </w:rPr>
        <w:t>McKinsey</w:t>
      </w:r>
      <w:r w:rsidRPr="00021970">
        <w:rPr>
          <w:rFonts w:ascii="Times New Roman" w:hAnsi="Times New Roman" w:cs="Times New Roman"/>
        </w:rPr>
        <w:t>. - 2003. № 2 (4). – С.</w:t>
      </w:r>
      <w:r>
        <w:rPr>
          <w:rFonts w:ascii="Times New Roman" w:hAnsi="Times New Roman" w:cs="Times New Roman"/>
        </w:rPr>
        <w:t xml:space="preserve"> 18</w:t>
      </w:r>
      <w:r w:rsidRPr="00021970">
        <w:rPr>
          <w:rFonts w:ascii="Times New Roman" w:hAnsi="Times New Roman" w:cs="Times New Roman"/>
        </w:rPr>
        <w:t>.</w:t>
      </w:r>
    </w:p>
  </w:footnote>
  <w:footnote w:id="5">
    <w:p w:rsidR="004D6A9F" w:rsidRPr="0059775B" w:rsidRDefault="004D6A9F" w:rsidP="0059775B">
      <w:pPr>
        <w:pStyle w:val="a5"/>
        <w:jc w:val="both"/>
        <w:rPr>
          <w:rFonts w:ascii="Times New Roman" w:hAnsi="Times New Roman" w:cs="Times New Roman"/>
        </w:rPr>
      </w:pPr>
      <w:r w:rsidRPr="00021970">
        <w:rPr>
          <w:rStyle w:val="a7"/>
          <w:rFonts w:ascii="Times New Roman" w:hAnsi="Times New Roman" w:cs="Times New Roman"/>
        </w:rPr>
        <w:footnoteRef/>
      </w:r>
      <w:r w:rsidRPr="00021970">
        <w:rPr>
          <w:rFonts w:ascii="Times New Roman" w:hAnsi="Times New Roman" w:cs="Times New Roman"/>
        </w:rPr>
        <w:t xml:space="preserve"> Манаков, Д. Наука поглощений / Д. Манаков, Г. </w:t>
      </w:r>
      <w:proofErr w:type="spellStart"/>
      <w:r w:rsidRPr="00021970">
        <w:rPr>
          <w:rFonts w:ascii="Times New Roman" w:hAnsi="Times New Roman" w:cs="Times New Roman"/>
        </w:rPr>
        <w:t>Газин</w:t>
      </w:r>
      <w:proofErr w:type="spellEnd"/>
      <w:r w:rsidRPr="00021970">
        <w:rPr>
          <w:rFonts w:ascii="Times New Roman" w:hAnsi="Times New Roman" w:cs="Times New Roman"/>
        </w:rPr>
        <w:t xml:space="preserve"> // Вестник </w:t>
      </w:r>
      <w:proofErr w:type="spellStart"/>
      <w:r w:rsidRPr="00021970">
        <w:rPr>
          <w:rFonts w:ascii="Times New Roman" w:hAnsi="Times New Roman" w:cs="Times New Roman"/>
        </w:rPr>
        <w:t>Mc</w:t>
      </w:r>
      <w:r>
        <w:rPr>
          <w:rFonts w:ascii="Times New Roman" w:hAnsi="Times New Roman" w:cs="Times New Roman"/>
        </w:rPr>
        <w:t>Kinsey</w:t>
      </w:r>
      <w:proofErr w:type="spellEnd"/>
      <w:r>
        <w:rPr>
          <w:rFonts w:ascii="Times New Roman" w:hAnsi="Times New Roman" w:cs="Times New Roman"/>
        </w:rPr>
        <w:t xml:space="preserve">. - 2003. </w:t>
      </w:r>
      <w:r w:rsidRPr="0059775B">
        <w:rPr>
          <w:rFonts w:ascii="Times New Roman" w:hAnsi="Times New Roman" w:cs="Times New Roman"/>
        </w:rPr>
        <w:t xml:space="preserve">№ 2 (4). – </w:t>
      </w:r>
      <w:r>
        <w:rPr>
          <w:rFonts w:ascii="Times New Roman" w:hAnsi="Times New Roman" w:cs="Times New Roman"/>
        </w:rPr>
        <w:t>С</w:t>
      </w:r>
      <w:r w:rsidRPr="0059775B">
        <w:rPr>
          <w:rFonts w:ascii="Times New Roman" w:hAnsi="Times New Roman" w:cs="Times New Roman"/>
        </w:rPr>
        <w:t>. 18.</w:t>
      </w:r>
    </w:p>
  </w:footnote>
  <w:footnote w:id="6">
    <w:p w:rsidR="004D6A9F" w:rsidRPr="00F04194" w:rsidRDefault="004D6A9F" w:rsidP="0059775B">
      <w:pPr>
        <w:pStyle w:val="a5"/>
        <w:jc w:val="both"/>
        <w:rPr>
          <w:color w:val="FF0000"/>
        </w:rPr>
      </w:pPr>
      <w:r>
        <w:rPr>
          <w:rStyle w:val="a7"/>
        </w:rPr>
        <w:footnoteRef/>
      </w:r>
      <w:r w:rsidRPr="00F04194">
        <w:t xml:space="preserve">  </w:t>
      </w:r>
      <w:r w:rsidRPr="007228A0">
        <w:rPr>
          <w:rFonts w:ascii="Times New Roman" w:hAnsi="Times New Roman" w:cs="Times New Roman"/>
        </w:rPr>
        <w:t>Волков</w:t>
      </w:r>
      <w:r w:rsidRPr="00F04194">
        <w:rPr>
          <w:rFonts w:ascii="Times New Roman" w:hAnsi="Times New Roman" w:cs="Times New Roman"/>
        </w:rPr>
        <w:t xml:space="preserve">, </w:t>
      </w:r>
      <w:r w:rsidRPr="007228A0">
        <w:rPr>
          <w:rFonts w:ascii="Times New Roman" w:hAnsi="Times New Roman" w:cs="Times New Roman"/>
        </w:rPr>
        <w:t>В</w:t>
      </w:r>
      <w:r w:rsidRPr="00F04194">
        <w:rPr>
          <w:rFonts w:ascii="Times New Roman" w:hAnsi="Times New Roman" w:cs="Times New Roman"/>
        </w:rPr>
        <w:t xml:space="preserve">. </w:t>
      </w:r>
      <w:r w:rsidRPr="007228A0">
        <w:rPr>
          <w:rFonts w:ascii="Times New Roman" w:hAnsi="Times New Roman" w:cs="Times New Roman"/>
        </w:rPr>
        <w:t>Основы</w:t>
      </w:r>
      <w:r w:rsidRPr="00F04194">
        <w:rPr>
          <w:rFonts w:ascii="Times New Roman" w:hAnsi="Times New Roman" w:cs="Times New Roman"/>
        </w:rPr>
        <w:t xml:space="preserve"> </w:t>
      </w:r>
      <w:r w:rsidRPr="007228A0">
        <w:rPr>
          <w:rFonts w:ascii="Times New Roman" w:hAnsi="Times New Roman" w:cs="Times New Roman"/>
        </w:rPr>
        <w:t>слияний</w:t>
      </w:r>
      <w:r w:rsidRPr="00F04194">
        <w:rPr>
          <w:rFonts w:ascii="Times New Roman" w:hAnsi="Times New Roman" w:cs="Times New Roman"/>
        </w:rPr>
        <w:t xml:space="preserve"> </w:t>
      </w:r>
      <w:r w:rsidRPr="007228A0">
        <w:rPr>
          <w:rFonts w:ascii="Times New Roman" w:hAnsi="Times New Roman" w:cs="Times New Roman"/>
        </w:rPr>
        <w:t>и</w:t>
      </w:r>
      <w:r w:rsidRPr="00F04194">
        <w:rPr>
          <w:rFonts w:ascii="Times New Roman" w:hAnsi="Times New Roman" w:cs="Times New Roman"/>
        </w:rPr>
        <w:t xml:space="preserve"> </w:t>
      </w:r>
      <w:r w:rsidRPr="007228A0">
        <w:rPr>
          <w:rFonts w:ascii="Times New Roman" w:hAnsi="Times New Roman" w:cs="Times New Roman"/>
        </w:rPr>
        <w:t>поглощений</w:t>
      </w:r>
      <w:r w:rsidRPr="00F04194">
        <w:rPr>
          <w:rFonts w:ascii="Times New Roman" w:hAnsi="Times New Roman" w:cs="Times New Roman"/>
        </w:rPr>
        <w:t xml:space="preserve"> / </w:t>
      </w:r>
      <w:r w:rsidRPr="007228A0">
        <w:rPr>
          <w:rFonts w:ascii="Times New Roman" w:hAnsi="Times New Roman" w:cs="Times New Roman"/>
        </w:rPr>
        <w:t>В</w:t>
      </w:r>
      <w:r w:rsidRPr="00F04194">
        <w:rPr>
          <w:rFonts w:ascii="Times New Roman" w:hAnsi="Times New Roman" w:cs="Times New Roman"/>
        </w:rPr>
        <w:t xml:space="preserve">. </w:t>
      </w:r>
      <w:r w:rsidRPr="007228A0">
        <w:rPr>
          <w:rFonts w:ascii="Times New Roman" w:hAnsi="Times New Roman" w:cs="Times New Roman"/>
        </w:rPr>
        <w:t>Волков</w:t>
      </w:r>
      <w:r w:rsidRPr="00F04194">
        <w:rPr>
          <w:rFonts w:ascii="Times New Roman" w:hAnsi="Times New Roman" w:cs="Times New Roman"/>
        </w:rPr>
        <w:t xml:space="preserve"> // </w:t>
      </w:r>
      <w:r w:rsidRPr="007228A0">
        <w:rPr>
          <w:rFonts w:ascii="Times New Roman" w:hAnsi="Times New Roman" w:cs="Times New Roman"/>
          <w:lang w:val="en-US"/>
        </w:rPr>
        <w:t>URL</w:t>
      </w:r>
      <w:proofErr w:type="gramStart"/>
      <w:r w:rsidRPr="00F04194">
        <w:rPr>
          <w:rFonts w:ascii="Times New Roman" w:hAnsi="Times New Roman" w:cs="Times New Roman"/>
        </w:rPr>
        <w:t xml:space="preserve"> :</w:t>
      </w:r>
      <w:proofErr w:type="gramEnd"/>
      <w:r w:rsidRPr="00F04194">
        <w:rPr>
          <w:rFonts w:ascii="Times New Roman" w:hAnsi="Times New Roman" w:cs="Times New Roman"/>
        </w:rPr>
        <w:t xml:space="preserve"> </w:t>
      </w:r>
      <w:r w:rsidRPr="007228A0">
        <w:rPr>
          <w:rFonts w:ascii="Times New Roman" w:hAnsi="Times New Roman" w:cs="Times New Roman"/>
          <w:lang w:val="en-US"/>
        </w:rPr>
        <w:t>http</w:t>
      </w:r>
      <w:r w:rsidRPr="00F04194">
        <w:rPr>
          <w:rFonts w:ascii="Times New Roman" w:hAnsi="Times New Roman" w:cs="Times New Roman"/>
        </w:rPr>
        <w:t>://</w:t>
      </w:r>
      <w:r w:rsidRPr="007228A0">
        <w:rPr>
          <w:rFonts w:ascii="Times New Roman" w:hAnsi="Times New Roman" w:cs="Times New Roman"/>
          <w:lang w:val="en-US"/>
        </w:rPr>
        <w:t>www</w:t>
      </w:r>
      <w:r w:rsidRPr="00F04194">
        <w:rPr>
          <w:rFonts w:ascii="Times New Roman" w:hAnsi="Times New Roman" w:cs="Times New Roman"/>
        </w:rPr>
        <w:t>.</w:t>
      </w:r>
      <w:proofErr w:type="spellStart"/>
      <w:r w:rsidRPr="007228A0">
        <w:rPr>
          <w:rFonts w:ascii="Times New Roman" w:hAnsi="Times New Roman" w:cs="Times New Roman"/>
          <w:lang w:val="en-US"/>
        </w:rPr>
        <w:t>cfin</w:t>
      </w:r>
      <w:proofErr w:type="spellEnd"/>
      <w:r w:rsidRPr="00F04194">
        <w:rPr>
          <w:rFonts w:ascii="Times New Roman" w:hAnsi="Times New Roman" w:cs="Times New Roman"/>
        </w:rPr>
        <w:t>.</w:t>
      </w:r>
      <w:proofErr w:type="spellStart"/>
      <w:r w:rsidRPr="007228A0">
        <w:rPr>
          <w:rFonts w:ascii="Times New Roman" w:hAnsi="Times New Roman" w:cs="Times New Roman"/>
          <w:lang w:val="en-US"/>
        </w:rPr>
        <w:t>ru</w:t>
      </w:r>
      <w:proofErr w:type="spellEnd"/>
      <w:r>
        <w:rPr>
          <w:rFonts w:ascii="Times New Roman" w:hAnsi="Times New Roman" w:cs="Times New Roman"/>
        </w:rPr>
        <w:t xml:space="preserve"> (Дата обращения: 24.04.2017</w:t>
      </w:r>
      <w:r w:rsidRPr="00F04194">
        <w:rPr>
          <w:rFonts w:ascii="Times New Roman" w:hAnsi="Times New Roman" w:cs="Times New Roman"/>
        </w:rPr>
        <w:t>)</w:t>
      </w:r>
    </w:p>
  </w:footnote>
  <w:footnote w:id="7">
    <w:p w:rsidR="004D6A9F" w:rsidRPr="00FA6B7C" w:rsidRDefault="004D6A9F" w:rsidP="0059775B">
      <w:pPr>
        <w:pStyle w:val="a5"/>
        <w:jc w:val="both"/>
        <w:rPr>
          <w:rFonts w:ascii="Times New Roman" w:hAnsi="Times New Roman" w:cs="Times New Roman"/>
        </w:rPr>
      </w:pPr>
      <w:r w:rsidRPr="00FA6B7C">
        <w:rPr>
          <w:rStyle w:val="a7"/>
          <w:rFonts w:ascii="Times New Roman" w:hAnsi="Times New Roman" w:cs="Times New Roman"/>
        </w:rPr>
        <w:footnoteRef/>
      </w:r>
      <w:r w:rsidRPr="00FA6B7C">
        <w:rPr>
          <w:rFonts w:ascii="Times New Roman" w:hAnsi="Times New Roman" w:cs="Times New Roman"/>
        </w:rPr>
        <w:t xml:space="preserve"> Обзор КПМГ – «Рынок слияний и поглощений в России в 2015 году». Февраль 2016. С.4.</w:t>
      </w:r>
    </w:p>
  </w:footnote>
  <w:footnote w:id="8">
    <w:p w:rsidR="004D6A9F" w:rsidRPr="00FA6B7C" w:rsidRDefault="004D6A9F" w:rsidP="0059775B">
      <w:pPr>
        <w:pStyle w:val="a5"/>
        <w:jc w:val="both"/>
        <w:rPr>
          <w:rFonts w:ascii="Times New Roman" w:hAnsi="Times New Roman" w:cs="Times New Roman"/>
        </w:rPr>
      </w:pPr>
      <w:r>
        <w:rPr>
          <w:rStyle w:val="a7"/>
        </w:rPr>
        <w:footnoteRef/>
      </w:r>
      <w:r>
        <w:t xml:space="preserve"> </w:t>
      </w:r>
      <w:r w:rsidRPr="00FA6B7C">
        <w:rPr>
          <w:rFonts w:ascii="Times New Roman" w:hAnsi="Times New Roman" w:cs="Times New Roman"/>
        </w:rPr>
        <w:t>Обзор КПМГ – «Рынок слияний и поглощений в России в 2015 году</w:t>
      </w:r>
      <w:r>
        <w:rPr>
          <w:rFonts w:ascii="Times New Roman" w:hAnsi="Times New Roman" w:cs="Times New Roman"/>
        </w:rPr>
        <w:t>». Февраль 2016. С.5</w:t>
      </w:r>
      <w:r w:rsidRPr="00FA6B7C">
        <w:rPr>
          <w:rFonts w:ascii="Times New Roman" w:hAnsi="Times New Roman" w:cs="Times New Roman"/>
        </w:rPr>
        <w:t>.</w:t>
      </w:r>
    </w:p>
  </w:footnote>
  <w:footnote w:id="9">
    <w:p w:rsidR="004D6A9F" w:rsidRDefault="004D6A9F" w:rsidP="0059775B">
      <w:pPr>
        <w:pStyle w:val="a5"/>
      </w:pPr>
      <w:r>
        <w:rPr>
          <w:rStyle w:val="a7"/>
        </w:rPr>
        <w:footnoteRef/>
      </w:r>
      <w:r>
        <w:t xml:space="preserve"> </w:t>
      </w:r>
      <w:r w:rsidRPr="00FA6B7C">
        <w:rPr>
          <w:rFonts w:ascii="Times New Roman" w:hAnsi="Times New Roman" w:cs="Times New Roman"/>
        </w:rPr>
        <w:t>Обзор КПМГ – «Рынок слияний и поглощений в России в 2015 году</w:t>
      </w:r>
      <w:r>
        <w:rPr>
          <w:rFonts w:ascii="Times New Roman" w:hAnsi="Times New Roman" w:cs="Times New Roman"/>
        </w:rPr>
        <w:t>». Февраль 2016. С.5</w:t>
      </w:r>
      <w:r w:rsidRPr="00FA6B7C">
        <w:rPr>
          <w:rFonts w:ascii="Times New Roman" w:hAnsi="Times New Roman" w:cs="Times New Roman"/>
        </w:rPr>
        <w:t>.</w:t>
      </w:r>
    </w:p>
  </w:footnote>
  <w:footnote w:id="10">
    <w:p w:rsidR="004D6A9F" w:rsidRDefault="004D6A9F" w:rsidP="0059775B">
      <w:pPr>
        <w:pStyle w:val="a5"/>
      </w:pPr>
      <w:r>
        <w:rPr>
          <w:rStyle w:val="a7"/>
        </w:rPr>
        <w:footnoteRef/>
      </w:r>
      <w:r>
        <w:t xml:space="preserve"> </w:t>
      </w:r>
      <w:r w:rsidRPr="00FA6B7C">
        <w:rPr>
          <w:rFonts w:ascii="Times New Roman" w:hAnsi="Times New Roman" w:cs="Times New Roman"/>
        </w:rPr>
        <w:t>Обзор КПМГ – «Рынок слияний и поглощений в России в 2015 году</w:t>
      </w:r>
      <w:r>
        <w:rPr>
          <w:rFonts w:ascii="Times New Roman" w:hAnsi="Times New Roman" w:cs="Times New Roman"/>
        </w:rPr>
        <w:t>». Февраль 2016. С.7.</w:t>
      </w:r>
    </w:p>
  </w:footnote>
  <w:footnote w:id="11">
    <w:p w:rsidR="004D6A9F" w:rsidRPr="005D7A51" w:rsidRDefault="004D6A9F" w:rsidP="0059775B">
      <w:pPr>
        <w:pStyle w:val="a5"/>
        <w:jc w:val="both"/>
        <w:rPr>
          <w:rFonts w:ascii="Times New Roman" w:hAnsi="Times New Roman" w:cs="Times New Roman"/>
        </w:rPr>
      </w:pPr>
      <w:r w:rsidRPr="005D7A51">
        <w:rPr>
          <w:rStyle w:val="a7"/>
          <w:rFonts w:ascii="Times New Roman" w:hAnsi="Times New Roman" w:cs="Times New Roman"/>
        </w:rPr>
        <w:footnoteRef/>
      </w:r>
      <w:r w:rsidRPr="005D7A51">
        <w:rPr>
          <w:rFonts w:ascii="Times New Roman" w:hAnsi="Times New Roman" w:cs="Times New Roman"/>
        </w:rPr>
        <w:t xml:space="preserve">   Информационное агентство AK&amp;M. Рынок слияний и поглощений.</w:t>
      </w:r>
      <w:r>
        <w:rPr>
          <w:rFonts w:ascii="Times New Roman" w:hAnsi="Times New Roman" w:cs="Times New Roman"/>
        </w:rPr>
        <w:t xml:space="preserve"> Декабрь и итоги 2016 года. URL</w:t>
      </w:r>
      <w:r w:rsidRPr="005D7A51">
        <w:rPr>
          <w:rFonts w:ascii="Times New Roman" w:hAnsi="Times New Roman" w:cs="Times New Roman"/>
        </w:rPr>
        <w:t xml:space="preserve">: </w:t>
      </w:r>
      <w:hyperlink r:id="rId2" w:history="1">
        <w:r w:rsidRPr="002F4C89">
          <w:rPr>
            <w:rStyle w:val="a4"/>
            <w:rFonts w:ascii="Times New Roman" w:hAnsi="Times New Roman" w:cs="Times New Roman"/>
          </w:rPr>
          <w:t>http://mergers.akm.ru/</w:t>
        </w:r>
      </w:hyperlink>
      <w:r>
        <w:rPr>
          <w:rFonts w:ascii="Times New Roman" w:hAnsi="Times New Roman" w:cs="Times New Roman"/>
        </w:rPr>
        <w:t xml:space="preserve"> </w:t>
      </w:r>
      <w:r w:rsidRPr="005D7A51">
        <w:rPr>
          <w:rFonts w:ascii="Times New Roman" w:hAnsi="Times New Roman" w:cs="Times New Roman"/>
        </w:rPr>
        <w:t>(Дата обращения: 01.05.2017)</w:t>
      </w:r>
    </w:p>
  </w:footnote>
  <w:footnote w:id="12">
    <w:p w:rsidR="004D6A9F" w:rsidRPr="0040300F" w:rsidRDefault="004D6A9F" w:rsidP="0059775B">
      <w:pPr>
        <w:pStyle w:val="a5"/>
        <w:jc w:val="both"/>
        <w:rPr>
          <w:rFonts w:ascii="Times New Roman" w:hAnsi="Times New Roman" w:cs="Times New Roman"/>
        </w:rPr>
      </w:pPr>
      <w:r w:rsidRPr="0040300F">
        <w:rPr>
          <w:rStyle w:val="a7"/>
          <w:rFonts w:ascii="Times New Roman" w:hAnsi="Times New Roman" w:cs="Times New Roman"/>
        </w:rPr>
        <w:footnoteRef/>
      </w:r>
      <w:r w:rsidRPr="0040300F">
        <w:rPr>
          <w:rFonts w:ascii="Times New Roman" w:hAnsi="Times New Roman" w:cs="Times New Roman"/>
        </w:rPr>
        <w:t xml:space="preserve"> Информационное агентство </w:t>
      </w:r>
      <w:r w:rsidRPr="0040300F">
        <w:rPr>
          <w:rFonts w:ascii="Times New Roman" w:hAnsi="Times New Roman" w:cs="Times New Roman"/>
          <w:lang w:val="en-US"/>
        </w:rPr>
        <w:t>AK</w:t>
      </w:r>
      <w:r w:rsidRPr="0040300F">
        <w:rPr>
          <w:rFonts w:ascii="Times New Roman" w:hAnsi="Times New Roman" w:cs="Times New Roman"/>
        </w:rPr>
        <w:t>&amp;</w:t>
      </w:r>
      <w:r w:rsidRPr="0040300F">
        <w:rPr>
          <w:rFonts w:ascii="Times New Roman" w:hAnsi="Times New Roman" w:cs="Times New Roman"/>
          <w:lang w:val="en-US"/>
        </w:rPr>
        <w:t>M</w:t>
      </w:r>
      <w:r w:rsidRPr="0040300F">
        <w:rPr>
          <w:rFonts w:ascii="Times New Roman" w:hAnsi="Times New Roman" w:cs="Times New Roman"/>
        </w:rPr>
        <w:t xml:space="preserve">. Рынок слияний и поглощений. Декабрь и итоги 2016 года. </w:t>
      </w:r>
      <w:r w:rsidRPr="0040300F">
        <w:rPr>
          <w:rFonts w:ascii="Times New Roman" w:hAnsi="Times New Roman" w:cs="Times New Roman"/>
          <w:lang w:val="en-US"/>
        </w:rPr>
        <w:t>URL</w:t>
      </w:r>
      <w:r w:rsidRPr="0040300F">
        <w:rPr>
          <w:rFonts w:ascii="Times New Roman" w:hAnsi="Times New Roman" w:cs="Times New Roman"/>
        </w:rPr>
        <w:t xml:space="preserve">: </w:t>
      </w:r>
      <w:hyperlink r:id="rId3" w:history="1">
        <w:r w:rsidRPr="0040300F">
          <w:rPr>
            <w:rStyle w:val="a4"/>
            <w:rFonts w:ascii="Times New Roman" w:hAnsi="Times New Roman" w:cs="Times New Roman"/>
          </w:rPr>
          <w:t>http://mergers.akm.ru/</w:t>
        </w:r>
      </w:hyperlink>
      <w:r>
        <w:rPr>
          <w:rFonts w:ascii="Times New Roman" w:hAnsi="Times New Roman" w:cs="Times New Roman"/>
        </w:rPr>
        <w:t xml:space="preserve"> </w:t>
      </w:r>
      <w:r w:rsidRPr="0040300F">
        <w:rPr>
          <w:rFonts w:ascii="Times New Roman" w:hAnsi="Times New Roman" w:cs="Times New Roman"/>
        </w:rPr>
        <w:t>(Дата обращения: 01.05.2017)</w:t>
      </w:r>
    </w:p>
  </w:footnote>
  <w:footnote w:id="13">
    <w:p w:rsidR="004D6A9F" w:rsidRPr="005D7A51" w:rsidRDefault="004D6A9F" w:rsidP="0059775B">
      <w:pPr>
        <w:pStyle w:val="a5"/>
        <w:jc w:val="both"/>
        <w:rPr>
          <w:rFonts w:ascii="Times New Roman" w:hAnsi="Times New Roman" w:cs="Times New Roman"/>
        </w:rPr>
      </w:pPr>
      <w:r w:rsidRPr="005D7A51">
        <w:rPr>
          <w:rStyle w:val="a7"/>
          <w:rFonts w:ascii="Times New Roman" w:hAnsi="Times New Roman" w:cs="Times New Roman"/>
        </w:rPr>
        <w:footnoteRef/>
      </w:r>
      <w:r w:rsidRPr="005D7A51">
        <w:rPr>
          <w:rFonts w:ascii="Times New Roman" w:hAnsi="Times New Roman" w:cs="Times New Roman"/>
        </w:rPr>
        <w:t xml:space="preserve"> Информационное агентство AK&amp;M. Рынок слияний и поглощений. </w:t>
      </w:r>
      <w:r>
        <w:rPr>
          <w:rFonts w:ascii="Times New Roman" w:hAnsi="Times New Roman" w:cs="Times New Roman"/>
        </w:rPr>
        <w:t>Январь - февраль 2017 года</w:t>
      </w:r>
      <w:r w:rsidRPr="005D7A51">
        <w:rPr>
          <w:rFonts w:ascii="Times New Roman" w:hAnsi="Times New Roman" w:cs="Times New Roman"/>
        </w:rPr>
        <w:t xml:space="preserve">. URL: </w:t>
      </w:r>
      <w:hyperlink r:id="rId4" w:history="1">
        <w:r w:rsidRPr="002F4C89">
          <w:rPr>
            <w:rStyle w:val="a4"/>
            <w:rFonts w:ascii="Times New Roman" w:hAnsi="Times New Roman" w:cs="Times New Roman"/>
          </w:rPr>
          <w:t>http://mergers.akm.ru/</w:t>
        </w:r>
      </w:hyperlink>
      <w:r>
        <w:rPr>
          <w:rFonts w:ascii="Times New Roman" w:hAnsi="Times New Roman" w:cs="Times New Roman"/>
        </w:rPr>
        <w:t xml:space="preserve"> </w:t>
      </w:r>
      <w:r w:rsidRPr="005D7A51">
        <w:rPr>
          <w:rFonts w:ascii="Times New Roman" w:hAnsi="Times New Roman" w:cs="Times New Roman"/>
        </w:rPr>
        <w:t>(Дата обращения: 01.05.2017)</w:t>
      </w:r>
    </w:p>
  </w:footnote>
  <w:footnote w:id="14">
    <w:p w:rsidR="004D6A9F" w:rsidRPr="008D0363" w:rsidRDefault="004D6A9F" w:rsidP="0059775B">
      <w:pPr>
        <w:pStyle w:val="a5"/>
        <w:jc w:val="both"/>
        <w:rPr>
          <w:rFonts w:ascii="Times New Roman" w:hAnsi="Times New Roman" w:cs="Times New Roman"/>
        </w:rPr>
      </w:pPr>
      <w:r w:rsidRPr="008D0363">
        <w:rPr>
          <w:rStyle w:val="a7"/>
          <w:rFonts w:ascii="Times New Roman" w:hAnsi="Times New Roman" w:cs="Times New Roman"/>
        </w:rPr>
        <w:footnoteRef/>
      </w:r>
      <w:r w:rsidRPr="008D0363">
        <w:rPr>
          <w:rFonts w:ascii="Times New Roman" w:hAnsi="Times New Roman" w:cs="Times New Roman"/>
        </w:rPr>
        <w:t xml:space="preserve"> Информационное агентство AK&amp;M. Рынок слияний и поглощений. Январь - февраль 2017 года. URL: </w:t>
      </w:r>
      <w:hyperlink r:id="rId5" w:history="1">
        <w:r w:rsidRPr="002F4C89">
          <w:rPr>
            <w:rStyle w:val="a4"/>
            <w:rFonts w:ascii="Times New Roman" w:hAnsi="Times New Roman" w:cs="Times New Roman"/>
          </w:rPr>
          <w:t>http://mergers.akm.ru/</w:t>
        </w:r>
      </w:hyperlink>
      <w:r>
        <w:rPr>
          <w:rFonts w:ascii="Times New Roman" w:hAnsi="Times New Roman" w:cs="Times New Roman"/>
        </w:rPr>
        <w:t xml:space="preserve"> </w:t>
      </w:r>
      <w:r w:rsidRPr="008D0363">
        <w:rPr>
          <w:rFonts w:ascii="Times New Roman" w:hAnsi="Times New Roman" w:cs="Times New Roman"/>
        </w:rPr>
        <w:t>(Дата обращения: 01.05.2017)</w:t>
      </w:r>
    </w:p>
  </w:footnote>
  <w:footnote w:id="15">
    <w:p w:rsidR="004D6A9F" w:rsidRPr="0040300F" w:rsidRDefault="004D6A9F" w:rsidP="0059775B">
      <w:pPr>
        <w:pStyle w:val="a5"/>
        <w:jc w:val="both"/>
        <w:rPr>
          <w:rFonts w:ascii="Times New Roman" w:hAnsi="Times New Roman" w:cs="Times New Roman"/>
          <w:lang w:val="en-US"/>
        </w:rPr>
      </w:pPr>
      <w:r w:rsidRPr="0040300F">
        <w:rPr>
          <w:rStyle w:val="a7"/>
          <w:rFonts w:ascii="Times New Roman" w:hAnsi="Times New Roman" w:cs="Times New Roman"/>
        </w:rPr>
        <w:footnoteRef/>
      </w:r>
      <w:r w:rsidRPr="0059775B">
        <w:rPr>
          <w:rFonts w:ascii="Times New Roman" w:hAnsi="Times New Roman" w:cs="Times New Roman"/>
          <w:lang w:val="en-US"/>
        </w:rPr>
        <w:t xml:space="preserve"> </w:t>
      </w:r>
      <w:proofErr w:type="gramStart"/>
      <w:r w:rsidRPr="0040300F">
        <w:rPr>
          <w:rFonts w:ascii="Times New Roman" w:hAnsi="Times New Roman" w:cs="Times New Roman"/>
          <w:lang w:val="en-US"/>
        </w:rPr>
        <w:t>Deloitte</w:t>
      </w:r>
      <w:r w:rsidRPr="0059775B">
        <w:rPr>
          <w:rFonts w:ascii="Times New Roman" w:hAnsi="Times New Roman" w:cs="Times New Roman"/>
          <w:lang w:val="en-US"/>
        </w:rPr>
        <w:t>.</w:t>
      </w:r>
      <w:proofErr w:type="gramEnd"/>
      <w:r w:rsidRPr="0059775B">
        <w:rPr>
          <w:rFonts w:ascii="Times New Roman" w:hAnsi="Times New Roman" w:cs="Times New Roman"/>
          <w:lang w:val="en-US"/>
        </w:rPr>
        <w:t xml:space="preserve"> </w:t>
      </w:r>
      <w:proofErr w:type="gramStart"/>
      <w:r w:rsidRPr="0040300F">
        <w:rPr>
          <w:rFonts w:ascii="Times New Roman" w:hAnsi="Times New Roman" w:cs="Times New Roman"/>
          <w:lang w:val="en-US"/>
        </w:rPr>
        <w:t>Oil &amp; Gas Mergers and Acquisitions Report – Year-end 2016.</w:t>
      </w:r>
      <w:proofErr w:type="gramEnd"/>
      <w:r w:rsidRPr="0040300F">
        <w:rPr>
          <w:rFonts w:ascii="Times New Roman" w:hAnsi="Times New Roman" w:cs="Times New Roman"/>
          <w:lang w:val="en-US"/>
        </w:rPr>
        <w:t xml:space="preserve"> </w:t>
      </w:r>
      <w:proofErr w:type="gramStart"/>
      <w:r w:rsidRPr="0040300F">
        <w:rPr>
          <w:rFonts w:ascii="Times New Roman" w:hAnsi="Times New Roman" w:cs="Times New Roman"/>
          <w:lang w:val="en-US"/>
        </w:rPr>
        <w:t>Out of the starting blocks.</w:t>
      </w:r>
      <w:proofErr w:type="gramEnd"/>
      <w:r w:rsidRPr="0040300F">
        <w:rPr>
          <w:rFonts w:ascii="Times New Roman" w:hAnsi="Times New Roman" w:cs="Times New Roman"/>
          <w:lang w:val="en-US"/>
        </w:rPr>
        <w:t xml:space="preserve"> </w:t>
      </w:r>
      <w:proofErr w:type="gramStart"/>
      <w:r w:rsidRPr="0040300F">
        <w:rPr>
          <w:rFonts w:ascii="Times New Roman" w:hAnsi="Times New Roman" w:cs="Times New Roman"/>
          <w:lang w:val="en-US"/>
        </w:rPr>
        <w:t>P.2.</w:t>
      </w:r>
      <w:proofErr w:type="gramEnd"/>
    </w:p>
  </w:footnote>
  <w:footnote w:id="16">
    <w:p w:rsidR="004D6A9F" w:rsidRPr="00C75F5E" w:rsidRDefault="004D6A9F" w:rsidP="0059775B">
      <w:pPr>
        <w:pStyle w:val="a5"/>
        <w:jc w:val="both"/>
        <w:rPr>
          <w:lang w:val="en-US"/>
        </w:rPr>
      </w:pPr>
      <w:r w:rsidRPr="0061536E">
        <w:rPr>
          <w:rStyle w:val="a7"/>
          <w:rFonts w:ascii="Times New Roman" w:hAnsi="Times New Roman" w:cs="Times New Roman"/>
        </w:rPr>
        <w:footnoteRef/>
      </w:r>
      <w:r w:rsidRPr="0061536E">
        <w:rPr>
          <w:rFonts w:ascii="Times New Roman" w:hAnsi="Times New Roman" w:cs="Times New Roman"/>
          <w:lang w:val="en-US"/>
        </w:rPr>
        <w:t xml:space="preserve"> </w:t>
      </w:r>
      <w:proofErr w:type="spellStart"/>
      <w:r w:rsidRPr="0061536E">
        <w:rPr>
          <w:rFonts w:ascii="Times New Roman" w:hAnsi="Times New Roman" w:cs="Times New Roman"/>
          <w:lang w:val="en-US"/>
        </w:rPr>
        <w:t>Савостьянов</w:t>
      </w:r>
      <w:proofErr w:type="spellEnd"/>
      <w:r w:rsidRPr="0061536E">
        <w:rPr>
          <w:rFonts w:ascii="Times New Roman" w:hAnsi="Times New Roman" w:cs="Times New Roman"/>
          <w:lang w:val="en-US"/>
        </w:rPr>
        <w:t xml:space="preserve">, Ю. </w:t>
      </w:r>
      <w:proofErr w:type="spellStart"/>
      <w:r w:rsidRPr="0061536E">
        <w:rPr>
          <w:rFonts w:ascii="Times New Roman" w:hAnsi="Times New Roman" w:cs="Times New Roman"/>
          <w:lang w:val="en-US"/>
        </w:rPr>
        <w:t>Все</w:t>
      </w:r>
      <w:proofErr w:type="spellEnd"/>
      <w:r w:rsidRPr="0061536E">
        <w:rPr>
          <w:rFonts w:ascii="Times New Roman" w:hAnsi="Times New Roman" w:cs="Times New Roman"/>
          <w:lang w:val="en-US"/>
        </w:rPr>
        <w:t xml:space="preserve"> </w:t>
      </w:r>
      <w:proofErr w:type="spellStart"/>
      <w:r w:rsidRPr="0061536E">
        <w:rPr>
          <w:rFonts w:ascii="Times New Roman" w:hAnsi="Times New Roman" w:cs="Times New Roman"/>
          <w:lang w:val="en-US"/>
        </w:rPr>
        <w:t>больше</w:t>
      </w:r>
      <w:proofErr w:type="spellEnd"/>
      <w:r w:rsidRPr="0061536E">
        <w:rPr>
          <w:rFonts w:ascii="Times New Roman" w:hAnsi="Times New Roman" w:cs="Times New Roman"/>
          <w:lang w:val="en-US"/>
        </w:rPr>
        <w:t xml:space="preserve"> </w:t>
      </w:r>
      <w:proofErr w:type="spellStart"/>
      <w:r w:rsidRPr="0061536E">
        <w:rPr>
          <w:rFonts w:ascii="Times New Roman" w:hAnsi="Times New Roman" w:cs="Times New Roman"/>
          <w:lang w:val="en-US"/>
        </w:rPr>
        <w:t>слияний</w:t>
      </w:r>
      <w:proofErr w:type="spellEnd"/>
      <w:r w:rsidRPr="0061536E">
        <w:rPr>
          <w:rFonts w:ascii="Times New Roman" w:hAnsi="Times New Roman" w:cs="Times New Roman"/>
          <w:lang w:val="en-US"/>
        </w:rPr>
        <w:t xml:space="preserve"> и </w:t>
      </w:r>
      <w:proofErr w:type="spellStart"/>
      <w:r w:rsidRPr="0061536E">
        <w:rPr>
          <w:rFonts w:ascii="Times New Roman" w:hAnsi="Times New Roman" w:cs="Times New Roman"/>
          <w:lang w:val="en-US"/>
        </w:rPr>
        <w:t>поглощений</w:t>
      </w:r>
      <w:proofErr w:type="spellEnd"/>
      <w:r w:rsidRPr="0061536E">
        <w:rPr>
          <w:rFonts w:ascii="Times New Roman" w:hAnsi="Times New Roman" w:cs="Times New Roman"/>
          <w:lang w:val="en-US"/>
        </w:rPr>
        <w:t xml:space="preserve"> / Ю. </w:t>
      </w:r>
      <w:proofErr w:type="spellStart"/>
      <w:r w:rsidRPr="0061536E">
        <w:rPr>
          <w:rFonts w:ascii="Times New Roman" w:hAnsi="Times New Roman" w:cs="Times New Roman"/>
          <w:lang w:val="en-US"/>
        </w:rPr>
        <w:t>Савостьянов</w:t>
      </w:r>
      <w:proofErr w:type="spellEnd"/>
      <w:r w:rsidRPr="0061536E">
        <w:rPr>
          <w:rFonts w:ascii="Times New Roman" w:hAnsi="Times New Roman" w:cs="Times New Roman"/>
          <w:lang w:val="en-US"/>
        </w:rPr>
        <w:t xml:space="preserve"> // Oil &amp; Gas Journal Russia. </w:t>
      </w:r>
      <w:proofErr w:type="gramStart"/>
      <w:r w:rsidRPr="0061536E">
        <w:rPr>
          <w:rFonts w:ascii="Times New Roman" w:hAnsi="Times New Roman" w:cs="Times New Roman"/>
          <w:lang w:val="en-US"/>
        </w:rPr>
        <w:t xml:space="preserve">– </w:t>
      </w:r>
      <w:proofErr w:type="spellStart"/>
      <w:r w:rsidRPr="0061536E">
        <w:rPr>
          <w:rFonts w:ascii="Times New Roman" w:hAnsi="Times New Roman" w:cs="Times New Roman"/>
          <w:lang w:val="en-US"/>
        </w:rPr>
        <w:t>Апрель</w:t>
      </w:r>
      <w:proofErr w:type="spellEnd"/>
      <w:r w:rsidRPr="0061536E">
        <w:rPr>
          <w:rFonts w:ascii="Times New Roman" w:hAnsi="Times New Roman" w:cs="Times New Roman"/>
          <w:lang w:val="en-US"/>
        </w:rPr>
        <w:t xml:space="preserve"> 2017.</w:t>
      </w:r>
      <w:proofErr w:type="gramEnd"/>
      <w:r w:rsidRPr="0061536E">
        <w:rPr>
          <w:rFonts w:ascii="Times New Roman" w:hAnsi="Times New Roman" w:cs="Times New Roman"/>
          <w:lang w:val="en-US"/>
        </w:rPr>
        <w:t xml:space="preserve"> </w:t>
      </w:r>
      <w:proofErr w:type="gramStart"/>
      <w:r w:rsidRPr="0061536E">
        <w:rPr>
          <w:rFonts w:ascii="Times New Roman" w:hAnsi="Times New Roman" w:cs="Times New Roman"/>
          <w:lang w:val="en-US"/>
        </w:rPr>
        <w:t>№ 04 (114).</w:t>
      </w:r>
      <w:proofErr w:type="gramEnd"/>
      <w:r w:rsidRPr="0061536E">
        <w:rPr>
          <w:rFonts w:ascii="Times New Roman" w:hAnsi="Times New Roman" w:cs="Times New Roman"/>
          <w:lang w:val="en-US"/>
        </w:rPr>
        <w:t xml:space="preserve"> С. 22.</w:t>
      </w:r>
    </w:p>
  </w:footnote>
  <w:footnote w:id="17">
    <w:p w:rsidR="004D6A9F" w:rsidRPr="0061536E" w:rsidRDefault="004D6A9F" w:rsidP="0059775B">
      <w:pPr>
        <w:pStyle w:val="a5"/>
        <w:jc w:val="both"/>
        <w:rPr>
          <w:rFonts w:ascii="Times New Roman" w:hAnsi="Times New Roman" w:cs="Times New Roman"/>
          <w:lang w:val="en-US"/>
        </w:rPr>
      </w:pPr>
      <w:r w:rsidRPr="00C75F5E">
        <w:rPr>
          <w:rStyle w:val="a7"/>
          <w:rFonts w:ascii="Times New Roman" w:hAnsi="Times New Roman" w:cs="Times New Roman"/>
        </w:rPr>
        <w:footnoteRef/>
      </w:r>
      <w:r w:rsidRPr="00C75F5E">
        <w:rPr>
          <w:rFonts w:ascii="Times New Roman" w:hAnsi="Times New Roman" w:cs="Times New Roman"/>
          <w:lang w:val="en-US"/>
        </w:rPr>
        <w:t xml:space="preserve"> </w:t>
      </w:r>
      <w:proofErr w:type="gramStart"/>
      <w:r w:rsidRPr="0061536E">
        <w:rPr>
          <w:rFonts w:ascii="Times New Roman" w:hAnsi="Times New Roman" w:cs="Times New Roman"/>
          <w:lang w:val="en-US"/>
        </w:rPr>
        <w:t>Deloitte.</w:t>
      </w:r>
      <w:proofErr w:type="gramEnd"/>
      <w:r w:rsidRPr="0061536E">
        <w:rPr>
          <w:rFonts w:ascii="Times New Roman" w:hAnsi="Times New Roman" w:cs="Times New Roman"/>
          <w:lang w:val="en-US"/>
        </w:rPr>
        <w:t xml:space="preserve"> </w:t>
      </w:r>
      <w:proofErr w:type="gramStart"/>
      <w:r w:rsidRPr="0061536E">
        <w:rPr>
          <w:rFonts w:ascii="Times New Roman" w:hAnsi="Times New Roman" w:cs="Times New Roman"/>
          <w:lang w:val="en-US"/>
        </w:rPr>
        <w:t>Oil &amp; Gas Mergers and Acquisitions Report – Year-end 2016.</w:t>
      </w:r>
      <w:proofErr w:type="gramEnd"/>
      <w:r w:rsidRPr="0061536E">
        <w:rPr>
          <w:rFonts w:ascii="Times New Roman" w:hAnsi="Times New Roman" w:cs="Times New Roman"/>
          <w:lang w:val="en-US"/>
        </w:rPr>
        <w:t xml:space="preserve"> </w:t>
      </w:r>
      <w:proofErr w:type="gramStart"/>
      <w:r w:rsidRPr="0061536E">
        <w:rPr>
          <w:rFonts w:ascii="Times New Roman" w:hAnsi="Times New Roman" w:cs="Times New Roman"/>
          <w:lang w:val="en-US"/>
        </w:rPr>
        <w:t>Out of the starting blocks.</w:t>
      </w:r>
      <w:proofErr w:type="gramEnd"/>
      <w:r w:rsidRPr="0061536E">
        <w:rPr>
          <w:rFonts w:ascii="Times New Roman" w:hAnsi="Times New Roman" w:cs="Times New Roman"/>
          <w:lang w:val="en-US"/>
        </w:rPr>
        <w:t xml:space="preserve"> </w:t>
      </w:r>
      <w:proofErr w:type="gramStart"/>
      <w:r w:rsidRPr="0061536E">
        <w:rPr>
          <w:rFonts w:ascii="Times New Roman" w:hAnsi="Times New Roman" w:cs="Times New Roman"/>
          <w:lang w:val="en-US"/>
        </w:rPr>
        <w:t>P.7.</w:t>
      </w:r>
      <w:proofErr w:type="gramEnd"/>
    </w:p>
  </w:footnote>
  <w:footnote w:id="18">
    <w:p w:rsidR="004D6A9F" w:rsidRPr="008B437C" w:rsidRDefault="004D6A9F" w:rsidP="0059775B">
      <w:pPr>
        <w:pStyle w:val="a5"/>
        <w:jc w:val="both"/>
        <w:rPr>
          <w:lang w:val="en-US"/>
        </w:rPr>
      </w:pPr>
      <w:r w:rsidRPr="0061536E">
        <w:rPr>
          <w:rStyle w:val="a7"/>
          <w:rFonts w:ascii="Times New Roman" w:hAnsi="Times New Roman" w:cs="Times New Roman"/>
        </w:rPr>
        <w:footnoteRef/>
      </w:r>
      <w:r w:rsidRPr="0059775B">
        <w:rPr>
          <w:rFonts w:ascii="Times New Roman" w:hAnsi="Times New Roman" w:cs="Times New Roman"/>
          <w:lang w:val="en-US"/>
        </w:rPr>
        <w:t xml:space="preserve"> </w:t>
      </w:r>
      <w:r w:rsidRPr="0061536E">
        <w:rPr>
          <w:rFonts w:ascii="Times New Roman" w:hAnsi="Times New Roman" w:cs="Times New Roman"/>
        </w:rPr>
        <w:t>Савостьянов</w:t>
      </w:r>
      <w:r w:rsidRPr="0059775B">
        <w:rPr>
          <w:rFonts w:ascii="Times New Roman" w:hAnsi="Times New Roman" w:cs="Times New Roman"/>
          <w:lang w:val="en-US"/>
        </w:rPr>
        <w:t xml:space="preserve">, </w:t>
      </w:r>
      <w:r w:rsidRPr="0061536E">
        <w:rPr>
          <w:rFonts w:ascii="Times New Roman" w:hAnsi="Times New Roman" w:cs="Times New Roman"/>
        </w:rPr>
        <w:t>Ю</w:t>
      </w:r>
      <w:r w:rsidRPr="0059775B">
        <w:rPr>
          <w:rFonts w:ascii="Times New Roman" w:hAnsi="Times New Roman" w:cs="Times New Roman"/>
          <w:lang w:val="en-US"/>
        </w:rPr>
        <w:t xml:space="preserve">. </w:t>
      </w:r>
      <w:r w:rsidRPr="0061536E">
        <w:rPr>
          <w:rFonts w:ascii="Times New Roman" w:hAnsi="Times New Roman" w:cs="Times New Roman"/>
        </w:rPr>
        <w:t>Все</w:t>
      </w:r>
      <w:r w:rsidRPr="0059775B">
        <w:rPr>
          <w:rFonts w:ascii="Times New Roman" w:hAnsi="Times New Roman" w:cs="Times New Roman"/>
          <w:lang w:val="en-US"/>
        </w:rPr>
        <w:t xml:space="preserve"> </w:t>
      </w:r>
      <w:r w:rsidRPr="0061536E">
        <w:rPr>
          <w:rFonts w:ascii="Times New Roman" w:hAnsi="Times New Roman" w:cs="Times New Roman"/>
        </w:rPr>
        <w:t>больше</w:t>
      </w:r>
      <w:r w:rsidRPr="0059775B">
        <w:rPr>
          <w:rFonts w:ascii="Times New Roman" w:hAnsi="Times New Roman" w:cs="Times New Roman"/>
          <w:lang w:val="en-US"/>
        </w:rPr>
        <w:t xml:space="preserve"> </w:t>
      </w:r>
      <w:r w:rsidRPr="0061536E">
        <w:rPr>
          <w:rFonts w:ascii="Times New Roman" w:hAnsi="Times New Roman" w:cs="Times New Roman"/>
        </w:rPr>
        <w:t>слияний</w:t>
      </w:r>
      <w:r w:rsidRPr="0059775B">
        <w:rPr>
          <w:rFonts w:ascii="Times New Roman" w:hAnsi="Times New Roman" w:cs="Times New Roman"/>
          <w:lang w:val="en-US"/>
        </w:rPr>
        <w:t xml:space="preserve"> </w:t>
      </w:r>
      <w:r w:rsidRPr="0061536E">
        <w:rPr>
          <w:rFonts w:ascii="Times New Roman" w:hAnsi="Times New Roman" w:cs="Times New Roman"/>
        </w:rPr>
        <w:t>и</w:t>
      </w:r>
      <w:r w:rsidRPr="0059775B">
        <w:rPr>
          <w:rFonts w:ascii="Times New Roman" w:hAnsi="Times New Roman" w:cs="Times New Roman"/>
          <w:lang w:val="en-US"/>
        </w:rPr>
        <w:t xml:space="preserve"> </w:t>
      </w:r>
      <w:r w:rsidRPr="0061536E">
        <w:rPr>
          <w:rFonts w:ascii="Times New Roman" w:hAnsi="Times New Roman" w:cs="Times New Roman"/>
        </w:rPr>
        <w:t>поглощений</w:t>
      </w:r>
      <w:r w:rsidRPr="0059775B">
        <w:rPr>
          <w:rFonts w:ascii="Times New Roman" w:hAnsi="Times New Roman" w:cs="Times New Roman"/>
          <w:lang w:val="en-US"/>
        </w:rPr>
        <w:t xml:space="preserve"> / </w:t>
      </w:r>
      <w:r w:rsidRPr="0061536E">
        <w:rPr>
          <w:rFonts w:ascii="Times New Roman" w:hAnsi="Times New Roman" w:cs="Times New Roman"/>
        </w:rPr>
        <w:t>Ю</w:t>
      </w:r>
      <w:r w:rsidRPr="0059775B">
        <w:rPr>
          <w:rFonts w:ascii="Times New Roman" w:hAnsi="Times New Roman" w:cs="Times New Roman"/>
          <w:lang w:val="en-US"/>
        </w:rPr>
        <w:t xml:space="preserve">. </w:t>
      </w:r>
      <w:r w:rsidRPr="0061536E">
        <w:rPr>
          <w:rFonts w:ascii="Times New Roman" w:hAnsi="Times New Roman" w:cs="Times New Roman"/>
        </w:rPr>
        <w:t>Савостьянов</w:t>
      </w:r>
      <w:r w:rsidRPr="0059775B">
        <w:rPr>
          <w:rFonts w:ascii="Times New Roman" w:hAnsi="Times New Roman" w:cs="Times New Roman"/>
          <w:lang w:val="en-US"/>
        </w:rPr>
        <w:t xml:space="preserve"> // </w:t>
      </w:r>
      <w:r w:rsidRPr="0061536E">
        <w:rPr>
          <w:rFonts w:ascii="Times New Roman" w:hAnsi="Times New Roman" w:cs="Times New Roman"/>
          <w:lang w:val="en-US"/>
        </w:rPr>
        <w:t>Oil</w:t>
      </w:r>
      <w:r w:rsidRPr="0059775B">
        <w:rPr>
          <w:rFonts w:ascii="Times New Roman" w:hAnsi="Times New Roman" w:cs="Times New Roman"/>
          <w:lang w:val="en-US"/>
        </w:rPr>
        <w:t xml:space="preserve"> &amp; </w:t>
      </w:r>
      <w:r w:rsidRPr="0061536E">
        <w:rPr>
          <w:rFonts w:ascii="Times New Roman" w:hAnsi="Times New Roman" w:cs="Times New Roman"/>
          <w:lang w:val="en-US"/>
        </w:rPr>
        <w:t>Gas</w:t>
      </w:r>
      <w:r w:rsidRPr="0059775B">
        <w:rPr>
          <w:rFonts w:ascii="Times New Roman" w:hAnsi="Times New Roman" w:cs="Times New Roman"/>
          <w:lang w:val="en-US"/>
        </w:rPr>
        <w:t xml:space="preserve"> </w:t>
      </w:r>
      <w:r w:rsidRPr="0061536E">
        <w:rPr>
          <w:rFonts w:ascii="Times New Roman" w:hAnsi="Times New Roman" w:cs="Times New Roman"/>
          <w:lang w:val="en-US"/>
        </w:rPr>
        <w:t>Journal</w:t>
      </w:r>
      <w:r w:rsidRPr="0059775B">
        <w:rPr>
          <w:rFonts w:ascii="Times New Roman" w:hAnsi="Times New Roman" w:cs="Times New Roman"/>
          <w:lang w:val="en-US"/>
        </w:rPr>
        <w:t xml:space="preserve"> </w:t>
      </w:r>
      <w:r w:rsidRPr="0061536E">
        <w:rPr>
          <w:rFonts w:ascii="Times New Roman" w:hAnsi="Times New Roman" w:cs="Times New Roman"/>
          <w:lang w:val="en-US"/>
        </w:rPr>
        <w:t>Russia</w:t>
      </w:r>
      <w:r w:rsidRPr="0059775B">
        <w:rPr>
          <w:rFonts w:ascii="Times New Roman" w:hAnsi="Times New Roman" w:cs="Times New Roman"/>
          <w:lang w:val="en-US"/>
        </w:rPr>
        <w:t xml:space="preserve">. – </w:t>
      </w:r>
      <w:r w:rsidRPr="0061536E">
        <w:rPr>
          <w:rFonts w:ascii="Times New Roman" w:hAnsi="Times New Roman" w:cs="Times New Roman"/>
        </w:rPr>
        <w:t>Апрель</w:t>
      </w:r>
      <w:r w:rsidRPr="0059775B">
        <w:rPr>
          <w:rFonts w:ascii="Times New Roman" w:hAnsi="Times New Roman" w:cs="Times New Roman"/>
          <w:lang w:val="en-US"/>
        </w:rPr>
        <w:t xml:space="preserve"> 2017. </w:t>
      </w:r>
      <w:r w:rsidRPr="0061536E">
        <w:rPr>
          <w:rFonts w:ascii="Times New Roman" w:hAnsi="Times New Roman" w:cs="Times New Roman"/>
          <w:lang w:val="en-US"/>
        </w:rPr>
        <w:t>№ 04 (114). С. 22.</w:t>
      </w:r>
    </w:p>
  </w:footnote>
  <w:footnote w:id="19">
    <w:p w:rsidR="004D6A9F" w:rsidRPr="0061536E" w:rsidRDefault="004D6A9F" w:rsidP="0059775B">
      <w:pPr>
        <w:pStyle w:val="a5"/>
        <w:jc w:val="both"/>
        <w:rPr>
          <w:rFonts w:ascii="Times New Roman" w:hAnsi="Times New Roman" w:cs="Times New Roman"/>
          <w:lang w:val="en-US"/>
        </w:rPr>
      </w:pPr>
      <w:r w:rsidRPr="0061536E">
        <w:rPr>
          <w:rStyle w:val="a7"/>
          <w:rFonts w:ascii="Times New Roman" w:hAnsi="Times New Roman" w:cs="Times New Roman"/>
        </w:rPr>
        <w:footnoteRef/>
      </w:r>
      <w:r w:rsidRPr="0061536E">
        <w:rPr>
          <w:rFonts w:ascii="Times New Roman" w:hAnsi="Times New Roman" w:cs="Times New Roman"/>
          <w:lang w:val="en-US"/>
        </w:rPr>
        <w:t xml:space="preserve"> </w:t>
      </w:r>
      <w:proofErr w:type="gramStart"/>
      <w:r w:rsidRPr="0061536E">
        <w:rPr>
          <w:rFonts w:ascii="Times New Roman" w:hAnsi="Times New Roman" w:cs="Times New Roman"/>
          <w:lang w:val="en-US"/>
        </w:rPr>
        <w:t>Deloitte.</w:t>
      </w:r>
      <w:proofErr w:type="gramEnd"/>
      <w:r w:rsidRPr="0061536E">
        <w:rPr>
          <w:rFonts w:ascii="Times New Roman" w:hAnsi="Times New Roman" w:cs="Times New Roman"/>
          <w:lang w:val="en-US"/>
        </w:rPr>
        <w:t xml:space="preserve"> </w:t>
      </w:r>
      <w:proofErr w:type="gramStart"/>
      <w:r w:rsidRPr="0061536E">
        <w:rPr>
          <w:rFonts w:ascii="Times New Roman" w:hAnsi="Times New Roman" w:cs="Times New Roman"/>
          <w:lang w:val="en-US"/>
        </w:rPr>
        <w:t>Oil &amp; Gas Mergers and Acquisitions Report – Year-end 2016.</w:t>
      </w:r>
      <w:proofErr w:type="gramEnd"/>
      <w:r w:rsidRPr="0061536E">
        <w:rPr>
          <w:rFonts w:ascii="Times New Roman" w:hAnsi="Times New Roman" w:cs="Times New Roman"/>
          <w:lang w:val="en-US"/>
        </w:rPr>
        <w:t xml:space="preserve"> </w:t>
      </w:r>
      <w:proofErr w:type="gramStart"/>
      <w:r w:rsidRPr="0061536E">
        <w:rPr>
          <w:rFonts w:ascii="Times New Roman" w:hAnsi="Times New Roman" w:cs="Times New Roman"/>
          <w:lang w:val="en-US"/>
        </w:rPr>
        <w:t>Out of the starting blocks.</w:t>
      </w:r>
      <w:proofErr w:type="gramEnd"/>
      <w:r w:rsidRPr="0061536E">
        <w:rPr>
          <w:rFonts w:ascii="Times New Roman" w:hAnsi="Times New Roman" w:cs="Times New Roman"/>
          <w:lang w:val="en-US"/>
        </w:rPr>
        <w:t xml:space="preserve"> </w:t>
      </w:r>
      <w:proofErr w:type="gramStart"/>
      <w:r w:rsidRPr="0061536E">
        <w:rPr>
          <w:rFonts w:ascii="Times New Roman" w:hAnsi="Times New Roman" w:cs="Times New Roman"/>
          <w:lang w:val="en-US"/>
        </w:rPr>
        <w:t>P. 13.</w:t>
      </w:r>
      <w:proofErr w:type="gramEnd"/>
    </w:p>
  </w:footnote>
  <w:footnote w:id="20">
    <w:p w:rsidR="004D6A9F" w:rsidRPr="0061536E" w:rsidRDefault="004D6A9F" w:rsidP="0059775B">
      <w:pPr>
        <w:pStyle w:val="a5"/>
        <w:jc w:val="both"/>
      </w:pPr>
      <w:r w:rsidRPr="0061536E">
        <w:rPr>
          <w:rStyle w:val="a7"/>
          <w:rFonts w:ascii="Times New Roman" w:hAnsi="Times New Roman" w:cs="Times New Roman"/>
        </w:rPr>
        <w:footnoteRef/>
      </w:r>
      <w:r w:rsidRPr="0061536E">
        <w:rPr>
          <w:rFonts w:ascii="Times New Roman" w:hAnsi="Times New Roman" w:cs="Times New Roman"/>
          <w:lang w:val="en-US"/>
        </w:rPr>
        <w:t xml:space="preserve"> </w:t>
      </w:r>
      <w:proofErr w:type="spellStart"/>
      <w:r w:rsidRPr="0061536E">
        <w:rPr>
          <w:rFonts w:ascii="Times New Roman" w:hAnsi="Times New Roman" w:cs="Times New Roman"/>
          <w:lang w:val="en-US"/>
        </w:rPr>
        <w:t>Савостьянов</w:t>
      </w:r>
      <w:proofErr w:type="spellEnd"/>
      <w:r w:rsidRPr="0061536E">
        <w:rPr>
          <w:rFonts w:ascii="Times New Roman" w:hAnsi="Times New Roman" w:cs="Times New Roman"/>
          <w:lang w:val="en-US"/>
        </w:rPr>
        <w:t xml:space="preserve">, Ю. </w:t>
      </w:r>
      <w:proofErr w:type="spellStart"/>
      <w:r w:rsidRPr="0061536E">
        <w:rPr>
          <w:rFonts w:ascii="Times New Roman" w:hAnsi="Times New Roman" w:cs="Times New Roman"/>
          <w:lang w:val="en-US"/>
        </w:rPr>
        <w:t>Все</w:t>
      </w:r>
      <w:proofErr w:type="spellEnd"/>
      <w:r w:rsidRPr="0061536E">
        <w:rPr>
          <w:rFonts w:ascii="Times New Roman" w:hAnsi="Times New Roman" w:cs="Times New Roman"/>
          <w:lang w:val="en-US"/>
        </w:rPr>
        <w:t xml:space="preserve"> </w:t>
      </w:r>
      <w:proofErr w:type="spellStart"/>
      <w:r w:rsidRPr="0061536E">
        <w:rPr>
          <w:rFonts w:ascii="Times New Roman" w:hAnsi="Times New Roman" w:cs="Times New Roman"/>
          <w:lang w:val="en-US"/>
        </w:rPr>
        <w:t>больше</w:t>
      </w:r>
      <w:proofErr w:type="spellEnd"/>
      <w:r w:rsidRPr="0061536E">
        <w:rPr>
          <w:rFonts w:ascii="Times New Roman" w:hAnsi="Times New Roman" w:cs="Times New Roman"/>
          <w:lang w:val="en-US"/>
        </w:rPr>
        <w:t xml:space="preserve"> </w:t>
      </w:r>
      <w:proofErr w:type="spellStart"/>
      <w:r w:rsidRPr="0061536E">
        <w:rPr>
          <w:rFonts w:ascii="Times New Roman" w:hAnsi="Times New Roman" w:cs="Times New Roman"/>
          <w:lang w:val="en-US"/>
        </w:rPr>
        <w:t>слияний</w:t>
      </w:r>
      <w:proofErr w:type="spellEnd"/>
      <w:r w:rsidRPr="0061536E">
        <w:rPr>
          <w:rFonts w:ascii="Times New Roman" w:hAnsi="Times New Roman" w:cs="Times New Roman"/>
          <w:lang w:val="en-US"/>
        </w:rPr>
        <w:t xml:space="preserve"> и </w:t>
      </w:r>
      <w:proofErr w:type="spellStart"/>
      <w:r w:rsidRPr="0061536E">
        <w:rPr>
          <w:rFonts w:ascii="Times New Roman" w:hAnsi="Times New Roman" w:cs="Times New Roman"/>
          <w:lang w:val="en-US"/>
        </w:rPr>
        <w:t>поглощений</w:t>
      </w:r>
      <w:proofErr w:type="spellEnd"/>
      <w:r w:rsidRPr="0061536E">
        <w:rPr>
          <w:rFonts w:ascii="Times New Roman" w:hAnsi="Times New Roman" w:cs="Times New Roman"/>
          <w:lang w:val="en-US"/>
        </w:rPr>
        <w:t xml:space="preserve"> / Ю. </w:t>
      </w:r>
      <w:proofErr w:type="spellStart"/>
      <w:r w:rsidRPr="0061536E">
        <w:rPr>
          <w:rFonts w:ascii="Times New Roman" w:hAnsi="Times New Roman" w:cs="Times New Roman"/>
          <w:lang w:val="en-US"/>
        </w:rPr>
        <w:t>Савостьянов</w:t>
      </w:r>
      <w:proofErr w:type="spellEnd"/>
      <w:r w:rsidRPr="0061536E">
        <w:rPr>
          <w:rFonts w:ascii="Times New Roman" w:hAnsi="Times New Roman" w:cs="Times New Roman"/>
          <w:lang w:val="en-US"/>
        </w:rPr>
        <w:t xml:space="preserve"> // Oil &amp; Gas Journal Russia. </w:t>
      </w:r>
      <w:proofErr w:type="gramStart"/>
      <w:r w:rsidRPr="0061536E">
        <w:rPr>
          <w:rFonts w:ascii="Times New Roman" w:hAnsi="Times New Roman" w:cs="Times New Roman"/>
          <w:lang w:val="en-US"/>
        </w:rPr>
        <w:t xml:space="preserve">– </w:t>
      </w:r>
      <w:proofErr w:type="spellStart"/>
      <w:r w:rsidRPr="0061536E">
        <w:rPr>
          <w:rFonts w:ascii="Times New Roman" w:hAnsi="Times New Roman" w:cs="Times New Roman"/>
          <w:lang w:val="en-US"/>
        </w:rPr>
        <w:t>Апрель</w:t>
      </w:r>
      <w:proofErr w:type="spellEnd"/>
      <w:r w:rsidRPr="0061536E">
        <w:rPr>
          <w:rFonts w:ascii="Times New Roman" w:hAnsi="Times New Roman" w:cs="Times New Roman"/>
          <w:lang w:val="en-US"/>
        </w:rPr>
        <w:t xml:space="preserve"> 2017.</w:t>
      </w:r>
      <w:proofErr w:type="gramEnd"/>
      <w:r w:rsidRPr="0061536E">
        <w:rPr>
          <w:rFonts w:ascii="Times New Roman" w:hAnsi="Times New Roman" w:cs="Times New Roman"/>
          <w:lang w:val="en-US"/>
        </w:rPr>
        <w:t xml:space="preserve"> </w:t>
      </w:r>
      <w:r w:rsidRPr="0061536E">
        <w:rPr>
          <w:rFonts w:ascii="Times New Roman" w:hAnsi="Times New Roman" w:cs="Times New Roman"/>
        </w:rPr>
        <w:t>№ 04 (114). С. 23.</w:t>
      </w:r>
    </w:p>
  </w:footnote>
  <w:footnote w:id="21">
    <w:p w:rsidR="004D6A9F" w:rsidRPr="0061536E" w:rsidRDefault="004D6A9F" w:rsidP="0059775B">
      <w:pPr>
        <w:pStyle w:val="a5"/>
        <w:jc w:val="both"/>
      </w:pPr>
      <w:r>
        <w:rPr>
          <w:rStyle w:val="a7"/>
        </w:rPr>
        <w:footnoteRef/>
      </w:r>
      <w:r w:rsidRPr="0061536E">
        <w:t xml:space="preserve"> </w:t>
      </w:r>
      <w:r w:rsidRPr="0061536E">
        <w:rPr>
          <w:rFonts w:ascii="Times New Roman" w:hAnsi="Times New Roman" w:cs="Times New Roman"/>
        </w:rPr>
        <w:t xml:space="preserve">Савостьянов, Ю. Все больше слияний и поглощений / Ю. Савостьянов // </w:t>
      </w:r>
      <w:r w:rsidRPr="0061536E">
        <w:rPr>
          <w:rFonts w:ascii="Times New Roman" w:hAnsi="Times New Roman" w:cs="Times New Roman"/>
          <w:lang w:val="en-US"/>
        </w:rPr>
        <w:t>Oil</w:t>
      </w:r>
      <w:r w:rsidRPr="0061536E">
        <w:rPr>
          <w:rFonts w:ascii="Times New Roman" w:hAnsi="Times New Roman" w:cs="Times New Roman"/>
        </w:rPr>
        <w:t xml:space="preserve"> &amp; </w:t>
      </w:r>
      <w:r w:rsidRPr="0061536E">
        <w:rPr>
          <w:rFonts w:ascii="Times New Roman" w:hAnsi="Times New Roman" w:cs="Times New Roman"/>
          <w:lang w:val="en-US"/>
        </w:rPr>
        <w:t>Gas</w:t>
      </w:r>
      <w:r w:rsidRPr="0061536E">
        <w:rPr>
          <w:rFonts w:ascii="Times New Roman" w:hAnsi="Times New Roman" w:cs="Times New Roman"/>
        </w:rPr>
        <w:t xml:space="preserve"> </w:t>
      </w:r>
      <w:r w:rsidRPr="0061536E">
        <w:rPr>
          <w:rFonts w:ascii="Times New Roman" w:hAnsi="Times New Roman" w:cs="Times New Roman"/>
          <w:lang w:val="en-US"/>
        </w:rPr>
        <w:t>Journal</w:t>
      </w:r>
      <w:r w:rsidRPr="0061536E">
        <w:rPr>
          <w:rFonts w:ascii="Times New Roman" w:hAnsi="Times New Roman" w:cs="Times New Roman"/>
        </w:rPr>
        <w:t xml:space="preserve"> </w:t>
      </w:r>
      <w:r w:rsidRPr="0061536E">
        <w:rPr>
          <w:rFonts w:ascii="Times New Roman" w:hAnsi="Times New Roman" w:cs="Times New Roman"/>
          <w:lang w:val="en-US"/>
        </w:rPr>
        <w:t>Russia</w:t>
      </w:r>
      <w:r w:rsidRPr="0061536E">
        <w:rPr>
          <w:rFonts w:ascii="Times New Roman" w:hAnsi="Times New Roman" w:cs="Times New Roman"/>
        </w:rPr>
        <w:t xml:space="preserve">. – Апрель 2017. </w:t>
      </w:r>
      <w:r w:rsidRPr="006F49AF">
        <w:rPr>
          <w:rFonts w:ascii="Times New Roman" w:hAnsi="Times New Roman" w:cs="Times New Roman"/>
        </w:rPr>
        <w:t>№ 04 (114). С. 2</w:t>
      </w:r>
      <w:r w:rsidRPr="0061536E">
        <w:rPr>
          <w:rFonts w:ascii="Times New Roman" w:hAnsi="Times New Roman" w:cs="Times New Roman"/>
        </w:rPr>
        <w:t>3.</w:t>
      </w:r>
    </w:p>
  </w:footnote>
  <w:footnote w:id="22">
    <w:p w:rsidR="004D6A9F" w:rsidRPr="005916BF" w:rsidRDefault="004D6A9F" w:rsidP="0059775B">
      <w:pPr>
        <w:rPr>
          <w:rFonts w:ascii="Times New Roman" w:eastAsia="Times New Roman" w:hAnsi="Times New Roman" w:cs="Times New Roman"/>
          <w:sz w:val="20"/>
          <w:szCs w:val="20"/>
          <w:lang w:eastAsia="ru-RU"/>
        </w:rPr>
      </w:pPr>
      <w:r w:rsidRPr="005916BF">
        <w:rPr>
          <w:rStyle w:val="a7"/>
          <w:rFonts w:ascii="Times New Roman" w:hAnsi="Times New Roman" w:cs="Times New Roman"/>
          <w:sz w:val="20"/>
          <w:szCs w:val="20"/>
        </w:rPr>
        <w:footnoteRef/>
      </w:r>
      <w:r w:rsidRPr="005916BF">
        <w:rPr>
          <w:rFonts w:ascii="Times New Roman" w:hAnsi="Times New Roman" w:cs="Times New Roman"/>
          <w:sz w:val="20"/>
          <w:szCs w:val="20"/>
        </w:rPr>
        <w:t xml:space="preserve"> </w:t>
      </w:r>
      <w:r w:rsidRPr="005916BF">
        <w:rPr>
          <w:rFonts w:ascii="Times New Roman" w:eastAsia="Times New Roman" w:hAnsi="Times New Roman" w:cs="Times New Roman"/>
          <w:sz w:val="20"/>
          <w:szCs w:val="20"/>
          <w:lang w:eastAsia="ru-RU"/>
        </w:rPr>
        <w:t xml:space="preserve"> </w:t>
      </w:r>
      <w:proofErr w:type="spellStart"/>
      <w:r w:rsidRPr="005916BF">
        <w:rPr>
          <w:rFonts w:ascii="Times New Roman" w:eastAsia="Times New Roman" w:hAnsi="Times New Roman" w:cs="Times New Roman"/>
          <w:sz w:val="20"/>
          <w:szCs w:val="20"/>
          <w:shd w:val="clear" w:color="auto" w:fill="FFFFFF"/>
          <w:lang w:eastAsia="ru-RU"/>
        </w:rPr>
        <w:t>Абдувахидов</w:t>
      </w:r>
      <w:proofErr w:type="spellEnd"/>
      <w:r w:rsidRPr="005916BF">
        <w:rPr>
          <w:rFonts w:ascii="Times New Roman" w:eastAsia="Times New Roman" w:hAnsi="Times New Roman" w:cs="Times New Roman"/>
          <w:sz w:val="20"/>
          <w:szCs w:val="20"/>
          <w:shd w:val="clear" w:color="auto" w:fill="FFFFFF"/>
          <w:lang w:eastAsia="ru-RU"/>
        </w:rPr>
        <w:t xml:space="preserve"> А. И. Оценка эффективности операций по слияниям и поглощениям // Молодой ученый. — 2015. — №8. — С. 449-452.</w:t>
      </w:r>
    </w:p>
  </w:footnote>
  <w:footnote w:id="23">
    <w:p w:rsidR="004D6A9F" w:rsidRDefault="004D6A9F" w:rsidP="005916BF">
      <w:pPr>
        <w:pStyle w:val="a5"/>
        <w:jc w:val="both"/>
      </w:pPr>
      <w:r>
        <w:rPr>
          <w:rStyle w:val="a7"/>
        </w:rPr>
        <w:footnoteRef/>
      </w:r>
      <w:r>
        <w:t xml:space="preserve"> </w:t>
      </w:r>
      <w:r w:rsidRPr="005916BF">
        <w:rPr>
          <w:rFonts w:ascii="Times New Roman" w:hAnsi="Times New Roman" w:cs="Times New Roman"/>
        </w:rPr>
        <w:t xml:space="preserve">Стратегическое соответствие, эффект синергии и конкурентные преимущества. URL: </w:t>
      </w:r>
      <w:hyperlink r:id="rId6" w:history="1">
        <w:r w:rsidRPr="002F4C89">
          <w:rPr>
            <w:rStyle w:val="a4"/>
            <w:rFonts w:ascii="Times New Roman" w:hAnsi="Times New Roman" w:cs="Times New Roman"/>
          </w:rPr>
          <w:t>http://www.e-xecutive.ru/</w:t>
        </w:r>
      </w:hyperlink>
      <w:r>
        <w:rPr>
          <w:rFonts w:ascii="Times New Roman" w:hAnsi="Times New Roman" w:cs="Times New Roman"/>
        </w:rPr>
        <w:t xml:space="preserve"> </w:t>
      </w:r>
      <w:r w:rsidRPr="005916BF">
        <w:rPr>
          <w:rFonts w:ascii="Times New Roman" w:hAnsi="Times New Roman" w:cs="Times New Roman"/>
        </w:rPr>
        <w:t>(Дата обращения: 11.05.2017)</w:t>
      </w:r>
    </w:p>
  </w:footnote>
  <w:footnote w:id="24">
    <w:p w:rsidR="004D6A9F" w:rsidRPr="0035688F" w:rsidRDefault="004D6A9F" w:rsidP="0035688F">
      <w:pPr>
        <w:pStyle w:val="a9"/>
        <w:shd w:val="clear" w:color="auto" w:fill="FFFFFF"/>
        <w:spacing w:before="0" w:beforeAutospacing="0" w:after="0" w:afterAutospacing="0"/>
        <w:jc w:val="both"/>
        <w:rPr>
          <w:sz w:val="20"/>
          <w:szCs w:val="20"/>
        </w:rPr>
      </w:pPr>
      <w:r w:rsidRPr="00012922">
        <w:rPr>
          <w:rStyle w:val="a7"/>
          <w:rFonts w:eastAsiaTheme="majorEastAsia"/>
          <w:sz w:val="20"/>
          <w:szCs w:val="20"/>
        </w:rPr>
        <w:footnoteRef/>
      </w:r>
      <w:r w:rsidRPr="00012922">
        <w:rPr>
          <w:sz w:val="20"/>
          <w:szCs w:val="20"/>
        </w:rPr>
        <w:t xml:space="preserve"> Теплова Т.В. </w:t>
      </w:r>
      <w:proofErr w:type="spellStart"/>
      <w:r w:rsidRPr="00012922">
        <w:rPr>
          <w:sz w:val="20"/>
          <w:szCs w:val="20"/>
        </w:rPr>
        <w:t>Эффективныи</w:t>
      </w:r>
      <w:proofErr w:type="spellEnd"/>
      <w:r w:rsidRPr="00012922">
        <w:rPr>
          <w:sz w:val="20"/>
          <w:szCs w:val="20"/>
        </w:rPr>
        <w:t xml:space="preserve">̆ </w:t>
      </w:r>
      <w:proofErr w:type="spellStart"/>
      <w:r w:rsidRPr="00012922">
        <w:rPr>
          <w:sz w:val="20"/>
          <w:szCs w:val="20"/>
        </w:rPr>
        <w:t>финансовыи</w:t>
      </w:r>
      <w:proofErr w:type="spellEnd"/>
      <w:r w:rsidRPr="00012922">
        <w:rPr>
          <w:sz w:val="20"/>
          <w:szCs w:val="20"/>
        </w:rPr>
        <w:t xml:space="preserve">̆ директор. – М.: </w:t>
      </w:r>
      <w:r>
        <w:rPr>
          <w:sz w:val="20"/>
          <w:szCs w:val="20"/>
        </w:rPr>
        <w:t xml:space="preserve">Издательство </w:t>
      </w:r>
      <w:proofErr w:type="spellStart"/>
      <w:r>
        <w:rPr>
          <w:sz w:val="20"/>
          <w:szCs w:val="20"/>
        </w:rPr>
        <w:t>Юрайт</w:t>
      </w:r>
      <w:proofErr w:type="spellEnd"/>
      <w:r>
        <w:rPr>
          <w:sz w:val="20"/>
          <w:szCs w:val="20"/>
        </w:rPr>
        <w:t>, 2011.</w:t>
      </w:r>
      <w:r w:rsidRPr="0049767F">
        <w:rPr>
          <w:sz w:val="20"/>
          <w:szCs w:val="20"/>
        </w:rPr>
        <w:t xml:space="preserve"> – </w:t>
      </w:r>
      <w:r>
        <w:rPr>
          <w:sz w:val="20"/>
          <w:szCs w:val="20"/>
          <w:lang w:val="en-US"/>
        </w:rPr>
        <w:t>C</w:t>
      </w:r>
      <w:r w:rsidRPr="0049767F">
        <w:rPr>
          <w:sz w:val="20"/>
          <w:szCs w:val="20"/>
        </w:rPr>
        <w:t>.</w:t>
      </w:r>
      <w:r>
        <w:rPr>
          <w:sz w:val="20"/>
          <w:szCs w:val="20"/>
        </w:rPr>
        <w:t xml:space="preserve"> 467</w:t>
      </w:r>
      <w:r w:rsidRPr="00012922">
        <w:rPr>
          <w:sz w:val="20"/>
          <w:szCs w:val="20"/>
        </w:rPr>
        <w:t xml:space="preserve">. </w:t>
      </w:r>
    </w:p>
  </w:footnote>
  <w:footnote w:id="25">
    <w:p w:rsidR="004D6A9F" w:rsidRPr="004D6A9F" w:rsidRDefault="004D6A9F" w:rsidP="0035688F">
      <w:pPr>
        <w:pStyle w:val="a9"/>
        <w:spacing w:before="0" w:beforeAutospacing="0" w:after="0" w:afterAutospacing="0"/>
        <w:jc w:val="both"/>
        <w:rPr>
          <w:sz w:val="20"/>
          <w:szCs w:val="20"/>
          <w:lang w:val="en-US"/>
        </w:rPr>
      </w:pPr>
      <w:r w:rsidRPr="00012922">
        <w:rPr>
          <w:rStyle w:val="a7"/>
          <w:rFonts w:eastAsiaTheme="majorEastAsia"/>
          <w:sz w:val="20"/>
          <w:szCs w:val="20"/>
        </w:rPr>
        <w:footnoteRef/>
      </w:r>
      <w:r w:rsidRPr="00012922">
        <w:rPr>
          <w:sz w:val="20"/>
          <w:szCs w:val="20"/>
        </w:rPr>
        <w:t xml:space="preserve"> </w:t>
      </w:r>
      <w:proofErr w:type="spellStart"/>
      <w:r w:rsidRPr="00012922">
        <w:rPr>
          <w:sz w:val="20"/>
          <w:szCs w:val="20"/>
        </w:rPr>
        <w:t>Тихомиров</w:t>
      </w:r>
      <w:proofErr w:type="gramStart"/>
      <w:r w:rsidRPr="00012922">
        <w:rPr>
          <w:sz w:val="20"/>
          <w:szCs w:val="20"/>
        </w:rPr>
        <w:t>,Д</w:t>
      </w:r>
      <w:proofErr w:type="gramEnd"/>
      <w:r w:rsidRPr="00012922">
        <w:rPr>
          <w:sz w:val="20"/>
          <w:szCs w:val="20"/>
        </w:rPr>
        <w:t>.В</w:t>
      </w:r>
      <w:proofErr w:type="spellEnd"/>
      <w:r w:rsidRPr="00012922">
        <w:rPr>
          <w:sz w:val="20"/>
          <w:szCs w:val="20"/>
        </w:rPr>
        <w:t>. Оценка стоимости компаний пр</w:t>
      </w:r>
      <w:r w:rsidR="000C2D75">
        <w:rPr>
          <w:sz w:val="20"/>
          <w:szCs w:val="20"/>
        </w:rPr>
        <w:t>и слияниях и поглощениях</w:t>
      </w:r>
      <w:r w:rsidRPr="00012922">
        <w:rPr>
          <w:sz w:val="20"/>
          <w:szCs w:val="20"/>
        </w:rPr>
        <w:t xml:space="preserve"> / Д.В. Тихомиров. – СПб</w:t>
      </w:r>
      <w:proofErr w:type="gramStart"/>
      <w:r w:rsidRPr="00012922">
        <w:rPr>
          <w:sz w:val="20"/>
          <w:szCs w:val="20"/>
        </w:rPr>
        <w:t xml:space="preserve">. : </w:t>
      </w:r>
      <w:proofErr w:type="gramEnd"/>
      <w:r w:rsidRPr="00012922">
        <w:rPr>
          <w:sz w:val="20"/>
          <w:szCs w:val="20"/>
        </w:rPr>
        <w:t xml:space="preserve">Изд-во </w:t>
      </w:r>
      <w:proofErr w:type="spellStart"/>
      <w:r w:rsidRPr="00012922">
        <w:rPr>
          <w:sz w:val="20"/>
          <w:szCs w:val="20"/>
        </w:rPr>
        <w:t>СПбГУЭФ</w:t>
      </w:r>
      <w:proofErr w:type="spellEnd"/>
      <w:r w:rsidRPr="00012922">
        <w:rPr>
          <w:sz w:val="20"/>
          <w:szCs w:val="20"/>
        </w:rPr>
        <w:t xml:space="preserve">, 2009.– </w:t>
      </w:r>
      <w:r>
        <w:rPr>
          <w:sz w:val="20"/>
          <w:szCs w:val="20"/>
        </w:rPr>
        <w:t>С</w:t>
      </w:r>
      <w:r w:rsidRPr="004D6A9F">
        <w:rPr>
          <w:sz w:val="20"/>
          <w:szCs w:val="20"/>
          <w:lang w:val="en-US"/>
        </w:rPr>
        <w:t>. 79.</w:t>
      </w:r>
    </w:p>
  </w:footnote>
  <w:footnote w:id="26">
    <w:p w:rsidR="004D6A9F" w:rsidRPr="0049767F" w:rsidRDefault="004D6A9F" w:rsidP="0049767F">
      <w:pPr>
        <w:pStyle w:val="a5"/>
        <w:jc w:val="both"/>
        <w:rPr>
          <w:rFonts w:ascii="Times New Roman" w:hAnsi="Times New Roman" w:cs="Times New Roman"/>
          <w:lang w:val="en-US"/>
        </w:rPr>
      </w:pPr>
      <w:r w:rsidRPr="00012922">
        <w:rPr>
          <w:rStyle w:val="a7"/>
          <w:rFonts w:ascii="Times New Roman" w:hAnsi="Times New Roman" w:cs="Times New Roman"/>
        </w:rPr>
        <w:footnoteRef/>
      </w:r>
      <w:r w:rsidRPr="00012922">
        <w:rPr>
          <w:rFonts w:ascii="Times New Roman" w:hAnsi="Times New Roman" w:cs="Times New Roman"/>
          <w:lang w:val="en-US"/>
        </w:rPr>
        <w:t xml:space="preserve"> </w:t>
      </w:r>
      <w:r>
        <w:rPr>
          <w:rFonts w:ascii="Times New Roman" w:hAnsi="Times New Roman" w:cs="Times New Roman"/>
          <w:lang w:val="en-US"/>
        </w:rPr>
        <w:t xml:space="preserve">Haas, B. M&amp;A Deal Evaluation: Challenging Metrics Myths / B. Haas, D. Hodgson // </w:t>
      </w:r>
      <w:r w:rsidRPr="00012922">
        <w:rPr>
          <w:rFonts w:ascii="Times New Roman" w:hAnsi="Times New Roman" w:cs="Times New Roman"/>
          <w:lang w:val="en-US"/>
        </w:rPr>
        <w:t xml:space="preserve">A.T. Kearney. </w:t>
      </w:r>
      <w:proofErr w:type="gramStart"/>
      <w:r w:rsidRPr="00012922">
        <w:rPr>
          <w:rFonts w:ascii="Times New Roman" w:hAnsi="Times New Roman" w:cs="Times New Roman"/>
          <w:lang w:val="en-US"/>
        </w:rPr>
        <w:t>Merger Integration framework.</w:t>
      </w:r>
      <w:proofErr w:type="gramEnd"/>
      <w:r w:rsidRPr="00012922">
        <w:rPr>
          <w:rFonts w:ascii="Times New Roman" w:hAnsi="Times New Roman" w:cs="Times New Roman"/>
          <w:lang w:val="en-US"/>
        </w:rPr>
        <w:t xml:space="preserve"> URL</w:t>
      </w:r>
      <w:r>
        <w:rPr>
          <w:rFonts w:ascii="Times New Roman" w:hAnsi="Times New Roman" w:cs="Times New Roman"/>
          <w:lang w:val="en-US"/>
        </w:rPr>
        <w:t>:</w:t>
      </w:r>
      <w:r w:rsidRPr="0049767F">
        <w:rPr>
          <w:rFonts w:ascii="Times New Roman" w:hAnsi="Times New Roman" w:cs="Times New Roman"/>
          <w:lang w:val="en-US"/>
        </w:rPr>
        <w:t xml:space="preserve"> </w:t>
      </w:r>
      <w:r w:rsidR="002F0191">
        <w:fldChar w:fldCharType="begin"/>
      </w:r>
      <w:r w:rsidR="002F0191" w:rsidRPr="00FE3362">
        <w:rPr>
          <w:lang w:val="en-US"/>
        </w:rPr>
        <w:instrText xml:space="preserve"> HYPERLINK "http://www.atkearney.in/" </w:instrText>
      </w:r>
      <w:r w:rsidR="002F0191">
        <w:fldChar w:fldCharType="separate"/>
      </w:r>
      <w:r w:rsidRPr="002F4C89">
        <w:rPr>
          <w:rStyle w:val="a4"/>
          <w:rFonts w:ascii="Times New Roman" w:hAnsi="Times New Roman" w:cs="Times New Roman"/>
          <w:lang w:val="en-US"/>
        </w:rPr>
        <w:t>http://www.atkearney.in/</w:t>
      </w:r>
      <w:r w:rsidR="002F0191">
        <w:rPr>
          <w:rStyle w:val="a4"/>
          <w:rFonts w:ascii="Times New Roman" w:hAnsi="Times New Roman" w:cs="Times New Roman"/>
          <w:lang w:val="en-US"/>
        </w:rPr>
        <w:fldChar w:fldCharType="end"/>
      </w:r>
      <w:r>
        <w:rPr>
          <w:rFonts w:ascii="Times New Roman" w:hAnsi="Times New Roman" w:cs="Times New Roman"/>
          <w:lang w:val="en-US"/>
        </w:rPr>
        <w:t xml:space="preserve"> </w:t>
      </w:r>
      <w:r w:rsidRPr="0049767F">
        <w:rPr>
          <w:rFonts w:ascii="Times New Roman" w:hAnsi="Times New Roman" w:cs="Times New Roman"/>
          <w:lang w:val="en-US"/>
        </w:rPr>
        <w:t>(</w:t>
      </w:r>
      <w:r w:rsidRPr="00012922">
        <w:rPr>
          <w:rFonts w:ascii="Times New Roman" w:hAnsi="Times New Roman" w:cs="Times New Roman"/>
        </w:rPr>
        <w:t>Дата</w:t>
      </w:r>
      <w:r w:rsidRPr="0049767F">
        <w:rPr>
          <w:rFonts w:ascii="Times New Roman" w:hAnsi="Times New Roman" w:cs="Times New Roman"/>
          <w:lang w:val="en-US"/>
        </w:rPr>
        <w:t xml:space="preserve"> </w:t>
      </w:r>
      <w:r w:rsidRPr="00012922">
        <w:rPr>
          <w:rFonts w:ascii="Times New Roman" w:hAnsi="Times New Roman" w:cs="Times New Roman"/>
        </w:rPr>
        <w:t>обращения</w:t>
      </w:r>
      <w:r w:rsidRPr="0049767F">
        <w:rPr>
          <w:rFonts w:ascii="Times New Roman" w:hAnsi="Times New Roman" w:cs="Times New Roman"/>
          <w:lang w:val="en-US"/>
        </w:rPr>
        <w:t>: 11.05.2017)</w:t>
      </w:r>
    </w:p>
    <w:p w:rsidR="004D6A9F" w:rsidRPr="0049767F" w:rsidRDefault="004D6A9F" w:rsidP="0059775B">
      <w:pPr>
        <w:pStyle w:val="a5"/>
        <w:rPr>
          <w:rFonts w:ascii="Times New Roman" w:hAnsi="Times New Roman" w:cs="Times New Roman"/>
          <w:lang w:val="en-US"/>
        </w:rPr>
      </w:pPr>
    </w:p>
  </w:footnote>
  <w:footnote w:id="27">
    <w:p w:rsidR="004D6A9F" w:rsidRPr="0049767F" w:rsidRDefault="004D6A9F" w:rsidP="0059775B">
      <w:pPr>
        <w:pStyle w:val="a5"/>
        <w:rPr>
          <w:rFonts w:ascii="Times New Roman" w:hAnsi="Times New Roman" w:cs="Times New Roman"/>
        </w:rPr>
      </w:pPr>
      <w:r w:rsidRPr="00012922">
        <w:rPr>
          <w:rStyle w:val="a7"/>
          <w:rFonts w:ascii="Times New Roman" w:hAnsi="Times New Roman" w:cs="Times New Roman"/>
        </w:rPr>
        <w:footnoteRef/>
      </w:r>
      <w:r w:rsidRPr="0049767F">
        <w:rPr>
          <w:rFonts w:ascii="Times New Roman" w:hAnsi="Times New Roman" w:cs="Times New Roman"/>
        </w:rPr>
        <w:t xml:space="preserve"> </w:t>
      </w:r>
      <w:r>
        <w:rPr>
          <w:rFonts w:ascii="Times New Roman" w:hAnsi="Times New Roman" w:cs="Times New Roman"/>
        </w:rPr>
        <w:t xml:space="preserve">Назарова, В.В. </w:t>
      </w:r>
      <w:r w:rsidRPr="00012922">
        <w:rPr>
          <w:rFonts w:ascii="Times New Roman" w:hAnsi="Times New Roman" w:cs="Times New Roman"/>
        </w:rPr>
        <w:t>Методы</w:t>
      </w:r>
      <w:r w:rsidRPr="0049767F">
        <w:rPr>
          <w:rFonts w:ascii="Times New Roman" w:hAnsi="Times New Roman" w:cs="Times New Roman"/>
        </w:rPr>
        <w:t xml:space="preserve"> </w:t>
      </w:r>
      <w:r w:rsidRPr="00012922">
        <w:rPr>
          <w:rFonts w:ascii="Times New Roman" w:hAnsi="Times New Roman" w:cs="Times New Roman"/>
        </w:rPr>
        <w:t>оценки</w:t>
      </w:r>
      <w:r w:rsidRPr="0049767F">
        <w:rPr>
          <w:rFonts w:ascii="Times New Roman" w:hAnsi="Times New Roman" w:cs="Times New Roman"/>
        </w:rPr>
        <w:t xml:space="preserve"> </w:t>
      </w:r>
      <w:r w:rsidRPr="00012922">
        <w:rPr>
          <w:rFonts w:ascii="Times New Roman" w:hAnsi="Times New Roman" w:cs="Times New Roman"/>
        </w:rPr>
        <w:t>стоимости</w:t>
      </w:r>
      <w:r w:rsidRPr="0049767F">
        <w:rPr>
          <w:rFonts w:ascii="Times New Roman" w:hAnsi="Times New Roman" w:cs="Times New Roman"/>
        </w:rPr>
        <w:t xml:space="preserve"> </w:t>
      </w:r>
      <w:r w:rsidRPr="00012922">
        <w:rPr>
          <w:rFonts w:ascii="Times New Roman" w:hAnsi="Times New Roman" w:cs="Times New Roman"/>
        </w:rPr>
        <w:t>компании</w:t>
      </w:r>
      <w:r w:rsidRPr="0049767F">
        <w:rPr>
          <w:rFonts w:ascii="Times New Roman" w:hAnsi="Times New Roman" w:cs="Times New Roman"/>
        </w:rPr>
        <w:t xml:space="preserve"> </w:t>
      </w:r>
      <w:r w:rsidRPr="00012922">
        <w:rPr>
          <w:rFonts w:ascii="Times New Roman" w:hAnsi="Times New Roman" w:cs="Times New Roman"/>
        </w:rPr>
        <w:t>в</w:t>
      </w:r>
      <w:r w:rsidRPr="0049767F">
        <w:rPr>
          <w:rFonts w:ascii="Times New Roman" w:hAnsi="Times New Roman" w:cs="Times New Roman"/>
        </w:rPr>
        <w:t xml:space="preserve"> </w:t>
      </w:r>
      <w:r w:rsidRPr="00012922">
        <w:rPr>
          <w:rFonts w:ascii="Times New Roman" w:hAnsi="Times New Roman" w:cs="Times New Roman"/>
        </w:rPr>
        <w:t>сделках</w:t>
      </w:r>
      <w:r w:rsidRPr="0049767F">
        <w:rPr>
          <w:rFonts w:ascii="Times New Roman" w:hAnsi="Times New Roman" w:cs="Times New Roman"/>
        </w:rPr>
        <w:t xml:space="preserve"> </w:t>
      </w:r>
      <w:r w:rsidRPr="00012922">
        <w:rPr>
          <w:rFonts w:ascii="Times New Roman" w:hAnsi="Times New Roman" w:cs="Times New Roman"/>
          <w:lang w:val="en-US"/>
        </w:rPr>
        <w:t>M</w:t>
      </w:r>
      <w:r w:rsidRPr="0049767F">
        <w:rPr>
          <w:rFonts w:ascii="Times New Roman" w:hAnsi="Times New Roman" w:cs="Times New Roman"/>
        </w:rPr>
        <w:t>&amp;</w:t>
      </w:r>
      <w:r w:rsidRPr="00012922">
        <w:rPr>
          <w:rFonts w:ascii="Times New Roman" w:hAnsi="Times New Roman" w:cs="Times New Roman"/>
          <w:lang w:val="en-US"/>
        </w:rPr>
        <w:t>A</w:t>
      </w:r>
      <w:r>
        <w:rPr>
          <w:rFonts w:ascii="Times New Roman" w:hAnsi="Times New Roman" w:cs="Times New Roman"/>
        </w:rPr>
        <w:t xml:space="preserve"> / В.В. Назарова, Дмитриева М.Б.</w:t>
      </w:r>
      <w:r w:rsidRPr="0049767F">
        <w:rPr>
          <w:rFonts w:ascii="Times New Roman" w:hAnsi="Times New Roman" w:cs="Times New Roman"/>
        </w:rPr>
        <w:t xml:space="preserve"> </w:t>
      </w:r>
      <w:r w:rsidRPr="00012922">
        <w:rPr>
          <w:rFonts w:ascii="Times New Roman" w:hAnsi="Times New Roman" w:cs="Times New Roman"/>
          <w:lang w:val="en-US"/>
        </w:rPr>
        <w:t>URL</w:t>
      </w:r>
      <w:r w:rsidRPr="0049767F">
        <w:rPr>
          <w:rFonts w:ascii="Times New Roman" w:hAnsi="Times New Roman" w:cs="Times New Roman"/>
        </w:rPr>
        <w:t xml:space="preserve">: </w:t>
      </w:r>
      <w:hyperlink r:id="rId7" w:history="1">
        <w:r w:rsidRPr="002F4C89">
          <w:rPr>
            <w:rStyle w:val="a4"/>
            <w:rFonts w:ascii="Times New Roman" w:hAnsi="Times New Roman" w:cs="Times New Roman"/>
            <w:lang w:val="en-US"/>
          </w:rPr>
          <w:t>https</w:t>
        </w:r>
        <w:r w:rsidRPr="002F4C89">
          <w:rPr>
            <w:rStyle w:val="a4"/>
            <w:rFonts w:ascii="Times New Roman" w:hAnsi="Times New Roman" w:cs="Times New Roman"/>
          </w:rPr>
          <w:t>://</w:t>
        </w:r>
        <w:r w:rsidRPr="002F4C89">
          <w:rPr>
            <w:rStyle w:val="a4"/>
            <w:rFonts w:ascii="Times New Roman" w:hAnsi="Times New Roman" w:cs="Times New Roman"/>
            <w:lang w:val="en-US"/>
          </w:rPr>
          <w:t>www</w:t>
        </w:r>
        <w:r w:rsidRPr="002F4C89">
          <w:rPr>
            <w:rStyle w:val="a4"/>
            <w:rFonts w:ascii="Times New Roman" w:hAnsi="Times New Roman" w:cs="Times New Roman"/>
          </w:rPr>
          <w:t>.</w:t>
        </w:r>
        <w:proofErr w:type="spellStart"/>
        <w:r w:rsidRPr="002F4C89">
          <w:rPr>
            <w:rStyle w:val="a4"/>
            <w:rFonts w:ascii="Times New Roman" w:hAnsi="Times New Roman" w:cs="Times New Roman"/>
            <w:lang w:val="en-US"/>
          </w:rPr>
          <w:t>hse</w:t>
        </w:r>
        <w:proofErr w:type="spellEnd"/>
        <w:r w:rsidRPr="002F4C89">
          <w:rPr>
            <w:rStyle w:val="a4"/>
            <w:rFonts w:ascii="Times New Roman" w:hAnsi="Times New Roman" w:cs="Times New Roman"/>
          </w:rPr>
          <w:t>.</w:t>
        </w:r>
        <w:proofErr w:type="spellStart"/>
        <w:r w:rsidRPr="002F4C89">
          <w:rPr>
            <w:rStyle w:val="a4"/>
            <w:rFonts w:ascii="Times New Roman" w:hAnsi="Times New Roman" w:cs="Times New Roman"/>
            <w:lang w:val="en-US"/>
          </w:rPr>
          <w:t>ru</w:t>
        </w:r>
        <w:proofErr w:type="spellEnd"/>
        <w:r w:rsidRPr="002F4C89">
          <w:rPr>
            <w:rStyle w:val="a4"/>
            <w:rFonts w:ascii="Times New Roman" w:hAnsi="Times New Roman" w:cs="Times New Roman"/>
          </w:rPr>
          <w:t>/</w:t>
        </w:r>
      </w:hyperlink>
      <w:r>
        <w:rPr>
          <w:rFonts w:ascii="Times New Roman" w:hAnsi="Times New Roman" w:cs="Times New Roman"/>
        </w:rPr>
        <w:t xml:space="preserve"> </w:t>
      </w:r>
      <w:r w:rsidRPr="0049767F">
        <w:rPr>
          <w:rFonts w:ascii="Times New Roman" w:hAnsi="Times New Roman" w:cs="Times New Roman"/>
        </w:rPr>
        <w:t>(</w:t>
      </w:r>
      <w:r w:rsidRPr="00012922">
        <w:rPr>
          <w:rFonts w:ascii="Times New Roman" w:hAnsi="Times New Roman" w:cs="Times New Roman"/>
        </w:rPr>
        <w:t>Дата</w:t>
      </w:r>
      <w:r w:rsidRPr="0049767F">
        <w:rPr>
          <w:rFonts w:ascii="Times New Roman" w:hAnsi="Times New Roman" w:cs="Times New Roman"/>
        </w:rPr>
        <w:t xml:space="preserve"> </w:t>
      </w:r>
      <w:r w:rsidRPr="00012922">
        <w:rPr>
          <w:rFonts w:ascii="Times New Roman" w:hAnsi="Times New Roman" w:cs="Times New Roman"/>
        </w:rPr>
        <w:t>обращения</w:t>
      </w:r>
      <w:r w:rsidRPr="0049767F">
        <w:rPr>
          <w:rFonts w:ascii="Times New Roman" w:hAnsi="Times New Roman" w:cs="Times New Roman"/>
        </w:rPr>
        <w:t>: 11.05.2017)</w:t>
      </w:r>
    </w:p>
  </w:footnote>
  <w:footnote w:id="28">
    <w:p w:rsidR="004D6A9F" w:rsidRPr="00012922" w:rsidRDefault="004D6A9F" w:rsidP="0059775B">
      <w:pPr>
        <w:pStyle w:val="a9"/>
        <w:spacing w:before="0" w:beforeAutospacing="0"/>
        <w:rPr>
          <w:sz w:val="20"/>
          <w:szCs w:val="20"/>
          <w:lang w:val="en-US"/>
        </w:rPr>
      </w:pPr>
      <w:r w:rsidRPr="00012922">
        <w:rPr>
          <w:rStyle w:val="a7"/>
          <w:rFonts w:eastAsiaTheme="majorEastAsia"/>
          <w:sz w:val="20"/>
          <w:szCs w:val="20"/>
        </w:rPr>
        <w:footnoteRef/>
      </w:r>
      <w:r w:rsidRPr="00012922">
        <w:rPr>
          <w:sz w:val="20"/>
          <w:szCs w:val="20"/>
          <w:lang w:val="en-US"/>
        </w:rPr>
        <w:t xml:space="preserve"> King, A.M. Fair Value for Financial Reporting: Meeting the New FASB </w:t>
      </w:r>
      <w:r>
        <w:rPr>
          <w:sz w:val="20"/>
          <w:szCs w:val="20"/>
          <w:lang w:val="en-US"/>
        </w:rPr>
        <w:t>Requirements</w:t>
      </w:r>
      <w:r w:rsidRPr="00012922">
        <w:rPr>
          <w:sz w:val="20"/>
          <w:szCs w:val="20"/>
          <w:lang w:val="en-US"/>
        </w:rPr>
        <w:t xml:space="preserve"> / A.M. King. – New York: John Wiley &amp;</w:t>
      </w:r>
      <w:r>
        <w:rPr>
          <w:sz w:val="20"/>
          <w:szCs w:val="20"/>
          <w:lang w:val="en-US"/>
        </w:rPr>
        <w:t xml:space="preserve"> Sons, Inc., 2011. – P</w:t>
      </w:r>
      <w:r w:rsidRPr="00012922">
        <w:rPr>
          <w:sz w:val="20"/>
          <w:szCs w:val="20"/>
          <w:lang w:val="en-US"/>
        </w:rPr>
        <w:t xml:space="preserve">. </w:t>
      </w:r>
      <w:r>
        <w:rPr>
          <w:sz w:val="20"/>
          <w:szCs w:val="20"/>
          <w:lang w:val="en-US"/>
        </w:rPr>
        <w:t>292.</w:t>
      </w:r>
    </w:p>
  </w:footnote>
  <w:footnote w:id="29">
    <w:p w:rsidR="004D6A9F" w:rsidRPr="00012922" w:rsidRDefault="004D6A9F" w:rsidP="00441CC0">
      <w:pPr>
        <w:pStyle w:val="a5"/>
        <w:jc w:val="both"/>
        <w:rPr>
          <w:rFonts w:ascii="Times New Roman" w:hAnsi="Times New Roman" w:cs="Times New Roman"/>
        </w:rPr>
      </w:pPr>
      <w:r w:rsidRPr="00012922">
        <w:rPr>
          <w:rStyle w:val="a7"/>
          <w:rFonts w:ascii="Times New Roman" w:hAnsi="Times New Roman" w:cs="Times New Roman"/>
        </w:rPr>
        <w:footnoteRef/>
      </w:r>
      <w:r w:rsidRPr="00012922">
        <w:rPr>
          <w:rFonts w:ascii="Times New Roman" w:hAnsi="Times New Roman" w:cs="Times New Roman"/>
          <w:lang w:val="en-US"/>
        </w:rPr>
        <w:t xml:space="preserve"> </w:t>
      </w:r>
      <w:proofErr w:type="spellStart"/>
      <w:proofErr w:type="gramStart"/>
      <w:r w:rsidRPr="00012922">
        <w:rPr>
          <w:rFonts w:ascii="Times New Roman" w:hAnsi="Times New Roman" w:cs="Times New Roman"/>
          <w:lang w:val="en-US"/>
        </w:rPr>
        <w:t>Ibanking</w:t>
      </w:r>
      <w:proofErr w:type="spellEnd"/>
      <w:r w:rsidRPr="00012922">
        <w:rPr>
          <w:rFonts w:ascii="Times New Roman" w:hAnsi="Times New Roman" w:cs="Times New Roman"/>
          <w:lang w:val="en-US"/>
        </w:rPr>
        <w:t xml:space="preserve"> FAQ – EPS accretion/dilution.</w:t>
      </w:r>
      <w:proofErr w:type="gramEnd"/>
      <w:r w:rsidRPr="00012922">
        <w:rPr>
          <w:rFonts w:ascii="Times New Roman" w:hAnsi="Times New Roman" w:cs="Times New Roman"/>
          <w:lang w:val="en-US"/>
        </w:rPr>
        <w:t xml:space="preserve"> URL</w:t>
      </w:r>
      <w:r w:rsidRPr="00012922">
        <w:rPr>
          <w:rFonts w:ascii="Times New Roman" w:hAnsi="Times New Roman" w:cs="Times New Roman"/>
        </w:rPr>
        <w:t xml:space="preserve"> </w:t>
      </w:r>
      <w:hyperlink r:id="rId8" w:history="1">
        <w:r w:rsidRPr="002F4C89">
          <w:rPr>
            <w:rStyle w:val="a4"/>
            <w:rFonts w:ascii="Times New Roman" w:hAnsi="Times New Roman" w:cs="Times New Roman"/>
          </w:rPr>
          <w:t>http://www.ibankingfaq.com/</w:t>
        </w:r>
      </w:hyperlink>
      <w:r w:rsidRPr="00BB18D6">
        <w:rPr>
          <w:rFonts w:ascii="Times New Roman" w:hAnsi="Times New Roman" w:cs="Times New Roman"/>
        </w:rPr>
        <w:t xml:space="preserve"> </w:t>
      </w:r>
      <w:r w:rsidRPr="00012922">
        <w:rPr>
          <w:rFonts w:ascii="Times New Roman" w:hAnsi="Times New Roman" w:cs="Times New Roman"/>
        </w:rPr>
        <w:t xml:space="preserve"> (Дата обращения: 11.05.2017)</w:t>
      </w:r>
    </w:p>
    <w:p w:rsidR="004D6A9F" w:rsidRPr="00012922" w:rsidRDefault="004D6A9F" w:rsidP="0059775B">
      <w:pPr>
        <w:pStyle w:val="a5"/>
        <w:rPr>
          <w:rFonts w:ascii="Times New Roman" w:hAnsi="Times New Roman" w:cs="Times New Roman"/>
        </w:rPr>
      </w:pPr>
    </w:p>
  </w:footnote>
  <w:footnote w:id="30">
    <w:p w:rsidR="004D6A9F" w:rsidRPr="00BB18D6" w:rsidRDefault="004D6A9F" w:rsidP="00E11D2C">
      <w:pPr>
        <w:pStyle w:val="a5"/>
        <w:jc w:val="both"/>
        <w:rPr>
          <w:rFonts w:ascii="Times New Roman" w:hAnsi="Times New Roman" w:cs="Times New Roman"/>
          <w:lang w:val="en-US"/>
        </w:rPr>
      </w:pPr>
      <w:r w:rsidRPr="00012922">
        <w:rPr>
          <w:rStyle w:val="a7"/>
          <w:rFonts w:ascii="Times New Roman" w:hAnsi="Times New Roman" w:cs="Times New Roman"/>
        </w:rPr>
        <w:footnoteRef/>
      </w:r>
      <w:r w:rsidRPr="00012922">
        <w:rPr>
          <w:rFonts w:ascii="Times New Roman" w:hAnsi="Times New Roman" w:cs="Times New Roman"/>
          <w:lang w:val="en-US"/>
        </w:rPr>
        <w:t xml:space="preserve"> </w:t>
      </w:r>
      <w:r w:rsidRPr="00BB18D6">
        <w:rPr>
          <w:rFonts w:ascii="Times New Roman" w:hAnsi="Times New Roman" w:cs="Times New Roman"/>
          <w:lang w:val="en-US"/>
        </w:rPr>
        <w:t xml:space="preserve">Haas, B. M&amp;A Deal Evaluation: Challenging Metrics Myths / B. Haas, D. Hodgson // A.T. Kearney. </w:t>
      </w:r>
      <w:proofErr w:type="gramStart"/>
      <w:r w:rsidRPr="00BB18D6">
        <w:rPr>
          <w:rFonts w:ascii="Times New Roman" w:hAnsi="Times New Roman" w:cs="Times New Roman"/>
          <w:lang w:val="en-US"/>
        </w:rPr>
        <w:t>Merger Integration framework.</w:t>
      </w:r>
      <w:proofErr w:type="gramEnd"/>
      <w:r w:rsidRPr="00BB18D6">
        <w:rPr>
          <w:rFonts w:ascii="Times New Roman" w:hAnsi="Times New Roman" w:cs="Times New Roman"/>
          <w:lang w:val="en-US"/>
        </w:rPr>
        <w:t xml:space="preserve"> URL: </w:t>
      </w:r>
      <w:r w:rsidR="002F0191">
        <w:fldChar w:fldCharType="begin"/>
      </w:r>
      <w:r w:rsidR="002F0191" w:rsidRPr="00FE3362">
        <w:rPr>
          <w:lang w:val="en-US"/>
        </w:rPr>
        <w:instrText xml:space="preserve"> HYPERLINK "http://www.atkearney.in/" </w:instrText>
      </w:r>
      <w:r w:rsidR="002F0191">
        <w:fldChar w:fldCharType="separate"/>
      </w:r>
      <w:r w:rsidRPr="002F4C89">
        <w:rPr>
          <w:rStyle w:val="a4"/>
          <w:rFonts w:ascii="Times New Roman" w:hAnsi="Times New Roman" w:cs="Times New Roman"/>
          <w:lang w:val="en-US"/>
        </w:rPr>
        <w:t>http://www.atkearney.in/</w:t>
      </w:r>
      <w:r w:rsidR="002F0191">
        <w:rPr>
          <w:rStyle w:val="a4"/>
          <w:rFonts w:ascii="Times New Roman" w:hAnsi="Times New Roman" w:cs="Times New Roman"/>
          <w:lang w:val="en-US"/>
        </w:rPr>
        <w:fldChar w:fldCharType="end"/>
      </w:r>
      <w:r>
        <w:rPr>
          <w:rFonts w:ascii="Times New Roman" w:hAnsi="Times New Roman" w:cs="Times New Roman"/>
          <w:lang w:val="en-US"/>
        </w:rPr>
        <w:t xml:space="preserve"> </w:t>
      </w:r>
      <w:r w:rsidRPr="00BB18D6">
        <w:rPr>
          <w:rFonts w:ascii="Times New Roman" w:hAnsi="Times New Roman" w:cs="Times New Roman"/>
          <w:lang w:val="en-US"/>
        </w:rPr>
        <w:t>(</w:t>
      </w:r>
      <w:proofErr w:type="spellStart"/>
      <w:r w:rsidRPr="00BB18D6">
        <w:rPr>
          <w:rFonts w:ascii="Times New Roman" w:hAnsi="Times New Roman" w:cs="Times New Roman"/>
          <w:lang w:val="en-US"/>
        </w:rPr>
        <w:t>Дата</w:t>
      </w:r>
      <w:proofErr w:type="spellEnd"/>
      <w:r w:rsidRPr="00BB18D6">
        <w:rPr>
          <w:rFonts w:ascii="Times New Roman" w:hAnsi="Times New Roman" w:cs="Times New Roman"/>
          <w:lang w:val="en-US"/>
        </w:rPr>
        <w:t xml:space="preserve"> </w:t>
      </w:r>
      <w:proofErr w:type="spellStart"/>
      <w:r w:rsidRPr="00BB18D6">
        <w:rPr>
          <w:rFonts w:ascii="Times New Roman" w:hAnsi="Times New Roman" w:cs="Times New Roman"/>
          <w:lang w:val="en-US"/>
        </w:rPr>
        <w:t>обращения</w:t>
      </w:r>
      <w:proofErr w:type="spellEnd"/>
      <w:r w:rsidRPr="00BB18D6">
        <w:rPr>
          <w:rFonts w:ascii="Times New Roman" w:hAnsi="Times New Roman" w:cs="Times New Roman"/>
          <w:lang w:val="en-US"/>
        </w:rPr>
        <w:t>: 11.05.2017)</w:t>
      </w:r>
    </w:p>
    <w:p w:rsidR="004D6A9F" w:rsidRPr="00BB18D6" w:rsidRDefault="004D6A9F" w:rsidP="0059775B">
      <w:pPr>
        <w:pStyle w:val="a5"/>
        <w:tabs>
          <w:tab w:val="left" w:pos="1130"/>
        </w:tabs>
        <w:rPr>
          <w:rFonts w:ascii="Times New Roman" w:hAnsi="Times New Roman" w:cs="Times New Roman"/>
          <w:lang w:val="en-US"/>
        </w:rPr>
      </w:pPr>
      <w:r w:rsidRPr="00BB18D6">
        <w:rPr>
          <w:rFonts w:ascii="Times New Roman" w:hAnsi="Times New Roman" w:cs="Times New Roman"/>
          <w:lang w:val="en-US"/>
        </w:rPr>
        <w:tab/>
      </w:r>
    </w:p>
  </w:footnote>
  <w:footnote w:id="31">
    <w:p w:rsidR="004D6A9F" w:rsidRPr="00E11D2C" w:rsidRDefault="004D6A9F" w:rsidP="00E11D2C">
      <w:pPr>
        <w:pStyle w:val="a5"/>
        <w:jc w:val="both"/>
        <w:rPr>
          <w:rFonts w:ascii="Times New Roman" w:hAnsi="Times New Roman" w:cs="Times New Roman"/>
        </w:rPr>
      </w:pPr>
      <w:r w:rsidRPr="00E11D2C">
        <w:rPr>
          <w:rStyle w:val="a7"/>
          <w:rFonts w:ascii="Times New Roman" w:hAnsi="Times New Roman" w:cs="Times New Roman"/>
        </w:rPr>
        <w:footnoteRef/>
      </w:r>
      <w:r w:rsidRPr="00E11D2C">
        <w:rPr>
          <w:rFonts w:ascii="Times New Roman" w:hAnsi="Times New Roman" w:cs="Times New Roman"/>
          <w:lang w:val="en-US"/>
        </w:rPr>
        <w:t xml:space="preserve"> </w:t>
      </w:r>
      <w:proofErr w:type="gramStart"/>
      <w:r w:rsidRPr="00E11D2C">
        <w:rPr>
          <w:rFonts w:ascii="Times New Roman" w:hAnsi="Times New Roman" w:cs="Times New Roman"/>
          <w:lang w:val="en-US"/>
        </w:rPr>
        <w:t>Investopedia – EPS accretion/dilution analysis.</w:t>
      </w:r>
      <w:proofErr w:type="gramEnd"/>
      <w:r w:rsidRPr="00E11D2C">
        <w:rPr>
          <w:rFonts w:ascii="Times New Roman" w:hAnsi="Times New Roman" w:cs="Times New Roman"/>
          <w:lang w:val="en-US"/>
        </w:rPr>
        <w:t xml:space="preserve"> URL</w:t>
      </w:r>
      <w:r w:rsidRPr="00E11D2C">
        <w:rPr>
          <w:rFonts w:ascii="Times New Roman" w:hAnsi="Times New Roman" w:cs="Times New Roman"/>
        </w:rPr>
        <w:t xml:space="preserve">: </w:t>
      </w:r>
      <w:hyperlink r:id="rId9" w:history="1">
        <w:r w:rsidRPr="002F4C89">
          <w:rPr>
            <w:rStyle w:val="a4"/>
            <w:rFonts w:ascii="Times New Roman" w:hAnsi="Times New Roman" w:cs="Times New Roman"/>
            <w:lang w:val="en-US"/>
          </w:rPr>
          <w:t>http</w:t>
        </w:r>
        <w:r w:rsidRPr="00E11D2C">
          <w:rPr>
            <w:rStyle w:val="a4"/>
            <w:rFonts w:ascii="Times New Roman" w:hAnsi="Times New Roman" w:cs="Times New Roman"/>
          </w:rPr>
          <w:t>://</w:t>
        </w:r>
        <w:r w:rsidRPr="002F4C89">
          <w:rPr>
            <w:rStyle w:val="a4"/>
            <w:rFonts w:ascii="Times New Roman" w:hAnsi="Times New Roman" w:cs="Times New Roman"/>
            <w:lang w:val="en-US"/>
          </w:rPr>
          <w:t>www</w:t>
        </w:r>
        <w:r w:rsidRPr="00E11D2C">
          <w:rPr>
            <w:rStyle w:val="a4"/>
            <w:rFonts w:ascii="Times New Roman" w:hAnsi="Times New Roman" w:cs="Times New Roman"/>
          </w:rPr>
          <w:t>.</w:t>
        </w:r>
        <w:proofErr w:type="spellStart"/>
        <w:r w:rsidRPr="002F4C89">
          <w:rPr>
            <w:rStyle w:val="a4"/>
            <w:rFonts w:ascii="Times New Roman" w:hAnsi="Times New Roman" w:cs="Times New Roman"/>
            <w:lang w:val="en-US"/>
          </w:rPr>
          <w:t>investopedia</w:t>
        </w:r>
        <w:proofErr w:type="spellEnd"/>
        <w:r w:rsidRPr="00E11D2C">
          <w:rPr>
            <w:rStyle w:val="a4"/>
            <w:rFonts w:ascii="Times New Roman" w:hAnsi="Times New Roman" w:cs="Times New Roman"/>
          </w:rPr>
          <w:t>.</w:t>
        </w:r>
        <w:r w:rsidRPr="002F4C89">
          <w:rPr>
            <w:rStyle w:val="a4"/>
            <w:rFonts w:ascii="Times New Roman" w:hAnsi="Times New Roman" w:cs="Times New Roman"/>
            <w:lang w:val="en-US"/>
          </w:rPr>
          <w:t>com</w:t>
        </w:r>
        <w:r w:rsidRPr="00E11D2C">
          <w:rPr>
            <w:rStyle w:val="a4"/>
            <w:rFonts w:ascii="Times New Roman" w:hAnsi="Times New Roman" w:cs="Times New Roman"/>
          </w:rPr>
          <w:t>/</w:t>
        </w:r>
      </w:hyperlink>
      <w:r>
        <w:rPr>
          <w:rFonts w:ascii="Times New Roman" w:hAnsi="Times New Roman" w:cs="Times New Roman"/>
        </w:rPr>
        <w:t xml:space="preserve"> </w:t>
      </w:r>
      <w:r w:rsidRPr="00E11D2C">
        <w:rPr>
          <w:rFonts w:ascii="Times New Roman" w:hAnsi="Times New Roman" w:cs="Times New Roman"/>
        </w:rPr>
        <w:t>(Дата обращения: 11.05.2017)</w:t>
      </w:r>
    </w:p>
  </w:footnote>
  <w:footnote w:id="32">
    <w:p w:rsidR="004D6A9F" w:rsidRPr="00012922" w:rsidRDefault="004D6A9F" w:rsidP="0059775B">
      <w:pPr>
        <w:pStyle w:val="a5"/>
        <w:jc w:val="both"/>
        <w:rPr>
          <w:rFonts w:ascii="Times New Roman" w:hAnsi="Times New Roman" w:cs="Times New Roman"/>
        </w:rPr>
      </w:pPr>
      <w:r w:rsidRPr="00012922">
        <w:rPr>
          <w:rStyle w:val="a7"/>
          <w:rFonts w:ascii="Times New Roman" w:hAnsi="Times New Roman" w:cs="Times New Roman"/>
        </w:rPr>
        <w:footnoteRef/>
      </w:r>
      <w:r w:rsidRPr="00012922">
        <w:rPr>
          <w:rFonts w:ascii="Times New Roman" w:hAnsi="Times New Roman" w:cs="Times New Roman"/>
        </w:rPr>
        <w:t xml:space="preserve"> </w:t>
      </w:r>
      <w:r>
        <w:rPr>
          <w:rFonts w:ascii="Times New Roman" w:hAnsi="Times New Roman" w:cs="Times New Roman"/>
        </w:rPr>
        <w:t xml:space="preserve">Скворцова, И. Использование метода событий в исследованиях слияний и поглощений на развитых и развивающихся рынках капитала / И. Скворцова, С. Проскурин, В. </w:t>
      </w:r>
      <w:proofErr w:type="spellStart"/>
      <w:r>
        <w:rPr>
          <w:rFonts w:ascii="Times New Roman" w:hAnsi="Times New Roman" w:cs="Times New Roman"/>
        </w:rPr>
        <w:t>Крыхтин</w:t>
      </w:r>
      <w:proofErr w:type="spellEnd"/>
      <w:r>
        <w:rPr>
          <w:rFonts w:ascii="Times New Roman" w:hAnsi="Times New Roman" w:cs="Times New Roman"/>
        </w:rPr>
        <w:t xml:space="preserve">, Е. </w:t>
      </w:r>
      <w:proofErr w:type="spellStart"/>
      <w:r>
        <w:rPr>
          <w:rFonts w:ascii="Times New Roman" w:hAnsi="Times New Roman" w:cs="Times New Roman"/>
        </w:rPr>
        <w:t>Стельмахова</w:t>
      </w:r>
      <w:proofErr w:type="spellEnd"/>
      <w:r>
        <w:rPr>
          <w:rFonts w:ascii="Times New Roman" w:hAnsi="Times New Roman" w:cs="Times New Roman"/>
        </w:rPr>
        <w:t xml:space="preserve">, Е. Игнатьев // </w:t>
      </w:r>
      <w:r w:rsidRPr="00012922">
        <w:rPr>
          <w:rFonts w:ascii="Times New Roman" w:hAnsi="Times New Roman" w:cs="Times New Roman"/>
        </w:rPr>
        <w:t>Электронн</w:t>
      </w:r>
      <w:r>
        <w:rPr>
          <w:rFonts w:ascii="Times New Roman" w:hAnsi="Times New Roman" w:cs="Times New Roman"/>
        </w:rPr>
        <w:t xml:space="preserve">ый журнал Корпоративные финансы. – </w:t>
      </w:r>
      <w:r w:rsidRPr="00012922">
        <w:rPr>
          <w:rFonts w:ascii="Times New Roman" w:hAnsi="Times New Roman" w:cs="Times New Roman"/>
        </w:rPr>
        <w:t>2013</w:t>
      </w:r>
      <w:r>
        <w:rPr>
          <w:rFonts w:ascii="Times New Roman" w:hAnsi="Times New Roman" w:cs="Times New Roman"/>
        </w:rPr>
        <w:t xml:space="preserve"> №4 (28)</w:t>
      </w:r>
      <w:r w:rsidRPr="00012922">
        <w:rPr>
          <w:rFonts w:ascii="Times New Roman" w:hAnsi="Times New Roman" w:cs="Times New Roman"/>
        </w:rPr>
        <w:t>.</w:t>
      </w:r>
      <w:r>
        <w:rPr>
          <w:rFonts w:ascii="Times New Roman" w:hAnsi="Times New Roman" w:cs="Times New Roman"/>
        </w:rPr>
        <w:t xml:space="preserve"> – С.126.</w:t>
      </w:r>
      <w:r w:rsidRPr="00012922">
        <w:rPr>
          <w:rFonts w:ascii="Times New Roman" w:hAnsi="Times New Roman" w:cs="Times New Roman"/>
        </w:rPr>
        <w:t xml:space="preserve"> </w:t>
      </w:r>
      <w:r w:rsidRPr="00012922">
        <w:rPr>
          <w:rFonts w:ascii="Times New Roman" w:hAnsi="Times New Roman" w:cs="Times New Roman"/>
          <w:lang w:val="en-US"/>
        </w:rPr>
        <w:t>URL</w:t>
      </w:r>
      <w:r w:rsidRPr="00012922">
        <w:rPr>
          <w:rFonts w:ascii="Times New Roman" w:hAnsi="Times New Roman" w:cs="Times New Roman"/>
        </w:rPr>
        <w:t xml:space="preserve">: </w:t>
      </w:r>
      <w:hyperlink r:id="rId10" w:history="1">
        <w:r w:rsidRPr="002F4C89">
          <w:rPr>
            <w:rStyle w:val="a4"/>
            <w:rFonts w:ascii="Times New Roman" w:hAnsi="Times New Roman" w:cs="Times New Roman"/>
            <w:lang w:val="en-US"/>
          </w:rPr>
          <w:t>https</w:t>
        </w:r>
        <w:r w:rsidRPr="002F4C89">
          <w:rPr>
            <w:rStyle w:val="a4"/>
            <w:rFonts w:ascii="Times New Roman" w:hAnsi="Times New Roman" w:cs="Times New Roman"/>
          </w:rPr>
          <w:t>://</w:t>
        </w:r>
        <w:r w:rsidRPr="002F4C89">
          <w:rPr>
            <w:rStyle w:val="a4"/>
            <w:rFonts w:ascii="Times New Roman" w:hAnsi="Times New Roman" w:cs="Times New Roman"/>
            <w:lang w:val="en-US"/>
          </w:rPr>
          <w:t>www</w:t>
        </w:r>
        <w:r w:rsidRPr="002F4C89">
          <w:rPr>
            <w:rStyle w:val="a4"/>
            <w:rFonts w:ascii="Times New Roman" w:hAnsi="Times New Roman" w:cs="Times New Roman"/>
          </w:rPr>
          <w:t>.</w:t>
        </w:r>
        <w:proofErr w:type="spellStart"/>
        <w:r w:rsidRPr="002F4C89">
          <w:rPr>
            <w:rStyle w:val="a4"/>
            <w:rFonts w:ascii="Times New Roman" w:hAnsi="Times New Roman" w:cs="Times New Roman"/>
            <w:lang w:val="en-US"/>
          </w:rPr>
          <w:t>hse</w:t>
        </w:r>
        <w:proofErr w:type="spellEnd"/>
        <w:r w:rsidRPr="002F4C89">
          <w:rPr>
            <w:rStyle w:val="a4"/>
            <w:rFonts w:ascii="Times New Roman" w:hAnsi="Times New Roman" w:cs="Times New Roman"/>
          </w:rPr>
          <w:t>.</w:t>
        </w:r>
        <w:proofErr w:type="spellStart"/>
        <w:r w:rsidRPr="002F4C89">
          <w:rPr>
            <w:rStyle w:val="a4"/>
            <w:rFonts w:ascii="Times New Roman" w:hAnsi="Times New Roman" w:cs="Times New Roman"/>
            <w:lang w:val="en-US"/>
          </w:rPr>
          <w:t>ru</w:t>
        </w:r>
        <w:proofErr w:type="spellEnd"/>
        <w:r w:rsidRPr="002F4C89">
          <w:rPr>
            <w:rStyle w:val="a4"/>
            <w:rFonts w:ascii="Times New Roman" w:hAnsi="Times New Roman" w:cs="Times New Roman"/>
          </w:rPr>
          <w:t>/</w:t>
        </w:r>
      </w:hyperlink>
      <w:r>
        <w:rPr>
          <w:rFonts w:ascii="Times New Roman" w:hAnsi="Times New Roman" w:cs="Times New Roman"/>
        </w:rPr>
        <w:t xml:space="preserve"> </w:t>
      </w:r>
      <w:r w:rsidRPr="00012922">
        <w:rPr>
          <w:rFonts w:ascii="Times New Roman" w:hAnsi="Times New Roman" w:cs="Times New Roman"/>
        </w:rPr>
        <w:t>(Дата обращения: 11.05.2017)</w:t>
      </w:r>
    </w:p>
  </w:footnote>
  <w:footnote w:id="33">
    <w:p w:rsidR="004D6A9F" w:rsidRPr="00CF07BE" w:rsidRDefault="004D6A9F" w:rsidP="0059775B">
      <w:pPr>
        <w:pStyle w:val="a5"/>
        <w:rPr>
          <w:rFonts w:ascii="Times New Roman" w:hAnsi="Times New Roman" w:cs="Times New Roman"/>
        </w:rPr>
      </w:pPr>
      <w:r>
        <w:rPr>
          <w:rStyle w:val="a7"/>
        </w:rPr>
        <w:footnoteRef/>
      </w:r>
      <w:r>
        <w:t xml:space="preserve"> </w:t>
      </w:r>
      <w:r w:rsidRPr="00E007C1">
        <w:rPr>
          <w:rFonts w:ascii="Times New Roman" w:hAnsi="Times New Roman" w:cs="Times New Roman"/>
        </w:rPr>
        <w:t xml:space="preserve">Пресс-релиз «НК «Роснефть» от 22 октября 2012. URL: </w:t>
      </w:r>
      <w:hyperlink r:id="rId11" w:history="1">
        <w:r w:rsidRPr="00993C17">
          <w:rPr>
            <w:rStyle w:val="a4"/>
            <w:rFonts w:ascii="Times New Roman" w:hAnsi="Times New Roman" w:cs="Times New Roman"/>
          </w:rPr>
          <w:t>https://www.rosneft.ru</w:t>
        </w:r>
      </w:hyperlink>
      <w:r>
        <w:rPr>
          <w:rFonts w:ascii="Times New Roman" w:hAnsi="Times New Roman" w:cs="Times New Roman"/>
        </w:rPr>
        <w:t xml:space="preserve">   </w:t>
      </w:r>
      <w:r w:rsidRPr="00E007C1">
        <w:rPr>
          <w:rFonts w:ascii="Times New Roman" w:hAnsi="Times New Roman" w:cs="Times New Roman"/>
        </w:rPr>
        <w:t xml:space="preserve">(Дата обращения: </w:t>
      </w:r>
      <w:r w:rsidR="00CF07BE">
        <w:rPr>
          <w:rFonts w:ascii="Times New Roman" w:hAnsi="Times New Roman" w:cs="Times New Roman"/>
        </w:rPr>
        <w:t>22</w:t>
      </w:r>
      <w:r w:rsidRPr="00E215A2">
        <w:rPr>
          <w:rFonts w:ascii="Times New Roman" w:hAnsi="Times New Roman" w:cs="Times New Roman"/>
        </w:rPr>
        <w:t>.04.2017</w:t>
      </w:r>
      <w:r w:rsidRPr="00E007C1">
        <w:rPr>
          <w:rFonts w:ascii="Times New Roman" w:hAnsi="Times New Roman" w:cs="Times New Roman"/>
        </w:rPr>
        <w:t>)</w:t>
      </w:r>
    </w:p>
  </w:footnote>
  <w:footnote w:id="34">
    <w:p w:rsidR="004D6A9F" w:rsidRPr="00E007C1" w:rsidRDefault="004D6A9F" w:rsidP="0059775B">
      <w:pPr>
        <w:pStyle w:val="a5"/>
        <w:jc w:val="both"/>
        <w:rPr>
          <w:rFonts w:ascii="Times New Roman" w:hAnsi="Times New Roman" w:cs="Times New Roman"/>
        </w:rPr>
      </w:pPr>
      <w:r w:rsidRPr="00E007C1">
        <w:rPr>
          <w:rStyle w:val="a7"/>
          <w:rFonts w:ascii="Times New Roman" w:hAnsi="Times New Roman" w:cs="Times New Roman"/>
        </w:rPr>
        <w:footnoteRef/>
      </w:r>
      <w:r w:rsidRPr="00E007C1">
        <w:rPr>
          <w:rFonts w:ascii="Times New Roman" w:hAnsi="Times New Roman" w:cs="Times New Roman"/>
        </w:rPr>
        <w:t xml:space="preserve"> Акционер. Газета акционеров ОАО «НК «Роснефть». – 2013. № 16. – С. 1</w:t>
      </w:r>
    </w:p>
  </w:footnote>
  <w:footnote w:id="35">
    <w:p w:rsidR="004D6A9F" w:rsidRPr="00E007C1" w:rsidRDefault="004D6A9F" w:rsidP="0059775B">
      <w:pPr>
        <w:pStyle w:val="a5"/>
        <w:jc w:val="both"/>
        <w:rPr>
          <w:rFonts w:ascii="Times New Roman" w:hAnsi="Times New Roman" w:cs="Times New Roman"/>
        </w:rPr>
      </w:pPr>
      <w:r w:rsidRPr="00E007C1">
        <w:rPr>
          <w:rStyle w:val="a7"/>
          <w:rFonts w:ascii="Times New Roman" w:hAnsi="Times New Roman" w:cs="Times New Roman"/>
        </w:rPr>
        <w:footnoteRef/>
      </w:r>
      <w:r w:rsidRPr="00E007C1">
        <w:rPr>
          <w:rFonts w:ascii="Times New Roman" w:hAnsi="Times New Roman" w:cs="Times New Roman"/>
        </w:rPr>
        <w:t xml:space="preserve"> Пресс-релиз «НК «Роснефть» от 22 октября 2012. </w:t>
      </w:r>
      <w:r w:rsidRPr="00E007C1">
        <w:rPr>
          <w:rFonts w:ascii="Times New Roman" w:hAnsi="Times New Roman" w:cs="Times New Roman"/>
          <w:lang w:val="en-US"/>
        </w:rPr>
        <w:t>URL</w:t>
      </w:r>
      <w:r w:rsidRPr="00E007C1">
        <w:rPr>
          <w:rFonts w:ascii="Times New Roman" w:hAnsi="Times New Roman" w:cs="Times New Roman"/>
        </w:rPr>
        <w:t xml:space="preserve">: </w:t>
      </w:r>
      <w:hyperlink r:id="rId12" w:history="1">
        <w:r w:rsidRPr="00E007C1">
          <w:rPr>
            <w:rStyle w:val="a4"/>
            <w:rFonts w:ascii="Times New Roman" w:hAnsi="Times New Roman" w:cs="Times New Roman"/>
            <w:lang w:val="en-US"/>
          </w:rPr>
          <w:t>https</w:t>
        </w:r>
        <w:r w:rsidRPr="00E007C1">
          <w:rPr>
            <w:rStyle w:val="a4"/>
            <w:rFonts w:ascii="Times New Roman" w:hAnsi="Times New Roman" w:cs="Times New Roman"/>
          </w:rPr>
          <w:t>://</w:t>
        </w:r>
        <w:r w:rsidRPr="00E007C1">
          <w:rPr>
            <w:rStyle w:val="a4"/>
            <w:rFonts w:ascii="Times New Roman" w:hAnsi="Times New Roman" w:cs="Times New Roman"/>
            <w:lang w:val="en-US"/>
          </w:rPr>
          <w:t>www</w:t>
        </w:r>
        <w:r w:rsidRPr="00E007C1">
          <w:rPr>
            <w:rStyle w:val="a4"/>
            <w:rFonts w:ascii="Times New Roman" w:hAnsi="Times New Roman" w:cs="Times New Roman"/>
          </w:rPr>
          <w:t>.</w:t>
        </w:r>
        <w:proofErr w:type="spellStart"/>
        <w:r w:rsidRPr="00E007C1">
          <w:rPr>
            <w:rStyle w:val="a4"/>
            <w:rFonts w:ascii="Times New Roman" w:hAnsi="Times New Roman" w:cs="Times New Roman"/>
            <w:lang w:val="en-US"/>
          </w:rPr>
          <w:t>rosneft</w:t>
        </w:r>
        <w:proofErr w:type="spellEnd"/>
        <w:r w:rsidRPr="00E007C1">
          <w:rPr>
            <w:rStyle w:val="a4"/>
            <w:rFonts w:ascii="Times New Roman" w:hAnsi="Times New Roman" w:cs="Times New Roman"/>
          </w:rPr>
          <w:t>.</w:t>
        </w:r>
        <w:proofErr w:type="spellStart"/>
        <w:r w:rsidRPr="00E007C1">
          <w:rPr>
            <w:rStyle w:val="a4"/>
            <w:rFonts w:ascii="Times New Roman" w:hAnsi="Times New Roman" w:cs="Times New Roman"/>
            <w:lang w:val="en-US"/>
          </w:rPr>
          <w:t>ru</w:t>
        </w:r>
        <w:proofErr w:type="spellEnd"/>
      </w:hyperlink>
      <w:r w:rsidRPr="00E007C1">
        <w:rPr>
          <w:rFonts w:ascii="Times New Roman" w:hAnsi="Times New Roman" w:cs="Times New Roman"/>
        </w:rPr>
        <w:t xml:space="preserve"> (Дата обращения: </w:t>
      </w:r>
      <w:r w:rsidR="00CF07BE">
        <w:rPr>
          <w:rFonts w:ascii="Times New Roman" w:hAnsi="Times New Roman" w:cs="Times New Roman"/>
        </w:rPr>
        <w:t>22</w:t>
      </w:r>
      <w:r w:rsidRPr="00E215A2">
        <w:rPr>
          <w:rFonts w:ascii="Times New Roman" w:hAnsi="Times New Roman" w:cs="Times New Roman"/>
        </w:rPr>
        <w:t>.04.2017</w:t>
      </w:r>
      <w:r w:rsidRPr="00E007C1">
        <w:rPr>
          <w:rFonts w:ascii="Times New Roman" w:hAnsi="Times New Roman" w:cs="Times New Roman"/>
        </w:rPr>
        <w:t>)</w:t>
      </w:r>
    </w:p>
  </w:footnote>
  <w:footnote w:id="36">
    <w:p w:rsidR="004D6A9F" w:rsidRPr="003872D3" w:rsidRDefault="004D6A9F" w:rsidP="0059775B">
      <w:pPr>
        <w:pStyle w:val="a5"/>
        <w:jc w:val="both"/>
        <w:rPr>
          <w:rFonts w:ascii="Times New Roman" w:hAnsi="Times New Roman" w:cs="Times New Roman"/>
        </w:rPr>
      </w:pPr>
      <w:r w:rsidRPr="003872D3">
        <w:rPr>
          <w:rStyle w:val="a7"/>
          <w:rFonts w:ascii="Times New Roman" w:hAnsi="Times New Roman" w:cs="Times New Roman"/>
        </w:rPr>
        <w:footnoteRef/>
      </w:r>
      <w:r w:rsidRPr="003872D3">
        <w:rPr>
          <w:rFonts w:ascii="Times New Roman" w:hAnsi="Times New Roman" w:cs="Times New Roman"/>
        </w:rPr>
        <w:t xml:space="preserve"> Пресс-ре</w:t>
      </w:r>
      <w:r>
        <w:rPr>
          <w:rFonts w:ascii="Times New Roman" w:hAnsi="Times New Roman" w:cs="Times New Roman"/>
        </w:rPr>
        <w:t>лиз «НК «Роснефть» от 22 ноября</w:t>
      </w:r>
      <w:r w:rsidRPr="003872D3">
        <w:rPr>
          <w:rFonts w:ascii="Times New Roman" w:hAnsi="Times New Roman" w:cs="Times New Roman"/>
        </w:rPr>
        <w:t xml:space="preserve"> 2012. URL: </w:t>
      </w:r>
      <w:hyperlink r:id="rId13" w:history="1">
        <w:r w:rsidRPr="00993C17">
          <w:rPr>
            <w:rStyle w:val="a4"/>
            <w:rFonts w:ascii="Times New Roman" w:hAnsi="Times New Roman" w:cs="Times New Roman"/>
          </w:rPr>
          <w:t>https://www.rosneft.ru</w:t>
        </w:r>
      </w:hyperlink>
      <w:r>
        <w:rPr>
          <w:rFonts w:ascii="Times New Roman" w:hAnsi="Times New Roman" w:cs="Times New Roman"/>
        </w:rPr>
        <w:t xml:space="preserve">  </w:t>
      </w:r>
      <w:r w:rsidRPr="003872D3">
        <w:rPr>
          <w:rFonts w:ascii="Times New Roman" w:hAnsi="Times New Roman" w:cs="Times New Roman"/>
        </w:rPr>
        <w:t xml:space="preserve"> (Дата обращения: </w:t>
      </w:r>
      <w:r w:rsidRPr="00E215A2">
        <w:rPr>
          <w:rFonts w:ascii="Times New Roman" w:hAnsi="Times New Roman" w:cs="Times New Roman"/>
        </w:rPr>
        <w:t>22.04.2017</w:t>
      </w:r>
      <w:r w:rsidRPr="003872D3">
        <w:rPr>
          <w:rFonts w:ascii="Times New Roman" w:hAnsi="Times New Roman" w:cs="Times New Roman"/>
        </w:rPr>
        <w:t>)</w:t>
      </w:r>
    </w:p>
  </w:footnote>
  <w:footnote w:id="37">
    <w:p w:rsidR="004D6A9F" w:rsidRPr="003872D3" w:rsidRDefault="004D6A9F" w:rsidP="0059775B">
      <w:pPr>
        <w:pStyle w:val="a5"/>
        <w:jc w:val="both"/>
        <w:rPr>
          <w:rFonts w:ascii="Times New Roman" w:hAnsi="Times New Roman" w:cs="Times New Roman"/>
        </w:rPr>
      </w:pPr>
      <w:r w:rsidRPr="003872D3">
        <w:rPr>
          <w:rStyle w:val="a7"/>
          <w:rFonts w:ascii="Times New Roman" w:hAnsi="Times New Roman" w:cs="Times New Roman"/>
        </w:rPr>
        <w:footnoteRef/>
      </w:r>
      <w:r w:rsidRPr="003872D3">
        <w:rPr>
          <w:rFonts w:ascii="Times New Roman" w:hAnsi="Times New Roman" w:cs="Times New Roman"/>
        </w:rPr>
        <w:t xml:space="preserve"> Пресс-ре</w:t>
      </w:r>
      <w:r>
        <w:rPr>
          <w:rFonts w:ascii="Times New Roman" w:hAnsi="Times New Roman" w:cs="Times New Roman"/>
        </w:rPr>
        <w:t xml:space="preserve">лиз «НК «Роснефть» от 21 марта 2013. URL: </w:t>
      </w:r>
      <w:hyperlink r:id="rId14" w:history="1">
        <w:r w:rsidRPr="00993C17">
          <w:rPr>
            <w:rStyle w:val="a4"/>
            <w:rFonts w:ascii="Times New Roman" w:hAnsi="Times New Roman" w:cs="Times New Roman"/>
          </w:rPr>
          <w:t>https://www.rosneft.ru</w:t>
        </w:r>
      </w:hyperlink>
      <w:r>
        <w:rPr>
          <w:rFonts w:ascii="Times New Roman" w:hAnsi="Times New Roman" w:cs="Times New Roman"/>
        </w:rPr>
        <w:t xml:space="preserve">  (Дата обращения: 22.04.2017</w:t>
      </w:r>
      <w:r w:rsidRPr="003872D3">
        <w:rPr>
          <w:rFonts w:ascii="Times New Roman" w:hAnsi="Times New Roman" w:cs="Times New Roman"/>
        </w:rPr>
        <w:t>)</w:t>
      </w:r>
    </w:p>
  </w:footnote>
  <w:footnote w:id="38">
    <w:p w:rsidR="004D6A9F" w:rsidRPr="007D2A3B" w:rsidRDefault="004D6A9F" w:rsidP="0059775B">
      <w:pPr>
        <w:pStyle w:val="a5"/>
        <w:jc w:val="both"/>
        <w:rPr>
          <w:rFonts w:ascii="Times New Roman" w:hAnsi="Times New Roman" w:cs="Times New Roman"/>
          <w:lang w:val="en-US"/>
        </w:rPr>
      </w:pPr>
      <w:r w:rsidRPr="007D2A3B">
        <w:rPr>
          <w:rStyle w:val="a7"/>
          <w:rFonts w:ascii="Times New Roman" w:hAnsi="Times New Roman" w:cs="Times New Roman"/>
        </w:rPr>
        <w:footnoteRef/>
      </w:r>
      <w:r w:rsidRPr="007D2A3B">
        <w:rPr>
          <w:rFonts w:ascii="Times New Roman" w:hAnsi="Times New Roman" w:cs="Times New Roman"/>
        </w:rPr>
        <w:t xml:space="preserve"> Значение взято из таблиц по 20-летним казначейским облигациям США. </w:t>
      </w:r>
      <w:proofErr w:type="gramStart"/>
      <w:r w:rsidRPr="007D2A3B">
        <w:rPr>
          <w:rFonts w:ascii="Times New Roman" w:hAnsi="Times New Roman" w:cs="Times New Roman"/>
          <w:lang w:val="en-US"/>
        </w:rPr>
        <w:t>Economic Time Series Page.</w:t>
      </w:r>
      <w:proofErr w:type="gramEnd"/>
      <w:r w:rsidRPr="007D2A3B">
        <w:rPr>
          <w:rFonts w:ascii="Times New Roman" w:hAnsi="Times New Roman" w:cs="Times New Roman"/>
          <w:lang w:val="en-US"/>
        </w:rPr>
        <w:t xml:space="preserve"> URL: </w:t>
      </w:r>
      <w:r w:rsidR="002F0191">
        <w:fldChar w:fldCharType="begin"/>
      </w:r>
      <w:r w:rsidR="002F0191" w:rsidRPr="00FE3362">
        <w:rPr>
          <w:lang w:val="en-US"/>
        </w:rPr>
        <w:instrText xml:space="preserve"> HYPERLINK "http://www.economagic.com" </w:instrText>
      </w:r>
      <w:r w:rsidR="002F0191">
        <w:fldChar w:fldCharType="separate"/>
      </w:r>
      <w:r w:rsidRPr="007D2A3B">
        <w:rPr>
          <w:rStyle w:val="a4"/>
          <w:rFonts w:ascii="Times New Roman" w:hAnsi="Times New Roman" w:cs="Times New Roman"/>
          <w:lang w:val="en-US"/>
        </w:rPr>
        <w:t>http://www.economagic.com</w:t>
      </w:r>
      <w:r w:rsidR="002F0191">
        <w:rPr>
          <w:rStyle w:val="a4"/>
          <w:rFonts w:ascii="Times New Roman" w:hAnsi="Times New Roman" w:cs="Times New Roman"/>
          <w:lang w:val="en-US"/>
        </w:rPr>
        <w:fldChar w:fldCharType="end"/>
      </w:r>
      <w:r w:rsidRPr="007D2A3B">
        <w:rPr>
          <w:rFonts w:ascii="Times New Roman" w:hAnsi="Times New Roman" w:cs="Times New Roman"/>
          <w:lang w:val="en-US"/>
        </w:rPr>
        <w:t xml:space="preserve"> (</w:t>
      </w:r>
      <w:r w:rsidRPr="007D2A3B">
        <w:rPr>
          <w:rFonts w:ascii="Times New Roman" w:hAnsi="Times New Roman" w:cs="Times New Roman"/>
        </w:rPr>
        <w:t>Дата</w:t>
      </w:r>
      <w:r w:rsidRPr="007D2A3B">
        <w:rPr>
          <w:rFonts w:ascii="Times New Roman" w:hAnsi="Times New Roman" w:cs="Times New Roman"/>
          <w:lang w:val="en-US"/>
        </w:rPr>
        <w:t xml:space="preserve"> </w:t>
      </w:r>
      <w:r w:rsidRPr="007D2A3B">
        <w:rPr>
          <w:rFonts w:ascii="Times New Roman" w:hAnsi="Times New Roman" w:cs="Times New Roman"/>
        </w:rPr>
        <w:t>обращения</w:t>
      </w:r>
      <w:r w:rsidRPr="007D2A3B">
        <w:rPr>
          <w:rFonts w:ascii="Times New Roman" w:hAnsi="Times New Roman" w:cs="Times New Roman"/>
          <w:lang w:val="en-US"/>
        </w:rPr>
        <w:t>: 23.11.2016)</w:t>
      </w:r>
    </w:p>
  </w:footnote>
  <w:footnote w:id="39">
    <w:p w:rsidR="004D6A9F" w:rsidRPr="007D2A3B" w:rsidRDefault="004D6A9F" w:rsidP="0059775B">
      <w:pPr>
        <w:pStyle w:val="a5"/>
        <w:jc w:val="both"/>
        <w:rPr>
          <w:rFonts w:ascii="Times New Roman" w:hAnsi="Times New Roman" w:cs="Times New Roman"/>
        </w:rPr>
      </w:pPr>
      <w:r w:rsidRPr="007D2A3B">
        <w:rPr>
          <w:rStyle w:val="a7"/>
          <w:rFonts w:ascii="Times New Roman" w:hAnsi="Times New Roman" w:cs="Times New Roman"/>
        </w:rPr>
        <w:footnoteRef/>
      </w:r>
      <w:r w:rsidRPr="005B7CD9">
        <w:rPr>
          <w:rFonts w:ascii="Times New Roman" w:hAnsi="Times New Roman" w:cs="Times New Roman"/>
        </w:rPr>
        <w:t xml:space="preserve"> </w:t>
      </w:r>
      <w:r w:rsidRPr="007D2A3B">
        <w:rPr>
          <w:rFonts w:ascii="Times New Roman" w:hAnsi="Times New Roman" w:cs="Times New Roman"/>
        </w:rPr>
        <w:t>Значение</w:t>
      </w:r>
      <w:r w:rsidRPr="005B7CD9">
        <w:rPr>
          <w:rFonts w:ascii="Times New Roman" w:hAnsi="Times New Roman" w:cs="Times New Roman"/>
        </w:rPr>
        <w:t xml:space="preserve"> </w:t>
      </w:r>
      <w:r w:rsidRPr="007D2A3B">
        <w:rPr>
          <w:rFonts w:ascii="Times New Roman" w:hAnsi="Times New Roman" w:cs="Times New Roman"/>
        </w:rPr>
        <w:t>взято</w:t>
      </w:r>
      <w:r w:rsidRPr="005B7CD9">
        <w:rPr>
          <w:rFonts w:ascii="Times New Roman" w:hAnsi="Times New Roman" w:cs="Times New Roman"/>
        </w:rPr>
        <w:t xml:space="preserve"> </w:t>
      </w:r>
      <w:r w:rsidRPr="007D2A3B">
        <w:rPr>
          <w:rFonts w:ascii="Times New Roman" w:hAnsi="Times New Roman" w:cs="Times New Roman"/>
        </w:rPr>
        <w:t>из</w:t>
      </w:r>
      <w:r w:rsidRPr="005B7CD9">
        <w:rPr>
          <w:rFonts w:ascii="Times New Roman" w:hAnsi="Times New Roman" w:cs="Times New Roman"/>
        </w:rPr>
        <w:t xml:space="preserve"> </w:t>
      </w:r>
      <w:r w:rsidRPr="007D2A3B">
        <w:rPr>
          <w:rFonts w:ascii="Times New Roman" w:hAnsi="Times New Roman" w:cs="Times New Roman"/>
        </w:rPr>
        <w:t>таблиц</w:t>
      </w:r>
      <w:r w:rsidRPr="005B7CD9">
        <w:rPr>
          <w:rFonts w:ascii="Times New Roman" w:hAnsi="Times New Roman" w:cs="Times New Roman"/>
        </w:rPr>
        <w:t xml:space="preserve"> </w:t>
      </w:r>
      <w:r w:rsidRPr="007D2A3B">
        <w:rPr>
          <w:rFonts w:ascii="Times New Roman" w:hAnsi="Times New Roman" w:cs="Times New Roman"/>
        </w:rPr>
        <w:t>А</w:t>
      </w:r>
      <w:r w:rsidRPr="005B7CD9">
        <w:rPr>
          <w:rFonts w:ascii="Times New Roman" w:hAnsi="Times New Roman" w:cs="Times New Roman"/>
        </w:rPr>
        <w:t xml:space="preserve">. </w:t>
      </w:r>
      <w:proofErr w:type="spellStart"/>
      <w:r w:rsidRPr="007D2A3B">
        <w:rPr>
          <w:rFonts w:ascii="Times New Roman" w:hAnsi="Times New Roman" w:cs="Times New Roman"/>
        </w:rPr>
        <w:t>Дамодарана</w:t>
      </w:r>
      <w:proofErr w:type="spellEnd"/>
      <w:r>
        <w:rPr>
          <w:rFonts w:ascii="Times New Roman" w:hAnsi="Times New Roman" w:cs="Times New Roman"/>
        </w:rPr>
        <w:t>,</w:t>
      </w:r>
      <w:r w:rsidRPr="005B7CD9">
        <w:rPr>
          <w:rFonts w:ascii="Times New Roman" w:hAnsi="Times New Roman" w:cs="Times New Roman"/>
        </w:rPr>
        <w:t xml:space="preserve"> </w:t>
      </w:r>
      <w:r w:rsidRPr="007D2A3B">
        <w:rPr>
          <w:rFonts w:ascii="Times New Roman" w:hAnsi="Times New Roman" w:cs="Times New Roman"/>
          <w:lang w:val="en-US"/>
        </w:rPr>
        <w:t>Estimating</w:t>
      </w:r>
      <w:r w:rsidRPr="005B7CD9">
        <w:rPr>
          <w:rFonts w:ascii="Times New Roman" w:hAnsi="Times New Roman" w:cs="Times New Roman"/>
        </w:rPr>
        <w:t xml:space="preserve"> </w:t>
      </w:r>
      <w:r w:rsidRPr="007D2A3B">
        <w:rPr>
          <w:rFonts w:ascii="Times New Roman" w:hAnsi="Times New Roman" w:cs="Times New Roman"/>
          <w:lang w:val="en-US"/>
        </w:rPr>
        <w:t>Country</w:t>
      </w:r>
      <w:r w:rsidRPr="005B7CD9">
        <w:rPr>
          <w:rFonts w:ascii="Times New Roman" w:hAnsi="Times New Roman" w:cs="Times New Roman"/>
        </w:rPr>
        <w:t xml:space="preserve"> </w:t>
      </w:r>
      <w:r w:rsidRPr="007D2A3B">
        <w:rPr>
          <w:rFonts w:ascii="Times New Roman" w:hAnsi="Times New Roman" w:cs="Times New Roman"/>
          <w:lang w:val="en-US"/>
        </w:rPr>
        <w:t>Risk</w:t>
      </w:r>
      <w:r w:rsidRPr="005B7CD9">
        <w:rPr>
          <w:rFonts w:ascii="Times New Roman" w:hAnsi="Times New Roman" w:cs="Times New Roman"/>
        </w:rPr>
        <w:t xml:space="preserve"> </w:t>
      </w:r>
      <w:r w:rsidRPr="007D2A3B">
        <w:rPr>
          <w:rFonts w:ascii="Times New Roman" w:hAnsi="Times New Roman" w:cs="Times New Roman"/>
          <w:lang w:val="en-US"/>
        </w:rPr>
        <w:t>Premiums</w:t>
      </w:r>
      <w:r>
        <w:rPr>
          <w:rFonts w:ascii="Times New Roman" w:hAnsi="Times New Roman" w:cs="Times New Roman"/>
        </w:rPr>
        <w:t>.</w:t>
      </w:r>
    </w:p>
  </w:footnote>
  <w:footnote w:id="40">
    <w:p w:rsidR="004D6A9F" w:rsidRPr="007D2A3B" w:rsidRDefault="004D6A9F" w:rsidP="0059775B">
      <w:pPr>
        <w:pStyle w:val="a5"/>
        <w:jc w:val="both"/>
        <w:rPr>
          <w:rFonts w:ascii="Times New Roman" w:hAnsi="Times New Roman" w:cs="Times New Roman"/>
          <w:lang w:val="en-US"/>
        </w:rPr>
      </w:pPr>
      <w:r w:rsidRPr="007D2A3B">
        <w:rPr>
          <w:rStyle w:val="a7"/>
          <w:rFonts w:ascii="Times New Roman" w:hAnsi="Times New Roman" w:cs="Times New Roman"/>
        </w:rPr>
        <w:footnoteRef/>
      </w:r>
      <w:r w:rsidRPr="007D2A3B">
        <w:rPr>
          <w:rFonts w:ascii="Times New Roman" w:hAnsi="Times New Roman" w:cs="Times New Roman"/>
        </w:rPr>
        <w:t xml:space="preserve"> Значение взято из таблиц по 20-летним казначейским облигациям США. </w:t>
      </w:r>
      <w:proofErr w:type="gramStart"/>
      <w:r w:rsidRPr="007D2A3B">
        <w:rPr>
          <w:rFonts w:ascii="Times New Roman" w:hAnsi="Times New Roman" w:cs="Times New Roman"/>
          <w:lang w:val="en-US"/>
        </w:rPr>
        <w:t>Economic Time Series Page.</w:t>
      </w:r>
      <w:proofErr w:type="gramEnd"/>
      <w:r w:rsidRPr="007D2A3B">
        <w:rPr>
          <w:rFonts w:ascii="Times New Roman" w:hAnsi="Times New Roman" w:cs="Times New Roman"/>
          <w:lang w:val="en-US"/>
        </w:rPr>
        <w:t xml:space="preserve"> URL: </w:t>
      </w:r>
      <w:r w:rsidR="002F0191">
        <w:fldChar w:fldCharType="begin"/>
      </w:r>
      <w:r w:rsidR="002F0191" w:rsidRPr="00FE3362">
        <w:rPr>
          <w:lang w:val="en-US"/>
        </w:rPr>
        <w:instrText xml:space="preserve"> HYPERLINK "http://www.economagic.com" </w:instrText>
      </w:r>
      <w:r w:rsidR="002F0191">
        <w:fldChar w:fldCharType="separate"/>
      </w:r>
      <w:r w:rsidRPr="007D2A3B">
        <w:rPr>
          <w:rStyle w:val="a4"/>
          <w:rFonts w:ascii="Times New Roman" w:hAnsi="Times New Roman" w:cs="Times New Roman"/>
          <w:lang w:val="en-US"/>
        </w:rPr>
        <w:t>http://www.economagic.com</w:t>
      </w:r>
      <w:r w:rsidR="002F0191">
        <w:rPr>
          <w:rStyle w:val="a4"/>
          <w:rFonts w:ascii="Times New Roman" w:hAnsi="Times New Roman" w:cs="Times New Roman"/>
          <w:lang w:val="en-US"/>
        </w:rPr>
        <w:fldChar w:fldCharType="end"/>
      </w:r>
      <w:r w:rsidRPr="007D2A3B">
        <w:rPr>
          <w:rFonts w:ascii="Times New Roman" w:hAnsi="Times New Roman" w:cs="Times New Roman"/>
          <w:lang w:val="en-US"/>
        </w:rPr>
        <w:t xml:space="preserve"> (</w:t>
      </w:r>
      <w:r w:rsidRPr="007D2A3B">
        <w:rPr>
          <w:rFonts w:ascii="Times New Roman" w:hAnsi="Times New Roman" w:cs="Times New Roman"/>
        </w:rPr>
        <w:t>Дата</w:t>
      </w:r>
      <w:r w:rsidRPr="007D2A3B">
        <w:rPr>
          <w:rFonts w:ascii="Times New Roman" w:hAnsi="Times New Roman" w:cs="Times New Roman"/>
          <w:lang w:val="en-US"/>
        </w:rPr>
        <w:t xml:space="preserve"> </w:t>
      </w:r>
      <w:r w:rsidRPr="007D2A3B">
        <w:rPr>
          <w:rFonts w:ascii="Times New Roman" w:hAnsi="Times New Roman" w:cs="Times New Roman"/>
        </w:rPr>
        <w:t>обращения</w:t>
      </w:r>
      <w:r>
        <w:rPr>
          <w:rFonts w:ascii="Times New Roman" w:hAnsi="Times New Roman" w:cs="Times New Roman"/>
          <w:lang w:val="en-US"/>
        </w:rPr>
        <w:t>: 23.</w:t>
      </w:r>
      <w:r w:rsidRPr="006F49AF">
        <w:rPr>
          <w:rFonts w:ascii="Times New Roman" w:hAnsi="Times New Roman" w:cs="Times New Roman"/>
          <w:lang w:val="en-US"/>
        </w:rPr>
        <w:t>04</w:t>
      </w:r>
      <w:r>
        <w:rPr>
          <w:rFonts w:ascii="Times New Roman" w:hAnsi="Times New Roman" w:cs="Times New Roman"/>
          <w:lang w:val="en-US"/>
        </w:rPr>
        <w:t>.201</w:t>
      </w:r>
      <w:r w:rsidRPr="006F49AF">
        <w:rPr>
          <w:rFonts w:ascii="Times New Roman" w:hAnsi="Times New Roman" w:cs="Times New Roman"/>
          <w:lang w:val="en-US"/>
        </w:rPr>
        <w:t>7</w:t>
      </w:r>
      <w:r w:rsidRPr="007D2A3B">
        <w:rPr>
          <w:rFonts w:ascii="Times New Roman" w:hAnsi="Times New Roman" w:cs="Times New Roman"/>
          <w:lang w:val="en-US"/>
        </w:rPr>
        <w:t>)</w:t>
      </w:r>
    </w:p>
  </w:footnote>
  <w:footnote w:id="41">
    <w:p w:rsidR="004D6A9F" w:rsidRPr="00820F05" w:rsidRDefault="004D6A9F" w:rsidP="0059775B">
      <w:pPr>
        <w:pStyle w:val="a5"/>
        <w:jc w:val="both"/>
        <w:rPr>
          <w:lang w:val="en-US"/>
        </w:rPr>
      </w:pPr>
      <w:r w:rsidRPr="007D2A3B">
        <w:rPr>
          <w:rStyle w:val="a7"/>
          <w:rFonts w:ascii="Times New Roman" w:hAnsi="Times New Roman" w:cs="Times New Roman"/>
        </w:rPr>
        <w:footnoteRef/>
      </w:r>
      <w:r w:rsidRPr="00820F05">
        <w:rPr>
          <w:rFonts w:ascii="Times New Roman" w:hAnsi="Times New Roman" w:cs="Times New Roman"/>
          <w:lang w:val="en-US"/>
        </w:rPr>
        <w:t xml:space="preserve"> </w:t>
      </w:r>
      <w:r w:rsidRPr="007D2A3B">
        <w:rPr>
          <w:rFonts w:ascii="Times New Roman" w:hAnsi="Times New Roman" w:cs="Times New Roman"/>
        </w:rPr>
        <w:t>Значение</w:t>
      </w:r>
      <w:r w:rsidRPr="00820F05">
        <w:rPr>
          <w:rFonts w:ascii="Times New Roman" w:hAnsi="Times New Roman" w:cs="Times New Roman"/>
          <w:lang w:val="en-US"/>
        </w:rPr>
        <w:t xml:space="preserve"> </w:t>
      </w:r>
      <w:r w:rsidRPr="007D2A3B">
        <w:rPr>
          <w:rFonts w:ascii="Times New Roman" w:hAnsi="Times New Roman" w:cs="Times New Roman"/>
        </w:rPr>
        <w:t>взято</w:t>
      </w:r>
      <w:r w:rsidRPr="00820F05">
        <w:rPr>
          <w:rFonts w:ascii="Times New Roman" w:hAnsi="Times New Roman" w:cs="Times New Roman"/>
          <w:lang w:val="en-US"/>
        </w:rPr>
        <w:t xml:space="preserve"> </w:t>
      </w:r>
      <w:r w:rsidRPr="007D2A3B">
        <w:rPr>
          <w:rFonts w:ascii="Times New Roman" w:hAnsi="Times New Roman" w:cs="Times New Roman"/>
        </w:rPr>
        <w:t>из</w:t>
      </w:r>
      <w:r w:rsidRPr="00820F05">
        <w:rPr>
          <w:rFonts w:ascii="Times New Roman" w:hAnsi="Times New Roman" w:cs="Times New Roman"/>
          <w:lang w:val="en-US"/>
        </w:rPr>
        <w:t xml:space="preserve"> </w:t>
      </w:r>
      <w:r w:rsidRPr="007D2A3B">
        <w:rPr>
          <w:rFonts w:ascii="Times New Roman" w:hAnsi="Times New Roman" w:cs="Times New Roman"/>
        </w:rPr>
        <w:t>таблиц</w:t>
      </w:r>
      <w:r w:rsidRPr="00820F05">
        <w:rPr>
          <w:rFonts w:ascii="Times New Roman" w:hAnsi="Times New Roman" w:cs="Times New Roman"/>
          <w:lang w:val="en-US"/>
        </w:rPr>
        <w:t xml:space="preserve"> </w:t>
      </w:r>
      <w:r w:rsidRPr="007D2A3B">
        <w:rPr>
          <w:rFonts w:ascii="Times New Roman" w:hAnsi="Times New Roman" w:cs="Times New Roman"/>
        </w:rPr>
        <w:t>А</w:t>
      </w:r>
      <w:r w:rsidRPr="00820F05">
        <w:rPr>
          <w:rFonts w:ascii="Times New Roman" w:hAnsi="Times New Roman" w:cs="Times New Roman"/>
          <w:lang w:val="en-US"/>
        </w:rPr>
        <w:t xml:space="preserve">. </w:t>
      </w:r>
      <w:proofErr w:type="spellStart"/>
      <w:r w:rsidRPr="007D2A3B">
        <w:rPr>
          <w:rFonts w:ascii="Times New Roman" w:hAnsi="Times New Roman" w:cs="Times New Roman"/>
        </w:rPr>
        <w:t>Дамодарана</w:t>
      </w:r>
      <w:proofErr w:type="spellEnd"/>
      <w:r w:rsidRPr="00820F05">
        <w:rPr>
          <w:rFonts w:ascii="Times New Roman" w:hAnsi="Times New Roman" w:cs="Times New Roman"/>
          <w:lang w:val="en-US"/>
        </w:rPr>
        <w:t>, Estimating Country Risk Premiums.</w:t>
      </w:r>
    </w:p>
  </w:footnote>
  <w:footnote w:id="42">
    <w:p w:rsidR="004D6A9F" w:rsidRPr="00A807B5" w:rsidRDefault="004D6A9F" w:rsidP="0059775B">
      <w:pPr>
        <w:pStyle w:val="a5"/>
        <w:rPr>
          <w:lang w:val="en-US"/>
        </w:rPr>
      </w:pPr>
      <w:r>
        <w:rPr>
          <w:rStyle w:val="a7"/>
        </w:rPr>
        <w:footnoteRef/>
      </w:r>
      <w:r w:rsidRPr="00A807B5">
        <w:rPr>
          <w:lang w:val="en-US"/>
        </w:rPr>
        <w:t xml:space="preserve"> </w:t>
      </w:r>
      <w:r w:rsidRPr="00A807B5">
        <w:rPr>
          <w:rFonts w:ascii="Times New Roman" w:hAnsi="Times New Roman" w:cs="Times New Roman"/>
          <w:lang w:val="en-US"/>
        </w:rPr>
        <w:t xml:space="preserve">Zephyr analysis of </w:t>
      </w:r>
      <w:proofErr w:type="spellStart"/>
      <w:r w:rsidRPr="00A807B5">
        <w:rPr>
          <w:rFonts w:ascii="Times New Roman" w:hAnsi="Times New Roman" w:cs="Times New Roman"/>
          <w:lang w:val="en-US"/>
        </w:rPr>
        <w:t>Rosneft</w:t>
      </w:r>
      <w:proofErr w:type="spellEnd"/>
      <w:r w:rsidRPr="00A807B5">
        <w:rPr>
          <w:rFonts w:ascii="Times New Roman" w:hAnsi="Times New Roman" w:cs="Times New Roman"/>
          <w:lang w:val="en-US"/>
        </w:rPr>
        <w:t xml:space="preserve"> – TNK-BP deal</w:t>
      </w:r>
      <w:r w:rsidRPr="00A807B5">
        <w:rPr>
          <w:lang w:val="en-US"/>
        </w:rPr>
        <w:t xml:space="preserve"> </w:t>
      </w:r>
      <w:r w:rsidRPr="007D2A3B">
        <w:rPr>
          <w:rFonts w:ascii="Times New Roman" w:hAnsi="Times New Roman" w:cs="Times New Roman"/>
          <w:lang w:val="en-US"/>
        </w:rPr>
        <w:t>URL</w:t>
      </w:r>
      <w:r w:rsidRPr="00A807B5">
        <w:rPr>
          <w:rFonts w:ascii="Times New Roman" w:hAnsi="Times New Roman" w:cs="Times New Roman"/>
          <w:lang w:val="en-US"/>
        </w:rPr>
        <w:t>:</w:t>
      </w:r>
      <w:r w:rsidRPr="007D2A3B">
        <w:rPr>
          <w:rFonts w:ascii="Times New Roman" w:hAnsi="Times New Roman" w:cs="Times New Roman"/>
          <w:lang w:val="en-US"/>
        </w:rPr>
        <w:t> </w:t>
      </w:r>
      <w:r w:rsidR="002F0191">
        <w:fldChar w:fldCharType="begin"/>
      </w:r>
      <w:r w:rsidR="002F0191" w:rsidRPr="00FE3362">
        <w:rPr>
          <w:lang w:val="en-US"/>
        </w:rPr>
        <w:instrText xml:space="preserve"> HYPERLINK "http://www.economagic.com" </w:instrText>
      </w:r>
      <w:r w:rsidR="002F0191">
        <w:fldChar w:fldCharType="separate"/>
      </w:r>
      <w:r w:rsidRPr="007D2A3B">
        <w:rPr>
          <w:rStyle w:val="a4"/>
          <w:rFonts w:ascii="Times New Roman" w:hAnsi="Times New Roman" w:cs="Times New Roman"/>
          <w:lang w:val="en-US"/>
        </w:rPr>
        <w:t>http</w:t>
      </w:r>
      <w:r w:rsidRPr="00A807B5">
        <w:rPr>
          <w:rStyle w:val="a4"/>
          <w:rFonts w:ascii="Times New Roman" w:hAnsi="Times New Roman" w:cs="Times New Roman"/>
          <w:lang w:val="en-US"/>
        </w:rPr>
        <w:t>://</w:t>
      </w:r>
      <w:r w:rsidRPr="007D2A3B">
        <w:rPr>
          <w:rStyle w:val="a4"/>
          <w:rFonts w:ascii="Times New Roman" w:hAnsi="Times New Roman" w:cs="Times New Roman"/>
          <w:lang w:val="en-US"/>
        </w:rPr>
        <w:t>www</w:t>
      </w:r>
      <w:r w:rsidRPr="00A807B5">
        <w:rPr>
          <w:rStyle w:val="a4"/>
          <w:rFonts w:ascii="Times New Roman" w:hAnsi="Times New Roman" w:cs="Times New Roman"/>
          <w:lang w:val="en-US"/>
        </w:rPr>
        <w:t>.</w:t>
      </w:r>
      <w:r>
        <w:rPr>
          <w:rStyle w:val="a4"/>
          <w:rFonts w:ascii="Times New Roman" w:hAnsi="Times New Roman" w:cs="Times New Roman"/>
          <w:lang w:val="en-US"/>
        </w:rPr>
        <w:t>zephyr</w:t>
      </w:r>
      <w:r w:rsidRPr="00A807B5">
        <w:rPr>
          <w:rStyle w:val="a4"/>
          <w:rFonts w:ascii="Times New Roman" w:hAnsi="Times New Roman" w:cs="Times New Roman"/>
          <w:lang w:val="en-US"/>
        </w:rPr>
        <w:t>.</w:t>
      </w:r>
      <w:r>
        <w:rPr>
          <w:rStyle w:val="a4"/>
          <w:rFonts w:ascii="Times New Roman" w:hAnsi="Times New Roman" w:cs="Times New Roman"/>
          <w:lang w:val="en-US"/>
        </w:rPr>
        <w:t>bvdinfo</w:t>
      </w:r>
      <w:r w:rsidRPr="00A807B5">
        <w:rPr>
          <w:rStyle w:val="a4"/>
          <w:rFonts w:ascii="Times New Roman" w:hAnsi="Times New Roman" w:cs="Times New Roman"/>
          <w:lang w:val="en-US"/>
        </w:rPr>
        <w:t>.</w:t>
      </w:r>
      <w:r>
        <w:rPr>
          <w:rStyle w:val="a4"/>
          <w:rFonts w:ascii="Times New Roman" w:hAnsi="Times New Roman" w:cs="Times New Roman"/>
          <w:lang w:val="en-US"/>
        </w:rPr>
        <w:t>com</w:t>
      </w:r>
      <w:r w:rsidR="002F0191">
        <w:rPr>
          <w:rStyle w:val="a4"/>
          <w:rFonts w:ascii="Times New Roman" w:hAnsi="Times New Roman" w:cs="Times New Roman"/>
          <w:lang w:val="en-US"/>
        </w:rPr>
        <w:fldChar w:fldCharType="end"/>
      </w:r>
      <w:r w:rsidRPr="00A807B5">
        <w:rPr>
          <w:rFonts w:ascii="Times New Roman" w:hAnsi="Times New Roman" w:cs="Times New Roman"/>
          <w:lang w:val="en-US"/>
        </w:rPr>
        <w:t xml:space="preserve"> (</w:t>
      </w:r>
      <w:r w:rsidRPr="007D2A3B">
        <w:rPr>
          <w:rFonts w:ascii="Times New Roman" w:hAnsi="Times New Roman" w:cs="Times New Roman"/>
        </w:rPr>
        <w:t>Дата</w:t>
      </w:r>
      <w:r w:rsidRPr="00A807B5">
        <w:rPr>
          <w:rFonts w:ascii="Times New Roman" w:hAnsi="Times New Roman" w:cs="Times New Roman"/>
          <w:lang w:val="en-US"/>
        </w:rPr>
        <w:t xml:space="preserve"> </w:t>
      </w:r>
      <w:r w:rsidRPr="007D2A3B">
        <w:rPr>
          <w:rFonts w:ascii="Times New Roman" w:hAnsi="Times New Roman" w:cs="Times New Roman"/>
        </w:rPr>
        <w:t>обращения</w:t>
      </w:r>
      <w:r w:rsidRPr="00A807B5">
        <w:rPr>
          <w:rFonts w:ascii="Times New Roman" w:hAnsi="Times New Roman" w:cs="Times New Roman"/>
          <w:lang w:val="en-US"/>
        </w:rPr>
        <w:t>: 8.05.2017)</w:t>
      </w:r>
    </w:p>
  </w:footnote>
  <w:footnote w:id="43">
    <w:p w:rsidR="004D6A9F" w:rsidRPr="004D5B4E" w:rsidRDefault="004D6A9F" w:rsidP="0059775B">
      <w:pPr>
        <w:pStyle w:val="a5"/>
        <w:rPr>
          <w:lang w:val="en-US"/>
        </w:rPr>
      </w:pPr>
      <w:r>
        <w:rPr>
          <w:rStyle w:val="a7"/>
        </w:rPr>
        <w:footnoteRef/>
      </w:r>
      <w:r w:rsidRPr="004D5B4E">
        <w:rPr>
          <w:lang w:val="en-US"/>
        </w:rPr>
        <w:t xml:space="preserve"> </w:t>
      </w:r>
      <w:r w:rsidRPr="00A807B5">
        <w:rPr>
          <w:rFonts w:ascii="Times New Roman" w:hAnsi="Times New Roman" w:cs="Times New Roman"/>
          <w:lang w:val="en-US"/>
        </w:rPr>
        <w:t xml:space="preserve">Zephyr analysis of </w:t>
      </w:r>
      <w:proofErr w:type="spellStart"/>
      <w:r w:rsidRPr="00A807B5">
        <w:rPr>
          <w:rFonts w:ascii="Times New Roman" w:hAnsi="Times New Roman" w:cs="Times New Roman"/>
          <w:lang w:val="en-US"/>
        </w:rPr>
        <w:t>Rosneft</w:t>
      </w:r>
      <w:proofErr w:type="spellEnd"/>
      <w:r w:rsidRPr="00A807B5">
        <w:rPr>
          <w:rFonts w:ascii="Times New Roman" w:hAnsi="Times New Roman" w:cs="Times New Roman"/>
          <w:lang w:val="en-US"/>
        </w:rPr>
        <w:t xml:space="preserve"> – TNK-BP deal</w:t>
      </w:r>
      <w:r w:rsidRPr="00A807B5">
        <w:rPr>
          <w:lang w:val="en-US"/>
        </w:rPr>
        <w:t xml:space="preserve"> </w:t>
      </w:r>
      <w:r w:rsidRPr="007D2A3B">
        <w:rPr>
          <w:rFonts w:ascii="Times New Roman" w:hAnsi="Times New Roman" w:cs="Times New Roman"/>
          <w:lang w:val="en-US"/>
        </w:rPr>
        <w:t>URL</w:t>
      </w:r>
      <w:r w:rsidRPr="00A807B5">
        <w:rPr>
          <w:rFonts w:ascii="Times New Roman" w:hAnsi="Times New Roman" w:cs="Times New Roman"/>
          <w:lang w:val="en-US"/>
        </w:rPr>
        <w:t>:</w:t>
      </w:r>
      <w:r w:rsidRPr="007D2A3B">
        <w:rPr>
          <w:rFonts w:ascii="Times New Roman" w:hAnsi="Times New Roman" w:cs="Times New Roman"/>
          <w:lang w:val="en-US"/>
        </w:rPr>
        <w:t> </w:t>
      </w:r>
      <w:r w:rsidR="002F0191">
        <w:fldChar w:fldCharType="begin"/>
      </w:r>
      <w:r w:rsidR="002F0191" w:rsidRPr="00FE3362">
        <w:rPr>
          <w:lang w:val="en-US"/>
        </w:rPr>
        <w:instrText xml:space="preserve"> HYPERLINK "http://www.economagic.com" </w:instrText>
      </w:r>
      <w:r w:rsidR="002F0191">
        <w:fldChar w:fldCharType="separate"/>
      </w:r>
      <w:r w:rsidRPr="007D2A3B">
        <w:rPr>
          <w:rStyle w:val="a4"/>
          <w:rFonts w:ascii="Times New Roman" w:hAnsi="Times New Roman" w:cs="Times New Roman"/>
          <w:lang w:val="en-US"/>
        </w:rPr>
        <w:t>http</w:t>
      </w:r>
      <w:r w:rsidRPr="00A807B5">
        <w:rPr>
          <w:rStyle w:val="a4"/>
          <w:rFonts w:ascii="Times New Roman" w:hAnsi="Times New Roman" w:cs="Times New Roman"/>
          <w:lang w:val="en-US"/>
        </w:rPr>
        <w:t>://</w:t>
      </w:r>
      <w:r w:rsidRPr="007D2A3B">
        <w:rPr>
          <w:rStyle w:val="a4"/>
          <w:rFonts w:ascii="Times New Roman" w:hAnsi="Times New Roman" w:cs="Times New Roman"/>
          <w:lang w:val="en-US"/>
        </w:rPr>
        <w:t>www</w:t>
      </w:r>
      <w:r w:rsidRPr="00A807B5">
        <w:rPr>
          <w:rStyle w:val="a4"/>
          <w:rFonts w:ascii="Times New Roman" w:hAnsi="Times New Roman" w:cs="Times New Roman"/>
          <w:lang w:val="en-US"/>
        </w:rPr>
        <w:t>.</w:t>
      </w:r>
      <w:r>
        <w:rPr>
          <w:rStyle w:val="a4"/>
          <w:rFonts w:ascii="Times New Roman" w:hAnsi="Times New Roman" w:cs="Times New Roman"/>
          <w:lang w:val="en-US"/>
        </w:rPr>
        <w:t>zephyr</w:t>
      </w:r>
      <w:r w:rsidRPr="00A807B5">
        <w:rPr>
          <w:rStyle w:val="a4"/>
          <w:rFonts w:ascii="Times New Roman" w:hAnsi="Times New Roman" w:cs="Times New Roman"/>
          <w:lang w:val="en-US"/>
        </w:rPr>
        <w:t>.</w:t>
      </w:r>
      <w:r>
        <w:rPr>
          <w:rStyle w:val="a4"/>
          <w:rFonts w:ascii="Times New Roman" w:hAnsi="Times New Roman" w:cs="Times New Roman"/>
          <w:lang w:val="en-US"/>
        </w:rPr>
        <w:t>bvdinfo</w:t>
      </w:r>
      <w:r w:rsidRPr="00A807B5">
        <w:rPr>
          <w:rStyle w:val="a4"/>
          <w:rFonts w:ascii="Times New Roman" w:hAnsi="Times New Roman" w:cs="Times New Roman"/>
          <w:lang w:val="en-US"/>
        </w:rPr>
        <w:t>.</w:t>
      </w:r>
      <w:r>
        <w:rPr>
          <w:rStyle w:val="a4"/>
          <w:rFonts w:ascii="Times New Roman" w:hAnsi="Times New Roman" w:cs="Times New Roman"/>
          <w:lang w:val="en-US"/>
        </w:rPr>
        <w:t>com</w:t>
      </w:r>
      <w:r w:rsidR="002F0191">
        <w:rPr>
          <w:rStyle w:val="a4"/>
          <w:rFonts w:ascii="Times New Roman" w:hAnsi="Times New Roman" w:cs="Times New Roman"/>
          <w:lang w:val="en-US"/>
        </w:rPr>
        <w:fldChar w:fldCharType="end"/>
      </w:r>
      <w:r w:rsidRPr="00A807B5">
        <w:rPr>
          <w:rFonts w:ascii="Times New Roman" w:hAnsi="Times New Roman" w:cs="Times New Roman"/>
          <w:lang w:val="en-US"/>
        </w:rPr>
        <w:t xml:space="preserve"> (</w:t>
      </w:r>
      <w:r w:rsidRPr="007D2A3B">
        <w:rPr>
          <w:rFonts w:ascii="Times New Roman" w:hAnsi="Times New Roman" w:cs="Times New Roman"/>
        </w:rPr>
        <w:t>Дата</w:t>
      </w:r>
      <w:r w:rsidRPr="00A807B5">
        <w:rPr>
          <w:rFonts w:ascii="Times New Roman" w:hAnsi="Times New Roman" w:cs="Times New Roman"/>
          <w:lang w:val="en-US"/>
        </w:rPr>
        <w:t xml:space="preserve"> </w:t>
      </w:r>
      <w:r w:rsidRPr="007D2A3B">
        <w:rPr>
          <w:rFonts w:ascii="Times New Roman" w:hAnsi="Times New Roman" w:cs="Times New Roman"/>
        </w:rPr>
        <w:t>обращения</w:t>
      </w:r>
      <w:r w:rsidRPr="00A807B5">
        <w:rPr>
          <w:rFonts w:ascii="Times New Roman" w:hAnsi="Times New Roman" w:cs="Times New Roman"/>
          <w:lang w:val="en-US"/>
        </w:rPr>
        <w:t>: 8.05.2017)</w:t>
      </w:r>
    </w:p>
  </w:footnote>
  <w:footnote w:id="44">
    <w:p w:rsidR="004D6A9F" w:rsidRPr="00FD2C76" w:rsidRDefault="004D6A9F" w:rsidP="005E24FF">
      <w:pPr>
        <w:pStyle w:val="a5"/>
        <w:jc w:val="both"/>
        <w:rPr>
          <w:lang w:val="en-US"/>
        </w:rPr>
      </w:pPr>
      <w:r>
        <w:rPr>
          <w:rStyle w:val="a7"/>
        </w:rPr>
        <w:footnoteRef/>
      </w:r>
      <w:r w:rsidRPr="00FD2C76">
        <w:rPr>
          <w:lang w:val="en-US"/>
        </w:rPr>
        <w:t xml:space="preserve"> </w:t>
      </w:r>
      <w:r w:rsidRPr="00FD2C76">
        <w:rPr>
          <w:rFonts w:ascii="Times New Roman" w:hAnsi="Times New Roman" w:cs="Times New Roman"/>
          <w:lang w:val="en-US"/>
        </w:rPr>
        <w:t xml:space="preserve">Yahoo finance – historical data on </w:t>
      </w:r>
      <w:proofErr w:type="spellStart"/>
      <w:r w:rsidRPr="00FD2C76">
        <w:rPr>
          <w:rFonts w:ascii="Times New Roman" w:hAnsi="Times New Roman" w:cs="Times New Roman"/>
          <w:lang w:val="en-US"/>
        </w:rPr>
        <w:t>Rosneft</w:t>
      </w:r>
      <w:proofErr w:type="spellEnd"/>
      <w:r w:rsidRPr="00FD2C76">
        <w:rPr>
          <w:rFonts w:ascii="Times New Roman" w:hAnsi="Times New Roman" w:cs="Times New Roman"/>
          <w:lang w:val="en-US"/>
        </w:rPr>
        <w:t xml:space="preserve"> share prices URL: </w:t>
      </w:r>
      <w:r w:rsidR="002F0191">
        <w:fldChar w:fldCharType="begin"/>
      </w:r>
      <w:r w:rsidR="002F0191" w:rsidRPr="00FE3362">
        <w:rPr>
          <w:lang w:val="en-US"/>
        </w:rPr>
        <w:instrText xml:space="preserve"> HYPERLINK "https://finance.yahoo.com/" </w:instrText>
      </w:r>
      <w:r w:rsidR="002F0191">
        <w:fldChar w:fldCharType="separate"/>
      </w:r>
      <w:r w:rsidRPr="002F4C89">
        <w:rPr>
          <w:rStyle w:val="a4"/>
          <w:rFonts w:ascii="Times New Roman" w:hAnsi="Times New Roman" w:cs="Times New Roman"/>
          <w:lang w:val="en-US"/>
        </w:rPr>
        <w:t>https://finance.yahoo.com/</w:t>
      </w:r>
      <w:r w:rsidR="002F0191">
        <w:rPr>
          <w:rStyle w:val="a4"/>
          <w:rFonts w:ascii="Times New Roman" w:hAnsi="Times New Roman" w:cs="Times New Roman"/>
          <w:lang w:val="en-US"/>
        </w:rPr>
        <w:fldChar w:fldCharType="end"/>
      </w:r>
      <w:r w:rsidRPr="005E24FF">
        <w:rPr>
          <w:rFonts w:ascii="Times New Roman" w:hAnsi="Times New Roman" w:cs="Times New Roman"/>
          <w:lang w:val="en-US"/>
        </w:rPr>
        <w:t xml:space="preserve"> </w:t>
      </w:r>
      <w:r w:rsidRPr="00FD2C76">
        <w:rPr>
          <w:rFonts w:ascii="Times New Roman" w:hAnsi="Times New Roman" w:cs="Times New Roman"/>
          <w:lang w:val="en-US"/>
        </w:rPr>
        <w:t xml:space="preserve"> (</w:t>
      </w:r>
      <w:r w:rsidRPr="00FD2C76">
        <w:rPr>
          <w:rFonts w:ascii="Times New Roman" w:hAnsi="Times New Roman" w:cs="Times New Roman"/>
        </w:rPr>
        <w:t>Дата</w:t>
      </w:r>
      <w:r w:rsidRPr="00FD2C76">
        <w:rPr>
          <w:rFonts w:ascii="Times New Roman" w:hAnsi="Times New Roman" w:cs="Times New Roman"/>
          <w:lang w:val="en-US"/>
        </w:rPr>
        <w:t xml:space="preserve"> </w:t>
      </w:r>
      <w:r w:rsidRPr="00FD2C76">
        <w:rPr>
          <w:rFonts w:ascii="Times New Roman" w:hAnsi="Times New Roman" w:cs="Times New Roman"/>
        </w:rPr>
        <w:t>обращения</w:t>
      </w:r>
      <w:r w:rsidRPr="00FD2C76">
        <w:rPr>
          <w:rFonts w:ascii="Times New Roman" w:hAnsi="Times New Roman" w:cs="Times New Roman"/>
          <w:lang w:val="en-US"/>
        </w:rPr>
        <w:t>: 8.05.2017)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268430"/>
      <w:docPartObj>
        <w:docPartGallery w:val="Page Numbers (Top of Page)"/>
        <w:docPartUnique/>
      </w:docPartObj>
    </w:sdtPr>
    <w:sdtEndPr>
      <w:rPr>
        <w:rFonts w:ascii="Times New Roman" w:hAnsi="Times New Roman" w:cs="Times New Roman"/>
      </w:rPr>
    </w:sdtEndPr>
    <w:sdtContent>
      <w:p w:rsidR="002F4269" w:rsidRPr="002F4269" w:rsidRDefault="002F4269">
        <w:pPr>
          <w:pStyle w:val="ad"/>
          <w:jc w:val="right"/>
          <w:rPr>
            <w:rFonts w:ascii="Times New Roman" w:hAnsi="Times New Roman" w:cs="Times New Roman"/>
          </w:rPr>
        </w:pPr>
        <w:r w:rsidRPr="002F4269">
          <w:rPr>
            <w:rFonts w:ascii="Times New Roman" w:hAnsi="Times New Roman" w:cs="Times New Roman"/>
          </w:rPr>
          <w:fldChar w:fldCharType="begin"/>
        </w:r>
        <w:r w:rsidRPr="002F4269">
          <w:rPr>
            <w:rFonts w:ascii="Times New Roman" w:hAnsi="Times New Roman" w:cs="Times New Roman"/>
          </w:rPr>
          <w:instrText>PAGE   \* MERGEFORMAT</w:instrText>
        </w:r>
        <w:r w:rsidRPr="002F4269">
          <w:rPr>
            <w:rFonts w:ascii="Times New Roman" w:hAnsi="Times New Roman" w:cs="Times New Roman"/>
          </w:rPr>
          <w:fldChar w:fldCharType="separate"/>
        </w:r>
        <w:r w:rsidR="00FE3362">
          <w:rPr>
            <w:rFonts w:ascii="Times New Roman" w:hAnsi="Times New Roman" w:cs="Times New Roman"/>
            <w:noProof/>
          </w:rPr>
          <w:t>55</w:t>
        </w:r>
        <w:r w:rsidRPr="002F4269">
          <w:rPr>
            <w:rFonts w:ascii="Times New Roman" w:hAnsi="Times New Roman" w:cs="Times New Roman"/>
          </w:rPr>
          <w:fldChar w:fldCharType="end"/>
        </w:r>
      </w:p>
    </w:sdtContent>
  </w:sdt>
  <w:p w:rsidR="003436FE" w:rsidRDefault="003436F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1"/>
    <w:multiLevelType w:val="hybridMultilevel"/>
    <w:tmpl w:val="649BB77C"/>
    <w:lvl w:ilvl="0" w:tplc="FFFFFFFF">
      <w:start w:val="58"/>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E8719B"/>
    <w:multiLevelType w:val="hybridMultilevel"/>
    <w:tmpl w:val="E06C1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43D81"/>
    <w:multiLevelType w:val="hybridMultilevel"/>
    <w:tmpl w:val="8398F4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2D64EC"/>
    <w:multiLevelType w:val="hybridMultilevel"/>
    <w:tmpl w:val="04544DAE"/>
    <w:lvl w:ilvl="0" w:tplc="B19E920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0B74E0A"/>
    <w:multiLevelType w:val="hybridMultilevel"/>
    <w:tmpl w:val="BA689D36"/>
    <w:lvl w:ilvl="0" w:tplc="A12EDE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5D1606"/>
    <w:multiLevelType w:val="hybridMultilevel"/>
    <w:tmpl w:val="29947532"/>
    <w:lvl w:ilvl="0" w:tplc="B19E92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D085586"/>
    <w:multiLevelType w:val="hybridMultilevel"/>
    <w:tmpl w:val="6F22D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CA17AA"/>
    <w:multiLevelType w:val="hybridMultilevel"/>
    <w:tmpl w:val="FD706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056B70"/>
    <w:multiLevelType w:val="hybridMultilevel"/>
    <w:tmpl w:val="EB48ED14"/>
    <w:lvl w:ilvl="0" w:tplc="B19E92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7A44DAF"/>
    <w:multiLevelType w:val="hybridMultilevel"/>
    <w:tmpl w:val="E02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5477EB"/>
    <w:multiLevelType w:val="multilevel"/>
    <w:tmpl w:val="A5C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BD21A42"/>
    <w:multiLevelType w:val="hybridMultilevel"/>
    <w:tmpl w:val="08B2D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471E27"/>
    <w:multiLevelType w:val="hybridMultilevel"/>
    <w:tmpl w:val="C88C6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8275D2"/>
    <w:multiLevelType w:val="hybridMultilevel"/>
    <w:tmpl w:val="F0800CEE"/>
    <w:lvl w:ilvl="0" w:tplc="0D421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4E30D66"/>
    <w:multiLevelType w:val="hybridMultilevel"/>
    <w:tmpl w:val="54CA33B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73A3665"/>
    <w:multiLevelType w:val="hybridMultilevel"/>
    <w:tmpl w:val="DA1CFB58"/>
    <w:lvl w:ilvl="0" w:tplc="B19E92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BEE407B"/>
    <w:multiLevelType w:val="multilevel"/>
    <w:tmpl w:val="BDC0FCB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DC35834"/>
    <w:multiLevelType w:val="multilevel"/>
    <w:tmpl w:val="BDC0FCB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690F6A"/>
    <w:multiLevelType w:val="hybridMultilevel"/>
    <w:tmpl w:val="F7646542"/>
    <w:lvl w:ilvl="0" w:tplc="B19E92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4347184"/>
    <w:multiLevelType w:val="hybridMultilevel"/>
    <w:tmpl w:val="2F227C1C"/>
    <w:lvl w:ilvl="0" w:tplc="B19E920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7946118"/>
    <w:multiLevelType w:val="hybridMultilevel"/>
    <w:tmpl w:val="1C949B38"/>
    <w:lvl w:ilvl="0" w:tplc="B19E9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CA166B"/>
    <w:multiLevelType w:val="hybridMultilevel"/>
    <w:tmpl w:val="949EDA72"/>
    <w:lvl w:ilvl="0" w:tplc="B19E92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A863E0D"/>
    <w:multiLevelType w:val="hybridMultilevel"/>
    <w:tmpl w:val="838C1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20"/>
  </w:num>
  <w:num w:numId="5">
    <w:abstractNumId w:val="3"/>
  </w:num>
  <w:num w:numId="6">
    <w:abstractNumId w:val="14"/>
  </w:num>
  <w:num w:numId="7">
    <w:abstractNumId w:val="19"/>
  </w:num>
  <w:num w:numId="8">
    <w:abstractNumId w:val="18"/>
  </w:num>
  <w:num w:numId="9">
    <w:abstractNumId w:val="8"/>
  </w:num>
  <w:num w:numId="10">
    <w:abstractNumId w:val="16"/>
  </w:num>
  <w:num w:numId="11">
    <w:abstractNumId w:val="21"/>
  </w:num>
  <w:num w:numId="12">
    <w:abstractNumId w:val="5"/>
  </w:num>
  <w:num w:numId="13">
    <w:abstractNumId w:val="12"/>
  </w:num>
  <w:num w:numId="14">
    <w:abstractNumId w:val="6"/>
  </w:num>
  <w:num w:numId="15">
    <w:abstractNumId w:val="22"/>
  </w:num>
  <w:num w:numId="16">
    <w:abstractNumId w:val="9"/>
  </w:num>
  <w:num w:numId="17">
    <w:abstractNumId w:val="11"/>
  </w:num>
  <w:num w:numId="18">
    <w:abstractNumId w:val="13"/>
  </w:num>
  <w:num w:numId="19">
    <w:abstractNumId w:val="2"/>
  </w:num>
  <w:num w:numId="20">
    <w:abstractNumId w:val="7"/>
  </w:num>
  <w:num w:numId="21">
    <w:abstractNumId w:val="1"/>
  </w:num>
  <w:num w:numId="22">
    <w:abstractNumId w:val="4"/>
  </w:num>
  <w:num w:numId="23">
    <w:abstractNumId w:val="0"/>
    <w:lvlOverride w:ilvl="0">
      <w:startOverride w:val="58"/>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5B"/>
    <w:rsid w:val="000C2D75"/>
    <w:rsid w:val="00156DC5"/>
    <w:rsid w:val="00174926"/>
    <w:rsid w:val="00234464"/>
    <w:rsid w:val="00290002"/>
    <w:rsid w:val="002B2796"/>
    <w:rsid w:val="002C3412"/>
    <w:rsid w:val="002F0191"/>
    <w:rsid w:val="002F2951"/>
    <w:rsid w:val="002F4269"/>
    <w:rsid w:val="003436FE"/>
    <w:rsid w:val="0035688F"/>
    <w:rsid w:val="003E2C45"/>
    <w:rsid w:val="0042413A"/>
    <w:rsid w:val="00441CC0"/>
    <w:rsid w:val="00493F12"/>
    <w:rsid w:val="0049767F"/>
    <w:rsid w:val="004D6A9F"/>
    <w:rsid w:val="00515B2E"/>
    <w:rsid w:val="00545E55"/>
    <w:rsid w:val="005654E7"/>
    <w:rsid w:val="005916BF"/>
    <w:rsid w:val="0059775B"/>
    <w:rsid w:val="005E24FF"/>
    <w:rsid w:val="00603DDD"/>
    <w:rsid w:val="0065198B"/>
    <w:rsid w:val="006F49AF"/>
    <w:rsid w:val="007A3D8E"/>
    <w:rsid w:val="007C1744"/>
    <w:rsid w:val="008065AA"/>
    <w:rsid w:val="00864B51"/>
    <w:rsid w:val="0089107C"/>
    <w:rsid w:val="00891653"/>
    <w:rsid w:val="008E4524"/>
    <w:rsid w:val="008F43FC"/>
    <w:rsid w:val="00925790"/>
    <w:rsid w:val="00976843"/>
    <w:rsid w:val="00A10D5A"/>
    <w:rsid w:val="00A17338"/>
    <w:rsid w:val="00B567B0"/>
    <w:rsid w:val="00BB18D6"/>
    <w:rsid w:val="00BB5208"/>
    <w:rsid w:val="00C22F00"/>
    <w:rsid w:val="00C6141B"/>
    <w:rsid w:val="00C87D20"/>
    <w:rsid w:val="00C939BB"/>
    <w:rsid w:val="00C97FB1"/>
    <w:rsid w:val="00CB1B56"/>
    <w:rsid w:val="00CB6F49"/>
    <w:rsid w:val="00CD59A6"/>
    <w:rsid w:val="00CF07BE"/>
    <w:rsid w:val="00D813A5"/>
    <w:rsid w:val="00DB0224"/>
    <w:rsid w:val="00DB4327"/>
    <w:rsid w:val="00E11D2C"/>
    <w:rsid w:val="00FB1964"/>
    <w:rsid w:val="00FC69E2"/>
    <w:rsid w:val="00FE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75B"/>
  </w:style>
  <w:style w:type="paragraph" w:styleId="1">
    <w:name w:val="heading 1"/>
    <w:basedOn w:val="a"/>
    <w:next w:val="a"/>
    <w:link w:val="10"/>
    <w:uiPriority w:val="9"/>
    <w:qFormat/>
    <w:rsid w:val="005977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977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75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9775B"/>
    <w:pPr>
      <w:ind w:left="720"/>
      <w:contextualSpacing/>
    </w:pPr>
  </w:style>
  <w:style w:type="character" w:customStyle="1" w:styleId="20">
    <w:name w:val="Заголовок 2 Знак"/>
    <w:basedOn w:val="a0"/>
    <w:link w:val="2"/>
    <w:uiPriority w:val="9"/>
    <w:rsid w:val="0059775B"/>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59775B"/>
    <w:rPr>
      <w:color w:val="0000FF" w:themeColor="hyperlink"/>
      <w:u w:val="single"/>
    </w:rPr>
  </w:style>
  <w:style w:type="paragraph" w:styleId="a5">
    <w:name w:val="footnote text"/>
    <w:basedOn w:val="a"/>
    <w:link w:val="a6"/>
    <w:uiPriority w:val="99"/>
    <w:unhideWhenUsed/>
    <w:rsid w:val="0059775B"/>
    <w:pPr>
      <w:spacing w:after="0" w:line="240" w:lineRule="auto"/>
    </w:pPr>
    <w:rPr>
      <w:sz w:val="20"/>
      <w:szCs w:val="20"/>
    </w:rPr>
  </w:style>
  <w:style w:type="character" w:customStyle="1" w:styleId="a6">
    <w:name w:val="Текст сноски Знак"/>
    <w:basedOn w:val="a0"/>
    <w:link w:val="a5"/>
    <w:uiPriority w:val="99"/>
    <w:rsid w:val="0059775B"/>
    <w:rPr>
      <w:sz w:val="20"/>
      <w:szCs w:val="20"/>
    </w:rPr>
  </w:style>
  <w:style w:type="character" w:styleId="a7">
    <w:name w:val="footnote reference"/>
    <w:basedOn w:val="a0"/>
    <w:uiPriority w:val="99"/>
    <w:unhideWhenUsed/>
    <w:rsid w:val="0059775B"/>
    <w:rPr>
      <w:vertAlign w:val="superscript"/>
    </w:rPr>
  </w:style>
  <w:style w:type="table" w:styleId="a8">
    <w:name w:val="Table Grid"/>
    <w:basedOn w:val="a1"/>
    <w:uiPriority w:val="59"/>
    <w:rsid w:val="00597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597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59775B"/>
    <w:rPr>
      <w:b/>
      <w:bCs/>
    </w:rPr>
  </w:style>
  <w:style w:type="character" w:customStyle="1" w:styleId="apple-converted-space">
    <w:name w:val="apple-converted-space"/>
    <w:basedOn w:val="a0"/>
    <w:rsid w:val="0059775B"/>
  </w:style>
  <w:style w:type="paragraph" w:styleId="ab">
    <w:name w:val="Balloon Text"/>
    <w:basedOn w:val="a"/>
    <w:link w:val="ac"/>
    <w:uiPriority w:val="99"/>
    <w:semiHidden/>
    <w:unhideWhenUsed/>
    <w:rsid w:val="005977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9775B"/>
    <w:rPr>
      <w:rFonts w:ascii="Tahoma" w:hAnsi="Tahoma" w:cs="Tahoma"/>
      <w:sz w:val="16"/>
      <w:szCs w:val="16"/>
    </w:rPr>
  </w:style>
  <w:style w:type="paragraph" w:styleId="ad">
    <w:name w:val="header"/>
    <w:basedOn w:val="a"/>
    <w:link w:val="ae"/>
    <w:uiPriority w:val="99"/>
    <w:unhideWhenUsed/>
    <w:rsid w:val="0059775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9775B"/>
  </w:style>
  <w:style w:type="paragraph" w:styleId="af">
    <w:name w:val="footer"/>
    <w:basedOn w:val="a"/>
    <w:link w:val="af0"/>
    <w:uiPriority w:val="99"/>
    <w:unhideWhenUsed/>
    <w:rsid w:val="0059775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9775B"/>
  </w:style>
  <w:style w:type="character" w:styleId="af1">
    <w:name w:val="FollowedHyperlink"/>
    <w:basedOn w:val="a0"/>
    <w:uiPriority w:val="99"/>
    <w:semiHidden/>
    <w:unhideWhenUsed/>
    <w:rsid w:val="00E11D2C"/>
    <w:rPr>
      <w:color w:val="800080" w:themeColor="followedHyperlink"/>
      <w:u w:val="single"/>
    </w:rPr>
  </w:style>
  <w:style w:type="paragraph" w:styleId="af2">
    <w:name w:val="TOC Heading"/>
    <w:basedOn w:val="1"/>
    <w:next w:val="a"/>
    <w:uiPriority w:val="39"/>
    <w:semiHidden/>
    <w:unhideWhenUsed/>
    <w:qFormat/>
    <w:rsid w:val="0035688F"/>
    <w:pPr>
      <w:outlineLvl w:val="9"/>
    </w:pPr>
    <w:rPr>
      <w:lang w:eastAsia="ru-RU"/>
    </w:rPr>
  </w:style>
  <w:style w:type="paragraph" w:styleId="11">
    <w:name w:val="toc 1"/>
    <w:basedOn w:val="a"/>
    <w:next w:val="a"/>
    <w:autoRedefine/>
    <w:uiPriority w:val="39"/>
    <w:unhideWhenUsed/>
    <w:rsid w:val="0035688F"/>
    <w:pPr>
      <w:spacing w:after="100"/>
    </w:pPr>
  </w:style>
  <w:style w:type="paragraph" w:styleId="21">
    <w:name w:val="toc 2"/>
    <w:basedOn w:val="a"/>
    <w:next w:val="a"/>
    <w:autoRedefine/>
    <w:uiPriority w:val="39"/>
    <w:unhideWhenUsed/>
    <w:rsid w:val="0035688F"/>
    <w:pPr>
      <w:spacing w:after="100"/>
      <w:ind w:left="220"/>
    </w:pPr>
  </w:style>
  <w:style w:type="character" w:styleId="af3">
    <w:name w:val="Placeholder Text"/>
    <w:basedOn w:val="a0"/>
    <w:uiPriority w:val="99"/>
    <w:semiHidden/>
    <w:rsid w:val="0097684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75B"/>
  </w:style>
  <w:style w:type="paragraph" w:styleId="1">
    <w:name w:val="heading 1"/>
    <w:basedOn w:val="a"/>
    <w:next w:val="a"/>
    <w:link w:val="10"/>
    <w:uiPriority w:val="9"/>
    <w:qFormat/>
    <w:rsid w:val="005977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977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75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9775B"/>
    <w:pPr>
      <w:ind w:left="720"/>
      <w:contextualSpacing/>
    </w:pPr>
  </w:style>
  <w:style w:type="character" w:customStyle="1" w:styleId="20">
    <w:name w:val="Заголовок 2 Знак"/>
    <w:basedOn w:val="a0"/>
    <w:link w:val="2"/>
    <w:uiPriority w:val="9"/>
    <w:rsid w:val="0059775B"/>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59775B"/>
    <w:rPr>
      <w:color w:val="0000FF" w:themeColor="hyperlink"/>
      <w:u w:val="single"/>
    </w:rPr>
  </w:style>
  <w:style w:type="paragraph" w:styleId="a5">
    <w:name w:val="footnote text"/>
    <w:basedOn w:val="a"/>
    <w:link w:val="a6"/>
    <w:uiPriority w:val="99"/>
    <w:unhideWhenUsed/>
    <w:rsid w:val="0059775B"/>
    <w:pPr>
      <w:spacing w:after="0" w:line="240" w:lineRule="auto"/>
    </w:pPr>
    <w:rPr>
      <w:sz w:val="20"/>
      <w:szCs w:val="20"/>
    </w:rPr>
  </w:style>
  <w:style w:type="character" w:customStyle="1" w:styleId="a6">
    <w:name w:val="Текст сноски Знак"/>
    <w:basedOn w:val="a0"/>
    <w:link w:val="a5"/>
    <w:uiPriority w:val="99"/>
    <w:rsid w:val="0059775B"/>
    <w:rPr>
      <w:sz w:val="20"/>
      <w:szCs w:val="20"/>
    </w:rPr>
  </w:style>
  <w:style w:type="character" w:styleId="a7">
    <w:name w:val="footnote reference"/>
    <w:basedOn w:val="a0"/>
    <w:uiPriority w:val="99"/>
    <w:unhideWhenUsed/>
    <w:rsid w:val="0059775B"/>
    <w:rPr>
      <w:vertAlign w:val="superscript"/>
    </w:rPr>
  </w:style>
  <w:style w:type="table" w:styleId="a8">
    <w:name w:val="Table Grid"/>
    <w:basedOn w:val="a1"/>
    <w:uiPriority w:val="59"/>
    <w:rsid w:val="00597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597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59775B"/>
    <w:rPr>
      <w:b/>
      <w:bCs/>
    </w:rPr>
  </w:style>
  <w:style w:type="character" w:customStyle="1" w:styleId="apple-converted-space">
    <w:name w:val="apple-converted-space"/>
    <w:basedOn w:val="a0"/>
    <w:rsid w:val="0059775B"/>
  </w:style>
  <w:style w:type="paragraph" w:styleId="ab">
    <w:name w:val="Balloon Text"/>
    <w:basedOn w:val="a"/>
    <w:link w:val="ac"/>
    <w:uiPriority w:val="99"/>
    <w:semiHidden/>
    <w:unhideWhenUsed/>
    <w:rsid w:val="005977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9775B"/>
    <w:rPr>
      <w:rFonts w:ascii="Tahoma" w:hAnsi="Tahoma" w:cs="Tahoma"/>
      <w:sz w:val="16"/>
      <w:szCs w:val="16"/>
    </w:rPr>
  </w:style>
  <w:style w:type="paragraph" w:styleId="ad">
    <w:name w:val="header"/>
    <w:basedOn w:val="a"/>
    <w:link w:val="ae"/>
    <w:uiPriority w:val="99"/>
    <w:unhideWhenUsed/>
    <w:rsid w:val="0059775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9775B"/>
  </w:style>
  <w:style w:type="paragraph" w:styleId="af">
    <w:name w:val="footer"/>
    <w:basedOn w:val="a"/>
    <w:link w:val="af0"/>
    <w:uiPriority w:val="99"/>
    <w:unhideWhenUsed/>
    <w:rsid w:val="0059775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9775B"/>
  </w:style>
  <w:style w:type="character" w:styleId="af1">
    <w:name w:val="FollowedHyperlink"/>
    <w:basedOn w:val="a0"/>
    <w:uiPriority w:val="99"/>
    <w:semiHidden/>
    <w:unhideWhenUsed/>
    <w:rsid w:val="00E11D2C"/>
    <w:rPr>
      <w:color w:val="800080" w:themeColor="followedHyperlink"/>
      <w:u w:val="single"/>
    </w:rPr>
  </w:style>
  <w:style w:type="paragraph" w:styleId="af2">
    <w:name w:val="TOC Heading"/>
    <w:basedOn w:val="1"/>
    <w:next w:val="a"/>
    <w:uiPriority w:val="39"/>
    <w:semiHidden/>
    <w:unhideWhenUsed/>
    <w:qFormat/>
    <w:rsid w:val="0035688F"/>
    <w:pPr>
      <w:outlineLvl w:val="9"/>
    </w:pPr>
    <w:rPr>
      <w:lang w:eastAsia="ru-RU"/>
    </w:rPr>
  </w:style>
  <w:style w:type="paragraph" w:styleId="11">
    <w:name w:val="toc 1"/>
    <w:basedOn w:val="a"/>
    <w:next w:val="a"/>
    <w:autoRedefine/>
    <w:uiPriority w:val="39"/>
    <w:unhideWhenUsed/>
    <w:rsid w:val="0035688F"/>
    <w:pPr>
      <w:spacing w:after="100"/>
    </w:pPr>
  </w:style>
  <w:style w:type="paragraph" w:styleId="21">
    <w:name w:val="toc 2"/>
    <w:basedOn w:val="a"/>
    <w:next w:val="a"/>
    <w:autoRedefine/>
    <w:uiPriority w:val="39"/>
    <w:unhideWhenUsed/>
    <w:rsid w:val="0035688F"/>
    <w:pPr>
      <w:spacing w:after="100"/>
      <w:ind w:left="220"/>
    </w:pPr>
  </w:style>
  <w:style w:type="character" w:styleId="af3">
    <w:name w:val="Placeholder Text"/>
    <w:basedOn w:val="a0"/>
    <w:uiPriority w:val="99"/>
    <w:semiHidden/>
    <w:rsid w:val="009768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61391">
      <w:bodyDiv w:val="1"/>
      <w:marLeft w:val="0"/>
      <w:marRight w:val="0"/>
      <w:marTop w:val="0"/>
      <w:marBottom w:val="0"/>
      <w:divBdr>
        <w:top w:val="none" w:sz="0" w:space="0" w:color="auto"/>
        <w:left w:val="none" w:sz="0" w:space="0" w:color="auto"/>
        <w:bottom w:val="none" w:sz="0" w:space="0" w:color="auto"/>
        <w:right w:val="none" w:sz="0" w:space="0" w:color="auto"/>
      </w:divBdr>
    </w:div>
    <w:div w:id="540442527">
      <w:bodyDiv w:val="1"/>
      <w:marLeft w:val="0"/>
      <w:marRight w:val="0"/>
      <w:marTop w:val="0"/>
      <w:marBottom w:val="0"/>
      <w:divBdr>
        <w:top w:val="none" w:sz="0" w:space="0" w:color="auto"/>
        <w:left w:val="none" w:sz="0" w:space="0" w:color="auto"/>
        <w:bottom w:val="none" w:sz="0" w:space="0" w:color="auto"/>
        <w:right w:val="none" w:sz="0" w:space="0" w:color="auto"/>
      </w:divBdr>
    </w:div>
    <w:div w:id="203098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pages.stern.nyu.edu/~adamodar/New_Home_Page/datafile/ctryprem.html" TargetMode="External"/><Relationship Id="rId26" Type="http://schemas.openxmlformats.org/officeDocument/2006/relationships/hyperlink" Target="http://www.cfin.ru" TargetMode="External"/><Relationship Id="rId3" Type="http://schemas.openxmlformats.org/officeDocument/2006/relationships/styles" Target="styles.xml"/><Relationship Id="rId21" Type="http://schemas.openxmlformats.org/officeDocument/2006/relationships/hyperlink" Target="http://www.ibankingfaq.com/"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5.png"/><Relationship Id="rId25" Type="http://schemas.openxmlformats.org/officeDocument/2006/relationships/hyperlink" Target="http://www.cfin.ru" TargetMode="External"/><Relationship Id="rId33" Type="http://schemas.openxmlformats.org/officeDocument/2006/relationships/hyperlink" Target="http://www.mergers.r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atkearney.in/" TargetMode="External"/><Relationship Id="rId29" Type="http://schemas.openxmlformats.org/officeDocument/2006/relationships/hyperlink" Target="https://www.hs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www.zephyr.bvdinfo.com" TargetMode="External"/><Relationship Id="rId32" Type="http://schemas.openxmlformats.org/officeDocument/2006/relationships/hyperlink" Target="https://www.hse.ru/"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finance.yahoo.com/" TargetMode="External"/><Relationship Id="rId28" Type="http://schemas.openxmlformats.org/officeDocument/2006/relationships/hyperlink" Target="http://mergers.akm.ru/" TargetMode="Externa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www.economagic.com" TargetMode="External"/><Relationship Id="rId31" Type="http://schemas.openxmlformats.org/officeDocument/2006/relationships/hyperlink" Target="http://eee-region.ru/"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hyperlink" Target="http://www.investopedia.com/" TargetMode="External"/><Relationship Id="rId27" Type="http://schemas.openxmlformats.org/officeDocument/2006/relationships/hyperlink" Target="http://mergers.akm.ru/" TargetMode="External"/><Relationship Id="rId30" Type="http://schemas.openxmlformats.org/officeDocument/2006/relationships/hyperlink" Target="https://www.rosneft.ru"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bankingfaq.com/" TargetMode="External"/><Relationship Id="rId13" Type="http://schemas.openxmlformats.org/officeDocument/2006/relationships/hyperlink" Target="https://www.rosneft.ru" TargetMode="External"/><Relationship Id="rId3" Type="http://schemas.openxmlformats.org/officeDocument/2006/relationships/hyperlink" Target="http://mergers.akm.ru/" TargetMode="External"/><Relationship Id="rId7" Type="http://schemas.openxmlformats.org/officeDocument/2006/relationships/hyperlink" Target="https://www.hse.ru/" TargetMode="External"/><Relationship Id="rId12" Type="http://schemas.openxmlformats.org/officeDocument/2006/relationships/hyperlink" Target="https://www.rosneft.ru" TargetMode="External"/><Relationship Id="rId2" Type="http://schemas.openxmlformats.org/officeDocument/2006/relationships/hyperlink" Target="http://mergers.akm.ru/" TargetMode="External"/><Relationship Id="rId1" Type="http://schemas.openxmlformats.org/officeDocument/2006/relationships/hyperlink" Target="http://www.cfin.ru" TargetMode="External"/><Relationship Id="rId6" Type="http://schemas.openxmlformats.org/officeDocument/2006/relationships/hyperlink" Target="http://www.e-xecutive.ru/" TargetMode="External"/><Relationship Id="rId11" Type="http://schemas.openxmlformats.org/officeDocument/2006/relationships/hyperlink" Target="https://www.rosneft.ru" TargetMode="External"/><Relationship Id="rId5" Type="http://schemas.openxmlformats.org/officeDocument/2006/relationships/hyperlink" Target="http://mergers.akm.ru/" TargetMode="External"/><Relationship Id="rId10" Type="http://schemas.openxmlformats.org/officeDocument/2006/relationships/hyperlink" Target="https://www.hse.ru/" TargetMode="External"/><Relationship Id="rId4" Type="http://schemas.openxmlformats.org/officeDocument/2006/relationships/hyperlink" Target="http://mergers.akm.ru/" TargetMode="External"/><Relationship Id="rId9" Type="http://schemas.openxmlformats.org/officeDocument/2006/relationships/hyperlink" Target="http://www.investopedia.com/" TargetMode="External"/><Relationship Id="rId14" Type="http://schemas.openxmlformats.org/officeDocument/2006/relationships/hyperlink" Target="https://www.rosneft.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stacked"/>
        <c:varyColors val="0"/>
        <c:ser>
          <c:idx val="0"/>
          <c:order val="0"/>
          <c:tx>
            <c:strRef>
              <c:f>Лист1!$B$1</c:f>
              <c:strCache>
                <c:ptCount val="1"/>
                <c:pt idx="0">
                  <c:v>Сумма сделок (без учета мегасделок), млрд долл. США</c:v>
                </c:pt>
              </c:strCache>
            </c:strRef>
          </c:tx>
          <c:invertIfNegative val="0"/>
          <c:dLbls>
            <c:txPr>
              <a:bodyPr/>
              <a:lstStyle/>
              <a:p>
                <a:pPr>
                  <a:defRPr b="1">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76.7</c:v>
                </c:pt>
                <c:pt idx="1">
                  <c:v>70</c:v>
                </c:pt>
                <c:pt idx="2">
                  <c:v>79.5</c:v>
                </c:pt>
                <c:pt idx="3">
                  <c:v>100.9</c:v>
                </c:pt>
                <c:pt idx="4">
                  <c:v>79.099999999999994</c:v>
                </c:pt>
                <c:pt idx="5">
                  <c:v>55.8</c:v>
                </c:pt>
              </c:numCache>
            </c:numRef>
          </c:val>
        </c:ser>
        <c:ser>
          <c:idx val="1"/>
          <c:order val="1"/>
          <c:tx>
            <c:strRef>
              <c:f>Лист1!$C$1</c:f>
              <c:strCache>
                <c:ptCount val="1"/>
                <c:pt idx="0">
                  <c:v>Мегасделки (&gt;10 млрд долл. США)</c:v>
                </c:pt>
              </c:strCache>
            </c:strRef>
          </c:tx>
          <c:spPr>
            <a:solidFill>
              <a:srgbClr val="8EBC50"/>
            </a:solidFill>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2010</c:v>
                </c:pt>
                <c:pt idx="1">
                  <c:v>2011</c:v>
                </c:pt>
                <c:pt idx="2">
                  <c:v>2012</c:v>
                </c:pt>
                <c:pt idx="3">
                  <c:v>2013</c:v>
                </c:pt>
                <c:pt idx="4">
                  <c:v>2014</c:v>
                </c:pt>
                <c:pt idx="5">
                  <c:v>2015</c:v>
                </c:pt>
              </c:numCache>
            </c:numRef>
          </c:cat>
          <c:val>
            <c:numRef>
              <c:f>Лист1!$C$2:$C$7</c:f>
              <c:numCache>
                <c:formatCode>General</c:formatCode>
                <c:ptCount val="6"/>
                <c:pt idx="0">
                  <c:v>20.7</c:v>
                </c:pt>
                <c:pt idx="2">
                  <c:v>56</c:v>
                </c:pt>
                <c:pt idx="3">
                  <c:v>14.4</c:v>
                </c:pt>
              </c:numCache>
            </c:numRef>
          </c:val>
        </c:ser>
        <c:dLbls>
          <c:showLegendKey val="0"/>
          <c:showVal val="1"/>
          <c:showCatName val="0"/>
          <c:showSerName val="0"/>
          <c:showPercent val="0"/>
          <c:showBubbleSize val="0"/>
        </c:dLbls>
        <c:gapWidth val="75"/>
        <c:overlap val="100"/>
        <c:axId val="172691456"/>
        <c:axId val="172694144"/>
      </c:barChart>
      <c:lineChart>
        <c:grouping val="standard"/>
        <c:varyColors val="0"/>
        <c:ser>
          <c:idx val="2"/>
          <c:order val="2"/>
          <c:tx>
            <c:strRef>
              <c:f>Лист1!$D$1</c:f>
              <c:strCache>
                <c:ptCount val="1"/>
                <c:pt idx="0">
                  <c:v>Количество сделок</c:v>
                </c:pt>
              </c:strCache>
            </c:strRef>
          </c:tx>
          <c:spPr>
            <a:ln>
              <a:solidFill>
                <a:srgbClr val="F57B17"/>
              </a:solidFill>
            </a:ln>
          </c:spPr>
          <c:marker>
            <c:spPr>
              <a:solidFill>
                <a:schemeClr val="accent6">
                  <a:lumMod val="75000"/>
                </a:schemeClr>
              </a:solidFill>
              <a:ln>
                <a:solidFill>
                  <a:srgbClr val="F57B17"/>
                </a:solidFill>
              </a:ln>
            </c:spPr>
          </c:marker>
          <c:dLbls>
            <c:spPr>
              <a:solidFill>
                <a:srgbClr val="F68426"/>
              </a:solidFill>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2010</c:v>
                </c:pt>
                <c:pt idx="1">
                  <c:v>2011</c:v>
                </c:pt>
                <c:pt idx="2">
                  <c:v>2012</c:v>
                </c:pt>
                <c:pt idx="3">
                  <c:v>2013</c:v>
                </c:pt>
                <c:pt idx="4">
                  <c:v>2014</c:v>
                </c:pt>
                <c:pt idx="5">
                  <c:v>2015</c:v>
                </c:pt>
              </c:numCache>
            </c:numRef>
          </c:cat>
          <c:val>
            <c:numRef>
              <c:f>Лист1!$D$2:$D$7</c:f>
              <c:numCache>
                <c:formatCode>General</c:formatCode>
                <c:ptCount val="6"/>
                <c:pt idx="0">
                  <c:v>266</c:v>
                </c:pt>
                <c:pt idx="1">
                  <c:v>302</c:v>
                </c:pt>
                <c:pt idx="2">
                  <c:v>334</c:v>
                </c:pt>
                <c:pt idx="3">
                  <c:v>333</c:v>
                </c:pt>
                <c:pt idx="4">
                  <c:v>623</c:v>
                </c:pt>
                <c:pt idx="5">
                  <c:v>504</c:v>
                </c:pt>
              </c:numCache>
            </c:numRef>
          </c:val>
          <c:smooth val="0"/>
        </c:ser>
        <c:dLbls>
          <c:showLegendKey val="0"/>
          <c:showVal val="1"/>
          <c:showCatName val="0"/>
          <c:showSerName val="0"/>
          <c:showPercent val="0"/>
          <c:showBubbleSize val="0"/>
        </c:dLbls>
        <c:marker val="1"/>
        <c:smooth val="0"/>
        <c:axId val="172701568"/>
        <c:axId val="172700032"/>
      </c:lineChart>
      <c:catAx>
        <c:axId val="172691456"/>
        <c:scaling>
          <c:orientation val="minMax"/>
        </c:scaling>
        <c:delete val="0"/>
        <c:axPos val="b"/>
        <c:majorGridlines>
          <c:spPr>
            <a:ln>
              <a:noFill/>
            </a:ln>
          </c:spPr>
        </c:majorGridlines>
        <c:numFmt formatCode="General" sourceLinked="1"/>
        <c:majorTickMark val="none"/>
        <c:minorTickMark val="none"/>
        <c:tickLblPos val="nextTo"/>
        <c:spPr>
          <a:ln>
            <a:noFill/>
          </a:ln>
        </c:spPr>
        <c:txPr>
          <a:bodyPr/>
          <a:lstStyle/>
          <a:p>
            <a:pPr>
              <a:defRPr b="1"/>
            </a:pPr>
            <a:endParaRPr lang="ru-RU"/>
          </a:p>
        </c:txPr>
        <c:crossAx val="172694144"/>
        <c:crosses val="autoZero"/>
        <c:auto val="1"/>
        <c:lblAlgn val="ctr"/>
        <c:lblOffset val="100"/>
        <c:noMultiLvlLbl val="0"/>
      </c:catAx>
      <c:valAx>
        <c:axId val="172694144"/>
        <c:scaling>
          <c:orientation val="minMax"/>
        </c:scaling>
        <c:delete val="0"/>
        <c:axPos val="l"/>
        <c:numFmt formatCode="General" sourceLinked="1"/>
        <c:majorTickMark val="none"/>
        <c:minorTickMark val="none"/>
        <c:tickLblPos val="nextTo"/>
        <c:spPr>
          <a:ln>
            <a:noFill/>
          </a:ln>
        </c:spPr>
        <c:txPr>
          <a:bodyPr/>
          <a:lstStyle/>
          <a:p>
            <a:pPr>
              <a:defRPr>
                <a:solidFill>
                  <a:schemeClr val="bg1"/>
                </a:solidFill>
              </a:defRPr>
            </a:pPr>
            <a:endParaRPr lang="ru-RU"/>
          </a:p>
        </c:txPr>
        <c:crossAx val="172691456"/>
        <c:crosses val="autoZero"/>
        <c:crossBetween val="between"/>
      </c:valAx>
      <c:valAx>
        <c:axId val="172700032"/>
        <c:scaling>
          <c:orientation val="minMax"/>
        </c:scaling>
        <c:delete val="0"/>
        <c:axPos val="r"/>
        <c:numFmt formatCode="General" sourceLinked="1"/>
        <c:majorTickMark val="out"/>
        <c:minorTickMark val="none"/>
        <c:tickLblPos val="nextTo"/>
        <c:spPr>
          <a:ln>
            <a:noFill/>
          </a:ln>
        </c:spPr>
        <c:txPr>
          <a:bodyPr/>
          <a:lstStyle/>
          <a:p>
            <a:pPr>
              <a:defRPr>
                <a:solidFill>
                  <a:schemeClr val="bg1"/>
                </a:solidFill>
              </a:defRPr>
            </a:pPr>
            <a:endParaRPr lang="ru-RU"/>
          </a:p>
        </c:txPr>
        <c:crossAx val="172701568"/>
        <c:crosses val="max"/>
        <c:crossBetween val="between"/>
      </c:valAx>
      <c:catAx>
        <c:axId val="172701568"/>
        <c:scaling>
          <c:orientation val="minMax"/>
        </c:scaling>
        <c:delete val="1"/>
        <c:axPos val="b"/>
        <c:numFmt formatCode="General" sourceLinked="1"/>
        <c:majorTickMark val="out"/>
        <c:minorTickMark val="none"/>
        <c:tickLblPos val="nextTo"/>
        <c:crossAx val="172700032"/>
        <c:crosses val="autoZero"/>
        <c:auto val="1"/>
        <c:lblAlgn val="ctr"/>
        <c:lblOffset val="100"/>
        <c:noMultiLvlLbl val="0"/>
      </c:catAx>
    </c:plotArea>
    <c:legend>
      <c:legendPos val="b"/>
      <c:legendEntry>
        <c:idx val="0"/>
        <c:txPr>
          <a:bodyPr/>
          <a:lstStyle/>
          <a:p>
            <a:pPr>
              <a:defRPr>
                <a:latin typeface="Times New Roman" panose="02020603050405020304" pitchFamily="18" charset="0"/>
                <a:cs typeface="Times New Roman" panose="02020603050405020304" pitchFamily="18" charset="0"/>
              </a:defRPr>
            </a:pPr>
            <a:endParaRPr lang="ru-RU"/>
          </a:p>
        </c:txPr>
      </c:legendEntry>
      <c:legendEntry>
        <c:idx val="1"/>
        <c:txPr>
          <a:bodyPr/>
          <a:lstStyle/>
          <a:p>
            <a:pPr>
              <a:defRPr>
                <a:latin typeface="Times New Roman" panose="02020603050405020304" pitchFamily="18" charset="0"/>
                <a:cs typeface="Times New Roman" panose="02020603050405020304" pitchFamily="18" charset="0"/>
              </a:defRPr>
            </a:pPr>
            <a:endParaRPr lang="ru-RU"/>
          </a:p>
        </c:txPr>
      </c:legendEntry>
      <c:legendEntry>
        <c:idx val="2"/>
        <c:txPr>
          <a:bodyPr/>
          <a:lstStyle/>
          <a:p>
            <a:pPr>
              <a:defRPr>
                <a:latin typeface="Times New Roman" panose="02020603050405020304" pitchFamily="18" charset="0"/>
                <a:cs typeface="Times New Roman" panose="02020603050405020304" pitchFamily="18" charset="0"/>
              </a:defRPr>
            </a:pPr>
            <a:endParaRPr lang="ru-RU"/>
          </a:p>
        </c:txPr>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Лист1!$B$1</c:f>
              <c:strCache>
                <c:ptCount val="1"/>
                <c:pt idx="0">
                  <c:v>Сумма сделок, млрд долл. США</c:v>
                </c:pt>
              </c:strCache>
            </c:strRef>
          </c:tx>
          <c:spPr>
            <a:solidFill>
              <a:schemeClr val="accent3"/>
            </a:solidFill>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2098</c:v>
                </c:pt>
                <c:pt idx="1">
                  <c:v>2277</c:v>
                </c:pt>
                <c:pt idx="2">
                  <c:v>2309</c:v>
                </c:pt>
                <c:pt idx="3">
                  <c:v>2223</c:v>
                </c:pt>
                <c:pt idx="4">
                  <c:v>3278</c:v>
                </c:pt>
                <c:pt idx="5">
                  <c:v>4276</c:v>
                </c:pt>
              </c:numCache>
            </c:numRef>
          </c:val>
        </c:ser>
        <c:dLbls>
          <c:dLblPos val="inEnd"/>
          <c:showLegendKey val="0"/>
          <c:showVal val="1"/>
          <c:showCatName val="0"/>
          <c:showSerName val="0"/>
          <c:showPercent val="0"/>
          <c:showBubbleSize val="0"/>
        </c:dLbls>
        <c:gapWidth val="75"/>
        <c:axId val="172848640"/>
        <c:axId val="172850176"/>
      </c:barChart>
      <c:lineChart>
        <c:grouping val="standard"/>
        <c:varyColors val="0"/>
        <c:ser>
          <c:idx val="1"/>
          <c:order val="1"/>
          <c:tx>
            <c:strRef>
              <c:f>Лист1!$C$1</c:f>
              <c:strCache>
                <c:ptCount val="1"/>
                <c:pt idx="0">
                  <c:v>Количество сделок</c:v>
                </c:pt>
              </c:strCache>
            </c:strRef>
          </c:tx>
          <c:spPr>
            <a:ln>
              <a:solidFill>
                <a:srgbClr val="F57B17"/>
              </a:solidFill>
            </a:ln>
          </c:spPr>
          <c:marker>
            <c:spPr>
              <a:solidFill>
                <a:schemeClr val="accent6">
                  <a:lumMod val="75000"/>
                </a:schemeClr>
              </a:solidFill>
              <a:ln>
                <a:solidFill>
                  <a:srgbClr val="F57B17"/>
                </a:solidFill>
              </a:ln>
            </c:spPr>
          </c:marker>
          <c:dLbls>
            <c:spPr>
              <a:solidFill>
                <a:srgbClr val="F68426"/>
              </a:solidFill>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2010</c:v>
                </c:pt>
                <c:pt idx="1">
                  <c:v>2011</c:v>
                </c:pt>
                <c:pt idx="2">
                  <c:v>2012</c:v>
                </c:pt>
                <c:pt idx="3">
                  <c:v>2013</c:v>
                </c:pt>
                <c:pt idx="4">
                  <c:v>2014</c:v>
                </c:pt>
                <c:pt idx="5">
                  <c:v>2015</c:v>
                </c:pt>
              </c:numCache>
            </c:numRef>
          </c:cat>
          <c:val>
            <c:numRef>
              <c:f>Лист1!$C$2:$C$7</c:f>
              <c:numCache>
                <c:formatCode>General</c:formatCode>
                <c:ptCount val="6"/>
                <c:pt idx="0">
                  <c:v>12461</c:v>
                </c:pt>
                <c:pt idx="1">
                  <c:v>13282</c:v>
                </c:pt>
                <c:pt idx="2">
                  <c:v>13670</c:v>
                </c:pt>
                <c:pt idx="3">
                  <c:v>14215</c:v>
                </c:pt>
                <c:pt idx="4">
                  <c:v>16537</c:v>
                </c:pt>
                <c:pt idx="5">
                  <c:v>16917</c:v>
                </c:pt>
              </c:numCache>
            </c:numRef>
          </c:val>
          <c:smooth val="0"/>
        </c:ser>
        <c:dLbls>
          <c:showLegendKey val="0"/>
          <c:showVal val="0"/>
          <c:showCatName val="0"/>
          <c:showSerName val="0"/>
          <c:showPercent val="0"/>
          <c:showBubbleSize val="0"/>
        </c:dLbls>
        <c:marker val="1"/>
        <c:smooth val="0"/>
        <c:axId val="172861696"/>
        <c:axId val="172860160"/>
      </c:lineChart>
      <c:catAx>
        <c:axId val="172848640"/>
        <c:scaling>
          <c:orientation val="minMax"/>
        </c:scaling>
        <c:delete val="0"/>
        <c:axPos val="b"/>
        <c:numFmt formatCode="General" sourceLinked="1"/>
        <c:majorTickMark val="none"/>
        <c:minorTickMark val="none"/>
        <c:tickLblPos val="nextTo"/>
        <c:spPr>
          <a:ln>
            <a:noFill/>
          </a:ln>
        </c:spPr>
        <c:txPr>
          <a:bodyPr/>
          <a:lstStyle/>
          <a:p>
            <a:pPr>
              <a:defRPr b="1">
                <a:latin typeface="Times New Roman" panose="02020603050405020304" pitchFamily="18" charset="0"/>
                <a:cs typeface="Times New Roman" panose="02020603050405020304" pitchFamily="18" charset="0"/>
              </a:defRPr>
            </a:pPr>
            <a:endParaRPr lang="ru-RU"/>
          </a:p>
        </c:txPr>
        <c:crossAx val="172850176"/>
        <c:crosses val="autoZero"/>
        <c:auto val="1"/>
        <c:lblAlgn val="ctr"/>
        <c:lblOffset val="100"/>
        <c:noMultiLvlLbl val="0"/>
      </c:catAx>
      <c:valAx>
        <c:axId val="172850176"/>
        <c:scaling>
          <c:orientation val="minMax"/>
        </c:scaling>
        <c:delete val="0"/>
        <c:axPos val="l"/>
        <c:numFmt formatCode="General" sourceLinked="1"/>
        <c:majorTickMark val="none"/>
        <c:minorTickMark val="none"/>
        <c:tickLblPos val="nextTo"/>
        <c:spPr>
          <a:ln>
            <a:noFill/>
          </a:ln>
        </c:spPr>
        <c:txPr>
          <a:bodyPr/>
          <a:lstStyle/>
          <a:p>
            <a:pPr>
              <a:defRPr>
                <a:solidFill>
                  <a:schemeClr val="bg1"/>
                </a:solidFill>
              </a:defRPr>
            </a:pPr>
            <a:endParaRPr lang="ru-RU"/>
          </a:p>
        </c:txPr>
        <c:crossAx val="172848640"/>
        <c:crosses val="autoZero"/>
        <c:crossBetween val="between"/>
      </c:valAx>
      <c:valAx>
        <c:axId val="172860160"/>
        <c:scaling>
          <c:orientation val="minMax"/>
        </c:scaling>
        <c:delete val="0"/>
        <c:axPos val="r"/>
        <c:numFmt formatCode="General" sourceLinked="1"/>
        <c:majorTickMark val="out"/>
        <c:minorTickMark val="none"/>
        <c:tickLblPos val="nextTo"/>
        <c:spPr>
          <a:ln>
            <a:noFill/>
          </a:ln>
        </c:spPr>
        <c:txPr>
          <a:bodyPr/>
          <a:lstStyle/>
          <a:p>
            <a:pPr>
              <a:defRPr>
                <a:solidFill>
                  <a:schemeClr val="bg1"/>
                </a:solidFill>
              </a:defRPr>
            </a:pPr>
            <a:endParaRPr lang="ru-RU"/>
          </a:p>
        </c:txPr>
        <c:crossAx val="172861696"/>
        <c:crosses val="max"/>
        <c:crossBetween val="between"/>
      </c:valAx>
      <c:catAx>
        <c:axId val="172861696"/>
        <c:scaling>
          <c:orientation val="minMax"/>
        </c:scaling>
        <c:delete val="1"/>
        <c:axPos val="b"/>
        <c:numFmt formatCode="General" sourceLinked="1"/>
        <c:majorTickMark val="out"/>
        <c:minorTickMark val="none"/>
        <c:tickLblPos val="nextTo"/>
        <c:crossAx val="172860160"/>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22517970845164"/>
          <c:y val="0.12140193319208593"/>
          <c:w val="0.43645098645109925"/>
          <c:h val="0.81587705151313916"/>
        </c:manualLayout>
      </c:layout>
      <c:doughnutChart>
        <c:varyColors val="1"/>
        <c:ser>
          <c:idx val="0"/>
          <c:order val="0"/>
          <c:tx>
            <c:strRef>
              <c:f>Лист1!$B$1</c:f>
              <c:strCache>
                <c:ptCount val="1"/>
                <c:pt idx="0">
                  <c:v>По сумме сделок</c:v>
                </c:pt>
              </c:strCache>
            </c:strRef>
          </c:tx>
          <c:dLbls>
            <c:showLegendKey val="0"/>
            <c:showVal val="0"/>
            <c:showCatName val="0"/>
            <c:showSerName val="0"/>
            <c:showPercent val="1"/>
            <c:showBubbleSize val="0"/>
            <c:showLeaderLines val="1"/>
          </c:dLbls>
          <c:cat>
            <c:strRef>
              <c:f>Лист1!$A$2:$A$7</c:f>
              <c:strCache>
                <c:ptCount val="6"/>
                <c:pt idx="0">
                  <c:v>Транспорт</c:v>
                </c:pt>
                <c:pt idx="1">
                  <c:v>ТЭК</c:v>
                </c:pt>
                <c:pt idx="2">
                  <c:v>Сельское хозяйство</c:v>
                </c:pt>
                <c:pt idx="3">
                  <c:v>Строительство и девелопмент</c:v>
                </c:pt>
                <c:pt idx="4">
                  <c:v>СМИ</c:v>
                </c:pt>
                <c:pt idx="5">
                  <c:v>Другие</c:v>
                </c:pt>
              </c:strCache>
            </c:strRef>
          </c:cat>
          <c:val>
            <c:numRef>
              <c:f>Лист1!$B$2:$B$7</c:f>
              <c:numCache>
                <c:formatCode>0%</c:formatCode>
                <c:ptCount val="6"/>
                <c:pt idx="0">
                  <c:v>0.37</c:v>
                </c:pt>
                <c:pt idx="1">
                  <c:v>0.25</c:v>
                </c:pt>
                <c:pt idx="2">
                  <c:v>0.1</c:v>
                </c:pt>
                <c:pt idx="3">
                  <c:v>0.08</c:v>
                </c:pt>
                <c:pt idx="4">
                  <c:v>0.04</c:v>
                </c:pt>
                <c:pt idx="5">
                  <c:v>0.16</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50737496086436"/>
          <c:y val="0.18187233130934655"/>
          <c:w val="0.42300611665145321"/>
          <c:h val="0.72035912485109099"/>
        </c:manualLayout>
      </c:layout>
      <c:doughnutChart>
        <c:varyColors val="1"/>
        <c:ser>
          <c:idx val="0"/>
          <c:order val="0"/>
          <c:tx>
            <c:strRef>
              <c:f>Лист1!$B$1</c:f>
              <c:strCache>
                <c:ptCount val="1"/>
                <c:pt idx="0">
                  <c:v>По числу сделок</c:v>
                </c:pt>
              </c:strCache>
            </c:strRef>
          </c:tx>
          <c:dLbls>
            <c:showLegendKey val="0"/>
            <c:showVal val="0"/>
            <c:showCatName val="0"/>
            <c:showSerName val="0"/>
            <c:showPercent val="1"/>
            <c:showBubbleSize val="0"/>
            <c:showLeaderLines val="1"/>
          </c:dLbls>
          <c:cat>
            <c:strRef>
              <c:f>Лист1!$A$2:$A$8</c:f>
              <c:strCache>
                <c:ptCount val="7"/>
                <c:pt idx="0">
                  <c:v>Строительство и девелопмент</c:v>
                </c:pt>
                <c:pt idx="1">
                  <c:v>IT</c:v>
                </c:pt>
                <c:pt idx="2">
                  <c:v>Торговля</c:v>
                </c:pt>
                <c:pt idx="3">
                  <c:v>Услуги</c:v>
                </c:pt>
                <c:pt idx="4">
                  <c:v>Сельское хозяйство</c:v>
                </c:pt>
                <c:pt idx="5">
                  <c:v>Финансы</c:v>
                </c:pt>
                <c:pt idx="6">
                  <c:v>Другие</c:v>
                </c:pt>
              </c:strCache>
            </c:strRef>
          </c:cat>
          <c:val>
            <c:numRef>
              <c:f>Лист1!$B$2:$B$8</c:f>
              <c:numCache>
                <c:formatCode>0%</c:formatCode>
                <c:ptCount val="7"/>
                <c:pt idx="0">
                  <c:v>0.21</c:v>
                </c:pt>
                <c:pt idx="1">
                  <c:v>0.14000000000000001</c:v>
                </c:pt>
                <c:pt idx="2">
                  <c:v>0.1</c:v>
                </c:pt>
                <c:pt idx="3">
                  <c:v>0.1</c:v>
                </c:pt>
                <c:pt idx="4">
                  <c:v>0.08</c:v>
                </c:pt>
                <c:pt idx="5">
                  <c:v>0.08</c:v>
                </c:pt>
                <c:pt idx="6">
                  <c:v>0.28999999999999998</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04B9-C916-4FC8-B68D-A0EF7BD9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14071</Words>
  <Characters>80211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Маргарита Игоревна</dc:creator>
  <cp:lastModifiedBy>Бондаренко Маргарита Игоревна</cp:lastModifiedBy>
  <cp:revision>8</cp:revision>
  <dcterms:created xsi:type="dcterms:W3CDTF">2017-05-12T19:31:00Z</dcterms:created>
  <dcterms:modified xsi:type="dcterms:W3CDTF">2017-05-14T20:31:00Z</dcterms:modified>
</cp:coreProperties>
</file>