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spacing w:after="0"/>
        <w:jc w:val="center"/>
        <w:rPr>
          <w:rFonts w:cs="Times New Roman"/>
          <w:color w:val="000000"/>
          <w:szCs w:val="24"/>
          <w:lang w:val="en-US"/>
        </w:rPr>
      </w:pPr>
      <w:r>
        <w:rPr>
          <w:rFonts w:cs="Times New Roman"/>
          <w:color w:val="000000"/>
          <w:szCs w:val="24"/>
          <w:lang w:val="en-US"/>
        </w:rPr>
        <w:t>St. Petersburg University</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spacing w:after="0"/>
        <w:jc w:val="center"/>
        <w:rPr>
          <w:rFonts w:cs="Times New Roman"/>
          <w:color w:val="000000"/>
          <w:szCs w:val="24"/>
          <w:lang w:val="en-US"/>
        </w:rPr>
      </w:pPr>
      <w:r>
        <w:rPr>
          <w:rFonts w:cs="Times New Roman"/>
          <w:color w:val="000000"/>
          <w:szCs w:val="24"/>
          <w:lang w:val="en-US"/>
        </w:rPr>
        <w:t>Graduate School of Management</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spacing w:after="0"/>
        <w:jc w:val="center"/>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spacing w:after="0"/>
        <w:jc w:val="center"/>
        <w:rPr>
          <w:rFonts w:cs="Times New Roman"/>
          <w:color w:val="000000"/>
          <w:szCs w:val="24"/>
          <w:lang w:val="en-US"/>
        </w:rPr>
      </w:pPr>
      <w:r>
        <w:rPr>
          <w:rFonts w:cs="Times New Roman"/>
          <w:color w:val="000000"/>
          <w:szCs w:val="24"/>
          <w:lang w:val="en-US"/>
        </w:rPr>
        <w:t>Master in Corporate Finance</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096196" w:rsidP="00096196">
      <w:pPr>
        <w:pBdr>
          <w:top w:val="single" w:sz="4" w:space="0" w:color="auto"/>
          <w:left w:val="single" w:sz="4" w:space="4" w:color="auto"/>
          <w:bottom w:val="single" w:sz="4" w:space="1" w:color="auto"/>
          <w:right w:val="single" w:sz="4" w:space="4" w:color="auto"/>
        </w:pBdr>
        <w:tabs>
          <w:tab w:val="left" w:pos="6229"/>
        </w:tabs>
        <w:autoSpaceDE w:val="0"/>
        <w:autoSpaceDN w:val="0"/>
        <w:adjustRightInd w:val="0"/>
        <w:jc w:val="both"/>
        <w:rPr>
          <w:rFonts w:cs="Times New Roman"/>
          <w:color w:val="000000"/>
          <w:szCs w:val="24"/>
          <w:lang w:val="en-US"/>
        </w:rPr>
      </w:pPr>
      <w:r>
        <w:rPr>
          <w:rFonts w:cs="Times New Roman"/>
          <w:color w:val="000000"/>
          <w:szCs w:val="24"/>
          <w:lang w:val="en-US"/>
        </w:rPr>
        <w:tab/>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color w:val="000000"/>
          <w:szCs w:val="24"/>
          <w:lang w:val="en-US"/>
        </w:rPr>
      </w:pPr>
      <w:r>
        <w:rPr>
          <w:rFonts w:cs="Times New Roman"/>
          <w:color w:val="000000"/>
          <w:szCs w:val="24"/>
          <w:lang w:val="en-US"/>
        </w:rPr>
        <w:t xml:space="preserve"> </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b/>
          <w:color w:val="000000"/>
          <w:sz w:val="36"/>
          <w:szCs w:val="36"/>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b/>
          <w:color w:val="000000"/>
          <w:sz w:val="36"/>
          <w:szCs w:val="36"/>
          <w:lang w:val="en-US"/>
        </w:rPr>
      </w:pPr>
      <w:r>
        <w:rPr>
          <w:rFonts w:cs="Times New Roman"/>
          <w:b/>
          <w:color w:val="000000"/>
          <w:sz w:val="36"/>
          <w:szCs w:val="36"/>
          <w:lang w:val="en-US"/>
        </w:rPr>
        <w:t xml:space="preserve">LOGIC OF LBO-ANALYSIS: </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b/>
          <w:color w:val="000000"/>
          <w:sz w:val="36"/>
          <w:szCs w:val="36"/>
          <w:lang w:val="en-US"/>
        </w:rPr>
      </w:pPr>
      <w:r>
        <w:rPr>
          <w:rFonts w:cs="Times New Roman"/>
          <w:b/>
          <w:color w:val="000000"/>
          <w:sz w:val="36"/>
          <w:szCs w:val="36"/>
          <w:lang w:val="en-US"/>
        </w:rPr>
        <w:t>INTERNATIONAL EXPERIENCE</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color w:val="000000"/>
          <w:szCs w:val="24"/>
          <w:lang w:val="en-US"/>
        </w:rPr>
      </w:pPr>
      <w:r>
        <w:rPr>
          <w:rFonts w:cs="Times New Roman"/>
          <w:color w:val="000000"/>
          <w:szCs w:val="24"/>
          <w:lang w:val="en-US"/>
        </w:rPr>
        <w:t>Master’s Thesis by the 2</w:t>
      </w:r>
      <w:r>
        <w:rPr>
          <w:rFonts w:cs="Times New Roman"/>
          <w:color w:val="000000"/>
          <w:szCs w:val="24"/>
          <w:vertAlign w:val="superscript"/>
          <w:lang w:val="en-US"/>
        </w:rPr>
        <w:t>nd</w:t>
      </w:r>
      <w:r>
        <w:rPr>
          <w:rFonts w:cs="Times New Roman"/>
          <w:color w:val="000000"/>
          <w:szCs w:val="24"/>
          <w:lang w:val="en-US"/>
        </w:rPr>
        <w:t xml:space="preserve"> year student</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color w:val="000000"/>
          <w:szCs w:val="24"/>
          <w:lang w:val="en-US"/>
        </w:rPr>
      </w:pPr>
      <w:r>
        <w:rPr>
          <w:rFonts w:cs="Times New Roman"/>
          <w:color w:val="000000"/>
          <w:szCs w:val="24"/>
          <w:lang w:val="en-US"/>
        </w:rPr>
        <w:t xml:space="preserve">Master in Corporate Finance </w:t>
      </w:r>
    </w:p>
    <w:p w:rsidR="00CB3BBF" w:rsidRPr="00471B2A"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b/>
          <w:color w:val="000000"/>
          <w:szCs w:val="24"/>
          <w:lang w:val="en-US"/>
        </w:rPr>
      </w:pPr>
      <w:r w:rsidRPr="00471B2A">
        <w:rPr>
          <w:rFonts w:cs="Times New Roman"/>
          <w:b/>
          <w:color w:val="000000"/>
          <w:szCs w:val="24"/>
          <w:lang w:val="en-US"/>
        </w:rPr>
        <w:t>Monika Sarkisian</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color w:val="000000"/>
          <w:szCs w:val="24"/>
          <w:lang w:val="en-US"/>
        </w:rPr>
      </w:pPr>
      <w:r>
        <w:rPr>
          <w:rFonts w:cs="Times New Roman"/>
          <w:color w:val="000000"/>
          <w:szCs w:val="24"/>
          <w:lang w:val="en-US"/>
        </w:rPr>
        <w:t>Research advisor:</w:t>
      </w:r>
    </w:p>
    <w:p w:rsidR="00CB3BBF" w:rsidRPr="00471B2A"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ind w:firstLine="4500"/>
        <w:jc w:val="both"/>
        <w:rPr>
          <w:rFonts w:cs="Times New Roman"/>
          <w:b/>
          <w:color w:val="000000"/>
          <w:szCs w:val="24"/>
          <w:lang w:val="en-US"/>
        </w:rPr>
      </w:pPr>
      <w:r w:rsidRPr="00471B2A">
        <w:rPr>
          <w:rFonts w:cs="Times New Roman"/>
          <w:b/>
          <w:color w:val="000000"/>
          <w:szCs w:val="24"/>
          <w:lang w:val="en-US"/>
        </w:rPr>
        <w:t>Professor, Bukhvalov A.V.</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both"/>
        <w:rPr>
          <w:rFonts w:cs="Times New Roman"/>
          <w:color w:val="000000"/>
          <w:szCs w:val="24"/>
          <w:lang w:val="en-US"/>
        </w:rPr>
      </w:pP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color w:val="000000"/>
          <w:szCs w:val="24"/>
        </w:rPr>
      </w:pPr>
      <w:r>
        <w:rPr>
          <w:rFonts w:cs="Times New Roman"/>
          <w:color w:val="000000"/>
          <w:szCs w:val="24"/>
          <w:lang w:val="en-US"/>
        </w:rPr>
        <w:t>St</w:t>
      </w:r>
      <w:r>
        <w:rPr>
          <w:rFonts w:cs="Times New Roman"/>
          <w:color w:val="000000"/>
          <w:szCs w:val="24"/>
        </w:rPr>
        <w:t xml:space="preserve">. </w:t>
      </w:r>
      <w:r>
        <w:rPr>
          <w:rFonts w:cs="Times New Roman"/>
          <w:color w:val="000000"/>
          <w:szCs w:val="24"/>
          <w:lang w:val="en-US"/>
        </w:rPr>
        <w:t>Petersburg</w:t>
      </w:r>
    </w:p>
    <w:p w:rsidR="00CB3BBF" w:rsidRDefault="00CB3BBF" w:rsidP="00CB3BBF">
      <w:pPr>
        <w:pBdr>
          <w:top w:val="single" w:sz="4" w:space="0" w:color="auto"/>
          <w:left w:val="single" w:sz="4" w:space="4" w:color="auto"/>
          <w:bottom w:val="single" w:sz="4" w:space="1" w:color="auto"/>
          <w:right w:val="single" w:sz="4" w:space="4" w:color="auto"/>
        </w:pBdr>
        <w:autoSpaceDE w:val="0"/>
        <w:autoSpaceDN w:val="0"/>
        <w:adjustRightInd w:val="0"/>
        <w:jc w:val="center"/>
        <w:rPr>
          <w:rFonts w:cs="Times New Roman"/>
          <w:color w:val="000000"/>
          <w:szCs w:val="24"/>
        </w:rPr>
      </w:pPr>
      <w:r>
        <w:rPr>
          <w:rFonts w:cs="Times New Roman"/>
          <w:color w:val="000000"/>
          <w:szCs w:val="24"/>
        </w:rPr>
        <w:t>2017</w:t>
      </w:r>
    </w:p>
    <w:p w:rsidR="00912CA1" w:rsidRDefault="00912CA1" w:rsidP="00912CA1">
      <w:pPr>
        <w:pStyle w:val="a3"/>
        <w:tabs>
          <w:tab w:val="left" w:pos="720"/>
        </w:tabs>
        <w:spacing w:after="0" w:line="360" w:lineRule="auto"/>
        <w:ind w:left="0"/>
        <w:jc w:val="center"/>
        <w:rPr>
          <w:rFonts w:ascii="Times New Roman" w:hAnsi="Times New Roman"/>
          <w:szCs w:val="24"/>
          <w:lang w:val="ru-RU"/>
        </w:rPr>
      </w:pPr>
      <w:r>
        <w:rPr>
          <w:noProof/>
          <w:lang w:val="ru-RU" w:eastAsia="ru-RU"/>
        </w:rPr>
        <w:lastRenderedPageBreak/>
        <w:drawing>
          <wp:inline distT="0" distB="0" distL="0" distR="0" wp14:anchorId="35319B2D" wp14:editId="6895FCF5">
            <wp:extent cx="5901069" cy="5331667"/>
            <wp:effectExtent l="0" t="0" r="444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0998" cy="5340638"/>
                    </a:xfrm>
                    <a:prstGeom prst="rect">
                      <a:avLst/>
                    </a:prstGeom>
                  </pic:spPr>
                </pic:pic>
              </a:graphicData>
            </a:graphic>
          </wp:inline>
        </w:drawing>
      </w: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CB3BBF" w:rsidRDefault="00CB3BBF" w:rsidP="00CB3BBF">
      <w:pPr>
        <w:jc w:val="both"/>
        <w:rPr>
          <w:rFonts w:cs="Times New Roman"/>
          <w:lang w:val="en-US"/>
        </w:rPr>
      </w:pPr>
    </w:p>
    <w:p w:rsidR="00912CA1" w:rsidRDefault="00912CA1" w:rsidP="00912CA1">
      <w:pPr>
        <w:pStyle w:val="a3"/>
        <w:spacing w:after="0" w:line="360" w:lineRule="auto"/>
        <w:ind w:left="0"/>
        <w:jc w:val="center"/>
        <w:rPr>
          <w:rFonts w:ascii="Times New Roman" w:hAnsi="Times New Roman"/>
          <w:szCs w:val="24"/>
        </w:rPr>
      </w:pPr>
      <w:r>
        <w:rPr>
          <w:noProof/>
          <w:lang w:val="ru-RU" w:eastAsia="ru-RU"/>
        </w:rPr>
        <w:lastRenderedPageBreak/>
        <w:drawing>
          <wp:inline distT="0" distB="0" distL="0" distR="0" wp14:anchorId="55E1FAE1" wp14:editId="4B1F3344">
            <wp:extent cx="5954232" cy="4729901"/>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5273" cy="4746615"/>
                    </a:xfrm>
                    <a:prstGeom prst="rect">
                      <a:avLst/>
                    </a:prstGeom>
                  </pic:spPr>
                </pic:pic>
              </a:graphicData>
            </a:graphic>
          </wp:inline>
        </w:drawing>
      </w:r>
    </w:p>
    <w:p w:rsidR="00CB3BBF" w:rsidRDefault="00CB3BBF" w:rsidP="00CB3BBF">
      <w:pPr>
        <w:jc w:val="both"/>
        <w:rPr>
          <w:rFonts w:cs="Times New Roman"/>
          <w:lang w:val="en-US"/>
        </w:rPr>
      </w:pPr>
    </w:p>
    <w:p w:rsidR="00CB3BBF" w:rsidRDefault="00CB3BBF" w:rsidP="00CB3BBF">
      <w:pPr>
        <w:rPr>
          <w:rFonts w:eastAsia="Calibri" w:cs="Times New Roman"/>
          <w:lang w:val="en-US"/>
        </w:rPr>
      </w:pPr>
      <w:r>
        <w:rPr>
          <w:rFonts w:cs="Times New Roman"/>
          <w:lang w:val="en-US"/>
        </w:rPr>
        <w:br w:type="page"/>
      </w:r>
    </w:p>
    <w:p w:rsidR="00CB3BBF" w:rsidRDefault="00CB3BBF" w:rsidP="00CB3BBF">
      <w:pPr>
        <w:spacing w:before="120" w:after="120"/>
        <w:jc w:val="center"/>
        <w:rPr>
          <w:rFonts w:cs="Times New Roman"/>
          <w:b/>
        </w:rPr>
      </w:pPr>
      <w:r>
        <w:rPr>
          <w:rFonts w:cs="Times New Roman"/>
          <w:b/>
        </w:rPr>
        <w:lastRenderedPageBreak/>
        <w:t>АННОТАЦИЯ</w:t>
      </w:r>
    </w:p>
    <w:tbl>
      <w:tblPr>
        <w:tblW w:w="0" w:type="auto"/>
        <w:tblLook w:val="04A0" w:firstRow="1" w:lastRow="0" w:firstColumn="1" w:lastColumn="0" w:noHBand="0" w:noVBand="1"/>
      </w:tblPr>
      <w:tblGrid>
        <w:gridCol w:w="2402"/>
        <w:gridCol w:w="6942"/>
      </w:tblGrid>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Автор</w:t>
            </w:r>
          </w:p>
        </w:tc>
        <w:tc>
          <w:tcPr>
            <w:tcW w:w="6943"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 xml:space="preserve">Саркисян Моника Мурадовна </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Название магистерской диссертации</w:t>
            </w:r>
          </w:p>
        </w:tc>
        <w:tc>
          <w:tcPr>
            <w:tcW w:w="6943" w:type="dxa"/>
            <w:tcBorders>
              <w:top w:val="single" w:sz="4" w:space="0" w:color="auto"/>
              <w:left w:val="single" w:sz="4" w:space="0" w:color="auto"/>
              <w:bottom w:val="single" w:sz="4" w:space="0" w:color="auto"/>
              <w:right w:val="single" w:sz="4" w:space="0" w:color="auto"/>
            </w:tcBorders>
            <w:vAlign w:val="center"/>
            <w:hideMark/>
          </w:tcPr>
          <w:p w:rsidR="00CB3BBF" w:rsidRDefault="00CB3BBF">
            <w:pPr>
              <w:spacing w:before="120" w:line="240" w:lineRule="auto"/>
            </w:pPr>
            <w:r>
              <w:t>«Логика ЛБО-анализа: международный опыт»</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Факультет</w:t>
            </w:r>
          </w:p>
        </w:tc>
        <w:tc>
          <w:tcPr>
            <w:tcW w:w="6943"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Высшая Школа Менеджмента</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Направление подготовки</w:t>
            </w:r>
          </w:p>
        </w:tc>
        <w:tc>
          <w:tcPr>
            <w:tcW w:w="6943"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080200 “Менеджмент” (Профиль: Корпоративные финансы)</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Год</w:t>
            </w:r>
          </w:p>
        </w:tc>
        <w:tc>
          <w:tcPr>
            <w:tcW w:w="6943"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2017</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Научный руководитель</w:t>
            </w:r>
          </w:p>
        </w:tc>
        <w:tc>
          <w:tcPr>
            <w:tcW w:w="6943"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Бухвалов А.В.</w:t>
            </w:r>
          </w:p>
        </w:tc>
      </w:tr>
      <w:tr w:rsidR="00CB3BBF" w:rsidTr="00CB3BBF">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Описание цели, задач и основных результатов</w:t>
            </w:r>
          </w:p>
        </w:tc>
        <w:tc>
          <w:tcPr>
            <w:tcW w:w="6943" w:type="dxa"/>
            <w:tcBorders>
              <w:top w:val="single" w:sz="4" w:space="0" w:color="auto"/>
              <w:left w:val="single" w:sz="4" w:space="0" w:color="auto"/>
              <w:bottom w:val="single" w:sz="4" w:space="0" w:color="auto"/>
              <w:right w:val="single" w:sz="4" w:space="0" w:color="auto"/>
            </w:tcBorders>
          </w:tcPr>
          <w:p w:rsidR="00CB3BBF" w:rsidRDefault="00E7335F" w:rsidP="00BA1FE5">
            <w:pPr>
              <w:pStyle w:val="a5"/>
              <w:jc w:val="both"/>
            </w:pPr>
            <w:r>
              <w:t xml:space="preserve">   В связи с повышенным вниманием к проведению ЛБО, а также важностью ЛБО-анализа в сделках данного типа, </w:t>
            </w:r>
            <w:r w:rsidRPr="00E7335F">
              <w:t>существует множество академической и деловой литературы, посвященно</w:t>
            </w:r>
            <w:r w:rsidR="00BA1FE5">
              <w:t>й анализу различных аспектов ЛБО и ЛБО</w:t>
            </w:r>
            <w:r w:rsidR="00005809">
              <w:t>-анализа</w:t>
            </w:r>
            <w:r w:rsidRPr="00E7335F">
              <w:t>. Однако</w:t>
            </w:r>
            <w:r>
              <w:t>,</w:t>
            </w:r>
            <w:r w:rsidRPr="00E7335F">
              <w:t xml:space="preserve"> </w:t>
            </w:r>
            <w:r w:rsidR="00BA1FE5">
              <w:t>вся литература</w:t>
            </w:r>
            <w:r w:rsidRPr="00E7335F">
              <w:t xml:space="preserve"> в основном сосредоточена на анализе п</w:t>
            </w:r>
            <w:r>
              <w:t xml:space="preserve">озитивных экономических моделей, в то время </w:t>
            </w:r>
            <w:r w:rsidR="00005809">
              <w:t>изучение</w:t>
            </w:r>
            <w:r w:rsidRPr="00E7335F">
              <w:t xml:space="preserve"> нормативных моделей </w:t>
            </w:r>
            <w:r>
              <w:t xml:space="preserve">также </w:t>
            </w:r>
            <w:r w:rsidRPr="00E7335F">
              <w:t>представляет большой интерес</w:t>
            </w:r>
            <w:r>
              <w:t xml:space="preserve"> с точки зрения </w:t>
            </w:r>
            <w:r w:rsidRPr="00E7335F">
              <w:t>всех участников LBO</w:t>
            </w:r>
            <w:r>
              <w:t>-сделки</w:t>
            </w:r>
            <w:r w:rsidRPr="00E7335F">
              <w:t xml:space="preserve">. Таким образом, существует явный </w:t>
            </w:r>
            <w:r>
              <w:t>пробел</w:t>
            </w:r>
            <w:r w:rsidRPr="00E7335F">
              <w:t xml:space="preserve">, связанный с </w:t>
            </w:r>
            <w:r w:rsidR="00BA1FE5">
              <w:t>нехваткой анализа нормативных моделей на тему ЛБО. В данной</w:t>
            </w:r>
            <w:r w:rsidRPr="00E7335F">
              <w:t xml:space="preserve"> работе делается попытка заполнить этот пробел, </w:t>
            </w:r>
            <w:r>
              <w:t>путем построения</w:t>
            </w:r>
            <w:r w:rsidRPr="00E7335F">
              <w:t xml:space="preserve"> алгоритм</w:t>
            </w:r>
            <w:r>
              <w:t>а</w:t>
            </w:r>
            <w:r w:rsidRPr="00E7335F">
              <w:t xml:space="preserve"> LBO-анализа на основе позитивного сценария развития отрасли и прогнозов </w:t>
            </w:r>
            <w:r w:rsidR="00005809">
              <w:t>развития</w:t>
            </w:r>
            <w:r w:rsidRPr="00E7335F">
              <w:t xml:space="preserve"> компании.</w:t>
            </w:r>
          </w:p>
          <w:p w:rsidR="00BA1FE5" w:rsidRDefault="00BA1FE5" w:rsidP="00BA1FE5">
            <w:pPr>
              <w:pStyle w:val="a5"/>
              <w:jc w:val="both"/>
            </w:pPr>
            <w:r>
              <w:t xml:space="preserve">   Целью данной магистерской диссертации является создание инструмента </w:t>
            </w:r>
            <w:r w:rsidR="00005809">
              <w:t>ЛБО</w:t>
            </w:r>
            <w:r>
              <w:t xml:space="preserve">-анализа, для выбора ЛБО-мишени и последующего завершения ее ЛБО-анализа. </w:t>
            </w:r>
          </w:p>
          <w:p w:rsidR="00BA1FE5" w:rsidRDefault="00BA1FE5" w:rsidP="00BA1FE5">
            <w:pPr>
              <w:pStyle w:val="a5"/>
              <w:jc w:val="both"/>
            </w:pPr>
            <w:r>
              <w:t xml:space="preserve">    Работа дает комплексное представление о процессе ЛБО-анализа.     С одной стороны, она будет полезна для инвесторов, поскольку предложенный инструмент обеспечивает интегральный подход анализа и принимает во внимание основные задачи инвестора. С другой стороны, она будет полезна для новичков, желающих войти в инвестиционно-банковскую сферу или сферу прямых инвестиций </w:t>
            </w:r>
            <w:r w:rsidR="00005809">
              <w:t>и служить</w:t>
            </w:r>
            <w:r>
              <w:t xml:space="preserve"> вводным образовательным инструментом в их попытке освоить технику ЛБО-анализа.</w:t>
            </w:r>
          </w:p>
          <w:p w:rsidR="00BA1FE5" w:rsidRDefault="00005809" w:rsidP="00BA1FE5">
            <w:pPr>
              <w:pStyle w:val="a5"/>
              <w:jc w:val="both"/>
            </w:pPr>
            <w:r>
              <w:t xml:space="preserve">   </w:t>
            </w:r>
            <w:r w:rsidR="00BA1FE5">
              <w:t>Международный опыт LBO-анализа выражается в предложенном алгоритме, который объединяет лучшие практики анализа, используемые ведущими международными инвестиционными банками.</w:t>
            </w:r>
          </w:p>
          <w:p w:rsidR="00BA1FE5" w:rsidRDefault="00BA1FE5" w:rsidP="00BA1FE5">
            <w:pPr>
              <w:spacing w:line="240" w:lineRule="auto"/>
              <w:jc w:val="both"/>
            </w:pPr>
          </w:p>
        </w:tc>
      </w:tr>
      <w:tr w:rsidR="00CB3BBF" w:rsidTr="00CB3BBF">
        <w:trPr>
          <w:trHeight w:val="365"/>
        </w:trPr>
        <w:tc>
          <w:tcPr>
            <w:tcW w:w="2402"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Ключевые слова</w:t>
            </w:r>
          </w:p>
        </w:tc>
        <w:tc>
          <w:tcPr>
            <w:tcW w:w="6943" w:type="dxa"/>
            <w:tcBorders>
              <w:top w:val="single" w:sz="4" w:space="0" w:color="auto"/>
              <w:left w:val="single" w:sz="4" w:space="0" w:color="auto"/>
              <w:bottom w:val="single" w:sz="4" w:space="0" w:color="auto"/>
              <w:right w:val="single" w:sz="4" w:space="0" w:color="auto"/>
            </w:tcBorders>
          </w:tcPr>
          <w:p w:rsidR="00CB3BBF" w:rsidRPr="00E7335F" w:rsidRDefault="00E7335F">
            <w:pPr>
              <w:spacing w:before="120" w:line="240" w:lineRule="auto"/>
            </w:pPr>
            <w:r>
              <w:t>ЛБО, ЛБО-анализ, ЛБО-модель, выкуп долговым финансированием</w:t>
            </w:r>
          </w:p>
        </w:tc>
      </w:tr>
    </w:tbl>
    <w:p w:rsidR="00CB3BBF" w:rsidRDefault="00CB3BBF" w:rsidP="00CB3BBF">
      <w:pPr>
        <w:spacing w:after="120"/>
        <w:jc w:val="center"/>
        <w:rPr>
          <w:rFonts w:eastAsia="MS Mincho" w:cs="Times New Roman"/>
          <w:b/>
        </w:rPr>
      </w:pPr>
      <w:r>
        <w:rPr>
          <w:rFonts w:eastAsia="MS Mincho" w:cs="Times New Roman"/>
          <w:b/>
        </w:rPr>
        <w:br w:type="page"/>
      </w:r>
      <w:r>
        <w:rPr>
          <w:rFonts w:eastAsia="MS Mincho" w:cs="Times New Roman"/>
          <w:b/>
        </w:rPr>
        <w:lastRenderedPageBreak/>
        <w:t>ABSTRACT</w:t>
      </w:r>
    </w:p>
    <w:tbl>
      <w:tblPr>
        <w:tblW w:w="0" w:type="auto"/>
        <w:tblLook w:val="04A0" w:firstRow="1" w:lastRow="0" w:firstColumn="1" w:lastColumn="0" w:noHBand="0" w:noVBand="1"/>
      </w:tblPr>
      <w:tblGrid>
        <w:gridCol w:w="2504"/>
        <w:gridCol w:w="6840"/>
      </w:tblGrid>
      <w:tr w:rsidR="00CB3BBF" w:rsidTr="00CB3BBF">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Master Student's Name</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rPr>
                <w:lang w:val="en-US"/>
              </w:rPr>
            </w:pPr>
            <w:r>
              <w:rPr>
                <w:lang w:val="en-US"/>
              </w:rPr>
              <w:t xml:space="preserve">Sarkisian Monika </w:t>
            </w:r>
          </w:p>
        </w:tc>
      </w:tr>
      <w:tr w:rsidR="00CB3BBF" w:rsidRPr="00FC5765" w:rsidTr="00CB3BBF">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Master Thesis Title</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7C3FA8">
            <w:pPr>
              <w:spacing w:before="120" w:line="240" w:lineRule="auto"/>
              <w:rPr>
                <w:lang w:val="en-US"/>
              </w:rPr>
            </w:pPr>
            <w:r>
              <w:rPr>
                <w:lang w:val="en-US"/>
              </w:rPr>
              <w:t>«Logic Of LBO-analysis: International E</w:t>
            </w:r>
            <w:r w:rsidR="00CB3BBF">
              <w:rPr>
                <w:lang w:val="en-US"/>
              </w:rPr>
              <w:t>xperience»</w:t>
            </w:r>
          </w:p>
        </w:tc>
      </w:tr>
      <w:tr w:rsidR="00CB3BBF" w:rsidTr="00CB3BBF">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Faculty</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 xml:space="preserve">Graduate School of Management </w:t>
            </w:r>
          </w:p>
        </w:tc>
      </w:tr>
      <w:tr w:rsidR="00CB3BBF" w:rsidRPr="00FC5765" w:rsidTr="00E7335F">
        <w:trPr>
          <w:trHeight w:val="415"/>
        </w:trPr>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Main field of study</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rPr>
                <w:lang w:val="en-US"/>
              </w:rPr>
            </w:pPr>
            <w:r>
              <w:rPr>
                <w:rFonts w:eastAsia="MS Mincho"/>
                <w:lang w:val="en-US"/>
              </w:rPr>
              <w:t>080200 “Management” (specialization: Master of Corporate Finance)</w:t>
            </w:r>
          </w:p>
        </w:tc>
      </w:tr>
      <w:tr w:rsidR="00CB3BBF" w:rsidTr="00CB3BBF">
        <w:trPr>
          <w:trHeight w:val="561"/>
        </w:trPr>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Year</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2017</w:t>
            </w:r>
          </w:p>
        </w:tc>
      </w:tr>
      <w:tr w:rsidR="00CB3BBF" w:rsidTr="00CB3BBF">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rPr>
                <w:rFonts w:eastAsia="MS Mincho"/>
              </w:rPr>
              <w:t>Academic Advisor’s Name</w:t>
            </w:r>
          </w:p>
        </w:tc>
        <w:tc>
          <w:tcPr>
            <w:tcW w:w="6841"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rPr>
                <w:lang w:val="en-US"/>
              </w:rPr>
            </w:pPr>
            <w:r>
              <w:rPr>
                <w:lang w:val="en-US"/>
              </w:rPr>
              <w:t>Bukhvalov A.V.</w:t>
            </w:r>
          </w:p>
        </w:tc>
      </w:tr>
      <w:tr w:rsidR="00CB3BBF" w:rsidRPr="00FC5765" w:rsidTr="00CB3BBF">
        <w:trPr>
          <w:trHeight w:val="6528"/>
        </w:trPr>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rPr>
                <w:lang w:val="en-US"/>
              </w:rPr>
            </w:pPr>
            <w:r>
              <w:rPr>
                <w:lang w:val="en-US"/>
              </w:rPr>
              <w:t>Description of the goal, task and main results</w:t>
            </w:r>
          </w:p>
        </w:tc>
        <w:tc>
          <w:tcPr>
            <w:tcW w:w="6841" w:type="dxa"/>
            <w:tcBorders>
              <w:top w:val="single" w:sz="4" w:space="0" w:color="auto"/>
              <w:left w:val="single" w:sz="4" w:space="0" w:color="auto"/>
              <w:bottom w:val="single" w:sz="4" w:space="0" w:color="auto"/>
              <w:right w:val="single" w:sz="4" w:space="0" w:color="auto"/>
            </w:tcBorders>
          </w:tcPr>
          <w:p w:rsidR="00E7335F" w:rsidRDefault="00E7335F" w:rsidP="00E16C3A">
            <w:pPr>
              <w:pStyle w:val="a5"/>
              <w:jc w:val="both"/>
              <w:rPr>
                <w:lang w:val="en-US"/>
              </w:rPr>
            </w:pPr>
            <w:r>
              <w:rPr>
                <w:lang w:val="en-US"/>
              </w:rPr>
              <w:t xml:space="preserve">   </w:t>
            </w:r>
            <w:r w:rsidR="00E16C3A" w:rsidRPr="00E16C3A">
              <w:rPr>
                <w:lang w:val="en-US"/>
              </w:rPr>
              <w:t xml:space="preserve">Given the current popularity of LBOs and importance of LBO-analysis in these types of transactions, there is a plenty of academic and business literature devoted to analyzing and describing different aspects of LBOs and LBO-analysis. However, academic literature is mostly concentrated on building and analyzing positive economic models. Yet, building and analyzing normative models presents a great matter of interest </w:t>
            </w:r>
            <w:r>
              <w:rPr>
                <w:lang w:val="en-US"/>
              </w:rPr>
              <w:t xml:space="preserve">as well </w:t>
            </w:r>
            <w:r w:rsidR="00E16C3A" w:rsidRPr="00E16C3A">
              <w:rPr>
                <w:lang w:val="en-US"/>
              </w:rPr>
              <w:t>from the point of all</w:t>
            </w:r>
            <w:r>
              <w:rPr>
                <w:lang w:val="en-US"/>
              </w:rPr>
              <w:t xml:space="preserve"> LBO transaction participants. </w:t>
            </w:r>
            <w:r w:rsidR="00E16C3A" w:rsidRPr="00E16C3A">
              <w:rPr>
                <w:lang w:val="en-US"/>
              </w:rPr>
              <w:t>At the same time, information presented in busi</w:t>
            </w:r>
            <w:r>
              <w:rPr>
                <w:lang w:val="en-US"/>
              </w:rPr>
              <w:t xml:space="preserve">ness literature is very limited due to confidentiality: LBO-analysis tools presented there are either simple or flawed. </w:t>
            </w:r>
            <w:r w:rsidR="00E16C3A" w:rsidRPr="00E16C3A">
              <w:rPr>
                <w:lang w:val="en-US"/>
              </w:rPr>
              <w:t xml:space="preserve"> Therefore, there is a clear gap in both academic and business literature, connected with lack of normative models related to LBO. In this work, there </w:t>
            </w:r>
            <w:proofErr w:type="gramStart"/>
            <w:r w:rsidR="00E16C3A" w:rsidRPr="00E16C3A">
              <w:rPr>
                <w:lang w:val="en-US"/>
              </w:rPr>
              <w:t>is done</w:t>
            </w:r>
            <w:proofErr w:type="gramEnd"/>
            <w:r w:rsidR="00E16C3A" w:rsidRPr="00E16C3A">
              <w:rPr>
                <w:lang w:val="en-US"/>
              </w:rPr>
              <w:t xml:space="preserve"> an attempt to fill this gap by building an LBO-analysis algorithm based on positive scenario of industry development and performance fo</w:t>
            </w:r>
            <w:r>
              <w:rPr>
                <w:lang w:val="en-US"/>
              </w:rPr>
              <w:t xml:space="preserve">recasts of the target company. </w:t>
            </w:r>
          </w:p>
          <w:p w:rsidR="00E16C3A" w:rsidRPr="00E16C3A" w:rsidRDefault="00E7335F" w:rsidP="00E16C3A">
            <w:pPr>
              <w:pStyle w:val="a5"/>
              <w:jc w:val="both"/>
              <w:rPr>
                <w:lang w:val="en-US"/>
              </w:rPr>
            </w:pPr>
            <w:r>
              <w:rPr>
                <w:lang w:val="en-US"/>
              </w:rPr>
              <w:t xml:space="preserve">   </w:t>
            </w:r>
            <w:r w:rsidR="00E16C3A" w:rsidRPr="00E16C3A">
              <w:rPr>
                <w:lang w:val="en-US"/>
              </w:rPr>
              <w:t>The goal of this master thesis is to build an LBO-analysis tool aiming to choose an LBO-target and furt</w:t>
            </w:r>
            <w:r>
              <w:rPr>
                <w:lang w:val="en-US"/>
              </w:rPr>
              <w:t xml:space="preserve">her complete its LBO-analysis. </w:t>
            </w:r>
            <w:r w:rsidR="00E16C3A" w:rsidRPr="00E16C3A">
              <w:rPr>
                <w:lang w:val="en-US"/>
              </w:rPr>
              <w:t>To achieve this goal, the following objectives were set:</w:t>
            </w:r>
          </w:p>
          <w:p w:rsidR="00E16C3A" w:rsidRPr="00E16C3A" w:rsidRDefault="00E7335F" w:rsidP="00E16C3A">
            <w:pPr>
              <w:pStyle w:val="a5"/>
              <w:jc w:val="both"/>
              <w:rPr>
                <w:lang w:val="en-US"/>
              </w:rPr>
            </w:pPr>
            <w:proofErr w:type="gramStart"/>
            <w:r>
              <w:rPr>
                <w:lang w:val="en-US"/>
              </w:rPr>
              <w:t>s</w:t>
            </w:r>
            <w:r w:rsidR="00E16C3A" w:rsidRPr="00E16C3A">
              <w:rPr>
                <w:lang w:val="en-US"/>
              </w:rPr>
              <w:t>tudy</w:t>
            </w:r>
            <w:proofErr w:type="gramEnd"/>
            <w:r w:rsidR="00E16C3A" w:rsidRPr="00E16C3A">
              <w:rPr>
                <w:lang w:val="en-US"/>
              </w:rPr>
              <w:t xml:space="preserve"> theoretical </w:t>
            </w:r>
            <w:r>
              <w:rPr>
                <w:lang w:val="en-US"/>
              </w:rPr>
              <w:t>aspects of the levered buyouts; s</w:t>
            </w:r>
            <w:r w:rsidR="00E16C3A" w:rsidRPr="00E16C3A">
              <w:rPr>
                <w:lang w:val="en-US"/>
              </w:rPr>
              <w:t>tudy theor</w:t>
            </w:r>
            <w:r>
              <w:rPr>
                <w:lang w:val="en-US"/>
              </w:rPr>
              <w:t>etical aspects of LBO-analysis, build an LBO-analysis tool; a</w:t>
            </w:r>
            <w:r w:rsidR="00E16C3A" w:rsidRPr="00E16C3A">
              <w:rPr>
                <w:lang w:val="en-US"/>
              </w:rPr>
              <w:t xml:space="preserve">pply this tool on a real company. </w:t>
            </w:r>
          </w:p>
          <w:p w:rsidR="00E16C3A" w:rsidRPr="00E16C3A" w:rsidRDefault="00E7335F" w:rsidP="00E16C3A">
            <w:pPr>
              <w:pStyle w:val="a5"/>
              <w:jc w:val="both"/>
              <w:rPr>
                <w:lang w:val="en-US"/>
              </w:rPr>
            </w:pPr>
            <w:r>
              <w:rPr>
                <w:lang w:val="en-US"/>
              </w:rPr>
              <w:t xml:space="preserve">    </w:t>
            </w:r>
            <w:r w:rsidR="00E16C3A" w:rsidRPr="00E16C3A">
              <w:rPr>
                <w:lang w:val="en-US"/>
              </w:rPr>
              <w:t xml:space="preserve">This paper will give a firsthand perspective and understanding of how the LBO-analysis process works. On the one hand, it will be useful for investors, conducting LBO-analysis, as it will provide an integral approach in analysis by addressing their main prior LBO objectives at once: choosing an LBO-target and evaluating the target. On the other hand, it will be useful for a novice wanting to get enter the investment banking or private equity field. The work may serve as an introductory educational tool in their attempt to   create their own analyses. </w:t>
            </w:r>
          </w:p>
          <w:p w:rsidR="00CB3BBF" w:rsidRDefault="00E16C3A" w:rsidP="00E16C3A">
            <w:pPr>
              <w:pStyle w:val="a5"/>
              <w:jc w:val="both"/>
              <w:rPr>
                <w:lang w:val="en-US"/>
              </w:rPr>
            </w:pPr>
            <w:r w:rsidRPr="00E16C3A">
              <w:rPr>
                <w:lang w:val="en-US"/>
              </w:rPr>
              <w:t xml:space="preserve">The </w:t>
            </w:r>
            <w:proofErr w:type="gramStart"/>
            <w:r w:rsidRPr="00E16C3A">
              <w:rPr>
                <w:lang w:val="en-US"/>
              </w:rPr>
              <w:t>international experience of the LBO-analysis is expressed by the algorithm used to perform</w:t>
            </w:r>
            <w:proofErr w:type="gramEnd"/>
            <w:r w:rsidRPr="00E16C3A">
              <w:rPr>
                <w:lang w:val="en-US"/>
              </w:rPr>
              <w:t xml:space="preserve"> the LBO-analysis. In fact, the work integrates the best practices used by the leading international investments banks in one entity.</w:t>
            </w:r>
          </w:p>
        </w:tc>
      </w:tr>
      <w:tr w:rsidR="00CB3BBF" w:rsidRPr="00FC5765" w:rsidTr="00CB3BBF">
        <w:tc>
          <w:tcPr>
            <w:tcW w:w="2504" w:type="dxa"/>
            <w:tcBorders>
              <w:top w:val="single" w:sz="4" w:space="0" w:color="auto"/>
              <w:left w:val="single" w:sz="4" w:space="0" w:color="auto"/>
              <w:bottom w:val="single" w:sz="4" w:space="0" w:color="auto"/>
              <w:right w:val="single" w:sz="4" w:space="0" w:color="auto"/>
            </w:tcBorders>
            <w:hideMark/>
          </w:tcPr>
          <w:p w:rsidR="00CB3BBF" w:rsidRDefault="00CB3BBF">
            <w:pPr>
              <w:spacing w:before="120" w:line="240" w:lineRule="auto"/>
            </w:pPr>
            <w:r>
              <w:t>Keywords</w:t>
            </w:r>
          </w:p>
        </w:tc>
        <w:tc>
          <w:tcPr>
            <w:tcW w:w="6841" w:type="dxa"/>
            <w:tcBorders>
              <w:top w:val="single" w:sz="4" w:space="0" w:color="auto"/>
              <w:left w:val="single" w:sz="4" w:space="0" w:color="auto"/>
              <w:bottom w:val="single" w:sz="4" w:space="0" w:color="auto"/>
              <w:right w:val="single" w:sz="4" w:space="0" w:color="auto"/>
            </w:tcBorders>
          </w:tcPr>
          <w:p w:rsidR="00CB3BBF" w:rsidRPr="00E7335F" w:rsidRDefault="00E7335F">
            <w:pPr>
              <w:spacing w:before="120" w:line="240" w:lineRule="auto"/>
              <w:rPr>
                <w:lang w:val="en-US"/>
              </w:rPr>
            </w:pPr>
            <w:r>
              <w:rPr>
                <w:lang w:val="en-US"/>
              </w:rPr>
              <w:t>LBO-analysis, LBO-model, LBO, levered buyout</w:t>
            </w:r>
          </w:p>
        </w:tc>
      </w:tr>
    </w:tbl>
    <w:sdt>
      <w:sdtPr>
        <w:rPr>
          <w:rFonts w:ascii="Times New Roman" w:eastAsiaTheme="minorHAnsi" w:hAnsi="Times New Roman" w:cs="Times New Roman"/>
          <w:color w:val="auto"/>
          <w:sz w:val="24"/>
          <w:szCs w:val="24"/>
          <w:lang w:eastAsia="en-US"/>
        </w:rPr>
        <w:id w:val="1846046931"/>
        <w:docPartObj>
          <w:docPartGallery w:val="Table of Contents"/>
          <w:docPartUnique/>
        </w:docPartObj>
      </w:sdtPr>
      <w:sdtEndPr>
        <w:rPr>
          <w:b/>
          <w:bCs/>
        </w:rPr>
      </w:sdtEndPr>
      <w:sdtContent>
        <w:p w:rsidR="00A164E2" w:rsidRPr="00D5340F" w:rsidRDefault="00D5340F" w:rsidP="00A164E2">
          <w:pPr>
            <w:pStyle w:val="af"/>
            <w:rPr>
              <w:rFonts w:ascii="Times New Roman" w:hAnsi="Times New Roman" w:cs="Times New Roman"/>
              <w:b/>
              <w:color w:val="auto"/>
              <w:sz w:val="24"/>
              <w:szCs w:val="24"/>
              <w:lang w:val="en-US"/>
            </w:rPr>
          </w:pPr>
          <w:r>
            <w:rPr>
              <w:rFonts w:ascii="Times New Roman" w:hAnsi="Times New Roman" w:cs="Times New Roman"/>
              <w:b/>
              <w:color w:val="auto"/>
              <w:sz w:val="24"/>
              <w:szCs w:val="24"/>
              <w:lang w:val="en-US"/>
            </w:rPr>
            <w:t>CONTENTS</w:t>
          </w:r>
        </w:p>
        <w:p w:rsidR="007235E9" w:rsidRDefault="00A164E2">
          <w:pPr>
            <w:pStyle w:val="11"/>
            <w:tabs>
              <w:tab w:val="right" w:leader="dot" w:pos="9344"/>
            </w:tabs>
            <w:rPr>
              <w:rFonts w:asciiTheme="minorHAnsi" w:eastAsiaTheme="minorEastAsia" w:hAnsiTheme="minorHAnsi"/>
              <w:noProof/>
              <w:sz w:val="22"/>
              <w:lang w:eastAsia="ru-RU"/>
            </w:rPr>
          </w:pPr>
          <w:r w:rsidRPr="00D5340F">
            <w:rPr>
              <w:rFonts w:cs="Times New Roman"/>
              <w:szCs w:val="24"/>
            </w:rPr>
            <w:fldChar w:fldCharType="begin"/>
          </w:r>
          <w:r w:rsidRPr="00D5340F">
            <w:rPr>
              <w:rFonts w:cs="Times New Roman"/>
              <w:szCs w:val="24"/>
            </w:rPr>
            <w:instrText xml:space="preserve"> TOC \o "1-3" \h \z \u </w:instrText>
          </w:r>
          <w:r w:rsidRPr="00D5340F">
            <w:rPr>
              <w:rFonts w:cs="Times New Roman"/>
              <w:szCs w:val="24"/>
            </w:rPr>
            <w:fldChar w:fldCharType="separate"/>
          </w:r>
          <w:hyperlink w:anchor="_Toc483074635" w:history="1">
            <w:r w:rsidR="007235E9" w:rsidRPr="003E7C09">
              <w:rPr>
                <w:rStyle w:val="af0"/>
                <w:noProof/>
                <w:lang w:val="en-US"/>
              </w:rPr>
              <w:t>CHAPTER 1. THEORETICAL BACKGROUND AND LITERATURE REVIEW</w:t>
            </w:r>
            <w:r w:rsidR="007235E9">
              <w:rPr>
                <w:noProof/>
                <w:webHidden/>
              </w:rPr>
              <w:tab/>
            </w:r>
            <w:r w:rsidR="007235E9">
              <w:rPr>
                <w:noProof/>
                <w:webHidden/>
              </w:rPr>
              <w:fldChar w:fldCharType="begin"/>
            </w:r>
            <w:r w:rsidR="007235E9">
              <w:rPr>
                <w:noProof/>
                <w:webHidden/>
              </w:rPr>
              <w:instrText xml:space="preserve"> PAGEREF _Toc483074635 \h </w:instrText>
            </w:r>
            <w:r w:rsidR="007235E9">
              <w:rPr>
                <w:noProof/>
                <w:webHidden/>
              </w:rPr>
            </w:r>
            <w:r w:rsidR="007235E9">
              <w:rPr>
                <w:noProof/>
                <w:webHidden/>
              </w:rPr>
              <w:fldChar w:fldCharType="separate"/>
            </w:r>
            <w:r w:rsidR="004D64C0">
              <w:rPr>
                <w:noProof/>
                <w:webHidden/>
              </w:rPr>
              <w:t>12</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36" w:history="1">
            <w:r w:rsidR="007235E9" w:rsidRPr="003E7C09">
              <w:rPr>
                <w:rStyle w:val="af0"/>
                <w:noProof/>
                <w:lang w:val="en-US"/>
              </w:rPr>
              <w:t>1.1.</w:t>
            </w:r>
            <w:r w:rsidR="007235E9">
              <w:rPr>
                <w:rFonts w:asciiTheme="minorHAnsi" w:eastAsiaTheme="minorEastAsia" w:hAnsiTheme="minorHAnsi"/>
                <w:noProof/>
                <w:sz w:val="22"/>
                <w:lang w:eastAsia="ru-RU"/>
              </w:rPr>
              <w:tab/>
            </w:r>
            <w:r w:rsidR="007235E9" w:rsidRPr="003E7C09">
              <w:rPr>
                <w:rStyle w:val="af0"/>
                <w:noProof/>
                <w:lang w:val="en-US"/>
              </w:rPr>
              <w:t>Theoretical background on levered buy outs</w:t>
            </w:r>
            <w:r w:rsidR="007235E9">
              <w:rPr>
                <w:noProof/>
                <w:webHidden/>
              </w:rPr>
              <w:tab/>
            </w:r>
            <w:r w:rsidR="007235E9">
              <w:rPr>
                <w:noProof/>
                <w:webHidden/>
              </w:rPr>
              <w:fldChar w:fldCharType="begin"/>
            </w:r>
            <w:r w:rsidR="007235E9">
              <w:rPr>
                <w:noProof/>
                <w:webHidden/>
              </w:rPr>
              <w:instrText xml:space="preserve"> PAGEREF _Toc483074636 \h </w:instrText>
            </w:r>
            <w:r w:rsidR="007235E9">
              <w:rPr>
                <w:noProof/>
                <w:webHidden/>
              </w:rPr>
            </w:r>
            <w:r w:rsidR="007235E9">
              <w:rPr>
                <w:noProof/>
                <w:webHidden/>
              </w:rPr>
              <w:fldChar w:fldCharType="separate"/>
            </w:r>
            <w:r w:rsidR="004D64C0">
              <w:rPr>
                <w:noProof/>
                <w:webHidden/>
              </w:rPr>
              <w:t>12</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37" w:history="1">
            <w:r w:rsidR="007235E9" w:rsidRPr="003E7C09">
              <w:rPr>
                <w:rStyle w:val="af0"/>
                <w:noProof/>
                <w:lang w:val="en-US"/>
              </w:rPr>
              <w:t>1.1.1.</w:t>
            </w:r>
            <w:r w:rsidR="007235E9">
              <w:rPr>
                <w:rFonts w:asciiTheme="minorHAnsi" w:eastAsiaTheme="minorEastAsia" w:hAnsiTheme="minorHAnsi"/>
                <w:noProof/>
                <w:sz w:val="22"/>
                <w:lang w:eastAsia="ru-RU"/>
              </w:rPr>
              <w:tab/>
            </w:r>
            <w:r w:rsidR="007235E9" w:rsidRPr="003E7C09">
              <w:rPr>
                <w:rStyle w:val="af0"/>
                <w:noProof/>
                <w:lang w:val="en-US"/>
              </w:rPr>
              <w:t>What is an levered buyout</w:t>
            </w:r>
            <w:r w:rsidR="007235E9">
              <w:rPr>
                <w:noProof/>
                <w:webHidden/>
              </w:rPr>
              <w:tab/>
            </w:r>
            <w:r w:rsidR="007235E9">
              <w:rPr>
                <w:noProof/>
                <w:webHidden/>
              </w:rPr>
              <w:fldChar w:fldCharType="begin"/>
            </w:r>
            <w:r w:rsidR="007235E9">
              <w:rPr>
                <w:noProof/>
                <w:webHidden/>
              </w:rPr>
              <w:instrText xml:space="preserve"> PAGEREF _Toc483074637 \h </w:instrText>
            </w:r>
            <w:r w:rsidR="007235E9">
              <w:rPr>
                <w:noProof/>
                <w:webHidden/>
              </w:rPr>
            </w:r>
            <w:r w:rsidR="007235E9">
              <w:rPr>
                <w:noProof/>
                <w:webHidden/>
              </w:rPr>
              <w:fldChar w:fldCharType="separate"/>
            </w:r>
            <w:r w:rsidR="004D64C0">
              <w:rPr>
                <w:noProof/>
                <w:webHidden/>
              </w:rPr>
              <w:t>12</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38" w:history="1">
            <w:r w:rsidR="007235E9" w:rsidRPr="003E7C09">
              <w:rPr>
                <w:rStyle w:val="af0"/>
                <w:noProof/>
                <w:lang w:val="en-US"/>
              </w:rPr>
              <w:t>1.1.2.</w:t>
            </w:r>
            <w:r w:rsidR="007235E9">
              <w:rPr>
                <w:rFonts w:asciiTheme="minorHAnsi" w:eastAsiaTheme="minorEastAsia" w:hAnsiTheme="minorHAnsi"/>
                <w:noProof/>
                <w:sz w:val="22"/>
                <w:lang w:eastAsia="ru-RU"/>
              </w:rPr>
              <w:tab/>
            </w:r>
            <w:r w:rsidR="007235E9" w:rsidRPr="003E7C09">
              <w:rPr>
                <w:rStyle w:val="af0"/>
                <w:noProof/>
                <w:lang w:val="en-US"/>
              </w:rPr>
              <w:t>Key Participants of LBO</w:t>
            </w:r>
            <w:r w:rsidR="007235E9">
              <w:rPr>
                <w:noProof/>
                <w:webHidden/>
              </w:rPr>
              <w:tab/>
            </w:r>
            <w:r w:rsidR="007235E9">
              <w:rPr>
                <w:noProof/>
                <w:webHidden/>
              </w:rPr>
              <w:fldChar w:fldCharType="begin"/>
            </w:r>
            <w:r w:rsidR="007235E9">
              <w:rPr>
                <w:noProof/>
                <w:webHidden/>
              </w:rPr>
              <w:instrText xml:space="preserve"> PAGEREF _Toc483074638 \h </w:instrText>
            </w:r>
            <w:r w:rsidR="007235E9">
              <w:rPr>
                <w:noProof/>
                <w:webHidden/>
              </w:rPr>
            </w:r>
            <w:r w:rsidR="007235E9">
              <w:rPr>
                <w:noProof/>
                <w:webHidden/>
              </w:rPr>
              <w:fldChar w:fldCharType="separate"/>
            </w:r>
            <w:r w:rsidR="004D64C0">
              <w:rPr>
                <w:noProof/>
                <w:webHidden/>
              </w:rPr>
              <w:t>14</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39" w:history="1">
            <w:r w:rsidR="007235E9" w:rsidRPr="003E7C09">
              <w:rPr>
                <w:rStyle w:val="af0"/>
                <w:noProof/>
                <w:lang w:val="en-US"/>
              </w:rPr>
              <w:t>1.1.3.</w:t>
            </w:r>
            <w:r w:rsidR="007235E9">
              <w:rPr>
                <w:rFonts w:asciiTheme="minorHAnsi" w:eastAsiaTheme="minorEastAsia" w:hAnsiTheme="minorHAnsi"/>
                <w:noProof/>
                <w:sz w:val="22"/>
                <w:lang w:eastAsia="ru-RU"/>
              </w:rPr>
              <w:tab/>
            </w:r>
            <w:r w:rsidR="007235E9" w:rsidRPr="003E7C09">
              <w:rPr>
                <w:rStyle w:val="af0"/>
                <w:noProof/>
                <w:lang w:val="en-US"/>
              </w:rPr>
              <w:t>Characteristics of a strong LBO candidate</w:t>
            </w:r>
            <w:r w:rsidR="007235E9">
              <w:rPr>
                <w:noProof/>
                <w:webHidden/>
              </w:rPr>
              <w:tab/>
            </w:r>
            <w:r w:rsidR="007235E9">
              <w:rPr>
                <w:noProof/>
                <w:webHidden/>
              </w:rPr>
              <w:fldChar w:fldCharType="begin"/>
            </w:r>
            <w:r w:rsidR="007235E9">
              <w:rPr>
                <w:noProof/>
                <w:webHidden/>
              </w:rPr>
              <w:instrText xml:space="preserve"> PAGEREF _Toc483074639 \h </w:instrText>
            </w:r>
            <w:r w:rsidR="007235E9">
              <w:rPr>
                <w:noProof/>
                <w:webHidden/>
              </w:rPr>
            </w:r>
            <w:r w:rsidR="007235E9">
              <w:rPr>
                <w:noProof/>
                <w:webHidden/>
              </w:rPr>
              <w:fldChar w:fldCharType="separate"/>
            </w:r>
            <w:r w:rsidR="004D64C0">
              <w:rPr>
                <w:noProof/>
                <w:webHidden/>
              </w:rPr>
              <w:t>19</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40" w:history="1">
            <w:r w:rsidR="007235E9" w:rsidRPr="003E7C09">
              <w:rPr>
                <w:rStyle w:val="af0"/>
                <w:noProof/>
                <w:lang w:val="en-US"/>
              </w:rPr>
              <w:t>1.1.4.</w:t>
            </w:r>
            <w:r w:rsidR="007235E9">
              <w:rPr>
                <w:rFonts w:asciiTheme="minorHAnsi" w:eastAsiaTheme="minorEastAsia" w:hAnsiTheme="minorHAnsi"/>
                <w:noProof/>
                <w:sz w:val="22"/>
                <w:lang w:eastAsia="ru-RU"/>
              </w:rPr>
              <w:tab/>
            </w:r>
            <w:r w:rsidR="007235E9" w:rsidRPr="003E7C09">
              <w:rPr>
                <w:rStyle w:val="af0"/>
                <w:noProof/>
                <w:lang w:val="en-US"/>
              </w:rPr>
              <w:t>Possible LBO financing structure</w:t>
            </w:r>
            <w:r w:rsidR="007235E9">
              <w:rPr>
                <w:noProof/>
                <w:webHidden/>
              </w:rPr>
              <w:tab/>
            </w:r>
            <w:r w:rsidR="007235E9">
              <w:rPr>
                <w:noProof/>
                <w:webHidden/>
              </w:rPr>
              <w:fldChar w:fldCharType="begin"/>
            </w:r>
            <w:r w:rsidR="007235E9">
              <w:rPr>
                <w:noProof/>
                <w:webHidden/>
              </w:rPr>
              <w:instrText xml:space="preserve"> PAGEREF _Toc483074640 \h </w:instrText>
            </w:r>
            <w:r w:rsidR="007235E9">
              <w:rPr>
                <w:noProof/>
                <w:webHidden/>
              </w:rPr>
            </w:r>
            <w:r w:rsidR="007235E9">
              <w:rPr>
                <w:noProof/>
                <w:webHidden/>
              </w:rPr>
              <w:fldChar w:fldCharType="separate"/>
            </w:r>
            <w:r w:rsidR="004D64C0">
              <w:rPr>
                <w:noProof/>
                <w:webHidden/>
              </w:rPr>
              <w:t>22</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41" w:history="1">
            <w:r w:rsidR="007235E9" w:rsidRPr="003E7C09">
              <w:rPr>
                <w:rStyle w:val="af0"/>
                <w:noProof/>
                <w:lang w:val="en-US"/>
              </w:rPr>
              <w:t>1.1.5.</w:t>
            </w:r>
            <w:r w:rsidR="007235E9">
              <w:rPr>
                <w:rFonts w:asciiTheme="minorHAnsi" w:eastAsiaTheme="minorEastAsia" w:hAnsiTheme="minorHAnsi"/>
                <w:noProof/>
                <w:sz w:val="22"/>
                <w:lang w:eastAsia="ru-RU"/>
              </w:rPr>
              <w:tab/>
            </w:r>
            <w:r w:rsidR="007235E9" w:rsidRPr="003E7C09">
              <w:rPr>
                <w:rStyle w:val="af0"/>
                <w:noProof/>
                <w:lang w:val="en-US"/>
              </w:rPr>
              <w:t>LBO transaction scheme</w:t>
            </w:r>
            <w:r w:rsidR="007235E9">
              <w:rPr>
                <w:noProof/>
                <w:webHidden/>
              </w:rPr>
              <w:tab/>
            </w:r>
            <w:r w:rsidR="007235E9">
              <w:rPr>
                <w:noProof/>
                <w:webHidden/>
              </w:rPr>
              <w:fldChar w:fldCharType="begin"/>
            </w:r>
            <w:r w:rsidR="007235E9">
              <w:rPr>
                <w:noProof/>
                <w:webHidden/>
              </w:rPr>
              <w:instrText xml:space="preserve"> PAGEREF _Toc483074641 \h </w:instrText>
            </w:r>
            <w:r w:rsidR="007235E9">
              <w:rPr>
                <w:noProof/>
                <w:webHidden/>
              </w:rPr>
            </w:r>
            <w:r w:rsidR="007235E9">
              <w:rPr>
                <w:noProof/>
                <w:webHidden/>
              </w:rPr>
              <w:fldChar w:fldCharType="separate"/>
            </w:r>
            <w:r w:rsidR="004D64C0">
              <w:rPr>
                <w:noProof/>
                <w:webHidden/>
              </w:rPr>
              <w:t>24</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2" w:history="1">
            <w:r w:rsidR="007235E9" w:rsidRPr="003E7C09">
              <w:rPr>
                <w:rStyle w:val="af0"/>
                <w:noProof/>
                <w:lang w:val="en-US"/>
              </w:rPr>
              <w:t>1.2.</w:t>
            </w:r>
            <w:r w:rsidR="007235E9">
              <w:rPr>
                <w:rFonts w:asciiTheme="minorHAnsi" w:eastAsiaTheme="minorEastAsia" w:hAnsiTheme="minorHAnsi"/>
                <w:noProof/>
                <w:sz w:val="22"/>
                <w:lang w:eastAsia="ru-RU"/>
              </w:rPr>
              <w:tab/>
            </w:r>
            <w:r w:rsidR="007235E9" w:rsidRPr="003E7C09">
              <w:rPr>
                <w:rStyle w:val="af0"/>
                <w:noProof/>
                <w:lang w:val="en-US"/>
              </w:rPr>
              <w:t>Review of academic literature on LBO-analysis</w:t>
            </w:r>
            <w:r w:rsidR="007235E9">
              <w:rPr>
                <w:noProof/>
                <w:webHidden/>
              </w:rPr>
              <w:tab/>
            </w:r>
            <w:r w:rsidR="007235E9">
              <w:rPr>
                <w:noProof/>
                <w:webHidden/>
              </w:rPr>
              <w:fldChar w:fldCharType="begin"/>
            </w:r>
            <w:r w:rsidR="007235E9">
              <w:rPr>
                <w:noProof/>
                <w:webHidden/>
              </w:rPr>
              <w:instrText xml:space="preserve"> PAGEREF _Toc483074642 \h </w:instrText>
            </w:r>
            <w:r w:rsidR="007235E9">
              <w:rPr>
                <w:noProof/>
                <w:webHidden/>
              </w:rPr>
            </w:r>
            <w:r w:rsidR="007235E9">
              <w:rPr>
                <w:noProof/>
                <w:webHidden/>
              </w:rPr>
              <w:fldChar w:fldCharType="separate"/>
            </w:r>
            <w:r w:rsidR="004D64C0">
              <w:rPr>
                <w:noProof/>
                <w:webHidden/>
              </w:rPr>
              <w:t>27</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3" w:history="1">
            <w:r w:rsidR="007235E9" w:rsidRPr="003E7C09">
              <w:rPr>
                <w:rStyle w:val="af0"/>
                <w:noProof/>
                <w:lang w:val="en-US"/>
              </w:rPr>
              <w:t>1.3.</w:t>
            </w:r>
            <w:r w:rsidR="007235E9">
              <w:rPr>
                <w:rFonts w:asciiTheme="minorHAnsi" w:eastAsiaTheme="minorEastAsia" w:hAnsiTheme="minorHAnsi"/>
                <w:noProof/>
                <w:sz w:val="22"/>
                <w:lang w:eastAsia="ru-RU"/>
              </w:rPr>
              <w:tab/>
            </w:r>
            <w:r w:rsidR="007235E9" w:rsidRPr="003E7C09">
              <w:rPr>
                <w:rStyle w:val="af0"/>
                <w:noProof/>
                <w:lang w:val="en-US"/>
              </w:rPr>
              <w:t>Review of business literature on LBO-analysis</w:t>
            </w:r>
            <w:r w:rsidR="007235E9">
              <w:rPr>
                <w:noProof/>
                <w:webHidden/>
              </w:rPr>
              <w:tab/>
            </w:r>
            <w:r w:rsidR="007235E9">
              <w:rPr>
                <w:noProof/>
                <w:webHidden/>
              </w:rPr>
              <w:fldChar w:fldCharType="begin"/>
            </w:r>
            <w:r w:rsidR="007235E9">
              <w:rPr>
                <w:noProof/>
                <w:webHidden/>
              </w:rPr>
              <w:instrText xml:space="preserve"> PAGEREF _Toc483074643 \h </w:instrText>
            </w:r>
            <w:r w:rsidR="007235E9">
              <w:rPr>
                <w:noProof/>
                <w:webHidden/>
              </w:rPr>
            </w:r>
            <w:r w:rsidR="007235E9">
              <w:rPr>
                <w:noProof/>
                <w:webHidden/>
              </w:rPr>
              <w:fldChar w:fldCharType="separate"/>
            </w:r>
            <w:r w:rsidR="004D64C0">
              <w:rPr>
                <w:noProof/>
                <w:webHidden/>
              </w:rPr>
              <w:t>31</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44" w:history="1">
            <w:r w:rsidR="007235E9" w:rsidRPr="003E7C09">
              <w:rPr>
                <w:rStyle w:val="af0"/>
                <w:noProof/>
                <w:lang w:val="en-US"/>
              </w:rPr>
              <w:t>Summary of Chapter 1</w:t>
            </w:r>
            <w:r w:rsidR="007235E9">
              <w:rPr>
                <w:noProof/>
                <w:webHidden/>
              </w:rPr>
              <w:tab/>
            </w:r>
            <w:r w:rsidR="007235E9">
              <w:rPr>
                <w:noProof/>
                <w:webHidden/>
              </w:rPr>
              <w:fldChar w:fldCharType="begin"/>
            </w:r>
            <w:r w:rsidR="007235E9">
              <w:rPr>
                <w:noProof/>
                <w:webHidden/>
              </w:rPr>
              <w:instrText xml:space="preserve"> PAGEREF _Toc483074644 \h </w:instrText>
            </w:r>
            <w:r w:rsidR="007235E9">
              <w:rPr>
                <w:noProof/>
                <w:webHidden/>
              </w:rPr>
            </w:r>
            <w:r w:rsidR="007235E9">
              <w:rPr>
                <w:noProof/>
                <w:webHidden/>
              </w:rPr>
              <w:fldChar w:fldCharType="separate"/>
            </w:r>
            <w:r w:rsidR="004D64C0">
              <w:rPr>
                <w:noProof/>
                <w:webHidden/>
              </w:rPr>
              <w:t>36</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45" w:history="1">
            <w:r w:rsidR="007235E9" w:rsidRPr="003E7C09">
              <w:rPr>
                <w:rStyle w:val="af0"/>
                <w:noProof/>
                <w:lang w:val="en-US"/>
              </w:rPr>
              <w:t>CHAPTER 2. LBO-ANALYSIS TOOL</w:t>
            </w:r>
            <w:r w:rsidR="007235E9">
              <w:rPr>
                <w:noProof/>
                <w:webHidden/>
              </w:rPr>
              <w:tab/>
            </w:r>
            <w:r w:rsidR="007235E9">
              <w:rPr>
                <w:noProof/>
                <w:webHidden/>
              </w:rPr>
              <w:fldChar w:fldCharType="begin"/>
            </w:r>
            <w:r w:rsidR="007235E9">
              <w:rPr>
                <w:noProof/>
                <w:webHidden/>
              </w:rPr>
              <w:instrText xml:space="preserve"> PAGEREF _Toc483074645 \h </w:instrText>
            </w:r>
            <w:r w:rsidR="007235E9">
              <w:rPr>
                <w:noProof/>
                <w:webHidden/>
              </w:rPr>
            </w:r>
            <w:r w:rsidR="007235E9">
              <w:rPr>
                <w:noProof/>
                <w:webHidden/>
              </w:rPr>
              <w:fldChar w:fldCharType="separate"/>
            </w:r>
            <w:r w:rsidR="004D64C0">
              <w:rPr>
                <w:noProof/>
                <w:webHidden/>
              </w:rPr>
              <w:t>38</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6" w:history="1">
            <w:r w:rsidR="007235E9" w:rsidRPr="003E7C09">
              <w:rPr>
                <w:rStyle w:val="af0"/>
                <w:noProof/>
                <w:lang w:val="en-US"/>
              </w:rPr>
              <w:t>2.1.</w:t>
            </w:r>
            <w:r w:rsidR="007235E9">
              <w:rPr>
                <w:rFonts w:asciiTheme="minorHAnsi" w:eastAsiaTheme="minorEastAsia" w:hAnsiTheme="minorHAnsi"/>
                <w:noProof/>
                <w:sz w:val="22"/>
                <w:lang w:eastAsia="ru-RU"/>
              </w:rPr>
              <w:tab/>
            </w:r>
            <w:r w:rsidR="007235E9" w:rsidRPr="003E7C09">
              <w:rPr>
                <w:rStyle w:val="af0"/>
                <w:noProof/>
                <w:lang w:val="en-US"/>
              </w:rPr>
              <w:t>Introduction to LBO-analysis</w:t>
            </w:r>
            <w:r w:rsidR="007235E9">
              <w:rPr>
                <w:noProof/>
                <w:webHidden/>
              </w:rPr>
              <w:tab/>
            </w:r>
            <w:r w:rsidR="007235E9">
              <w:rPr>
                <w:noProof/>
                <w:webHidden/>
              </w:rPr>
              <w:fldChar w:fldCharType="begin"/>
            </w:r>
            <w:r w:rsidR="007235E9">
              <w:rPr>
                <w:noProof/>
                <w:webHidden/>
              </w:rPr>
              <w:instrText xml:space="preserve"> PAGEREF _Toc483074646 \h </w:instrText>
            </w:r>
            <w:r w:rsidR="007235E9">
              <w:rPr>
                <w:noProof/>
                <w:webHidden/>
              </w:rPr>
            </w:r>
            <w:r w:rsidR="007235E9">
              <w:rPr>
                <w:noProof/>
                <w:webHidden/>
              </w:rPr>
              <w:fldChar w:fldCharType="separate"/>
            </w:r>
            <w:r w:rsidR="004D64C0">
              <w:rPr>
                <w:noProof/>
                <w:webHidden/>
              </w:rPr>
              <w:t>38</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7" w:history="1">
            <w:r w:rsidR="007235E9" w:rsidRPr="003E7C09">
              <w:rPr>
                <w:rStyle w:val="af0"/>
                <w:noProof/>
                <w:lang w:val="en-US"/>
              </w:rPr>
              <w:t>2.2.</w:t>
            </w:r>
            <w:r w:rsidR="007235E9">
              <w:rPr>
                <w:rFonts w:asciiTheme="minorHAnsi" w:eastAsiaTheme="minorEastAsia" w:hAnsiTheme="minorHAnsi"/>
                <w:noProof/>
                <w:sz w:val="22"/>
                <w:lang w:eastAsia="ru-RU"/>
              </w:rPr>
              <w:tab/>
            </w:r>
            <w:r w:rsidR="007235E9" w:rsidRPr="003E7C09">
              <w:rPr>
                <w:rStyle w:val="af0"/>
                <w:noProof/>
                <w:lang w:val="en-US"/>
              </w:rPr>
              <w:t>The logic of LBO-analysis</w:t>
            </w:r>
            <w:r w:rsidR="007235E9">
              <w:rPr>
                <w:noProof/>
                <w:webHidden/>
              </w:rPr>
              <w:tab/>
            </w:r>
            <w:r w:rsidR="007235E9">
              <w:rPr>
                <w:noProof/>
                <w:webHidden/>
              </w:rPr>
              <w:fldChar w:fldCharType="begin"/>
            </w:r>
            <w:r w:rsidR="007235E9">
              <w:rPr>
                <w:noProof/>
                <w:webHidden/>
              </w:rPr>
              <w:instrText xml:space="preserve"> PAGEREF _Toc483074647 \h </w:instrText>
            </w:r>
            <w:r w:rsidR="007235E9">
              <w:rPr>
                <w:noProof/>
                <w:webHidden/>
              </w:rPr>
            </w:r>
            <w:r w:rsidR="007235E9">
              <w:rPr>
                <w:noProof/>
                <w:webHidden/>
              </w:rPr>
              <w:fldChar w:fldCharType="separate"/>
            </w:r>
            <w:r w:rsidR="004D64C0">
              <w:rPr>
                <w:noProof/>
                <w:webHidden/>
              </w:rPr>
              <w:t>42</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8" w:history="1">
            <w:r w:rsidR="007235E9" w:rsidRPr="003E7C09">
              <w:rPr>
                <w:rStyle w:val="af0"/>
                <w:noProof/>
                <w:lang w:val="en-US"/>
              </w:rPr>
              <w:t>2.3.</w:t>
            </w:r>
            <w:r w:rsidR="007235E9">
              <w:rPr>
                <w:rFonts w:asciiTheme="minorHAnsi" w:eastAsiaTheme="minorEastAsia" w:hAnsiTheme="minorHAnsi"/>
                <w:noProof/>
                <w:sz w:val="22"/>
                <w:lang w:eastAsia="ru-RU"/>
              </w:rPr>
              <w:tab/>
            </w:r>
            <w:r w:rsidR="007235E9" w:rsidRPr="003E7C09">
              <w:rPr>
                <w:rStyle w:val="af0"/>
                <w:noProof/>
                <w:lang w:val="en-US"/>
              </w:rPr>
              <w:t>LBO-screener</w:t>
            </w:r>
            <w:r w:rsidR="007235E9">
              <w:rPr>
                <w:noProof/>
                <w:webHidden/>
              </w:rPr>
              <w:tab/>
            </w:r>
            <w:r w:rsidR="007235E9">
              <w:rPr>
                <w:noProof/>
                <w:webHidden/>
              </w:rPr>
              <w:fldChar w:fldCharType="begin"/>
            </w:r>
            <w:r w:rsidR="007235E9">
              <w:rPr>
                <w:noProof/>
                <w:webHidden/>
              </w:rPr>
              <w:instrText xml:space="preserve"> PAGEREF _Toc483074648 \h </w:instrText>
            </w:r>
            <w:r w:rsidR="007235E9">
              <w:rPr>
                <w:noProof/>
                <w:webHidden/>
              </w:rPr>
            </w:r>
            <w:r w:rsidR="007235E9">
              <w:rPr>
                <w:noProof/>
                <w:webHidden/>
              </w:rPr>
              <w:fldChar w:fldCharType="separate"/>
            </w:r>
            <w:r w:rsidR="004D64C0">
              <w:rPr>
                <w:noProof/>
                <w:webHidden/>
              </w:rPr>
              <w:t>44</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49" w:history="1">
            <w:r w:rsidR="007235E9" w:rsidRPr="003E7C09">
              <w:rPr>
                <w:rStyle w:val="af0"/>
                <w:noProof/>
                <w:lang w:val="en-US"/>
              </w:rPr>
              <w:t>2.4.</w:t>
            </w:r>
            <w:r w:rsidR="007235E9">
              <w:rPr>
                <w:rFonts w:asciiTheme="minorHAnsi" w:eastAsiaTheme="minorEastAsia" w:hAnsiTheme="minorHAnsi"/>
                <w:noProof/>
                <w:sz w:val="22"/>
                <w:lang w:eastAsia="ru-RU"/>
              </w:rPr>
              <w:tab/>
            </w:r>
            <w:r w:rsidR="007235E9" w:rsidRPr="003E7C09">
              <w:rPr>
                <w:rStyle w:val="af0"/>
                <w:noProof/>
                <w:lang w:val="en-US"/>
              </w:rPr>
              <w:t>LBO-model algorithm</w:t>
            </w:r>
            <w:r w:rsidR="007235E9">
              <w:rPr>
                <w:noProof/>
                <w:webHidden/>
              </w:rPr>
              <w:tab/>
            </w:r>
            <w:r w:rsidR="007235E9">
              <w:rPr>
                <w:noProof/>
                <w:webHidden/>
              </w:rPr>
              <w:fldChar w:fldCharType="begin"/>
            </w:r>
            <w:r w:rsidR="007235E9">
              <w:rPr>
                <w:noProof/>
                <w:webHidden/>
              </w:rPr>
              <w:instrText xml:space="preserve"> PAGEREF _Toc483074649 \h </w:instrText>
            </w:r>
            <w:r w:rsidR="007235E9">
              <w:rPr>
                <w:noProof/>
                <w:webHidden/>
              </w:rPr>
            </w:r>
            <w:r w:rsidR="007235E9">
              <w:rPr>
                <w:noProof/>
                <w:webHidden/>
              </w:rPr>
              <w:fldChar w:fldCharType="separate"/>
            </w:r>
            <w:r w:rsidR="004D64C0">
              <w:rPr>
                <w:noProof/>
                <w:webHidden/>
              </w:rPr>
              <w:t>52</w:t>
            </w:r>
            <w:r w:rsidR="007235E9">
              <w:rPr>
                <w:noProof/>
                <w:webHidden/>
              </w:rPr>
              <w:fldChar w:fldCharType="end"/>
            </w:r>
          </w:hyperlink>
        </w:p>
        <w:p w:rsidR="007235E9" w:rsidRDefault="00C16B02">
          <w:pPr>
            <w:pStyle w:val="21"/>
            <w:tabs>
              <w:tab w:val="left" w:pos="880"/>
              <w:tab w:val="right" w:leader="dot" w:pos="9344"/>
            </w:tabs>
            <w:rPr>
              <w:rFonts w:asciiTheme="minorHAnsi" w:eastAsiaTheme="minorEastAsia" w:hAnsiTheme="minorHAnsi"/>
              <w:noProof/>
              <w:sz w:val="22"/>
              <w:lang w:eastAsia="ru-RU"/>
            </w:rPr>
          </w:pPr>
          <w:hyperlink w:anchor="_Toc483074650" w:history="1">
            <w:r w:rsidR="007235E9" w:rsidRPr="003E7C09">
              <w:rPr>
                <w:rStyle w:val="af0"/>
                <w:noProof/>
                <w:lang w:val="en-US"/>
              </w:rPr>
              <w:t>2.5.</w:t>
            </w:r>
            <w:r w:rsidR="007235E9">
              <w:rPr>
                <w:rFonts w:asciiTheme="minorHAnsi" w:eastAsiaTheme="minorEastAsia" w:hAnsiTheme="minorHAnsi"/>
                <w:noProof/>
                <w:sz w:val="22"/>
                <w:lang w:eastAsia="ru-RU"/>
              </w:rPr>
              <w:tab/>
            </w:r>
            <w:r w:rsidR="007235E9" w:rsidRPr="003E7C09">
              <w:rPr>
                <w:rStyle w:val="af0"/>
                <w:noProof/>
                <w:lang w:val="en-US"/>
              </w:rPr>
              <w:t>Applying LBO-analysis tool on real companies</w:t>
            </w:r>
            <w:r w:rsidR="007235E9">
              <w:rPr>
                <w:noProof/>
                <w:webHidden/>
              </w:rPr>
              <w:tab/>
            </w:r>
            <w:r w:rsidR="007235E9">
              <w:rPr>
                <w:noProof/>
                <w:webHidden/>
              </w:rPr>
              <w:fldChar w:fldCharType="begin"/>
            </w:r>
            <w:r w:rsidR="007235E9">
              <w:rPr>
                <w:noProof/>
                <w:webHidden/>
              </w:rPr>
              <w:instrText xml:space="preserve"> PAGEREF _Toc483074650 \h </w:instrText>
            </w:r>
            <w:r w:rsidR="007235E9">
              <w:rPr>
                <w:noProof/>
                <w:webHidden/>
              </w:rPr>
            </w:r>
            <w:r w:rsidR="007235E9">
              <w:rPr>
                <w:noProof/>
                <w:webHidden/>
              </w:rPr>
              <w:fldChar w:fldCharType="separate"/>
            </w:r>
            <w:r w:rsidR="004D64C0">
              <w:rPr>
                <w:noProof/>
                <w:webHidden/>
              </w:rPr>
              <w:t>62</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51" w:history="1">
            <w:r w:rsidR="007235E9" w:rsidRPr="003E7C09">
              <w:rPr>
                <w:rStyle w:val="af0"/>
                <w:noProof/>
                <w:lang w:val="en-US"/>
              </w:rPr>
              <w:t>2.5.1.</w:t>
            </w:r>
            <w:r w:rsidR="007235E9">
              <w:rPr>
                <w:rFonts w:asciiTheme="minorHAnsi" w:eastAsiaTheme="minorEastAsia" w:hAnsiTheme="minorHAnsi"/>
                <w:noProof/>
                <w:sz w:val="22"/>
                <w:lang w:eastAsia="ru-RU"/>
              </w:rPr>
              <w:tab/>
            </w:r>
            <w:r w:rsidR="007235E9" w:rsidRPr="003E7C09">
              <w:rPr>
                <w:rStyle w:val="af0"/>
                <w:noProof/>
                <w:lang w:val="en-US"/>
              </w:rPr>
              <w:t>Running LBO-screener for a set of potential LBO-targets</w:t>
            </w:r>
            <w:r w:rsidR="007235E9">
              <w:rPr>
                <w:noProof/>
                <w:webHidden/>
              </w:rPr>
              <w:tab/>
            </w:r>
            <w:r w:rsidR="007235E9">
              <w:rPr>
                <w:noProof/>
                <w:webHidden/>
              </w:rPr>
              <w:fldChar w:fldCharType="begin"/>
            </w:r>
            <w:r w:rsidR="007235E9">
              <w:rPr>
                <w:noProof/>
                <w:webHidden/>
              </w:rPr>
              <w:instrText xml:space="preserve"> PAGEREF _Toc483074651 \h </w:instrText>
            </w:r>
            <w:r w:rsidR="007235E9">
              <w:rPr>
                <w:noProof/>
                <w:webHidden/>
              </w:rPr>
            </w:r>
            <w:r w:rsidR="007235E9">
              <w:rPr>
                <w:noProof/>
                <w:webHidden/>
              </w:rPr>
              <w:fldChar w:fldCharType="separate"/>
            </w:r>
            <w:r w:rsidR="004D64C0">
              <w:rPr>
                <w:noProof/>
                <w:webHidden/>
              </w:rPr>
              <w:t>62</w:t>
            </w:r>
            <w:r w:rsidR="007235E9">
              <w:rPr>
                <w:noProof/>
                <w:webHidden/>
              </w:rPr>
              <w:fldChar w:fldCharType="end"/>
            </w:r>
          </w:hyperlink>
        </w:p>
        <w:p w:rsidR="007235E9" w:rsidRDefault="00C16B02">
          <w:pPr>
            <w:pStyle w:val="31"/>
            <w:tabs>
              <w:tab w:val="left" w:pos="1320"/>
              <w:tab w:val="right" w:leader="dot" w:pos="9344"/>
            </w:tabs>
            <w:rPr>
              <w:rFonts w:asciiTheme="minorHAnsi" w:eastAsiaTheme="minorEastAsia" w:hAnsiTheme="minorHAnsi"/>
              <w:noProof/>
              <w:sz w:val="22"/>
              <w:lang w:eastAsia="ru-RU"/>
            </w:rPr>
          </w:pPr>
          <w:hyperlink w:anchor="_Toc483074652" w:history="1">
            <w:r w:rsidR="007235E9" w:rsidRPr="003E7C09">
              <w:rPr>
                <w:rStyle w:val="af0"/>
                <w:noProof/>
                <w:lang w:val="en-US"/>
              </w:rPr>
              <w:t>2.5.2.</w:t>
            </w:r>
            <w:r w:rsidR="007235E9">
              <w:rPr>
                <w:rFonts w:asciiTheme="minorHAnsi" w:eastAsiaTheme="minorEastAsia" w:hAnsiTheme="minorHAnsi"/>
                <w:noProof/>
                <w:sz w:val="22"/>
                <w:lang w:eastAsia="ru-RU"/>
              </w:rPr>
              <w:tab/>
            </w:r>
            <w:r w:rsidR="007235E9" w:rsidRPr="003E7C09">
              <w:rPr>
                <w:rStyle w:val="af0"/>
                <w:noProof/>
                <w:lang w:val="en-US"/>
              </w:rPr>
              <w:t>Building LBO-model for Ingenico Group</w:t>
            </w:r>
            <w:r w:rsidR="007235E9">
              <w:rPr>
                <w:noProof/>
                <w:webHidden/>
              </w:rPr>
              <w:tab/>
            </w:r>
            <w:r w:rsidR="007235E9">
              <w:rPr>
                <w:noProof/>
                <w:webHidden/>
              </w:rPr>
              <w:fldChar w:fldCharType="begin"/>
            </w:r>
            <w:r w:rsidR="007235E9">
              <w:rPr>
                <w:noProof/>
                <w:webHidden/>
              </w:rPr>
              <w:instrText xml:space="preserve"> PAGEREF _Toc483074652 \h </w:instrText>
            </w:r>
            <w:r w:rsidR="007235E9">
              <w:rPr>
                <w:noProof/>
                <w:webHidden/>
              </w:rPr>
            </w:r>
            <w:r w:rsidR="007235E9">
              <w:rPr>
                <w:noProof/>
                <w:webHidden/>
              </w:rPr>
              <w:fldChar w:fldCharType="separate"/>
            </w:r>
            <w:r w:rsidR="004D64C0">
              <w:rPr>
                <w:noProof/>
                <w:webHidden/>
              </w:rPr>
              <w:t>64</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3" w:history="1">
            <w:r w:rsidR="007235E9" w:rsidRPr="003E7C09">
              <w:rPr>
                <w:rStyle w:val="af0"/>
                <w:noProof/>
                <w:lang w:val="en-US"/>
              </w:rPr>
              <w:t>Summary of Chapter 2</w:t>
            </w:r>
            <w:r w:rsidR="007235E9">
              <w:rPr>
                <w:noProof/>
                <w:webHidden/>
              </w:rPr>
              <w:tab/>
            </w:r>
            <w:r w:rsidR="007235E9">
              <w:rPr>
                <w:noProof/>
                <w:webHidden/>
              </w:rPr>
              <w:fldChar w:fldCharType="begin"/>
            </w:r>
            <w:r w:rsidR="007235E9">
              <w:rPr>
                <w:noProof/>
                <w:webHidden/>
              </w:rPr>
              <w:instrText xml:space="preserve"> PAGEREF _Toc483074653 \h </w:instrText>
            </w:r>
            <w:r w:rsidR="007235E9">
              <w:rPr>
                <w:noProof/>
                <w:webHidden/>
              </w:rPr>
            </w:r>
            <w:r w:rsidR="007235E9">
              <w:rPr>
                <w:noProof/>
                <w:webHidden/>
              </w:rPr>
              <w:fldChar w:fldCharType="separate"/>
            </w:r>
            <w:r w:rsidR="004D64C0">
              <w:rPr>
                <w:noProof/>
                <w:webHidden/>
              </w:rPr>
              <w:t>74</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4" w:history="1">
            <w:r w:rsidR="007235E9" w:rsidRPr="003E7C09">
              <w:rPr>
                <w:rStyle w:val="af0"/>
                <w:noProof/>
                <w:lang w:val="en-US"/>
              </w:rPr>
              <w:t>CHAPETR 3. LIMITATIONS OF THE LBO-ANALYSIS TOOL</w:t>
            </w:r>
            <w:r w:rsidR="007235E9">
              <w:rPr>
                <w:noProof/>
                <w:webHidden/>
              </w:rPr>
              <w:tab/>
            </w:r>
            <w:r w:rsidR="007235E9">
              <w:rPr>
                <w:noProof/>
                <w:webHidden/>
              </w:rPr>
              <w:fldChar w:fldCharType="begin"/>
            </w:r>
            <w:r w:rsidR="007235E9">
              <w:rPr>
                <w:noProof/>
                <w:webHidden/>
              </w:rPr>
              <w:instrText xml:space="preserve"> PAGEREF _Toc483074654 \h </w:instrText>
            </w:r>
            <w:r w:rsidR="007235E9">
              <w:rPr>
                <w:noProof/>
                <w:webHidden/>
              </w:rPr>
            </w:r>
            <w:r w:rsidR="007235E9">
              <w:rPr>
                <w:noProof/>
                <w:webHidden/>
              </w:rPr>
              <w:fldChar w:fldCharType="separate"/>
            </w:r>
            <w:r w:rsidR="004D64C0">
              <w:rPr>
                <w:noProof/>
                <w:webHidden/>
              </w:rPr>
              <w:t>75</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5" w:history="1">
            <w:r w:rsidR="007235E9" w:rsidRPr="003E7C09">
              <w:rPr>
                <w:rStyle w:val="af0"/>
                <w:noProof/>
                <w:lang w:val="en-US"/>
              </w:rPr>
              <w:t>Summary of Chapter 3</w:t>
            </w:r>
            <w:r w:rsidR="007235E9">
              <w:rPr>
                <w:noProof/>
                <w:webHidden/>
              </w:rPr>
              <w:tab/>
            </w:r>
            <w:r w:rsidR="007235E9">
              <w:rPr>
                <w:noProof/>
                <w:webHidden/>
              </w:rPr>
              <w:fldChar w:fldCharType="begin"/>
            </w:r>
            <w:r w:rsidR="007235E9">
              <w:rPr>
                <w:noProof/>
                <w:webHidden/>
              </w:rPr>
              <w:instrText xml:space="preserve"> PAGEREF _Toc483074655 \h </w:instrText>
            </w:r>
            <w:r w:rsidR="007235E9">
              <w:rPr>
                <w:noProof/>
                <w:webHidden/>
              </w:rPr>
            </w:r>
            <w:r w:rsidR="007235E9">
              <w:rPr>
                <w:noProof/>
                <w:webHidden/>
              </w:rPr>
              <w:fldChar w:fldCharType="separate"/>
            </w:r>
            <w:r w:rsidR="004D64C0">
              <w:rPr>
                <w:noProof/>
                <w:webHidden/>
              </w:rPr>
              <w:t>77</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6" w:history="1">
            <w:r w:rsidR="007235E9" w:rsidRPr="003E7C09">
              <w:rPr>
                <w:rStyle w:val="af0"/>
                <w:noProof/>
                <w:lang w:val="en-US"/>
              </w:rPr>
              <w:t>CONCLUSION</w:t>
            </w:r>
            <w:r w:rsidR="007235E9">
              <w:rPr>
                <w:noProof/>
                <w:webHidden/>
              </w:rPr>
              <w:tab/>
            </w:r>
            <w:r w:rsidR="007235E9">
              <w:rPr>
                <w:noProof/>
                <w:webHidden/>
              </w:rPr>
              <w:fldChar w:fldCharType="begin"/>
            </w:r>
            <w:r w:rsidR="007235E9">
              <w:rPr>
                <w:noProof/>
                <w:webHidden/>
              </w:rPr>
              <w:instrText xml:space="preserve"> PAGEREF _Toc483074656 \h </w:instrText>
            </w:r>
            <w:r w:rsidR="007235E9">
              <w:rPr>
                <w:noProof/>
                <w:webHidden/>
              </w:rPr>
            </w:r>
            <w:r w:rsidR="007235E9">
              <w:rPr>
                <w:noProof/>
                <w:webHidden/>
              </w:rPr>
              <w:fldChar w:fldCharType="separate"/>
            </w:r>
            <w:r w:rsidR="004D64C0">
              <w:rPr>
                <w:noProof/>
                <w:webHidden/>
              </w:rPr>
              <w:t>78</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7" w:history="1">
            <w:r w:rsidR="007235E9" w:rsidRPr="003E7C09">
              <w:rPr>
                <w:rStyle w:val="af0"/>
                <w:noProof/>
                <w:lang w:val="en-US"/>
              </w:rPr>
              <w:t>REFERENCES</w:t>
            </w:r>
            <w:r w:rsidR="007235E9">
              <w:rPr>
                <w:noProof/>
                <w:webHidden/>
              </w:rPr>
              <w:tab/>
            </w:r>
            <w:r w:rsidR="007235E9">
              <w:rPr>
                <w:noProof/>
                <w:webHidden/>
              </w:rPr>
              <w:fldChar w:fldCharType="begin"/>
            </w:r>
            <w:r w:rsidR="007235E9">
              <w:rPr>
                <w:noProof/>
                <w:webHidden/>
              </w:rPr>
              <w:instrText xml:space="preserve"> PAGEREF _Toc483074657 \h </w:instrText>
            </w:r>
            <w:r w:rsidR="007235E9">
              <w:rPr>
                <w:noProof/>
                <w:webHidden/>
              </w:rPr>
            </w:r>
            <w:r w:rsidR="007235E9">
              <w:rPr>
                <w:noProof/>
                <w:webHidden/>
              </w:rPr>
              <w:fldChar w:fldCharType="separate"/>
            </w:r>
            <w:r w:rsidR="004D64C0">
              <w:rPr>
                <w:noProof/>
                <w:webHidden/>
              </w:rPr>
              <w:t>80</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8" w:history="1">
            <w:r w:rsidR="007235E9" w:rsidRPr="003E7C09">
              <w:rPr>
                <w:rStyle w:val="af0"/>
                <w:noProof/>
                <w:lang w:val="en-US"/>
              </w:rPr>
              <w:t>Appendix 1. Bloomberg screening tool for LBO-candidates</w:t>
            </w:r>
            <w:r w:rsidR="007235E9">
              <w:rPr>
                <w:noProof/>
                <w:webHidden/>
              </w:rPr>
              <w:tab/>
            </w:r>
            <w:r w:rsidR="007235E9">
              <w:rPr>
                <w:noProof/>
                <w:webHidden/>
              </w:rPr>
              <w:fldChar w:fldCharType="begin"/>
            </w:r>
            <w:r w:rsidR="007235E9">
              <w:rPr>
                <w:noProof/>
                <w:webHidden/>
              </w:rPr>
              <w:instrText xml:space="preserve"> PAGEREF _Toc483074658 \h </w:instrText>
            </w:r>
            <w:r w:rsidR="007235E9">
              <w:rPr>
                <w:noProof/>
                <w:webHidden/>
              </w:rPr>
            </w:r>
            <w:r w:rsidR="007235E9">
              <w:rPr>
                <w:noProof/>
                <w:webHidden/>
              </w:rPr>
              <w:fldChar w:fldCharType="separate"/>
            </w:r>
            <w:r w:rsidR="004D64C0">
              <w:rPr>
                <w:noProof/>
                <w:webHidden/>
              </w:rPr>
              <w:t>84</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59" w:history="1">
            <w:r w:rsidR="007235E9" w:rsidRPr="003E7C09">
              <w:rPr>
                <w:rStyle w:val="af0"/>
                <w:noProof/>
                <w:lang w:val="en-US"/>
              </w:rPr>
              <w:t>Appendix 2. Flaws of the publicly available LBO-models</w:t>
            </w:r>
            <w:r w:rsidR="007235E9">
              <w:rPr>
                <w:noProof/>
                <w:webHidden/>
              </w:rPr>
              <w:tab/>
            </w:r>
            <w:r w:rsidR="007235E9">
              <w:rPr>
                <w:noProof/>
                <w:webHidden/>
              </w:rPr>
              <w:fldChar w:fldCharType="begin"/>
            </w:r>
            <w:r w:rsidR="007235E9">
              <w:rPr>
                <w:noProof/>
                <w:webHidden/>
              </w:rPr>
              <w:instrText xml:space="preserve"> PAGEREF _Toc483074659 \h </w:instrText>
            </w:r>
            <w:r w:rsidR="007235E9">
              <w:rPr>
                <w:noProof/>
                <w:webHidden/>
              </w:rPr>
            </w:r>
            <w:r w:rsidR="007235E9">
              <w:rPr>
                <w:noProof/>
                <w:webHidden/>
              </w:rPr>
              <w:fldChar w:fldCharType="separate"/>
            </w:r>
            <w:r w:rsidR="004D64C0">
              <w:rPr>
                <w:noProof/>
                <w:webHidden/>
              </w:rPr>
              <w:t>85</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0" w:history="1">
            <w:r w:rsidR="007235E9" w:rsidRPr="003E7C09">
              <w:rPr>
                <w:rStyle w:val="af0"/>
                <w:noProof/>
                <w:lang w:val="en-US"/>
              </w:rPr>
              <w:t>Appendix 3. The LBO-screener algorithm</w:t>
            </w:r>
            <w:r w:rsidR="007235E9">
              <w:rPr>
                <w:noProof/>
                <w:webHidden/>
              </w:rPr>
              <w:tab/>
            </w:r>
            <w:r w:rsidR="007235E9">
              <w:rPr>
                <w:noProof/>
                <w:webHidden/>
              </w:rPr>
              <w:fldChar w:fldCharType="begin"/>
            </w:r>
            <w:r w:rsidR="007235E9">
              <w:rPr>
                <w:noProof/>
                <w:webHidden/>
              </w:rPr>
              <w:instrText xml:space="preserve"> PAGEREF _Toc483074660 \h </w:instrText>
            </w:r>
            <w:r w:rsidR="007235E9">
              <w:rPr>
                <w:noProof/>
                <w:webHidden/>
              </w:rPr>
            </w:r>
            <w:r w:rsidR="007235E9">
              <w:rPr>
                <w:noProof/>
                <w:webHidden/>
              </w:rPr>
              <w:fldChar w:fldCharType="separate"/>
            </w:r>
            <w:r w:rsidR="004D64C0">
              <w:rPr>
                <w:noProof/>
                <w:webHidden/>
              </w:rPr>
              <w:t>87</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1" w:history="1">
            <w:r w:rsidR="007235E9" w:rsidRPr="003E7C09">
              <w:rPr>
                <w:rStyle w:val="af0"/>
                <w:noProof/>
                <w:lang w:val="en-US"/>
              </w:rPr>
              <w:t>Appendix 4. The list of companies used in LBO-screener</w:t>
            </w:r>
            <w:r w:rsidR="007235E9">
              <w:rPr>
                <w:noProof/>
                <w:webHidden/>
              </w:rPr>
              <w:tab/>
            </w:r>
            <w:r w:rsidR="007235E9">
              <w:rPr>
                <w:noProof/>
                <w:webHidden/>
              </w:rPr>
              <w:fldChar w:fldCharType="begin"/>
            </w:r>
            <w:r w:rsidR="007235E9">
              <w:rPr>
                <w:noProof/>
                <w:webHidden/>
              </w:rPr>
              <w:instrText xml:space="preserve"> PAGEREF _Toc483074661 \h </w:instrText>
            </w:r>
            <w:r w:rsidR="007235E9">
              <w:rPr>
                <w:noProof/>
                <w:webHidden/>
              </w:rPr>
            </w:r>
            <w:r w:rsidR="007235E9">
              <w:rPr>
                <w:noProof/>
                <w:webHidden/>
              </w:rPr>
              <w:fldChar w:fldCharType="separate"/>
            </w:r>
            <w:r w:rsidR="004D64C0">
              <w:rPr>
                <w:noProof/>
                <w:webHidden/>
              </w:rPr>
              <w:t>88</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2" w:history="1">
            <w:r w:rsidR="007235E9" w:rsidRPr="003E7C09">
              <w:rPr>
                <w:rStyle w:val="af0"/>
                <w:noProof/>
                <w:lang w:val="en-US"/>
              </w:rPr>
              <w:t>Appendix 5. Industry specific leverage levels</w:t>
            </w:r>
            <w:r w:rsidR="007235E9">
              <w:rPr>
                <w:noProof/>
                <w:webHidden/>
              </w:rPr>
              <w:tab/>
            </w:r>
            <w:r w:rsidR="007235E9">
              <w:rPr>
                <w:noProof/>
                <w:webHidden/>
              </w:rPr>
              <w:fldChar w:fldCharType="begin"/>
            </w:r>
            <w:r w:rsidR="007235E9">
              <w:rPr>
                <w:noProof/>
                <w:webHidden/>
              </w:rPr>
              <w:instrText xml:space="preserve"> PAGEREF _Toc483074662 \h </w:instrText>
            </w:r>
            <w:r w:rsidR="007235E9">
              <w:rPr>
                <w:noProof/>
                <w:webHidden/>
              </w:rPr>
            </w:r>
            <w:r w:rsidR="007235E9">
              <w:rPr>
                <w:noProof/>
                <w:webHidden/>
              </w:rPr>
              <w:fldChar w:fldCharType="separate"/>
            </w:r>
            <w:r w:rsidR="004D64C0">
              <w:rPr>
                <w:noProof/>
                <w:webHidden/>
              </w:rPr>
              <w:t>93</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3" w:history="1">
            <w:r w:rsidR="007235E9" w:rsidRPr="003E7C09">
              <w:rPr>
                <w:rStyle w:val="af0"/>
                <w:noProof/>
                <w:lang w:val="en-US"/>
              </w:rPr>
              <w:t>Appendix 6. The LBO-model algorithm, part 1</w:t>
            </w:r>
            <w:r w:rsidR="007235E9">
              <w:rPr>
                <w:noProof/>
                <w:webHidden/>
              </w:rPr>
              <w:tab/>
            </w:r>
            <w:r w:rsidR="007235E9">
              <w:rPr>
                <w:noProof/>
                <w:webHidden/>
              </w:rPr>
              <w:fldChar w:fldCharType="begin"/>
            </w:r>
            <w:r w:rsidR="007235E9">
              <w:rPr>
                <w:noProof/>
                <w:webHidden/>
              </w:rPr>
              <w:instrText xml:space="preserve"> PAGEREF _Toc483074663 \h </w:instrText>
            </w:r>
            <w:r w:rsidR="007235E9">
              <w:rPr>
                <w:noProof/>
                <w:webHidden/>
              </w:rPr>
            </w:r>
            <w:r w:rsidR="007235E9">
              <w:rPr>
                <w:noProof/>
                <w:webHidden/>
              </w:rPr>
              <w:fldChar w:fldCharType="separate"/>
            </w:r>
            <w:r w:rsidR="004D64C0">
              <w:rPr>
                <w:noProof/>
                <w:webHidden/>
              </w:rPr>
              <w:t>94</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4" w:history="1">
            <w:r w:rsidR="007235E9" w:rsidRPr="003E7C09">
              <w:rPr>
                <w:rStyle w:val="af0"/>
                <w:noProof/>
                <w:lang w:val="en-US"/>
              </w:rPr>
              <w:t>Appendix 7. Financial performance of Ingenico Group, 2005-2016</w:t>
            </w:r>
            <w:r w:rsidR="007235E9">
              <w:rPr>
                <w:noProof/>
                <w:webHidden/>
              </w:rPr>
              <w:tab/>
            </w:r>
            <w:r w:rsidR="007235E9">
              <w:rPr>
                <w:noProof/>
                <w:webHidden/>
              </w:rPr>
              <w:fldChar w:fldCharType="begin"/>
            </w:r>
            <w:r w:rsidR="007235E9">
              <w:rPr>
                <w:noProof/>
                <w:webHidden/>
              </w:rPr>
              <w:instrText xml:space="preserve"> PAGEREF _Toc483074664 \h </w:instrText>
            </w:r>
            <w:r w:rsidR="007235E9">
              <w:rPr>
                <w:noProof/>
                <w:webHidden/>
              </w:rPr>
            </w:r>
            <w:r w:rsidR="007235E9">
              <w:rPr>
                <w:noProof/>
                <w:webHidden/>
              </w:rPr>
              <w:fldChar w:fldCharType="separate"/>
            </w:r>
            <w:r w:rsidR="004D64C0">
              <w:rPr>
                <w:noProof/>
                <w:webHidden/>
              </w:rPr>
              <w:t>96</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5" w:history="1">
            <w:r w:rsidR="007235E9" w:rsidRPr="003E7C09">
              <w:rPr>
                <w:rStyle w:val="af0"/>
                <w:noProof/>
                <w:lang w:val="en-US"/>
              </w:rPr>
              <w:t>Appendix 8. Control premium value depending on different factors</w:t>
            </w:r>
            <w:r w:rsidR="007235E9">
              <w:rPr>
                <w:noProof/>
                <w:webHidden/>
              </w:rPr>
              <w:tab/>
            </w:r>
            <w:r w:rsidR="007235E9">
              <w:rPr>
                <w:noProof/>
                <w:webHidden/>
              </w:rPr>
              <w:fldChar w:fldCharType="begin"/>
            </w:r>
            <w:r w:rsidR="007235E9">
              <w:rPr>
                <w:noProof/>
                <w:webHidden/>
              </w:rPr>
              <w:instrText xml:space="preserve"> PAGEREF _Toc483074665 \h </w:instrText>
            </w:r>
            <w:r w:rsidR="007235E9">
              <w:rPr>
                <w:noProof/>
                <w:webHidden/>
              </w:rPr>
            </w:r>
            <w:r w:rsidR="007235E9">
              <w:rPr>
                <w:noProof/>
                <w:webHidden/>
              </w:rPr>
              <w:fldChar w:fldCharType="separate"/>
            </w:r>
            <w:r w:rsidR="004D64C0">
              <w:rPr>
                <w:noProof/>
                <w:webHidden/>
              </w:rPr>
              <w:t>97</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6" w:history="1">
            <w:r w:rsidR="007235E9" w:rsidRPr="003E7C09">
              <w:rPr>
                <w:rStyle w:val="af0"/>
                <w:noProof/>
                <w:lang w:val="en-US"/>
              </w:rPr>
              <w:t>Appendix 9. Building debt schedule for Ingenico Group</w:t>
            </w:r>
            <w:r w:rsidR="007235E9">
              <w:rPr>
                <w:noProof/>
                <w:webHidden/>
              </w:rPr>
              <w:tab/>
            </w:r>
            <w:r w:rsidR="007235E9">
              <w:rPr>
                <w:noProof/>
                <w:webHidden/>
              </w:rPr>
              <w:fldChar w:fldCharType="begin"/>
            </w:r>
            <w:r w:rsidR="007235E9">
              <w:rPr>
                <w:noProof/>
                <w:webHidden/>
              </w:rPr>
              <w:instrText xml:space="preserve"> PAGEREF _Toc483074666 \h </w:instrText>
            </w:r>
            <w:r w:rsidR="007235E9">
              <w:rPr>
                <w:noProof/>
                <w:webHidden/>
              </w:rPr>
            </w:r>
            <w:r w:rsidR="007235E9">
              <w:rPr>
                <w:noProof/>
                <w:webHidden/>
              </w:rPr>
              <w:fldChar w:fldCharType="separate"/>
            </w:r>
            <w:r w:rsidR="004D64C0">
              <w:rPr>
                <w:noProof/>
                <w:webHidden/>
              </w:rPr>
              <w:t>98</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7" w:history="1">
            <w:r w:rsidR="007235E9" w:rsidRPr="003E7C09">
              <w:rPr>
                <w:rStyle w:val="af0"/>
                <w:noProof/>
                <w:lang w:val="en-US"/>
              </w:rPr>
              <w:t>Appendix 10. Building Income Statement for Ingenico Group</w:t>
            </w:r>
            <w:r w:rsidR="007235E9">
              <w:rPr>
                <w:noProof/>
                <w:webHidden/>
              </w:rPr>
              <w:tab/>
            </w:r>
            <w:r w:rsidR="007235E9">
              <w:rPr>
                <w:noProof/>
                <w:webHidden/>
              </w:rPr>
              <w:fldChar w:fldCharType="begin"/>
            </w:r>
            <w:r w:rsidR="007235E9">
              <w:rPr>
                <w:noProof/>
                <w:webHidden/>
              </w:rPr>
              <w:instrText xml:space="preserve"> PAGEREF _Toc483074667 \h </w:instrText>
            </w:r>
            <w:r w:rsidR="007235E9">
              <w:rPr>
                <w:noProof/>
                <w:webHidden/>
              </w:rPr>
            </w:r>
            <w:r w:rsidR="007235E9">
              <w:rPr>
                <w:noProof/>
                <w:webHidden/>
              </w:rPr>
              <w:fldChar w:fldCharType="separate"/>
            </w:r>
            <w:r w:rsidR="004D64C0">
              <w:rPr>
                <w:noProof/>
                <w:webHidden/>
              </w:rPr>
              <w:t>99</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8" w:history="1">
            <w:r w:rsidR="007235E9" w:rsidRPr="003E7C09">
              <w:rPr>
                <w:rStyle w:val="af0"/>
                <w:noProof/>
                <w:lang w:val="en-US"/>
              </w:rPr>
              <w:t>Appendix 11. Building Balance Sheet for Ingenico Group</w:t>
            </w:r>
            <w:r w:rsidR="007235E9">
              <w:rPr>
                <w:noProof/>
                <w:webHidden/>
              </w:rPr>
              <w:tab/>
            </w:r>
            <w:r w:rsidR="007235E9">
              <w:rPr>
                <w:noProof/>
                <w:webHidden/>
              </w:rPr>
              <w:fldChar w:fldCharType="begin"/>
            </w:r>
            <w:r w:rsidR="007235E9">
              <w:rPr>
                <w:noProof/>
                <w:webHidden/>
              </w:rPr>
              <w:instrText xml:space="preserve"> PAGEREF _Toc483074668 \h </w:instrText>
            </w:r>
            <w:r w:rsidR="007235E9">
              <w:rPr>
                <w:noProof/>
                <w:webHidden/>
              </w:rPr>
            </w:r>
            <w:r w:rsidR="007235E9">
              <w:rPr>
                <w:noProof/>
                <w:webHidden/>
              </w:rPr>
              <w:fldChar w:fldCharType="separate"/>
            </w:r>
            <w:r w:rsidR="004D64C0">
              <w:rPr>
                <w:noProof/>
                <w:webHidden/>
              </w:rPr>
              <w:t>100</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69" w:history="1">
            <w:r w:rsidR="007235E9" w:rsidRPr="003E7C09">
              <w:rPr>
                <w:rStyle w:val="af0"/>
                <w:noProof/>
                <w:lang w:val="en-US"/>
              </w:rPr>
              <w:t>Appendix 12. Building cash flow statement for Ingenico Group</w:t>
            </w:r>
            <w:r w:rsidR="007235E9">
              <w:rPr>
                <w:noProof/>
                <w:webHidden/>
              </w:rPr>
              <w:tab/>
            </w:r>
            <w:r w:rsidR="007235E9">
              <w:rPr>
                <w:noProof/>
                <w:webHidden/>
              </w:rPr>
              <w:fldChar w:fldCharType="begin"/>
            </w:r>
            <w:r w:rsidR="007235E9">
              <w:rPr>
                <w:noProof/>
                <w:webHidden/>
              </w:rPr>
              <w:instrText xml:space="preserve"> PAGEREF _Toc483074669 \h </w:instrText>
            </w:r>
            <w:r w:rsidR="007235E9">
              <w:rPr>
                <w:noProof/>
                <w:webHidden/>
              </w:rPr>
            </w:r>
            <w:r w:rsidR="007235E9">
              <w:rPr>
                <w:noProof/>
                <w:webHidden/>
              </w:rPr>
              <w:fldChar w:fldCharType="separate"/>
            </w:r>
            <w:r w:rsidR="004D64C0">
              <w:rPr>
                <w:noProof/>
                <w:webHidden/>
              </w:rPr>
              <w:t>101</w:t>
            </w:r>
            <w:r w:rsidR="007235E9">
              <w:rPr>
                <w:noProof/>
                <w:webHidden/>
              </w:rPr>
              <w:fldChar w:fldCharType="end"/>
            </w:r>
          </w:hyperlink>
        </w:p>
        <w:p w:rsidR="007235E9" w:rsidRDefault="00C16B02">
          <w:pPr>
            <w:pStyle w:val="11"/>
            <w:tabs>
              <w:tab w:val="right" w:leader="dot" w:pos="9344"/>
            </w:tabs>
            <w:rPr>
              <w:rFonts w:asciiTheme="minorHAnsi" w:eastAsiaTheme="minorEastAsia" w:hAnsiTheme="minorHAnsi"/>
              <w:noProof/>
              <w:sz w:val="22"/>
              <w:lang w:eastAsia="ru-RU"/>
            </w:rPr>
          </w:pPr>
          <w:hyperlink w:anchor="_Toc483074670" w:history="1">
            <w:r w:rsidR="007235E9" w:rsidRPr="003E7C09">
              <w:rPr>
                <w:rStyle w:val="af0"/>
                <w:noProof/>
                <w:lang w:val="en-US"/>
              </w:rPr>
              <w:t>Appendix 13. Return analysis for Ingenico Group</w:t>
            </w:r>
            <w:r w:rsidR="007235E9">
              <w:rPr>
                <w:noProof/>
                <w:webHidden/>
              </w:rPr>
              <w:tab/>
            </w:r>
            <w:r w:rsidR="007235E9">
              <w:rPr>
                <w:noProof/>
                <w:webHidden/>
              </w:rPr>
              <w:fldChar w:fldCharType="begin"/>
            </w:r>
            <w:r w:rsidR="007235E9">
              <w:rPr>
                <w:noProof/>
                <w:webHidden/>
              </w:rPr>
              <w:instrText xml:space="preserve"> PAGEREF _Toc483074670 \h </w:instrText>
            </w:r>
            <w:r w:rsidR="007235E9">
              <w:rPr>
                <w:noProof/>
                <w:webHidden/>
              </w:rPr>
            </w:r>
            <w:r w:rsidR="007235E9">
              <w:rPr>
                <w:noProof/>
                <w:webHidden/>
              </w:rPr>
              <w:fldChar w:fldCharType="separate"/>
            </w:r>
            <w:r w:rsidR="004D64C0">
              <w:rPr>
                <w:noProof/>
                <w:webHidden/>
              </w:rPr>
              <w:t>102</w:t>
            </w:r>
            <w:r w:rsidR="007235E9">
              <w:rPr>
                <w:noProof/>
                <w:webHidden/>
              </w:rPr>
              <w:fldChar w:fldCharType="end"/>
            </w:r>
          </w:hyperlink>
        </w:p>
        <w:p w:rsidR="009B7B03" w:rsidRDefault="00A164E2" w:rsidP="009B7B03">
          <w:pPr>
            <w:rPr>
              <w:rFonts w:cs="Times New Roman"/>
              <w:b/>
              <w:bCs/>
              <w:szCs w:val="24"/>
            </w:rPr>
          </w:pPr>
          <w:r w:rsidRPr="00D5340F">
            <w:rPr>
              <w:rFonts w:cs="Times New Roman"/>
              <w:b/>
              <w:bCs/>
              <w:szCs w:val="24"/>
            </w:rPr>
            <w:lastRenderedPageBreak/>
            <w:fldChar w:fldCharType="end"/>
          </w:r>
        </w:p>
      </w:sdtContent>
    </w:sdt>
    <w:p w:rsidR="00471B2A" w:rsidRPr="00FC5765" w:rsidRDefault="00D5340F" w:rsidP="009B7B03">
      <w:pPr>
        <w:rPr>
          <w:rFonts w:cs="Times New Roman"/>
          <w:szCs w:val="24"/>
          <w:lang w:val="en-US"/>
        </w:rPr>
      </w:pPr>
      <w:r>
        <w:rPr>
          <w:lang w:val="en-US"/>
        </w:rPr>
        <w:t>INTRODUCTION</w:t>
      </w:r>
    </w:p>
    <w:p w:rsidR="003E7347" w:rsidRPr="003E7347" w:rsidRDefault="003E7347" w:rsidP="00D81F22">
      <w:pPr>
        <w:pStyle w:val="a5"/>
        <w:spacing w:line="360" w:lineRule="auto"/>
        <w:ind w:firstLine="708"/>
        <w:jc w:val="both"/>
        <w:rPr>
          <w:rFonts w:cs="Times New Roman"/>
          <w:i/>
          <w:color w:val="000000" w:themeColor="text1"/>
          <w:szCs w:val="24"/>
          <w:lang w:val="en-US"/>
        </w:rPr>
      </w:pPr>
      <w:r w:rsidRPr="003E7347">
        <w:rPr>
          <w:rFonts w:cs="Times New Roman"/>
          <w:i/>
          <w:color w:val="000000" w:themeColor="text1"/>
          <w:szCs w:val="24"/>
          <w:lang w:val="en-US"/>
        </w:rPr>
        <w:t xml:space="preserve">Topicality </w:t>
      </w:r>
    </w:p>
    <w:p w:rsidR="00D81F22" w:rsidRPr="00D81F22" w:rsidRDefault="00D81F22" w:rsidP="00D81F22">
      <w:pPr>
        <w:pStyle w:val="a5"/>
        <w:spacing w:line="360" w:lineRule="auto"/>
        <w:ind w:firstLine="708"/>
        <w:jc w:val="both"/>
        <w:rPr>
          <w:rFonts w:cs="Times New Roman"/>
          <w:color w:val="000000" w:themeColor="text1"/>
          <w:szCs w:val="24"/>
          <w:lang w:val="en-US"/>
        </w:rPr>
      </w:pPr>
      <w:r>
        <w:rPr>
          <w:rFonts w:cs="Times New Roman"/>
          <w:color w:val="000000" w:themeColor="text1"/>
          <w:szCs w:val="24"/>
          <w:lang w:val="en-US"/>
        </w:rPr>
        <w:t>Levered buyout (LBO) – is an acquisition of a company or its part with the use of borrowed funds (</w:t>
      </w:r>
      <w:r w:rsidR="00A20009">
        <w:rPr>
          <w:rFonts w:cs="Times New Roman"/>
          <w:color w:val="000000" w:themeColor="text1"/>
          <w:szCs w:val="24"/>
          <w:lang w:val="en-US"/>
        </w:rPr>
        <w:t>“</w:t>
      </w:r>
      <w:r>
        <w:rPr>
          <w:rFonts w:cs="Times New Roman"/>
          <w:color w:val="000000" w:themeColor="text1"/>
          <w:szCs w:val="24"/>
          <w:lang w:val="en-US"/>
        </w:rPr>
        <w:t>out-of-the-pocket money</w:t>
      </w:r>
      <w:r w:rsidR="00A20009">
        <w:rPr>
          <w:rFonts w:cs="Times New Roman"/>
          <w:color w:val="000000" w:themeColor="text1"/>
          <w:szCs w:val="24"/>
          <w:lang w:val="en-US"/>
        </w:rPr>
        <w:t>”</w:t>
      </w:r>
      <w:r>
        <w:rPr>
          <w:rFonts w:cs="Times New Roman"/>
          <w:color w:val="000000" w:themeColor="text1"/>
          <w:szCs w:val="24"/>
          <w:lang w:val="en-US"/>
        </w:rPr>
        <w:t xml:space="preserve">) to finance the most of the transaction value. At the same time, borrowed funds </w:t>
      </w:r>
      <w:proofErr w:type="gramStart"/>
      <w:r>
        <w:rPr>
          <w:rFonts w:cs="Times New Roman"/>
          <w:color w:val="000000" w:themeColor="text1"/>
          <w:szCs w:val="24"/>
          <w:lang w:val="en-US"/>
        </w:rPr>
        <w:t>are attracted</w:t>
      </w:r>
      <w:proofErr w:type="gramEnd"/>
      <w:r>
        <w:rPr>
          <w:rFonts w:cs="Times New Roman"/>
          <w:color w:val="000000" w:themeColor="text1"/>
          <w:szCs w:val="24"/>
          <w:lang w:val="en-US"/>
        </w:rPr>
        <w:t xml:space="preserve"> under the provision of target’s tangible assets and future cash flows, which are used as a collateral. </w:t>
      </w:r>
      <w:r>
        <w:rPr>
          <w:rFonts w:cs="Times New Roman"/>
          <w:szCs w:val="24"/>
          <w:lang w:val="en-US"/>
        </w:rPr>
        <w:t xml:space="preserve">The main economic benefit of LBO is to increase the return on investment </w:t>
      </w:r>
      <w:proofErr w:type="gramStart"/>
      <w:r>
        <w:rPr>
          <w:rFonts w:cs="Times New Roman"/>
          <w:szCs w:val="24"/>
          <w:lang w:val="en-US"/>
        </w:rPr>
        <w:t>through the use of</w:t>
      </w:r>
      <w:proofErr w:type="gramEnd"/>
      <w:r>
        <w:rPr>
          <w:rFonts w:cs="Times New Roman"/>
          <w:szCs w:val="24"/>
          <w:lang w:val="en-US"/>
        </w:rPr>
        <w:t xml:space="preserve"> debt.</w:t>
      </w:r>
    </w:p>
    <w:p w:rsidR="00C732B0" w:rsidRDefault="00D81F22" w:rsidP="00D81F22">
      <w:pPr>
        <w:pStyle w:val="a5"/>
        <w:spacing w:line="360" w:lineRule="auto"/>
        <w:ind w:firstLine="708"/>
        <w:jc w:val="both"/>
        <w:rPr>
          <w:rFonts w:cs="Times New Roman"/>
          <w:szCs w:val="24"/>
          <w:lang w:val="en-US"/>
        </w:rPr>
      </w:pPr>
      <w:r>
        <w:rPr>
          <w:rFonts w:cs="Times New Roman"/>
          <w:szCs w:val="24"/>
          <w:lang w:val="en-US"/>
        </w:rPr>
        <w:t xml:space="preserve"> As </w:t>
      </w:r>
      <w:r w:rsidR="00A20009">
        <w:rPr>
          <w:rFonts w:cs="Times New Roman"/>
          <w:szCs w:val="24"/>
          <w:lang w:val="en-US"/>
        </w:rPr>
        <w:t>relatively new phenomena</w:t>
      </w:r>
      <w:r>
        <w:rPr>
          <w:rFonts w:cs="Times New Roman"/>
          <w:szCs w:val="24"/>
          <w:lang w:val="en-US"/>
        </w:rPr>
        <w:t>, and a “derivative of traditional takeovers”,</w:t>
      </w:r>
      <w:r>
        <w:rPr>
          <w:rStyle w:val="a9"/>
          <w:rFonts w:cs="Times New Roman"/>
          <w:szCs w:val="24"/>
          <w:lang w:val="en-US"/>
        </w:rPr>
        <w:footnoteReference w:id="1"/>
      </w:r>
      <w:r>
        <w:rPr>
          <w:rFonts w:cs="Times New Roman"/>
          <w:szCs w:val="24"/>
          <w:lang w:val="en-US"/>
        </w:rPr>
        <w:t xml:space="preserve"> LBOs emerged in the late 1980s </w:t>
      </w:r>
      <w:proofErr w:type="gramStart"/>
      <w:r>
        <w:rPr>
          <w:rFonts w:cs="Times New Roman"/>
          <w:szCs w:val="24"/>
          <w:lang w:val="en-US"/>
        </w:rPr>
        <w:t>as a result</w:t>
      </w:r>
      <w:proofErr w:type="gramEnd"/>
      <w:r>
        <w:rPr>
          <w:rFonts w:cs="Times New Roman"/>
          <w:szCs w:val="24"/>
          <w:lang w:val="en-US"/>
        </w:rPr>
        <w:t xml:space="preserve"> of proliferation of</w:t>
      </w:r>
      <w:r w:rsidR="00A15338">
        <w:rPr>
          <w:rFonts w:cs="Times New Roman"/>
          <w:szCs w:val="24"/>
          <w:lang w:val="en-US"/>
        </w:rPr>
        <w:t xml:space="preserve"> private investment vehicles,</w:t>
      </w:r>
      <w:r>
        <w:rPr>
          <w:rFonts w:cs="Times New Roman"/>
          <w:szCs w:val="24"/>
          <w:lang w:val="en-US"/>
        </w:rPr>
        <w:t xml:space="preserve"> availability of debt,</w:t>
      </w:r>
      <w:r w:rsidR="00A15338">
        <w:rPr>
          <w:rFonts w:cs="Times New Roman"/>
          <w:szCs w:val="24"/>
          <w:lang w:val="en-US"/>
        </w:rPr>
        <w:t xml:space="preserve"> </w:t>
      </w:r>
      <w:r w:rsidR="00A15338" w:rsidRPr="00A15338">
        <w:rPr>
          <w:rFonts w:cs="Times New Roman"/>
          <w:szCs w:val="24"/>
          <w:lang w:val="en-US"/>
        </w:rPr>
        <w:t>over liquidity in the stock market</w:t>
      </w:r>
      <w:r w:rsidR="00A20009">
        <w:rPr>
          <w:rFonts w:cs="Times New Roman"/>
          <w:szCs w:val="24"/>
          <w:lang w:val="en-US"/>
        </w:rPr>
        <w:t>, and</w:t>
      </w:r>
      <w:r>
        <w:rPr>
          <w:rFonts w:cs="Times New Roman"/>
          <w:szCs w:val="24"/>
          <w:lang w:val="en-US"/>
        </w:rPr>
        <w:t xml:space="preserve"> immediately beca</w:t>
      </w:r>
      <w:r w:rsidR="00C732B0">
        <w:rPr>
          <w:rFonts w:cs="Times New Roman"/>
          <w:szCs w:val="24"/>
          <w:lang w:val="en-US"/>
        </w:rPr>
        <w:t>me</w:t>
      </w:r>
      <w:r w:rsidR="00A15338">
        <w:rPr>
          <w:rFonts w:cs="Times New Roman"/>
          <w:szCs w:val="24"/>
          <w:lang w:val="en-US"/>
        </w:rPr>
        <w:t xml:space="preserve"> a source of considerable controversy, and</w:t>
      </w:r>
      <w:r w:rsidR="00C732B0">
        <w:rPr>
          <w:rFonts w:cs="Times New Roman"/>
          <w:szCs w:val="24"/>
          <w:lang w:val="en-US"/>
        </w:rPr>
        <w:t xml:space="preserve"> an object of increased attention from researchers since the late of 20th century. Once called "dubious and strange"</w:t>
      </w:r>
      <w:r w:rsidR="00C732B0">
        <w:rPr>
          <w:rStyle w:val="a9"/>
          <w:rFonts w:cs="Times New Roman"/>
          <w:szCs w:val="24"/>
          <w:lang w:val="en-US"/>
        </w:rPr>
        <w:footnoteReference w:id="2"/>
      </w:r>
      <w:r w:rsidR="00C732B0">
        <w:rPr>
          <w:rFonts w:cs="Times New Roman"/>
          <w:szCs w:val="24"/>
          <w:lang w:val="en-US"/>
        </w:rPr>
        <w:t>, various aspects of the LBO became c</w:t>
      </w:r>
      <w:r w:rsidR="00A15338">
        <w:rPr>
          <w:rFonts w:cs="Times New Roman"/>
          <w:szCs w:val="24"/>
          <w:lang w:val="en-US"/>
        </w:rPr>
        <w:t>ontroversial issues discussed at</w:t>
      </w:r>
      <w:r w:rsidR="00C732B0">
        <w:rPr>
          <w:rFonts w:cs="Times New Roman"/>
          <w:szCs w:val="24"/>
          <w:lang w:val="en-US"/>
        </w:rPr>
        <w:t xml:space="preserve"> international level and regularly highlighted in the professional literature due to the steep increase in the size and number of leveraged buyouts </w:t>
      </w:r>
      <w:r w:rsidR="00A15338">
        <w:rPr>
          <w:rFonts w:cs="Times New Roman"/>
          <w:szCs w:val="24"/>
          <w:lang w:val="en-US"/>
        </w:rPr>
        <w:t xml:space="preserve">conducted </w:t>
      </w:r>
      <w:r w:rsidR="00C732B0">
        <w:rPr>
          <w:rFonts w:cs="Times New Roman"/>
          <w:szCs w:val="24"/>
          <w:lang w:val="en-US"/>
        </w:rPr>
        <w:t xml:space="preserve">since the early 1980s. The analysis of researches, especially in foreign academic and professional publications, suggests that this trend </w:t>
      </w:r>
      <w:proofErr w:type="gramStart"/>
      <w:r w:rsidR="00C732B0">
        <w:rPr>
          <w:rFonts w:cs="Times New Roman"/>
          <w:szCs w:val="24"/>
          <w:lang w:val="en-US"/>
        </w:rPr>
        <w:t>is accompanied</w:t>
      </w:r>
      <w:proofErr w:type="gramEnd"/>
      <w:r w:rsidR="00C732B0">
        <w:rPr>
          <w:rFonts w:cs="Times New Roman"/>
          <w:szCs w:val="24"/>
          <w:lang w:val="en-US"/>
        </w:rPr>
        <w:t xml:space="preserve"> by an increase in research activity on the topic of LBO, which peaked in the mid-2000s</w:t>
      </w:r>
      <w:r w:rsidR="00C732B0">
        <w:rPr>
          <w:rStyle w:val="a9"/>
          <w:rFonts w:cs="Times New Roman"/>
          <w:szCs w:val="24"/>
          <w:lang w:val="en-US"/>
        </w:rPr>
        <w:footnoteReference w:id="3"/>
      </w:r>
      <w:r w:rsidR="00C732B0">
        <w:rPr>
          <w:rFonts w:cs="Times New Roman"/>
          <w:szCs w:val="24"/>
          <w:lang w:val="en-US"/>
        </w:rPr>
        <w:t xml:space="preserve"> due to upsurge and growth in investor activity. The increased attention to this topic </w:t>
      </w:r>
      <w:proofErr w:type="gramStart"/>
      <w:r w:rsidR="00C732B0">
        <w:rPr>
          <w:rFonts w:cs="Times New Roman"/>
          <w:szCs w:val="24"/>
          <w:lang w:val="en-US"/>
        </w:rPr>
        <w:t>is determined</w:t>
      </w:r>
      <w:proofErr w:type="gramEnd"/>
      <w:r w:rsidR="00C732B0">
        <w:rPr>
          <w:rFonts w:cs="Times New Roman"/>
          <w:szCs w:val="24"/>
          <w:lang w:val="en-US"/>
        </w:rPr>
        <w:t xml:space="preserve"> by the activation of financial investors in conducting buyouts, as well as the growth of LBO market </w:t>
      </w:r>
      <w:r w:rsidR="00A15338">
        <w:rPr>
          <w:rFonts w:cs="Times New Roman"/>
          <w:szCs w:val="24"/>
          <w:lang w:val="en-US"/>
        </w:rPr>
        <w:t>in both</w:t>
      </w:r>
      <w:r w:rsidR="00C732B0">
        <w:rPr>
          <w:rFonts w:cs="Times New Roman"/>
          <w:szCs w:val="24"/>
          <w:lang w:val="en-US"/>
        </w:rPr>
        <w:t xml:space="preserve"> quantitative and qualitative terms. </w:t>
      </w:r>
    </w:p>
    <w:p w:rsidR="00A15338" w:rsidRDefault="00A15338" w:rsidP="00C732B0">
      <w:pPr>
        <w:pStyle w:val="a5"/>
        <w:spacing w:line="360" w:lineRule="auto"/>
        <w:ind w:firstLine="708"/>
        <w:jc w:val="both"/>
        <w:rPr>
          <w:rFonts w:cs="Times New Roman"/>
          <w:szCs w:val="24"/>
          <w:lang w:val="en-US"/>
        </w:rPr>
      </w:pPr>
      <w:r>
        <w:rPr>
          <w:rFonts w:cs="Times New Roman"/>
          <w:szCs w:val="24"/>
          <w:lang w:val="en-US"/>
        </w:rPr>
        <w:t xml:space="preserve">The </w:t>
      </w:r>
      <w:r w:rsidR="00A20009">
        <w:rPr>
          <w:rFonts w:cs="Times New Roman"/>
          <w:szCs w:val="24"/>
          <w:lang w:val="en-US"/>
        </w:rPr>
        <w:t>figure</w:t>
      </w:r>
      <w:r>
        <w:rPr>
          <w:rFonts w:cs="Times New Roman"/>
          <w:szCs w:val="24"/>
          <w:lang w:val="en-US"/>
        </w:rPr>
        <w:t xml:space="preserve"> below shows the dynamics of the number of LBO transactions conducted between 1980 and 2014 globally</w:t>
      </w:r>
      <w:r w:rsidR="00A20009">
        <w:rPr>
          <w:rFonts w:cs="Times New Roman"/>
          <w:szCs w:val="24"/>
          <w:lang w:val="en-US"/>
        </w:rPr>
        <w:t xml:space="preserve"> (Fig. 1)</w:t>
      </w:r>
      <w:r>
        <w:rPr>
          <w:rFonts w:cs="Times New Roman"/>
          <w:szCs w:val="24"/>
          <w:lang w:val="en-US"/>
        </w:rPr>
        <w:t xml:space="preserve">. </w:t>
      </w:r>
    </w:p>
    <w:p w:rsidR="00A15338" w:rsidRDefault="00A15338" w:rsidP="00A15338">
      <w:pPr>
        <w:pStyle w:val="a5"/>
        <w:spacing w:line="360" w:lineRule="auto"/>
        <w:ind w:firstLine="708"/>
        <w:jc w:val="both"/>
        <w:rPr>
          <w:rFonts w:cs="Times New Roman"/>
          <w:color w:val="FF0000"/>
          <w:szCs w:val="24"/>
          <w:lang w:val="en-US"/>
        </w:rPr>
      </w:pPr>
      <w:r>
        <w:rPr>
          <w:rFonts w:cs="Times New Roman"/>
          <w:szCs w:val="24"/>
          <w:lang w:val="en-US"/>
        </w:rPr>
        <w:t xml:space="preserve">If before the 80's only a few transactions </w:t>
      </w:r>
      <w:proofErr w:type="gramStart"/>
      <w:r>
        <w:rPr>
          <w:rFonts w:cs="Times New Roman"/>
          <w:szCs w:val="24"/>
          <w:lang w:val="en-US"/>
        </w:rPr>
        <w:t>were concluded</w:t>
      </w:r>
      <w:proofErr w:type="gramEnd"/>
      <w:r>
        <w:rPr>
          <w:rFonts w:cs="Times New Roman"/>
          <w:szCs w:val="24"/>
          <w:lang w:val="en-US"/>
        </w:rPr>
        <w:t>, in 2014 their number exceeded 2000. The peak of LBO's activity fell on 2006-2007, when the global volume of transactions reached $ 800 billion. Levered buyouts have shown to be successful in both rising and falling markets, and this might be one explanation have become so popular.</w:t>
      </w:r>
      <w:r>
        <w:rPr>
          <w:rStyle w:val="a9"/>
          <w:rFonts w:cs="Times New Roman"/>
          <w:szCs w:val="24"/>
          <w:lang w:val="en-US"/>
        </w:rPr>
        <w:footnoteReference w:id="4"/>
      </w:r>
      <w:r>
        <w:rPr>
          <w:rFonts w:cs="Times New Roman"/>
          <w:szCs w:val="24"/>
          <w:lang w:val="en-US"/>
        </w:rPr>
        <w:t xml:space="preserve"> Despite un unstable economic situation that followed after and the bankruptcy of many private equity funds, as well as the economic recession of 2007-2009, market received signs of an increasing growth of financial investors' activity and LBO revival since 2009. Namely, only in 2014 was carried out by 20% </w:t>
      </w:r>
      <w:r>
        <w:rPr>
          <w:rFonts w:cs="Times New Roman"/>
          <w:szCs w:val="24"/>
          <w:lang w:val="en-US"/>
        </w:rPr>
        <w:lastRenderedPageBreak/>
        <w:t>more transactions than in 2013 (Figure 1). In general, the number of LBOs held increased 210 times since the 1980s.</w:t>
      </w:r>
    </w:p>
    <w:p w:rsidR="00A15338" w:rsidRDefault="00A15338" w:rsidP="00A15338">
      <w:pPr>
        <w:pStyle w:val="a5"/>
        <w:spacing w:line="360" w:lineRule="auto"/>
        <w:ind w:firstLine="708"/>
        <w:jc w:val="both"/>
        <w:rPr>
          <w:rFonts w:cs="Times New Roman"/>
          <w:szCs w:val="24"/>
          <w:lang w:val="en-US"/>
        </w:rPr>
      </w:pPr>
    </w:p>
    <w:p w:rsidR="00A15338" w:rsidRDefault="00A15338" w:rsidP="00A15338">
      <w:pPr>
        <w:pStyle w:val="a5"/>
        <w:spacing w:line="360" w:lineRule="auto"/>
        <w:ind w:firstLine="708"/>
        <w:jc w:val="both"/>
        <w:rPr>
          <w:rFonts w:cs="Times New Roman"/>
          <w:szCs w:val="24"/>
          <w:lang w:val="en-US"/>
        </w:rPr>
      </w:pPr>
    </w:p>
    <w:p w:rsidR="00A15338" w:rsidRDefault="00A15338" w:rsidP="00A15338">
      <w:pPr>
        <w:pStyle w:val="a5"/>
        <w:spacing w:line="360" w:lineRule="auto"/>
        <w:ind w:firstLine="708"/>
        <w:jc w:val="center"/>
        <w:rPr>
          <w:rFonts w:cs="Times New Roman"/>
          <w:szCs w:val="24"/>
          <w:lang w:val="en-US"/>
        </w:rPr>
      </w:pPr>
      <w:r>
        <w:rPr>
          <w:noProof/>
          <w:lang w:eastAsia="ru-RU"/>
        </w:rPr>
        <w:drawing>
          <wp:inline distT="0" distB="0" distL="0" distR="0">
            <wp:extent cx="4593265" cy="2902689"/>
            <wp:effectExtent l="0" t="0" r="17145" b="1206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5338" w:rsidRDefault="00A15338" w:rsidP="00A15338">
      <w:pPr>
        <w:pStyle w:val="a5"/>
        <w:spacing w:line="360" w:lineRule="auto"/>
        <w:ind w:firstLine="708"/>
        <w:jc w:val="center"/>
        <w:rPr>
          <w:rFonts w:cs="Times New Roman"/>
          <w:szCs w:val="24"/>
          <w:lang w:val="en-US"/>
        </w:rPr>
      </w:pPr>
      <w:r>
        <w:rPr>
          <w:rFonts w:cs="Times New Roman"/>
          <w:szCs w:val="24"/>
          <w:lang w:val="en-US"/>
        </w:rPr>
        <w:t>Fig.1 Dynamics of the global LBO transactions number conducted between 1980 and 2014.</w:t>
      </w:r>
    </w:p>
    <w:p w:rsidR="00A15338" w:rsidRDefault="00A15338" w:rsidP="00A15338">
      <w:pPr>
        <w:pStyle w:val="a5"/>
        <w:spacing w:line="360" w:lineRule="auto"/>
        <w:ind w:firstLine="708"/>
        <w:jc w:val="center"/>
        <w:rPr>
          <w:rFonts w:cs="Times New Roman"/>
          <w:szCs w:val="24"/>
          <w:lang w:val="en-US"/>
        </w:rPr>
      </w:pPr>
      <w:r>
        <w:rPr>
          <w:rFonts w:cs="Times New Roman"/>
          <w:szCs w:val="24"/>
          <w:lang w:val="en-US"/>
        </w:rPr>
        <w:t>[Created by the author based on data from the Thomson Reuters database]</w:t>
      </w:r>
    </w:p>
    <w:p w:rsidR="00C732B0" w:rsidRDefault="00A15338" w:rsidP="00A15338">
      <w:pPr>
        <w:pStyle w:val="a5"/>
        <w:spacing w:line="360" w:lineRule="auto"/>
        <w:ind w:firstLine="708"/>
        <w:jc w:val="both"/>
        <w:rPr>
          <w:rFonts w:cs="Times New Roman"/>
          <w:szCs w:val="24"/>
          <w:lang w:val="en-US"/>
        </w:rPr>
      </w:pPr>
      <w:r>
        <w:rPr>
          <w:rFonts w:cs="Times New Roman"/>
          <w:szCs w:val="24"/>
          <w:lang w:val="en-US"/>
        </w:rPr>
        <w:t xml:space="preserve">In addition to the growth in the number of transactions, there was also an increase in their size (Fig. 2).  If before 2000 the total volume of conducted transactions did not exceed $ 100 billion, the size of individual transactions exceeded $ 30-40 billion in late 2000s. During the last 3 years, transactions of a particularly large size </w:t>
      </w:r>
      <w:proofErr w:type="gramStart"/>
      <w:r>
        <w:rPr>
          <w:rFonts w:cs="Times New Roman"/>
          <w:szCs w:val="24"/>
          <w:lang w:val="en-US"/>
        </w:rPr>
        <w:t>were made</w:t>
      </w:r>
      <w:proofErr w:type="gramEnd"/>
      <w:r>
        <w:rPr>
          <w:rFonts w:cs="Times New Roman"/>
          <w:szCs w:val="24"/>
          <w:lang w:val="en-US"/>
        </w:rPr>
        <w:t xml:space="preserve">, each of which exceeded $ 20 billion. For example, in 2013, </w:t>
      </w:r>
      <w:proofErr w:type="gramStart"/>
      <w:r>
        <w:rPr>
          <w:rFonts w:cs="Times New Roman"/>
          <w:szCs w:val="24"/>
          <w:lang w:val="en-US"/>
        </w:rPr>
        <w:t>was made</w:t>
      </w:r>
      <w:proofErr w:type="gramEnd"/>
      <w:r>
        <w:rPr>
          <w:rFonts w:cs="Times New Roman"/>
          <w:szCs w:val="24"/>
          <w:lang w:val="en-US"/>
        </w:rPr>
        <w:t xml:space="preserve"> a $28 billion worth LBO of Heinz</w:t>
      </w:r>
      <w:r>
        <w:rPr>
          <w:rStyle w:val="a9"/>
          <w:rFonts w:cs="Times New Roman"/>
          <w:szCs w:val="24"/>
          <w:lang w:val="en-US"/>
        </w:rPr>
        <w:footnoteReference w:id="5"/>
      </w:r>
      <w:r>
        <w:rPr>
          <w:rFonts w:cs="Times New Roman"/>
          <w:szCs w:val="24"/>
          <w:lang w:val="en-US"/>
        </w:rPr>
        <w:t>, and $ 25 billion worth MBO of Dell.</w:t>
      </w:r>
      <w:r>
        <w:rPr>
          <w:rStyle w:val="a9"/>
          <w:rFonts w:cs="Times New Roman"/>
          <w:szCs w:val="24"/>
          <w:lang w:val="en-US"/>
        </w:rPr>
        <w:footnoteReference w:id="6"/>
      </w:r>
      <w:r>
        <w:rPr>
          <w:rFonts w:cs="Times New Roman"/>
          <w:szCs w:val="24"/>
          <w:lang w:val="en-US"/>
        </w:rPr>
        <w:t xml:space="preserve"> Moreover, i</w:t>
      </w:r>
      <w:r w:rsidR="00C732B0">
        <w:rPr>
          <w:rFonts w:cs="Times New Roman"/>
          <w:szCs w:val="24"/>
          <w:lang w:val="en-US"/>
        </w:rPr>
        <w:t xml:space="preserve">n the list of 15 largest LBO in the history, all 15 </w:t>
      </w:r>
      <w:proofErr w:type="gramStart"/>
      <w:r w:rsidR="00C732B0">
        <w:rPr>
          <w:rFonts w:cs="Times New Roman"/>
          <w:szCs w:val="24"/>
          <w:lang w:val="en-US"/>
        </w:rPr>
        <w:t>were completed</w:t>
      </w:r>
      <w:proofErr w:type="gramEnd"/>
      <w:r w:rsidR="00C732B0">
        <w:rPr>
          <w:rFonts w:cs="Times New Roman"/>
          <w:szCs w:val="24"/>
          <w:lang w:val="en-US"/>
        </w:rPr>
        <w:t xml:space="preserve"> by the middle 2000's.</w:t>
      </w:r>
      <w:r w:rsidR="00C732B0">
        <w:rPr>
          <w:rStyle w:val="a9"/>
          <w:rFonts w:cs="Times New Roman"/>
          <w:szCs w:val="24"/>
          <w:lang w:val="en-US"/>
        </w:rPr>
        <w:footnoteReference w:id="7"/>
      </w:r>
      <w:r w:rsidR="00C732B0">
        <w:rPr>
          <w:rFonts w:cs="Times New Roman"/>
          <w:szCs w:val="24"/>
          <w:lang w:val="en-US"/>
        </w:rPr>
        <w:t xml:space="preserve"> Among them, TPG bought by Goldman Sachs for $ 44.37 billion, Equity Office Properties, purchased by Blackstone for $ 38.9 billion, and the Hospital Corp. of America, acquired by Bain, KKR and Merrill Lynch for $ 32.7 billion.</w:t>
      </w:r>
    </w:p>
    <w:p w:rsidR="00A15338" w:rsidRDefault="00A15338" w:rsidP="00A15338">
      <w:pPr>
        <w:pStyle w:val="a5"/>
        <w:spacing w:line="360" w:lineRule="auto"/>
        <w:ind w:firstLine="708"/>
        <w:jc w:val="both"/>
        <w:rPr>
          <w:rFonts w:cs="Times New Roman"/>
          <w:szCs w:val="24"/>
          <w:lang w:val="en-US"/>
        </w:rPr>
      </w:pPr>
      <w:r>
        <w:rPr>
          <w:rFonts w:cs="Times New Roman"/>
          <w:szCs w:val="24"/>
          <w:lang w:val="en-US"/>
        </w:rPr>
        <w:t xml:space="preserve">At the same time there took place a geographical spread of LBO activities. If before, LBO was a </w:t>
      </w:r>
      <w:proofErr w:type="gramStart"/>
      <w:r>
        <w:rPr>
          <w:rFonts w:cs="Times New Roman"/>
          <w:szCs w:val="24"/>
          <w:lang w:val="en-US"/>
        </w:rPr>
        <w:t>phenomena</w:t>
      </w:r>
      <w:proofErr w:type="gramEnd"/>
      <w:r>
        <w:rPr>
          <w:rFonts w:cs="Times New Roman"/>
          <w:szCs w:val="24"/>
          <w:lang w:val="en-US"/>
        </w:rPr>
        <w:t xml:space="preserve"> inherent to USA market only, now there is another wave LBO growth in the European and emerging markets. Successful buyouts of the British retail chain Morrison </w:t>
      </w:r>
      <w:r>
        <w:rPr>
          <w:rFonts w:cs="Times New Roman"/>
          <w:szCs w:val="24"/>
          <w:lang w:val="en-US"/>
        </w:rPr>
        <w:lastRenderedPageBreak/>
        <w:t>Supermarkets in 2014</w:t>
      </w:r>
      <w:r>
        <w:rPr>
          <w:rStyle w:val="a9"/>
          <w:rFonts w:cs="Times New Roman"/>
          <w:szCs w:val="24"/>
          <w:lang w:val="en-US"/>
        </w:rPr>
        <w:footnoteReference w:id="8"/>
      </w:r>
      <w:r>
        <w:rPr>
          <w:rFonts w:cs="Times New Roman"/>
          <w:szCs w:val="24"/>
          <w:lang w:val="en-US"/>
        </w:rPr>
        <w:t xml:space="preserve"> and mobile operator EE, with a volume of more than $ 10 billion each, gave a confidence to investors, and therefore bankers predict further growth of the European LBO market.</w:t>
      </w:r>
      <w:r>
        <w:rPr>
          <w:rStyle w:val="a9"/>
          <w:rFonts w:cs="Times New Roman"/>
          <w:szCs w:val="24"/>
          <w:lang w:val="en-US"/>
        </w:rPr>
        <w:footnoteReference w:id="9"/>
      </w:r>
      <w:r>
        <w:rPr>
          <w:rFonts w:cs="Times New Roman"/>
          <w:szCs w:val="24"/>
          <w:lang w:val="en-US"/>
        </w:rPr>
        <w:t xml:space="preserve"> Increased popularity of LBOs </w:t>
      </w:r>
      <w:proofErr w:type="gramStart"/>
      <w:r>
        <w:rPr>
          <w:rFonts w:cs="Times New Roman"/>
          <w:szCs w:val="24"/>
          <w:lang w:val="en-US"/>
        </w:rPr>
        <w:t>is also noted</w:t>
      </w:r>
      <w:proofErr w:type="gramEnd"/>
      <w:r>
        <w:rPr>
          <w:rFonts w:cs="Times New Roman"/>
          <w:szCs w:val="24"/>
          <w:lang w:val="en-US"/>
        </w:rPr>
        <w:t xml:space="preserve"> in the Asian regions. Despite the relatively small size, a special role in it played the purchase of Focus Media for $ 1.7 billion in 2013, which became the largest LBO in China. According to CEO Industrivärden, Anders Nyrén, this transaction should lead to a series of larger transactions in the Asian market, particularly in Hong Kong.</w:t>
      </w:r>
      <w:r>
        <w:rPr>
          <w:rStyle w:val="a9"/>
          <w:rFonts w:cs="Times New Roman"/>
          <w:szCs w:val="24"/>
          <w:lang w:val="en-US"/>
        </w:rPr>
        <w:footnoteReference w:id="10"/>
      </w:r>
      <w:r>
        <w:rPr>
          <w:rFonts w:cs="Times New Roman"/>
          <w:szCs w:val="24"/>
          <w:lang w:val="en-US"/>
        </w:rPr>
        <w:t xml:space="preserve"> Interest to LBO is also growing in the Korean market.</w:t>
      </w:r>
      <w:r>
        <w:rPr>
          <w:rStyle w:val="a9"/>
          <w:rFonts w:cs="Times New Roman"/>
          <w:szCs w:val="24"/>
          <w:lang w:val="en-US"/>
        </w:rPr>
        <w:footnoteReference w:id="11"/>
      </w:r>
    </w:p>
    <w:p w:rsidR="00A15338" w:rsidRDefault="00A15338" w:rsidP="00A15338">
      <w:pPr>
        <w:pStyle w:val="a5"/>
        <w:spacing w:line="360" w:lineRule="auto"/>
        <w:ind w:firstLine="708"/>
        <w:jc w:val="center"/>
        <w:rPr>
          <w:rFonts w:cs="Times New Roman"/>
          <w:szCs w:val="24"/>
          <w:lang w:val="en-US"/>
        </w:rPr>
      </w:pPr>
      <w:r>
        <w:rPr>
          <w:noProof/>
          <w:lang w:eastAsia="ru-RU"/>
        </w:rPr>
        <w:drawing>
          <wp:inline distT="0" distB="0" distL="0" distR="0">
            <wp:extent cx="4848417" cy="2721935"/>
            <wp:effectExtent l="0" t="0" r="9525" b="254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5338" w:rsidRDefault="00A15338" w:rsidP="00A15338">
      <w:pPr>
        <w:pStyle w:val="a5"/>
        <w:spacing w:line="360" w:lineRule="auto"/>
        <w:ind w:firstLine="708"/>
        <w:jc w:val="center"/>
        <w:rPr>
          <w:rFonts w:cs="Times New Roman"/>
          <w:szCs w:val="24"/>
          <w:lang w:val="en-US"/>
        </w:rPr>
      </w:pPr>
      <w:r>
        <w:rPr>
          <w:rFonts w:cs="Times New Roman"/>
          <w:szCs w:val="24"/>
          <w:lang w:val="en-US"/>
        </w:rPr>
        <w:t>Fig. 2 Dynamics of the global LBO transactions volume in 1980-2014.</w:t>
      </w:r>
    </w:p>
    <w:p w:rsidR="00471B2A" w:rsidRDefault="00A15338" w:rsidP="007C1D1E">
      <w:pPr>
        <w:pStyle w:val="a5"/>
        <w:spacing w:line="360" w:lineRule="auto"/>
        <w:ind w:firstLine="708"/>
        <w:jc w:val="center"/>
        <w:rPr>
          <w:rFonts w:cs="Times New Roman"/>
          <w:szCs w:val="24"/>
          <w:lang w:val="en-US"/>
        </w:rPr>
      </w:pPr>
      <w:r>
        <w:rPr>
          <w:rFonts w:cs="Times New Roman"/>
          <w:szCs w:val="24"/>
          <w:lang w:val="en-US"/>
        </w:rPr>
        <w:t>[Created by the author based on data from the Thomson Reuters database]</w:t>
      </w:r>
    </w:p>
    <w:p w:rsidR="00927CFC" w:rsidRDefault="00211C80" w:rsidP="00211C80">
      <w:pPr>
        <w:pStyle w:val="a5"/>
        <w:spacing w:line="360" w:lineRule="auto"/>
        <w:ind w:firstLine="708"/>
        <w:jc w:val="both"/>
        <w:rPr>
          <w:rFonts w:cs="Times New Roman"/>
          <w:szCs w:val="24"/>
          <w:lang w:val="en-US"/>
        </w:rPr>
      </w:pPr>
      <w:r>
        <w:rPr>
          <w:rFonts w:cs="Times New Roman"/>
          <w:szCs w:val="24"/>
          <w:lang w:val="en-US"/>
        </w:rPr>
        <w:t>The two waves</w:t>
      </w:r>
      <w:r w:rsidR="00C12B5D">
        <w:rPr>
          <w:rFonts w:cs="Times New Roman"/>
          <w:szCs w:val="24"/>
          <w:lang w:val="en-US"/>
        </w:rPr>
        <w:t xml:space="preserve"> of post-LBO bankruptcies</w:t>
      </w:r>
      <w:r w:rsidR="003E7347">
        <w:rPr>
          <w:rFonts w:cs="Times New Roman"/>
          <w:szCs w:val="24"/>
          <w:lang w:val="en-US"/>
        </w:rPr>
        <w:t xml:space="preserve"> </w:t>
      </w:r>
      <w:r w:rsidR="00C12B5D">
        <w:rPr>
          <w:rFonts w:cs="Times New Roman"/>
          <w:szCs w:val="24"/>
          <w:lang w:val="en-US"/>
        </w:rPr>
        <w:t>in late 1990s</w:t>
      </w:r>
      <w:r>
        <w:rPr>
          <w:rFonts w:cs="Times New Roman"/>
          <w:szCs w:val="24"/>
          <w:lang w:val="en-US"/>
        </w:rPr>
        <w:t xml:space="preserve"> and </w:t>
      </w:r>
      <w:r w:rsidR="003E7347">
        <w:rPr>
          <w:rFonts w:cs="Times New Roman"/>
          <w:szCs w:val="24"/>
          <w:lang w:val="en-US"/>
        </w:rPr>
        <w:t>mid-2000s</w:t>
      </w:r>
      <w:r w:rsidR="00C12B5D">
        <w:rPr>
          <w:rFonts w:cs="Times New Roman"/>
          <w:szCs w:val="24"/>
          <w:lang w:val="en-US"/>
        </w:rPr>
        <w:t xml:space="preserve">, which brought most of </w:t>
      </w:r>
      <w:r w:rsidR="00C12B5D" w:rsidRPr="00C12B5D">
        <w:rPr>
          <w:rFonts w:cs="Times New Roman"/>
          <w:szCs w:val="24"/>
          <w:lang w:val="en-US"/>
        </w:rPr>
        <w:t>most of the early</w:t>
      </w:r>
      <w:r w:rsidR="00C12B5D">
        <w:rPr>
          <w:rFonts w:cs="Times New Roman"/>
          <w:szCs w:val="24"/>
          <w:lang w:val="en-US"/>
        </w:rPr>
        <w:t xml:space="preserve"> </w:t>
      </w:r>
      <w:r w:rsidR="00C12B5D" w:rsidRPr="00C12B5D">
        <w:rPr>
          <w:rFonts w:cs="Times New Roman"/>
          <w:szCs w:val="24"/>
          <w:lang w:val="en-US"/>
        </w:rPr>
        <w:t>highly levered portfolio companies</w:t>
      </w:r>
      <w:r w:rsidR="00C12B5D">
        <w:rPr>
          <w:rFonts w:cs="Times New Roman"/>
          <w:szCs w:val="24"/>
          <w:lang w:val="en-US"/>
        </w:rPr>
        <w:t xml:space="preserve"> </w:t>
      </w:r>
      <w:r>
        <w:rPr>
          <w:rFonts w:cs="Times New Roman"/>
          <w:szCs w:val="24"/>
          <w:lang w:val="en-US"/>
        </w:rPr>
        <w:t xml:space="preserve">to </w:t>
      </w:r>
      <w:r w:rsidR="00C12B5D">
        <w:rPr>
          <w:rFonts w:cs="Times New Roman"/>
          <w:szCs w:val="24"/>
          <w:lang w:val="en-US"/>
        </w:rPr>
        <w:t xml:space="preserve">default  and </w:t>
      </w:r>
      <w:r>
        <w:rPr>
          <w:rFonts w:cs="Times New Roman"/>
          <w:szCs w:val="24"/>
          <w:lang w:val="en-US"/>
        </w:rPr>
        <w:t xml:space="preserve">ceased  </w:t>
      </w:r>
      <w:r w:rsidR="00C12B5D" w:rsidRPr="00C12B5D">
        <w:rPr>
          <w:rFonts w:cs="Times New Roman"/>
          <w:szCs w:val="24"/>
          <w:lang w:val="en-US"/>
        </w:rPr>
        <w:t>public to private</w:t>
      </w:r>
      <w:r>
        <w:rPr>
          <w:rFonts w:cs="Times New Roman"/>
          <w:szCs w:val="24"/>
          <w:lang w:val="en-US"/>
        </w:rPr>
        <w:t xml:space="preserve"> </w:t>
      </w:r>
      <w:r w:rsidR="00C12B5D" w:rsidRPr="00C12B5D">
        <w:rPr>
          <w:rFonts w:cs="Times New Roman"/>
          <w:szCs w:val="24"/>
          <w:lang w:val="en-US"/>
        </w:rPr>
        <w:t>transactions</w:t>
      </w:r>
      <w:r>
        <w:rPr>
          <w:rFonts w:cs="Times New Roman"/>
          <w:szCs w:val="24"/>
          <w:lang w:val="en-US"/>
        </w:rPr>
        <w:t xml:space="preserve"> success</w:t>
      </w:r>
      <w:r>
        <w:rPr>
          <w:rStyle w:val="a9"/>
          <w:rFonts w:cs="Times New Roman"/>
          <w:szCs w:val="24"/>
          <w:lang w:val="en-US"/>
        </w:rPr>
        <w:footnoteReference w:id="12"/>
      </w:r>
      <w:r>
        <w:rPr>
          <w:rFonts w:cs="Times New Roman"/>
          <w:szCs w:val="24"/>
          <w:lang w:val="en-US"/>
        </w:rPr>
        <w:t>, gave a</w:t>
      </w:r>
      <w:r w:rsidR="00C12B5D" w:rsidRPr="00C12B5D">
        <w:rPr>
          <w:rFonts w:cs="Times New Roman"/>
          <w:szCs w:val="24"/>
          <w:lang w:val="en-US"/>
        </w:rPr>
        <w:t xml:space="preserve"> rise </w:t>
      </w:r>
      <w:r>
        <w:rPr>
          <w:rFonts w:cs="Times New Roman"/>
          <w:szCs w:val="24"/>
          <w:lang w:val="en-US"/>
        </w:rPr>
        <w:t xml:space="preserve">to </w:t>
      </w:r>
      <w:r w:rsidR="00C12B5D" w:rsidRPr="00C12B5D">
        <w:rPr>
          <w:rFonts w:cs="Times New Roman"/>
          <w:szCs w:val="24"/>
          <w:lang w:val="en-US"/>
        </w:rPr>
        <w:t xml:space="preserve">concerns about the potential </w:t>
      </w:r>
      <w:r>
        <w:rPr>
          <w:rFonts w:cs="Times New Roman"/>
          <w:szCs w:val="24"/>
          <w:lang w:val="en-US"/>
        </w:rPr>
        <w:t xml:space="preserve">determinants of post-LBO bankruptcies. </w:t>
      </w:r>
    </w:p>
    <w:p w:rsidR="002539CB" w:rsidRDefault="00211C80" w:rsidP="00C12B5D">
      <w:pPr>
        <w:pStyle w:val="a5"/>
        <w:spacing w:line="360" w:lineRule="auto"/>
        <w:ind w:firstLine="708"/>
        <w:jc w:val="both"/>
        <w:rPr>
          <w:rFonts w:cs="Times New Roman"/>
          <w:szCs w:val="24"/>
          <w:lang w:val="en-US"/>
        </w:rPr>
      </w:pPr>
      <w:proofErr w:type="gramStart"/>
      <w:r>
        <w:rPr>
          <w:rFonts w:cs="Times New Roman"/>
          <w:szCs w:val="24"/>
          <w:lang w:val="en-US"/>
        </w:rPr>
        <w:t>In fact, t</w:t>
      </w:r>
      <w:r w:rsidR="002539CB">
        <w:rPr>
          <w:rFonts w:cs="Times New Roman"/>
          <w:szCs w:val="24"/>
          <w:lang w:val="en-US"/>
        </w:rPr>
        <w:t xml:space="preserve">here are </w:t>
      </w:r>
      <w:r w:rsidR="00A20009">
        <w:rPr>
          <w:rFonts w:cs="Times New Roman"/>
          <w:szCs w:val="24"/>
          <w:lang w:val="en-US"/>
        </w:rPr>
        <w:t>a number</w:t>
      </w:r>
      <w:r w:rsidR="002539CB">
        <w:rPr>
          <w:rFonts w:cs="Times New Roman"/>
          <w:szCs w:val="24"/>
          <w:lang w:val="en-US"/>
        </w:rPr>
        <w:t xml:space="preserve"> of </w:t>
      </w:r>
      <w:r w:rsidR="002539CB" w:rsidRPr="002539CB">
        <w:rPr>
          <w:rFonts w:cs="Times New Roman"/>
          <w:szCs w:val="24"/>
          <w:lang w:val="en-US"/>
        </w:rPr>
        <w:t xml:space="preserve">factors that determine the success of the LBO transaction, such as the </w:t>
      </w:r>
      <w:r w:rsidR="00C12B5D">
        <w:rPr>
          <w:rFonts w:cs="Times New Roman"/>
          <w:szCs w:val="24"/>
          <w:lang w:val="en-US"/>
        </w:rPr>
        <w:t>purchase price</w:t>
      </w:r>
      <w:r w:rsidR="002539CB" w:rsidRPr="002539CB">
        <w:rPr>
          <w:rFonts w:cs="Times New Roman"/>
          <w:szCs w:val="24"/>
          <w:lang w:val="en-US"/>
        </w:rPr>
        <w:t xml:space="preserve">, the </w:t>
      </w:r>
      <w:r w:rsidR="002539CB">
        <w:rPr>
          <w:rFonts w:cs="Times New Roman"/>
          <w:szCs w:val="24"/>
          <w:lang w:val="en-US"/>
        </w:rPr>
        <w:t>after-</w:t>
      </w:r>
      <w:r w:rsidR="002539CB" w:rsidRPr="002539CB">
        <w:rPr>
          <w:rFonts w:cs="Times New Roman"/>
          <w:szCs w:val="24"/>
          <w:lang w:val="en-US"/>
        </w:rPr>
        <w:t>purchase company performance and the company exit strategy.</w:t>
      </w:r>
      <w:proofErr w:type="gramEnd"/>
      <w:r w:rsidR="002539CB" w:rsidRPr="002539CB">
        <w:rPr>
          <w:rFonts w:cs="Times New Roman"/>
          <w:szCs w:val="24"/>
          <w:lang w:val="en-US"/>
        </w:rPr>
        <w:t xml:space="preserve"> </w:t>
      </w:r>
      <w:r w:rsidR="002539CB">
        <w:rPr>
          <w:rFonts w:cs="Times New Roman"/>
          <w:szCs w:val="24"/>
          <w:lang w:val="en-US"/>
        </w:rPr>
        <w:t xml:space="preserve">Frequently, </w:t>
      </w:r>
      <w:r w:rsidR="007739E6">
        <w:rPr>
          <w:rFonts w:cs="Times New Roman"/>
          <w:szCs w:val="24"/>
          <w:lang w:val="en-US"/>
        </w:rPr>
        <w:t>preliminary analysis of the LBO, which includes choosing an LBO-target and evaluating this target</w:t>
      </w:r>
      <w:r w:rsidR="002539CB" w:rsidRPr="002539CB">
        <w:rPr>
          <w:rFonts w:cs="Times New Roman"/>
          <w:szCs w:val="24"/>
          <w:lang w:val="en-US"/>
        </w:rPr>
        <w:t xml:space="preserve">, </w:t>
      </w:r>
      <w:r w:rsidR="00927CFC">
        <w:rPr>
          <w:rFonts w:cs="Times New Roman"/>
          <w:szCs w:val="24"/>
          <w:lang w:val="en-US"/>
        </w:rPr>
        <w:t>and is the</w:t>
      </w:r>
      <w:r w:rsidR="002539CB" w:rsidRPr="002539CB">
        <w:rPr>
          <w:rFonts w:cs="Times New Roman"/>
          <w:szCs w:val="24"/>
          <w:lang w:val="en-US"/>
        </w:rPr>
        <w:t xml:space="preserve"> part of the so</w:t>
      </w:r>
      <w:r w:rsidR="007739E6">
        <w:rPr>
          <w:rFonts w:cs="Times New Roman"/>
          <w:szCs w:val="24"/>
          <w:lang w:val="en-US"/>
        </w:rPr>
        <w:t>-called transactional phase, is</w:t>
      </w:r>
      <w:r w:rsidR="002539CB" w:rsidRPr="002539CB">
        <w:rPr>
          <w:rFonts w:cs="Times New Roman"/>
          <w:szCs w:val="24"/>
          <w:lang w:val="en-US"/>
        </w:rPr>
        <w:t xml:space="preserve"> key, since the </w:t>
      </w:r>
      <w:r w:rsidR="002539CB" w:rsidRPr="002539CB">
        <w:rPr>
          <w:rFonts w:cs="Times New Roman"/>
          <w:szCs w:val="24"/>
          <w:lang w:val="en-US"/>
        </w:rPr>
        <w:lastRenderedPageBreak/>
        <w:t xml:space="preserve">quality of the preliminary works </w:t>
      </w:r>
      <w:r w:rsidR="00927CFC">
        <w:rPr>
          <w:rFonts w:cs="Times New Roman"/>
          <w:szCs w:val="24"/>
          <w:lang w:val="en-US"/>
        </w:rPr>
        <w:t xml:space="preserve">is one of the factors, that </w:t>
      </w:r>
      <w:r w:rsidR="002539CB" w:rsidRPr="002539CB">
        <w:rPr>
          <w:rFonts w:cs="Times New Roman"/>
          <w:szCs w:val="24"/>
          <w:lang w:val="en-US"/>
        </w:rPr>
        <w:t xml:space="preserve">determines the entire </w:t>
      </w:r>
      <w:r w:rsidR="00927CFC">
        <w:rPr>
          <w:rFonts w:cs="Times New Roman"/>
          <w:szCs w:val="24"/>
          <w:lang w:val="en-US"/>
        </w:rPr>
        <w:t>transaction outcome at the exit.</w:t>
      </w:r>
      <w:r w:rsidR="008D3386">
        <w:rPr>
          <w:rFonts w:cs="Times New Roman"/>
          <w:szCs w:val="24"/>
          <w:lang w:val="en-US"/>
        </w:rPr>
        <w:t xml:space="preserve"> </w:t>
      </w:r>
    </w:p>
    <w:p w:rsidR="002539CB" w:rsidRDefault="002539CB" w:rsidP="00927CFC">
      <w:pPr>
        <w:spacing w:after="0" w:line="360" w:lineRule="auto"/>
        <w:ind w:firstLine="708"/>
        <w:jc w:val="both"/>
        <w:rPr>
          <w:rFonts w:cs="Times New Roman"/>
          <w:szCs w:val="24"/>
          <w:lang w:val="en-US"/>
        </w:rPr>
      </w:pPr>
      <w:r w:rsidRPr="002539CB">
        <w:rPr>
          <w:rFonts w:cs="Times New Roman"/>
          <w:szCs w:val="24"/>
          <w:lang w:val="en-US"/>
        </w:rPr>
        <w:t xml:space="preserve">LBO-analysis – is the core analytical tool used to analyze the target and the potential deal outcome ex-ante.  It is a complex </w:t>
      </w:r>
      <w:r w:rsidR="00927CFC" w:rsidRPr="002539CB">
        <w:rPr>
          <w:rFonts w:cs="Times New Roman"/>
          <w:szCs w:val="24"/>
          <w:lang w:val="en-US"/>
        </w:rPr>
        <w:t>methodology</w:t>
      </w:r>
      <w:r w:rsidR="00927CFC">
        <w:rPr>
          <w:rFonts w:cs="Times New Roman"/>
          <w:szCs w:val="24"/>
          <w:lang w:val="en-US"/>
        </w:rPr>
        <w:t>,</w:t>
      </w:r>
      <w:r w:rsidR="00927CFC" w:rsidRPr="002539CB">
        <w:rPr>
          <w:rFonts w:cs="Times New Roman"/>
          <w:szCs w:val="24"/>
          <w:lang w:val="en-US"/>
        </w:rPr>
        <w:t xml:space="preserve"> which</w:t>
      </w:r>
      <w:r w:rsidRPr="002539CB">
        <w:rPr>
          <w:rFonts w:cs="Times New Roman"/>
          <w:szCs w:val="24"/>
          <w:lang w:val="en-US"/>
        </w:rPr>
        <w:t xml:space="preserve"> requires specialized knowledge of financial modeling, leveraged debt capital markets, M&amp;A, and accounting. At the center of an LBO-analysis is </w:t>
      </w:r>
      <w:r w:rsidR="007739E6">
        <w:rPr>
          <w:rFonts w:cs="Times New Roman"/>
          <w:szCs w:val="24"/>
          <w:lang w:val="en-US"/>
        </w:rPr>
        <w:t xml:space="preserve">a </w:t>
      </w:r>
      <w:r w:rsidRPr="002539CB">
        <w:rPr>
          <w:rFonts w:cs="Times New Roman"/>
          <w:szCs w:val="24"/>
          <w:lang w:val="en-US"/>
        </w:rPr>
        <w:t>financial model (the “LBO-model”), which is usually constructed with the flexib</w:t>
      </w:r>
      <w:r w:rsidR="00927CFC">
        <w:rPr>
          <w:rFonts w:cs="Times New Roman"/>
          <w:szCs w:val="24"/>
          <w:lang w:val="en-US"/>
        </w:rPr>
        <w:t>ility to analyze a given target</w:t>
      </w:r>
      <w:r w:rsidRPr="002539CB">
        <w:rPr>
          <w:rFonts w:cs="Times New Roman"/>
          <w:szCs w:val="24"/>
          <w:lang w:val="en-US"/>
        </w:rPr>
        <w:t>s</w:t>
      </w:r>
      <w:r w:rsidR="00927CFC">
        <w:rPr>
          <w:rFonts w:cs="Times New Roman"/>
          <w:szCs w:val="24"/>
          <w:lang w:val="en-US"/>
        </w:rPr>
        <w:t>’</w:t>
      </w:r>
      <w:r w:rsidRPr="002539CB">
        <w:rPr>
          <w:rFonts w:cs="Times New Roman"/>
          <w:szCs w:val="24"/>
          <w:lang w:val="en-US"/>
        </w:rPr>
        <w:t xml:space="preserve"> performance un</w:t>
      </w:r>
      <w:r w:rsidR="007739E6">
        <w:rPr>
          <w:rFonts w:cs="Times New Roman"/>
          <w:szCs w:val="24"/>
          <w:lang w:val="en-US"/>
        </w:rPr>
        <w:t>der different assumptions, for example</w:t>
      </w:r>
      <w:r w:rsidR="00927CFC">
        <w:rPr>
          <w:rFonts w:cs="Times New Roman"/>
          <w:szCs w:val="24"/>
          <w:lang w:val="en-US"/>
        </w:rPr>
        <w:t xml:space="preserve">, </w:t>
      </w:r>
      <w:r w:rsidR="00927CFC" w:rsidRPr="002539CB">
        <w:rPr>
          <w:rFonts w:cs="Times New Roman"/>
          <w:szCs w:val="24"/>
          <w:lang w:val="en-US"/>
        </w:rPr>
        <w:t>multiple</w:t>
      </w:r>
      <w:r w:rsidRPr="002539CB">
        <w:rPr>
          <w:rFonts w:cs="Times New Roman"/>
          <w:szCs w:val="24"/>
          <w:lang w:val="en-US"/>
        </w:rPr>
        <w:t xml:space="preserve"> financing structures and operating scenarios. The structure of LBO-</w:t>
      </w:r>
      <w:r w:rsidR="00927CFC">
        <w:rPr>
          <w:rFonts w:cs="Times New Roman"/>
          <w:szCs w:val="24"/>
          <w:lang w:val="en-US"/>
        </w:rPr>
        <w:t xml:space="preserve">analysis instruments </w:t>
      </w:r>
      <w:r w:rsidRPr="002539CB">
        <w:rPr>
          <w:rFonts w:cs="Times New Roman"/>
          <w:szCs w:val="24"/>
          <w:lang w:val="en-US"/>
        </w:rPr>
        <w:t>is very similar across different private equity companies and investment banks. The purpose of LBO-</w:t>
      </w:r>
      <w:r w:rsidR="00927CFC">
        <w:rPr>
          <w:rFonts w:cs="Times New Roman"/>
          <w:szCs w:val="24"/>
          <w:lang w:val="en-US"/>
        </w:rPr>
        <w:t>analysis</w:t>
      </w:r>
      <w:r w:rsidRPr="002539CB">
        <w:rPr>
          <w:rFonts w:cs="Times New Roman"/>
          <w:szCs w:val="24"/>
          <w:lang w:val="en-US"/>
        </w:rPr>
        <w:t xml:space="preserve"> is to analyze the attractiveness of potential LBO candidates by calculati</w:t>
      </w:r>
      <w:r w:rsidR="00927CFC">
        <w:rPr>
          <w:rFonts w:cs="Times New Roman"/>
          <w:szCs w:val="24"/>
          <w:lang w:val="en-US"/>
        </w:rPr>
        <w:t>ng investor rate of return</w:t>
      </w:r>
      <w:r w:rsidRPr="002539CB">
        <w:rPr>
          <w:rFonts w:cs="Times New Roman"/>
          <w:szCs w:val="24"/>
          <w:lang w:val="en-US"/>
        </w:rPr>
        <w:t>.</w:t>
      </w:r>
      <w:r w:rsidRPr="002539CB">
        <w:rPr>
          <w:rStyle w:val="a9"/>
          <w:rFonts w:cs="Times New Roman"/>
          <w:szCs w:val="24"/>
          <w:lang w:val="en-US"/>
        </w:rPr>
        <w:footnoteReference w:id="13"/>
      </w:r>
      <w:r w:rsidRPr="002539CB">
        <w:rPr>
          <w:rFonts w:cs="Times New Roman"/>
          <w:szCs w:val="24"/>
          <w:lang w:val="en-US"/>
        </w:rPr>
        <w:t xml:space="preserve"> </w:t>
      </w:r>
    </w:p>
    <w:p w:rsidR="008D3386" w:rsidRDefault="008D3386" w:rsidP="00927CFC">
      <w:pPr>
        <w:spacing w:after="0" w:line="360" w:lineRule="auto"/>
        <w:ind w:firstLine="708"/>
        <w:jc w:val="both"/>
        <w:rPr>
          <w:rFonts w:cs="Times New Roman"/>
          <w:szCs w:val="24"/>
          <w:lang w:val="en-US"/>
        </w:rPr>
      </w:pPr>
      <w:r>
        <w:rPr>
          <w:rFonts w:cs="Times New Roman"/>
          <w:szCs w:val="24"/>
          <w:lang w:val="en-US"/>
        </w:rPr>
        <w:t xml:space="preserve">Leading Investment Banks, such as </w:t>
      </w:r>
      <w:r w:rsidRPr="008D3386">
        <w:rPr>
          <w:rFonts w:cs="Times New Roman"/>
          <w:szCs w:val="24"/>
          <w:lang w:val="en-US"/>
        </w:rPr>
        <w:t>Goldman Sachs, UBS, M</w:t>
      </w:r>
      <w:r>
        <w:rPr>
          <w:rFonts w:cs="Times New Roman"/>
          <w:szCs w:val="24"/>
          <w:lang w:val="en-US"/>
        </w:rPr>
        <w:t xml:space="preserve">organ Stanley, Deutsche  Bank, regularly make researches on this topic </w:t>
      </w:r>
      <w:r w:rsidRPr="008D3386">
        <w:rPr>
          <w:rFonts w:cs="Times New Roman"/>
          <w:szCs w:val="24"/>
          <w:lang w:val="en-US"/>
        </w:rPr>
        <w:t>(Credit Suisse (2007a), Credit Suisse (2007b), Deutsche Bank (2007), Goldman Sachs (2007), Morgan Stanley (2003), UBS (2007))</w:t>
      </w:r>
      <w:r>
        <w:rPr>
          <w:rFonts w:cs="Times New Roman"/>
          <w:szCs w:val="24"/>
          <w:lang w:val="en-US"/>
        </w:rPr>
        <w:t xml:space="preserve">, since the importance of LBO-analysis is vital. </w:t>
      </w:r>
    </w:p>
    <w:p w:rsidR="003E7347" w:rsidRPr="003E7347" w:rsidRDefault="003E7347" w:rsidP="00F7785D">
      <w:pPr>
        <w:pStyle w:val="a5"/>
        <w:spacing w:line="360" w:lineRule="auto"/>
        <w:ind w:firstLine="708"/>
        <w:jc w:val="both"/>
        <w:rPr>
          <w:i/>
          <w:lang w:val="en-US"/>
        </w:rPr>
      </w:pPr>
      <w:r w:rsidRPr="003E7347">
        <w:rPr>
          <w:i/>
          <w:lang w:val="en-US"/>
        </w:rPr>
        <w:t xml:space="preserve">Problem statement </w:t>
      </w:r>
    </w:p>
    <w:p w:rsidR="003E7347" w:rsidRDefault="00F7785D" w:rsidP="003E7347">
      <w:pPr>
        <w:pStyle w:val="a5"/>
        <w:spacing w:line="360" w:lineRule="auto"/>
        <w:ind w:firstLine="708"/>
        <w:jc w:val="both"/>
        <w:rPr>
          <w:lang w:val="en-US"/>
        </w:rPr>
      </w:pPr>
      <w:r>
        <w:rPr>
          <w:lang w:val="en-US"/>
        </w:rPr>
        <w:t>Give</w:t>
      </w:r>
      <w:r w:rsidR="007C1D1E">
        <w:rPr>
          <w:lang w:val="en-US"/>
        </w:rPr>
        <w:t>n the current popularity of LBO</w:t>
      </w:r>
      <w:r>
        <w:rPr>
          <w:lang w:val="en-US"/>
        </w:rPr>
        <w:t>s</w:t>
      </w:r>
      <w:r w:rsidR="003E7347">
        <w:rPr>
          <w:lang w:val="en-US"/>
        </w:rPr>
        <w:t xml:space="preserve"> and importance of LBO-analysis in these types of transactions</w:t>
      </w:r>
      <w:r>
        <w:rPr>
          <w:lang w:val="en-US"/>
        </w:rPr>
        <w:t xml:space="preserve">, there is a plenty of academic and business literature devoted </w:t>
      </w:r>
      <w:r w:rsidR="007C1D1E">
        <w:rPr>
          <w:lang w:val="en-US"/>
        </w:rPr>
        <w:t xml:space="preserve">to </w:t>
      </w:r>
      <w:r>
        <w:rPr>
          <w:lang w:val="en-US"/>
        </w:rPr>
        <w:t>analyzing and descri</w:t>
      </w:r>
      <w:r w:rsidR="007739E6">
        <w:rPr>
          <w:lang w:val="en-US"/>
        </w:rPr>
        <w:t xml:space="preserve">bing different aspects of LBOs and </w:t>
      </w:r>
      <w:r w:rsidR="003E7347">
        <w:rPr>
          <w:lang w:val="en-US"/>
        </w:rPr>
        <w:t xml:space="preserve">LBO-analysis. </w:t>
      </w:r>
    </w:p>
    <w:p w:rsidR="003E7347" w:rsidRDefault="007739E6" w:rsidP="003E7347">
      <w:pPr>
        <w:pStyle w:val="a5"/>
        <w:spacing w:line="360" w:lineRule="auto"/>
        <w:ind w:firstLine="708"/>
        <w:jc w:val="both"/>
        <w:rPr>
          <w:lang w:val="en-US"/>
        </w:rPr>
      </w:pPr>
      <w:r>
        <w:rPr>
          <w:lang w:val="en-US"/>
        </w:rPr>
        <w:t>However, a</w:t>
      </w:r>
      <w:r w:rsidR="00F7785D">
        <w:rPr>
          <w:lang w:val="en-US"/>
        </w:rPr>
        <w:t xml:space="preserve">cademic literature is mostly concentrated on building and analyzing positive economic models. Yet, building and analyzing normative models presents a great matter of interest from the point of all LBO transaction participants. </w:t>
      </w:r>
    </w:p>
    <w:p w:rsidR="007739E6" w:rsidRDefault="007C1D1E" w:rsidP="005B7F1A">
      <w:pPr>
        <w:pStyle w:val="a5"/>
        <w:spacing w:line="360" w:lineRule="auto"/>
        <w:ind w:firstLine="708"/>
        <w:jc w:val="both"/>
        <w:rPr>
          <w:rFonts w:cs="Times New Roman"/>
          <w:szCs w:val="24"/>
          <w:lang w:val="en-US"/>
        </w:rPr>
      </w:pPr>
      <w:r>
        <w:rPr>
          <w:lang w:val="en-US"/>
        </w:rPr>
        <w:t>At the same time, information presented in business literature is very limited</w:t>
      </w:r>
      <w:r w:rsidR="007739E6">
        <w:rPr>
          <w:lang w:val="en-US"/>
        </w:rPr>
        <w:t xml:space="preserve">. </w:t>
      </w:r>
      <w:r w:rsidR="00021B10">
        <w:rPr>
          <w:rFonts w:cs="Times New Roman"/>
          <w:szCs w:val="24"/>
          <w:lang w:val="en-US"/>
        </w:rPr>
        <w:t>I</w:t>
      </w:r>
      <w:r w:rsidR="007739E6">
        <w:rPr>
          <w:rFonts w:cs="Times New Roman"/>
          <w:szCs w:val="24"/>
          <w:lang w:val="en-US"/>
        </w:rPr>
        <w:t xml:space="preserve">n real life, professional investors use their own and internally developed LBO-analysis schemes and models. In the world of finance, these models </w:t>
      </w:r>
      <w:proofErr w:type="gramStart"/>
      <w:r w:rsidR="007739E6">
        <w:rPr>
          <w:rFonts w:cs="Times New Roman"/>
          <w:szCs w:val="24"/>
          <w:lang w:val="en-US"/>
        </w:rPr>
        <w:t>are often referred</w:t>
      </w:r>
      <w:proofErr w:type="gramEnd"/>
      <w:r w:rsidR="007739E6">
        <w:rPr>
          <w:rFonts w:cs="Times New Roman"/>
          <w:szCs w:val="24"/>
          <w:lang w:val="en-US"/>
        </w:rPr>
        <w:t xml:space="preserve"> to as “hard currency”, since they reflect the core compe</w:t>
      </w:r>
      <w:r w:rsidR="003E7347">
        <w:rPr>
          <w:rFonts w:cs="Times New Roman"/>
          <w:szCs w:val="24"/>
          <w:lang w:val="en-US"/>
        </w:rPr>
        <w:t>tence of the investment company.</w:t>
      </w:r>
      <w:r w:rsidR="007739E6">
        <w:rPr>
          <w:rStyle w:val="a9"/>
          <w:rFonts w:cs="Times New Roman"/>
          <w:szCs w:val="24"/>
          <w:lang w:val="en-US"/>
        </w:rPr>
        <w:footnoteReference w:id="14"/>
      </w:r>
      <w:r w:rsidR="007739E6">
        <w:rPr>
          <w:rFonts w:cs="Times New Roman"/>
          <w:szCs w:val="24"/>
          <w:lang w:val="en-US"/>
        </w:rPr>
        <w:t xml:space="preserve"> Frequently the differences in models explain why some investors are more successful than others, hence the practical parts of </w:t>
      </w:r>
      <w:proofErr w:type="gramStart"/>
      <w:r w:rsidR="007739E6">
        <w:rPr>
          <w:rFonts w:cs="Times New Roman"/>
          <w:szCs w:val="24"/>
          <w:lang w:val="en-US"/>
        </w:rPr>
        <w:t>this  models</w:t>
      </w:r>
      <w:proofErr w:type="gramEnd"/>
      <w:r w:rsidR="007739E6">
        <w:rPr>
          <w:rFonts w:cs="Times New Roman"/>
          <w:szCs w:val="24"/>
          <w:lang w:val="en-US"/>
        </w:rPr>
        <w:t xml:space="preserve"> are highly confidential, they are treated as corporate secrets and not revealed to public. That is why it is hard for an “outsider” to get a hold of accurate </w:t>
      </w:r>
      <w:r w:rsidR="005B7F1A">
        <w:rPr>
          <w:rFonts w:cs="Times New Roman"/>
          <w:szCs w:val="24"/>
          <w:lang w:val="en-US"/>
        </w:rPr>
        <w:t>LBO-analysis tools</w:t>
      </w:r>
      <w:r w:rsidR="007739E6">
        <w:rPr>
          <w:rFonts w:cs="Times New Roman"/>
          <w:szCs w:val="24"/>
          <w:lang w:val="en-US"/>
        </w:rPr>
        <w:t xml:space="preserve"> used in the industry today. </w:t>
      </w:r>
    </w:p>
    <w:p w:rsidR="00F7785D" w:rsidRDefault="00F7785D" w:rsidP="007739E6">
      <w:pPr>
        <w:pStyle w:val="a5"/>
        <w:spacing w:line="360" w:lineRule="auto"/>
        <w:ind w:firstLine="708"/>
        <w:jc w:val="both"/>
        <w:rPr>
          <w:lang w:val="en-US"/>
        </w:rPr>
      </w:pPr>
      <w:r>
        <w:rPr>
          <w:lang w:val="en-US"/>
        </w:rPr>
        <w:t>Therefore, there is a clear gap in both academic and business literature, connected with lack of normative model</w:t>
      </w:r>
      <w:r w:rsidR="007739E6">
        <w:rPr>
          <w:lang w:val="en-US"/>
        </w:rPr>
        <w:t>s</w:t>
      </w:r>
      <w:r w:rsidR="005B7F1A">
        <w:rPr>
          <w:lang w:val="en-US"/>
        </w:rPr>
        <w:t xml:space="preserve"> related to LBO</w:t>
      </w:r>
      <w:r w:rsidR="007739E6">
        <w:rPr>
          <w:lang w:val="en-US"/>
        </w:rPr>
        <w:t xml:space="preserve">. </w:t>
      </w:r>
      <w:r>
        <w:rPr>
          <w:lang w:val="en-US"/>
        </w:rPr>
        <w:t xml:space="preserve">In this </w:t>
      </w:r>
      <w:r w:rsidR="007739E6">
        <w:rPr>
          <w:lang w:val="en-US"/>
        </w:rPr>
        <w:t>work,</w:t>
      </w:r>
      <w:r>
        <w:rPr>
          <w:lang w:val="en-US"/>
        </w:rPr>
        <w:t xml:space="preserve"> there </w:t>
      </w:r>
      <w:proofErr w:type="gramStart"/>
      <w:r>
        <w:rPr>
          <w:lang w:val="en-US"/>
        </w:rPr>
        <w:t>is done</w:t>
      </w:r>
      <w:proofErr w:type="gramEnd"/>
      <w:r>
        <w:rPr>
          <w:lang w:val="en-US"/>
        </w:rPr>
        <w:t xml:space="preserve"> an attempt to fill this gap by </w:t>
      </w:r>
      <w:r w:rsidR="005B7F1A">
        <w:rPr>
          <w:lang w:val="en-US"/>
        </w:rPr>
        <w:t xml:space="preserve">building an LBO-analysis algorithm based on positive scenario of industry development and performance forecasts of the target company. </w:t>
      </w:r>
    </w:p>
    <w:p w:rsidR="005B7F1A" w:rsidRDefault="007739E6" w:rsidP="007739E6">
      <w:pPr>
        <w:pStyle w:val="a5"/>
        <w:spacing w:line="360" w:lineRule="auto"/>
        <w:ind w:firstLine="360"/>
        <w:jc w:val="both"/>
        <w:rPr>
          <w:rFonts w:cs="Times New Roman"/>
          <w:szCs w:val="24"/>
          <w:lang w:val="en-US"/>
        </w:rPr>
      </w:pPr>
      <w:r>
        <w:rPr>
          <w:rFonts w:cs="Times New Roman"/>
          <w:b/>
          <w:szCs w:val="24"/>
          <w:lang w:val="en-US"/>
        </w:rPr>
        <w:lastRenderedPageBreak/>
        <w:t>The goal of this master thesis</w:t>
      </w:r>
      <w:r>
        <w:rPr>
          <w:rFonts w:cs="Times New Roman"/>
          <w:szCs w:val="24"/>
          <w:lang w:val="en-US"/>
        </w:rPr>
        <w:t xml:space="preserve"> is to </w:t>
      </w:r>
      <w:r w:rsidR="005B7F1A">
        <w:rPr>
          <w:rFonts w:cs="Times New Roman"/>
          <w:szCs w:val="24"/>
          <w:lang w:val="en-US"/>
        </w:rPr>
        <w:t>build</w:t>
      </w:r>
      <w:r>
        <w:rPr>
          <w:rFonts w:cs="Times New Roman"/>
          <w:szCs w:val="24"/>
          <w:lang w:val="en-US"/>
        </w:rPr>
        <w:t xml:space="preserve"> </w:t>
      </w:r>
      <w:r w:rsidR="005B7F1A">
        <w:rPr>
          <w:rFonts w:cs="Times New Roman"/>
          <w:szCs w:val="24"/>
          <w:lang w:val="en-US"/>
        </w:rPr>
        <w:t>an</w:t>
      </w:r>
      <w:r>
        <w:rPr>
          <w:rFonts w:cs="Times New Roman"/>
          <w:szCs w:val="24"/>
          <w:lang w:val="en-US"/>
        </w:rPr>
        <w:t xml:space="preserve"> LBO-analysis tool </w:t>
      </w:r>
      <w:r w:rsidR="005B7F1A">
        <w:rPr>
          <w:rFonts w:cs="Times New Roman"/>
          <w:szCs w:val="24"/>
          <w:lang w:val="en-US"/>
        </w:rPr>
        <w:t xml:space="preserve">aiming to choose an LBO-target and further complete its LBO-analysis. </w:t>
      </w:r>
    </w:p>
    <w:p w:rsidR="005B7F1A" w:rsidRDefault="005B7F1A" w:rsidP="005B7F1A">
      <w:pPr>
        <w:pStyle w:val="a5"/>
        <w:spacing w:line="360" w:lineRule="auto"/>
        <w:jc w:val="both"/>
        <w:rPr>
          <w:rFonts w:cs="Times New Roman"/>
          <w:szCs w:val="24"/>
          <w:lang w:val="en-US"/>
        </w:rPr>
      </w:pPr>
      <w:r>
        <w:rPr>
          <w:rFonts w:cs="Times New Roman"/>
          <w:szCs w:val="24"/>
          <w:lang w:val="en-US"/>
        </w:rPr>
        <w:t xml:space="preserve">To achieve this goal, the </w:t>
      </w:r>
      <w:r>
        <w:rPr>
          <w:rFonts w:cs="Times New Roman"/>
          <w:b/>
          <w:szCs w:val="24"/>
          <w:lang w:val="en-US"/>
        </w:rPr>
        <w:t>following objectives were set:</w:t>
      </w:r>
    </w:p>
    <w:p w:rsidR="005B7F1A" w:rsidRDefault="005B7F1A" w:rsidP="008D3CCB">
      <w:pPr>
        <w:pStyle w:val="a5"/>
        <w:numPr>
          <w:ilvl w:val="0"/>
          <w:numId w:val="1"/>
        </w:numPr>
        <w:spacing w:line="360" w:lineRule="auto"/>
        <w:ind w:left="1134"/>
        <w:jc w:val="both"/>
        <w:rPr>
          <w:rFonts w:cs="Times New Roman"/>
          <w:szCs w:val="24"/>
          <w:lang w:val="en-US"/>
        </w:rPr>
      </w:pPr>
      <w:r>
        <w:rPr>
          <w:rFonts w:cs="Times New Roman"/>
          <w:szCs w:val="24"/>
          <w:lang w:val="en-US"/>
        </w:rPr>
        <w:t>Study theoretical aspects of the levered buyouts;</w:t>
      </w:r>
    </w:p>
    <w:p w:rsidR="00AE76F3" w:rsidRDefault="00AE76F3" w:rsidP="008D3CCB">
      <w:pPr>
        <w:pStyle w:val="a5"/>
        <w:numPr>
          <w:ilvl w:val="0"/>
          <w:numId w:val="1"/>
        </w:numPr>
        <w:spacing w:line="360" w:lineRule="auto"/>
        <w:ind w:left="1134"/>
        <w:jc w:val="both"/>
        <w:rPr>
          <w:rFonts w:cs="Times New Roman"/>
          <w:szCs w:val="24"/>
          <w:lang w:val="en-US"/>
        </w:rPr>
      </w:pPr>
      <w:r>
        <w:rPr>
          <w:rFonts w:cs="Times New Roman"/>
          <w:szCs w:val="24"/>
          <w:lang w:val="en-US"/>
        </w:rPr>
        <w:t xml:space="preserve">Study theoretical aspects of LBO-analysis </w:t>
      </w:r>
    </w:p>
    <w:p w:rsidR="005B7F1A" w:rsidRDefault="005B7F1A" w:rsidP="008D3CCB">
      <w:pPr>
        <w:pStyle w:val="a5"/>
        <w:numPr>
          <w:ilvl w:val="0"/>
          <w:numId w:val="1"/>
        </w:numPr>
        <w:spacing w:line="360" w:lineRule="auto"/>
        <w:ind w:left="1134"/>
        <w:jc w:val="both"/>
        <w:rPr>
          <w:rFonts w:cs="Times New Roman"/>
          <w:szCs w:val="24"/>
          <w:lang w:val="en-US"/>
        </w:rPr>
      </w:pPr>
      <w:r>
        <w:rPr>
          <w:rFonts w:cs="Times New Roman"/>
          <w:szCs w:val="24"/>
          <w:lang w:val="en-US"/>
        </w:rPr>
        <w:t>Build an LBO-</w:t>
      </w:r>
      <w:r w:rsidR="00AE76F3">
        <w:rPr>
          <w:rFonts w:cs="Times New Roman"/>
          <w:szCs w:val="24"/>
          <w:lang w:val="en-US"/>
        </w:rPr>
        <w:t>analysis tool;</w:t>
      </w:r>
    </w:p>
    <w:p w:rsidR="00AE76F3" w:rsidRDefault="00AE76F3" w:rsidP="008D3CCB">
      <w:pPr>
        <w:pStyle w:val="a5"/>
        <w:numPr>
          <w:ilvl w:val="0"/>
          <w:numId w:val="1"/>
        </w:numPr>
        <w:spacing w:line="360" w:lineRule="auto"/>
        <w:ind w:left="1134"/>
        <w:jc w:val="both"/>
        <w:rPr>
          <w:rFonts w:cs="Times New Roman"/>
          <w:szCs w:val="24"/>
          <w:lang w:val="en-US"/>
        </w:rPr>
      </w:pPr>
      <w:r>
        <w:rPr>
          <w:rFonts w:cs="Times New Roman"/>
          <w:szCs w:val="24"/>
          <w:lang w:val="en-US"/>
        </w:rPr>
        <w:t xml:space="preserve">Apply this tool on a real company. </w:t>
      </w:r>
    </w:p>
    <w:p w:rsidR="005B7F1A" w:rsidRPr="00AE76F3" w:rsidRDefault="00AE76F3" w:rsidP="007739E6">
      <w:pPr>
        <w:pStyle w:val="a5"/>
        <w:spacing w:line="360" w:lineRule="auto"/>
        <w:ind w:firstLine="360"/>
        <w:jc w:val="both"/>
        <w:rPr>
          <w:rFonts w:cs="Times New Roman"/>
          <w:i/>
          <w:szCs w:val="24"/>
          <w:lang w:val="en-US"/>
        </w:rPr>
      </w:pPr>
      <w:r w:rsidRPr="00AE76F3">
        <w:rPr>
          <w:rFonts w:cs="Times New Roman"/>
          <w:i/>
          <w:szCs w:val="24"/>
          <w:lang w:val="en-US"/>
        </w:rPr>
        <w:t xml:space="preserve">Managerial application </w:t>
      </w:r>
    </w:p>
    <w:p w:rsidR="00AE76F3" w:rsidRDefault="007739E6" w:rsidP="00C93C1E">
      <w:pPr>
        <w:pStyle w:val="a5"/>
        <w:spacing w:line="360" w:lineRule="auto"/>
        <w:ind w:firstLine="360"/>
        <w:jc w:val="both"/>
        <w:rPr>
          <w:rFonts w:cs="Times New Roman"/>
          <w:szCs w:val="24"/>
          <w:lang w:val="en-US"/>
        </w:rPr>
      </w:pPr>
      <w:r>
        <w:rPr>
          <w:rFonts w:cs="Times New Roman"/>
          <w:szCs w:val="24"/>
          <w:lang w:val="en-US"/>
        </w:rPr>
        <w:t>This paper will give a firsthand perspective and understanding of how the LBO-</w:t>
      </w:r>
      <w:r w:rsidR="00AE76F3">
        <w:rPr>
          <w:rFonts w:cs="Times New Roman"/>
          <w:szCs w:val="24"/>
          <w:lang w:val="en-US"/>
        </w:rPr>
        <w:t>analysis process works. On the one hand, it will be useful for investors, conducting LBO-analysis, as it will provide an integral approach in analysis by addressing their main prior LBO objectives at once: choosing an LBO-target and evaluating the target.</w:t>
      </w:r>
      <w:r w:rsidR="00BF6D29">
        <w:rPr>
          <w:rFonts w:cs="Times New Roman"/>
          <w:szCs w:val="24"/>
          <w:lang w:val="en-US"/>
        </w:rPr>
        <w:t xml:space="preserve"> </w:t>
      </w:r>
      <w:r w:rsidR="00AE76F3">
        <w:rPr>
          <w:rFonts w:cs="Times New Roman"/>
          <w:szCs w:val="24"/>
          <w:lang w:val="en-US"/>
        </w:rPr>
        <w:t>On th</w:t>
      </w:r>
      <w:r w:rsidR="00C93C1E">
        <w:rPr>
          <w:rFonts w:cs="Times New Roman"/>
          <w:szCs w:val="24"/>
          <w:lang w:val="en-US"/>
        </w:rPr>
        <w:t>e other hand, it will be useful for a novice wanting to get enter the investment banking or private equity field. The work may serve as a</w:t>
      </w:r>
      <w:r w:rsidR="008D3386">
        <w:rPr>
          <w:rFonts w:cs="Times New Roman"/>
          <w:szCs w:val="24"/>
          <w:lang w:val="en-US"/>
        </w:rPr>
        <w:t>n</w:t>
      </w:r>
      <w:r w:rsidR="00C93C1E">
        <w:rPr>
          <w:rFonts w:cs="Times New Roman"/>
          <w:szCs w:val="24"/>
          <w:lang w:val="en-US"/>
        </w:rPr>
        <w:t xml:space="preserve"> introductory educational tool in their attempt to  </w:t>
      </w:r>
      <w:r>
        <w:rPr>
          <w:rFonts w:cs="Times New Roman"/>
          <w:szCs w:val="24"/>
          <w:lang w:val="en-US"/>
        </w:rPr>
        <w:t xml:space="preserve"> create their own analyses. </w:t>
      </w:r>
    </w:p>
    <w:p w:rsidR="00BF6D29" w:rsidRDefault="00BF6D29" w:rsidP="00C93C1E">
      <w:pPr>
        <w:pStyle w:val="a5"/>
        <w:spacing w:line="360" w:lineRule="auto"/>
        <w:ind w:firstLine="360"/>
        <w:jc w:val="both"/>
        <w:rPr>
          <w:rFonts w:cs="Times New Roman"/>
          <w:szCs w:val="24"/>
          <w:lang w:val="en-US"/>
        </w:rPr>
      </w:pPr>
      <w:r>
        <w:rPr>
          <w:rFonts w:cs="Times New Roman"/>
          <w:szCs w:val="24"/>
          <w:lang w:val="en-US"/>
        </w:rPr>
        <w:t xml:space="preserve">The </w:t>
      </w:r>
      <w:proofErr w:type="gramStart"/>
      <w:r>
        <w:rPr>
          <w:rFonts w:cs="Times New Roman"/>
          <w:szCs w:val="24"/>
          <w:lang w:val="en-US"/>
        </w:rPr>
        <w:t>international experience of the LBO-analysis is expressed by the algorithm used to perform</w:t>
      </w:r>
      <w:proofErr w:type="gramEnd"/>
      <w:r>
        <w:rPr>
          <w:rFonts w:cs="Times New Roman"/>
          <w:szCs w:val="24"/>
          <w:lang w:val="en-US"/>
        </w:rPr>
        <w:t xml:space="preserve"> the LBO-analysis. In fact, the work integrates the best practices used by the leading international investments banks in one entity. </w:t>
      </w:r>
    </w:p>
    <w:p w:rsidR="007739E6" w:rsidRDefault="007739E6" w:rsidP="007739E6">
      <w:pPr>
        <w:pStyle w:val="a5"/>
        <w:spacing w:line="360" w:lineRule="auto"/>
        <w:ind w:firstLine="360"/>
        <w:jc w:val="both"/>
        <w:rPr>
          <w:rFonts w:cs="Times New Roman"/>
          <w:szCs w:val="24"/>
          <w:lang w:val="en-US"/>
        </w:rPr>
      </w:pPr>
      <w:r>
        <w:rPr>
          <w:rFonts w:cs="Times New Roman"/>
          <w:szCs w:val="24"/>
          <w:lang w:val="en-US"/>
        </w:rPr>
        <w:t xml:space="preserve">In the first chapter of the master </w:t>
      </w:r>
      <w:proofErr w:type="gramStart"/>
      <w:r w:rsidR="008D3386">
        <w:rPr>
          <w:rFonts w:cs="Times New Roman"/>
          <w:szCs w:val="24"/>
          <w:lang w:val="en-US"/>
        </w:rPr>
        <w:t>thesis</w:t>
      </w:r>
      <w:proofErr w:type="gramEnd"/>
      <w:r>
        <w:rPr>
          <w:rFonts w:cs="Times New Roman"/>
          <w:szCs w:val="24"/>
          <w:lang w:val="en-US"/>
        </w:rPr>
        <w:t xml:space="preserve"> an overview of fundamentals of leveraged buyouts</w:t>
      </w:r>
      <w:r w:rsidR="008D3386">
        <w:rPr>
          <w:rFonts w:cs="Times New Roman"/>
          <w:szCs w:val="24"/>
          <w:lang w:val="en-US"/>
        </w:rPr>
        <w:t xml:space="preserve"> is provided</w:t>
      </w:r>
      <w:r>
        <w:rPr>
          <w:rFonts w:cs="Times New Roman"/>
          <w:szCs w:val="24"/>
          <w:lang w:val="en-US"/>
        </w:rPr>
        <w:t>. In this part are discussed the main concept of LBO, key LBO participants, characteristics of a strong LBO candidate, possible financing structure and the scheme of LBO transaction.</w:t>
      </w:r>
      <w:r w:rsidR="008D3386">
        <w:rPr>
          <w:rFonts w:cs="Times New Roman"/>
          <w:szCs w:val="24"/>
          <w:lang w:val="en-US"/>
        </w:rPr>
        <w:t xml:space="preserve"> Moreover, a review of academic and business literature on LBO-analysis is preformed. </w:t>
      </w:r>
      <w:r>
        <w:rPr>
          <w:rFonts w:cs="Times New Roman"/>
          <w:szCs w:val="24"/>
          <w:lang w:val="en-US"/>
        </w:rPr>
        <w:t xml:space="preserve"> </w:t>
      </w:r>
    </w:p>
    <w:p w:rsidR="007739E6" w:rsidRDefault="00503604" w:rsidP="007739E6">
      <w:pPr>
        <w:pStyle w:val="a5"/>
        <w:spacing w:line="360" w:lineRule="auto"/>
        <w:ind w:firstLine="360"/>
        <w:jc w:val="both"/>
        <w:rPr>
          <w:rFonts w:cs="Times New Roman"/>
          <w:szCs w:val="24"/>
          <w:lang w:val="en-US"/>
        </w:rPr>
      </w:pPr>
      <w:r>
        <w:rPr>
          <w:rFonts w:cs="Times New Roman"/>
          <w:szCs w:val="24"/>
          <w:lang w:val="en-US"/>
        </w:rPr>
        <w:t>Second</w:t>
      </w:r>
      <w:r w:rsidR="007739E6">
        <w:rPr>
          <w:rFonts w:cs="Times New Roman"/>
          <w:szCs w:val="24"/>
          <w:lang w:val="en-US"/>
        </w:rPr>
        <w:t xml:space="preserve"> chapter</w:t>
      </w:r>
      <w:r w:rsidR="008D3386">
        <w:rPr>
          <w:rFonts w:cs="Times New Roman"/>
          <w:szCs w:val="24"/>
          <w:lang w:val="en-US"/>
        </w:rPr>
        <w:t xml:space="preserve"> focuses on building an LBO-analysis tool, including</w:t>
      </w:r>
      <w:r w:rsidR="007739E6">
        <w:rPr>
          <w:rFonts w:cs="Times New Roman"/>
          <w:szCs w:val="24"/>
          <w:lang w:val="en-US"/>
        </w:rPr>
        <w:t xml:space="preserve"> an LBO-model and LBO-screener</w:t>
      </w:r>
      <w:r w:rsidR="008D3386">
        <w:rPr>
          <w:rFonts w:cs="Times New Roman"/>
          <w:szCs w:val="24"/>
          <w:lang w:val="en-US"/>
        </w:rPr>
        <w:t>. The LBO-</w:t>
      </w:r>
      <w:r w:rsidR="007739E6">
        <w:rPr>
          <w:rFonts w:cs="Times New Roman"/>
          <w:szCs w:val="24"/>
          <w:lang w:val="en-US"/>
        </w:rPr>
        <w:t xml:space="preserve">model </w:t>
      </w:r>
      <w:proofErr w:type="gramStart"/>
      <w:r w:rsidR="007739E6">
        <w:rPr>
          <w:rFonts w:cs="Times New Roman"/>
          <w:szCs w:val="24"/>
          <w:lang w:val="en-US"/>
        </w:rPr>
        <w:t>is created</w:t>
      </w:r>
      <w:proofErr w:type="gramEnd"/>
      <w:r w:rsidR="007739E6">
        <w:rPr>
          <w:rFonts w:cs="Times New Roman"/>
          <w:szCs w:val="24"/>
          <w:lang w:val="en-US"/>
        </w:rPr>
        <w:t xml:space="preserve"> based on fundamental tools used by </w:t>
      </w:r>
      <w:r w:rsidR="008D3386">
        <w:rPr>
          <w:rFonts w:cs="Times New Roman"/>
          <w:szCs w:val="24"/>
          <w:lang w:val="en-US"/>
        </w:rPr>
        <w:t xml:space="preserve">leading </w:t>
      </w:r>
      <w:r w:rsidR="007739E6">
        <w:rPr>
          <w:rFonts w:cs="Times New Roman"/>
          <w:szCs w:val="24"/>
          <w:lang w:val="en-US"/>
        </w:rPr>
        <w:t xml:space="preserve">investment banks and private equity funds worldwide and publicly available models, including ones developed by Rosembaum and Pearl, Paul Pignataro. </w:t>
      </w:r>
      <w:r>
        <w:rPr>
          <w:rFonts w:cs="Times New Roman"/>
          <w:szCs w:val="24"/>
          <w:lang w:val="en-US"/>
        </w:rPr>
        <w:t xml:space="preserve">After </w:t>
      </w:r>
      <w:proofErr w:type="gramStart"/>
      <w:r>
        <w:rPr>
          <w:rFonts w:cs="Times New Roman"/>
          <w:szCs w:val="24"/>
          <w:lang w:val="en-US"/>
        </w:rPr>
        <w:t>that</w:t>
      </w:r>
      <w:proofErr w:type="gramEnd"/>
      <w:r>
        <w:rPr>
          <w:rFonts w:cs="Times New Roman"/>
          <w:szCs w:val="24"/>
          <w:lang w:val="en-US"/>
        </w:rPr>
        <w:t xml:space="preserve"> the tool is applied on the set of real companies. </w:t>
      </w:r>
    </w:p>
    <w:p w:rsidR="003C62BE" w:rsidRDefault="008D3386" w:rsidP="003C62BE">
      <w:pPr>
        <w:pStyle w:val="a5"/>
        <w:spacing w:line="360" w:lineRule="auto"/>
        <w:ind w:firstLine="360"/>
        <w:jc w:val="both"/>
        <w:rPr>
          <w:lang w:val="en-US"/>
        </w:rPr>
      </w:pPr>
      <w:r>
        <w:rPr>
          <w:rFonts w:cs="Times New Roman"/>
          <w:szCs w:val="24"/>
          <w:lang w:val="en-US"/>
        </w:rPr>
        <w:t xml:space="preserve">In the third </w:t>
      </w:r>
      <w:r w:rsidR="00A0075A">
        <w:rPr>
          <w:rFonts w:cs="Times New Roman"/>
          <w:szCs w:val="24"/>
          <w:lang w:val="en-US"/>
        </w:rPr>
        <w:t>chapter,</w:t>
      </w:r>
      <w:r>
        <w:rPr>
          <w:rFonts w:cs="Times New Roman"/>
          <w:szCs w:val="24"/>
          <w:lang w:val="en-US"/>
        </w:rPr>
        <w:t xml:space="preserve"> main limitations of the proposed LBO-analysis tool </w:t>
      </w:r>
      <w:proofErr w:type="gramStart"/>
      <w:r>
        <w:rPr>
          <w:rFonts w:cs="Times New Roman"/>
          <w:szCs w:val="24"/>
          <w:lang w:val="en-US"/>
        </w:rPr>
        <w:t>are analyzed</w:t>
      </w:r>
      <w:proofErr w:type="gramEnd"/>
      <w:r>
        <w:rPr>
          <w:rFonts w:cs="Times New Roman"/>
          <w:szCs w:val="24"/>
          <w:lang w:val="en-US"/>
        </w:rPr>
        <w:t xml:space="preserve">. </w:t>
      </w:r>
      <w:r w:rsidR="003C62BE">
        <w:rPr>
          <w:lang w:val="en-US"/>
        </w:rPr>
        <w:br w:type="page"/>
      </w:r>
    </w:p>
    <w:p w:rsidR="007739E6" w:rsidRDefault="00D254BF" w:rsidP="003C62BE">
      <w:pPr>
        <w:pStyle w:val="1"/>
        <w:spacing w:line="360" w:lineRule="auto"/>
        <w:rPr>
          <w:lang w:val="en-US"/>
        </w:rPr>
      </w:pPr>
      <w:bookmarkStart w:id="0" w:name="_Toc483074635"/>
      <w:r>
        <w:rPr>
          <w:lang w:val="en-US"/>
        </w:rPr>
        <w:lastRenderedPageBreak/>
        <w:t>CHAPTER 1. THEORETICAL BACKGROUND AND LITERATURE REVIEW</w:t>
      </w:r>
      <w:bookmarkEnd w:id="0"/>
      <w:r>
        <w:rPr>
          <w:lang w:val="en-US"/>
        </w:rPr>
        <w:t xml:space="preserve"> </w:t>
      </w:r>
    </w:p>
    <w:p w:rsidR="003C62BE" w:rsidRDefault="00D254BF" w:rsidP="008D3CCB">
      <w:pPr>
        <w:pStyle w:val="2"/>
        <w:numPr>
          <w:ilvl w:val="1"/>
          <w:numId w:val="2"/>
        </w:numPr>
        <w:spacing w:line="360" w:lineRule="auto"/>
        <w:rPr>
          <w:lang w:val="en-US"/>
        </w:rPr>
      </w:pPr>
      <w:bookmarkStart w:id="1" w:name="_Toc483074636"/>
      <w:r>
        <w:rPr>
          <w:lang w:val="en-US"/>
        </w:rPr>
        <w:t xml:space="preserve">Theoretical </w:t>
      </w:r>
      <w:r w:rsidR="003C62BE">
        <w:rPr>
          <w:lang w:val="en-US"/>
        </w:rPr>
        <w:t>background on</w:t>
      </w:r>
      <w:r>
        <w:rPr>
          <w:lang w:val="en-US"/>
        </w:rPr>
        <w:t xml:space="preserve"> levered buy outs</w:t>
      </w:r>
      <w:bookmarkEnd w:id="1"/>
      <w:r>
        <w:rPr>
          <w:lang w:val="en-US"/>
        </w:rPr>
        <w:t xml:space="preserve"> </w:t>
      </w:r>
      <w:bookmarkStart w:id="2" w:name="_Toc482826464"/>
    </w:p>
    <w:p w:rsidR="003C62BE" w:rsidRPr="003C62BE" w:rsidRDefault="003C62BE" w:rsidP="008D3CCB">
      <w:pPr>
        <w:pStyle w:val="3"/>
        <w:numPr>
          <w:ilvl w:val="2"/>
          <w:numId w:val="2"/>
        </w:numPr>
        <w:rPr>
          <w:lang w:val="en-US"/>
        </w:rPr>
      </w:pPr>
      <w:bookmarkStart w:id="3" w:name="_Toc483074637"/>
      <w:r w:rsidRPr="003C62BE">
        <w:rPr>
          <w:lang w:val="en-US"/>
        </w:rPr>
        <w:t xml:space="preserve">What is an </w:t>
      </w:r>
      <w:bookmarkEnd w:id="2"/>
      <w:r>
        <w:rPr>
          <w:lang w:val="en-US"/>
        </w:rPr>
        <w:t>levered buyout</w:t>
      </w:r>
      <w:bookmarkEnd w:id="3"/>
      <w:r>
        <w:rPr>
          <w:lang w:val="en-US"/>
        </w:rPr>
        <w:t xml:space="preserve">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A leveraged buyout – is an acquisition of a company, division, business or a portfolio of assets (or any other “target”), by a group of internal or external financial or strategic investors (sponsors) with the use of debt (out-of-the-pocket money)</w:t>
      </w:r>
      <w:r>
        <w:rPr>
          <w:rStyle w:val="a9"/>
          <w:rFonts w:cs="Times New Roman"/>
          <w:szCs w:val="24"/>
          <w:lang w:val="en-US"/>
        </w:rPr>
        <w:footnoteReference w:id="15"/>
      </w:r>
      <w:r>
        <w:rPr>
          <w:rFonts w:cs="Times New Roman"/>
          <w:szCs w:val="24"/>
          <w:lang w:val="en-US"/>
        </w:rPr>
        <w:t xml:space="preserve"> to finance a relatively large portion of the purchase price. At the same time, borrowed funds </w:t>
      </w:r>
      <w:proofErr w:type="gramStart"/>
      <w:r>
        <w:rPr>
          <w:rFonts w:cs="Times New Roman"/>
          <w:szCs w:val="24"/>
          <w:lang w:val="en-US"/>
        </w:rPr>
        <w:t>are attracted</w:t>
      </w:r>
      <w:proofErr w:type="gramEnd"/>
      <w:r>
        <w:rPr>
          <w:rFonts w:cs="Times New Roman"/>
          <w:szCs w:val="24"/>
          <w:lang w:val="en-US"/>
        </w:rPr>
        <w:t xml:space="preserve"> under the provision of the assets base and the future cash flows of the company being redeemed and are documented on its balance sheet.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The remaining portion of the purchase price </w:t>
      </w:r>
      <w:proofErr w:type="gramStart"/>
      <w:r>
        <w:rPr>
          <w:rFonts w:cs="Times New Roman"/>
          <w:szCs w:val="24"/>
          <w:lang w:val="en-US"/>
        </w:rPr>
        <w:t>is financed</w:t>
      </w:r>
      <w:proofErr w:type="gramEnd"/>
      <w:r>
        <w:rPr>
          <w:rFonts w:cs="Times New Roman"/>
          <w:szCs w:val="24"/>
          <w:lang w:val="en-US"/>
        </w:rPr>
        <w:t xml:space="preserve"> by the buyer's own funds. In the financing structure of a traditional LBO, debt obligations can comprise from 60% to 70% of the transaction value, and, accordingly, the share of own funds ranges </w:t>
      </w:r>
      <w:proofErr w:type="gramStart"/>
      <w:r>
        <w:rPr>
          <w:rFonts w:cs="Times New Roman"/>
          <w:szCs w:val="24"/>
          <w:lang w:val="en-US"/>
        </w:rPr>
        <w:t>between 30% to 40%</w:t>
      </w:r>
      <w:proofErr w:type="gramEnd"/>
      <w:r>
        <w:rPr>
          <w:rFonts w:cs="Times New Roman"/>
          <w:szCs w:val="24"/>
          <w:lang w:val="en-US"/>
        </w:rPr>
        <w:t>.</w:t>
      </w:r>
      <w:r>
        <w:rPr>
          <w:rStyle w:val="a9"/>
          <w:rFonts w:cs="Times New Roman"/>
          <w:szCs w:val="24"/>
          <w:lang w:val="en-US"/>
        </w:rPr>
        <w:footnoteReference w:id="16"/>
      </w:r>
      <w:r>
        <w:rPr>
          <w:rFonts w:cs="Times New Roman"/>
          <w:szCs w:val="24"/>
          <w:lang w:val="en-US"/>
        </w:rPr>
        <w:t xml:space="preserve"> It is important to understand that these are only approximate </w:t>
      </w:r>
      <w:proofErr w:type="gramStart"/>
      <w:r>
        <w:rPr>
          <w:rFonts w:cs="Times New Roman"/>
          <w:szCs w:val="24"/>
          <w:lang w:val="en-US"/>
        </w:rPr>
        <w:t>values,</w:t>
      </w:r>
      <w:proofErr w:type="gramEnd"/>
      <w:r>
        <w:rPr>
          <w:rFonts w:cs="Times New Roman"/>
          <w:szCs w:val="24"/>
          <w:lang w:val="en-US"/>
        </w:rPr>
        <w:t xml:space="preserve"> each specific transaction has its own financing structure. As a rule, financial investors try to attract as much borrowed funds as possible, so the share of debt can reach 90%.</w:t>
      </w:r>
      <w:r>
        <w:rPr>
          <w:rStyle w:val="a9"/>
          <w:rFonts w:cs="Times New Roman"/>
          <w:szCs w:val="24"/>
          <w:lang w:val="en-US"/>
        </w:rPr>
        <w:footnoteReference w:id="17"/>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Within the LBO-deal, sponsors can buy out broad range of businesses both public and non-public companies, as well as their subsidiaries or divisions. The ultimate goal of a financial sponsor is to get a return (usually more than 20%) to exit the deal by initial public offer of a target or by reselling it to a strategic or financial investor, usually within the next 5-7 years. </w:t>
      </w:r>
      <w:proofErr w:type="gramStart"/>
      <w:r>
        <w:rPr>
          <w:rFonts w:cs="Times New Roman"/>
          <w:szCs w:val="24"/>
          <w:lang w:val="en-US"/>
        </w:rPr>
        <w:t>High required</w:t>
      </w:r>
      <w:proofErr w:type="gramEnd"/>
      <w:r>
        <w:rPr>
          <w:rFonts w:cs="Times New Roman"/>
          <w:szCs w:val="24"/>
          <w:lang w:val="en-US"/>
        </w:rPr>
        <w:t xml:space="preserve"> yields are determined by high risks arising from large obligations of debt payment that fall on the target.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The main economic benefit of LBO from the point of the investor is to increase the return on investments through debt financing of the transaction, as compared to the return for a standard acquisition financed from equity funds only. This system works because the use of debt allows the sponsor to extract value through tax shield. The more debt the sponsor can attract, the less amount of equity the investor will have to invest, and, accordingly, the greater benefit from participating in the transaction will be.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During the time holding time (between time from which sponsor acquires the target until its exit) cash flows are used to service and repay the debt thereby increasing the equity portion in capital structure. At the same time, the investors aim to improve the financial performance of the </w:t>
      </w:r>
      <w:r>
        <w:rPr>
          <w:rFonts w:cs="Times New Roman"/>
          <w:szCs w:val="24"/>
          <w:lang w:val="en-US"/>
        </w:rPr>
        <w:lastRenderedPageBreak/>
        <w:t xml:space="preserve">company and increase the enterprise value in order to exit the deal with highest multiple possible. Therefore, an appropriate LBO financing structure as well as corporate governance must balance the ability of target to repay the debt and the need to use the generated cash to finance business growth.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The primary source of debt in LBO is the issuance of different forms of debt, securities, and other loan instruments classified by their security status and seniority in the capital structure. The condition of the current debt market, availability and the cost of debt play the key role in determining </w:t>
      </w:r>
      <w:proofErr w:type="gramStart"/>
      <w:r>
        <w:rPr>
          <w:rFonts w:cs="Times New Roman"/>
          <w:szCs w:val="24"/>
          <w:lang w:val="en-US"/>
        </w:rPr>
        <w:t>leverage</w:t>
      </w:r>
      <w:proofErr w:type="gramEnd"/>
      <w:r>
        <w:rPr>
          <w:rFonts w:cs="Times New Roman"/>
          <w:szCs w:val="24"/>
          <w:lang w:val="en-US"/>
        </w:rPr>
        <w:t xml:space="preserve"> levels in the financing structure. The equity portion of the financing is usually sourced from a pool of capital (‘fund’) managed buy buyer side. This finds size may range from millions to tens billions of dollars depending on each particular investor pull.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Since the debt repayment obligations fall on the target company, a number of certain requirements </w:t>
      </w:r>
      <w:proofErr w:type="gramStart"/>
      <w:r>
        <w:rPr>
          <w:rFonts w:cs="Times New Roman"/>
          <w:szCs w:val="24"/>
          <w:lang w:val="en-US"/>
        </w:rPr>
        <w:t>are presented</w:t>
      </w:r>
      <w:proofErr w:type="gramEnd"/>
      <w:r>
        <w:rPr>
          <w:rFonts w:cs="Times New Roman"/>
          <w:szCs w:val="24"/>
          <w:lang w:val="en-US"/>
        </w:rPr>
        <w:t xml:space="preserve"> to this companies from creditor side. Among them are stable cash flows necessary to pay off the debt and strong asset base necessary for getting a bank loan (the least expensive source of debt financing), and acting as guarantor of debt repayment in case of bankruptcy. Thus, companies with stable and predictable cash flows, as well as a strong material base, appear to be an attractive target for LBO. </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There are several types of LBO transactions. In case when a team of target managers initiates the buyout, for example, as a protection from a hostile takeover, it </w:t>
      </w:r>
      <w:proofErr w:type="gramStart"/>
      <w:r>
        <w:rPr>
          <w:rFonts w:cs="Times New Roman"/>
          <w:szCs w:val="24"/>
          <w:lang w:val="en-US"/>
        </w:rPr>
        <w:t>will be called</w:t>
      </w:r>
      <w:proofErr w:type="gramEnd"/>
      <w:r>
        <w:rPr>
          <w:rFonts w:cs="Times New Roman"/>
          <w:szCs w:val="24"/>
          <w:lang w:val="en-US"/>
        </w:rPr>
        <w:t xml:space="preserve"> Management Buyout (MBO). Most of the transactions conducted between 2000 and 2007 </w:t>
      </w:r>
      <w:proofErr w:type="gramStart"/>
      <w:r>
        <w:rPr>
          <w:rFonts w:cs="Times New Roman"/>
          <w:szCs w:val="24"/>
          <w:lang w:val="en-US"/>
        </w:rPr>
        <w:t>can be attributed</w:t>
      </w:r>
      <w:proofErr w:type="gramEnd"/>
      <w:r>
        <w:rPr>
          <w:rFonts w:cs="Times New Roman"/>
          <w:szCs w:val="24"/>
          <w:lang w:val="en-US"/>
        </w:rPr>
        <w:t xml:space="preserve"> to this category.</w:t>
      </w:r>
      <w:r>
        <w:rPr>
          <w:rStyle w:val="a9"/>
          <w:rFonts w:cs="Times New Roman"/>
          <w:szCs w:val="24"/>
          <w:lang w:val="en-US"/>
        </w:rPr>
        <w:footnoteReference w:id="18"/>
      </w:r>
      <w:r>
        <w:rPr>
          <w:rFonts w:cs="Times New Roman"/>
          <w:szCs w:val="24"/>
          <w:lang w:val="en-US"/>
        </w:rPr>
        <w:t xml:space="preserve"> Very often the MBO is hold with the support of an equity partner (such as financial sponsor), who provides capital support and access to debt financing through established investment banking relationships. The basic logic behind an MBO is that management believes it will be able to create more value running the company under their own ownership. Another rationale is that MBO structure eliminates the agency problem between the management team and the board of directors, since the owner-managers are able to run the company as they see it. Of course, other LBO scenarios also exist, for </w:t>
      </w:r>
      <w:proofErr w:type="gramStart"/>
      <w:r>
        <w:rPr>
          <w:rFonts w:cs="Times New Roman"/>
          <w:szCs w:val="24"/>
          <w:lang w:val="en-US"/>
        </w:rPr>
        <w:t>example</w:t>
      </w:r>
      <w:proofErr w:type="gramEnd"/>
      <w:r>
        <w:rPr>
          <w:rFonts w:cs="Times New Roman"/>
          <w:szCs w:val="24"/>
          <w:lang w:val="en-US"/>
        </w:rPr>
        <w:t xml:space="preserve"> management buys out a division or subsidiary believing that it will more effectively be ran when separated from the parent company.</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In case when </w:t>
      </w:r>
      <w:proofErr w:type="gramStart"/>
      <w:r>
        <w:rPr>
          <w:rFonts w:cs="Times New Roman"/>
          <w:szCs w:val="24"/>
          <w:lang w:val="en-US"/>
        </w:rPr>
        <w:t>a team of third-party managers decide</w:t>
      </w:r>
      <w:proofErr w:type="gramEnd"/>
      <w:r>
        <w:rPr>
          <w:rFonts w:cs="Times New Roman"/>
          <w:szCs w:val="24"/>
          <w:lang w:val="en-US"/>
        </w:rPr>
        <w:t xml:space="preserve"> to make a buyout in order to further displace the current management team, it will be called Management Buyin (MBI). At first glance, MBO and MBI are similar, since the initiator of the transaction in both cases is management. Nevertheless, since the level of information transparency concerning the target company will vary significantly, these two types of transactions </w:t>
      </w:r>
      <w:proofErr w:type="gramStart"/>
      <w:r>
        <w:rPr>
          <w:rFonts w:cs="Times New Roman"/>
          <w:szCs w:val="24"/>
          <w:lang w:val="en-US"/>
        </w:rPr>
        <w:t>are divided</w:t>
      </w:r>
      <w:proofErr w:type="gramEnd"/>
      <w:r>
        <w:rPr>
          <w:rFonts w:cs="Times New Roman"/>
          <w:szCs w:val="24"/>
          <w:lang w:val="en-US"/>
        </w:rPr>
        <w:t xml:space="preserve">. In addition, MBIs are hostile takeovers in fact, as they </w:t>
      </w:r>
      <w:proofErr w:type="gramStart"/>
      <w:r>
        <w:rPr>
          <w:rFonts w:cs="Times New Roman"/>
          <w:szCs w:val="24"/>
          <w:lang w:val="en-US"/>
        </w:rPr>
        <w:t>are based</w:t>
      </w:r>
      <w:proofErr w:type="gramEnd"/>
      <w:r>
        <w:rPr>
          <w:rFonts w:cs="Times New Roman"/>
          <w:szCs w:val="24"/>
          <w:lang w:val="en-US"/>
        </w:rPr>
        <w:t xml:space="preserve"> on the belief that the management is unable to fully realize the potential </w:t>
      </w:r>
      <w:r>
        <w:rPr>
          <w:rFonts w:cs="Times New Roman"/>
          <w:szCs w:val="24"/>
          <w:lang w:val="en-US"/>
        </w:rPr>
        <w:lastRenderedPageBreak/>
        <w:t xml:space="preserve">of the company. Another type of LBO transactions is Institutional Buyout (IBO), in which only institutional investors or LBO-firm become new owner of the company. If they decide to retain the current management team in the target company, then, as a rule, a share-based compensation system </w:t>
      </w:r>
      <w:proofErr w:type="gramStart"/>
      <w:r>
        <w:rPr>
          <w:rFonts w:cs="Times New Roman"/>
          <w:szCs w:val="24"/>
          <w:lang w:val="en-US"/>
        </w:rPr>
        <w:t>is introduced</w:t>
      </w:r>
      <w:proofErr w:type="gramEnd"/>
      <w:r>
        <w:rPr>
          <w:rFonts w:cs="Times New Roman"/>
          <w:szCs w:val="24"/>
          <w:lang w:val="en-US"/>
        </w:rPr>
        <w:t>. The main difference between MBO and IBO is whether the target management receives its income by being the investor of the buy-out (MBO), or within the compensation package (IBO).</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Finally, in the article Salvatore &amp; Olsen (2003), another subtype of LBO transactions </w:t>
      </w:r>
      <w:proofErr w:type="gramStart"/>
      <w:r>
        <w:rPr>
          <w:rFonts w:cs="Times New Roman"/>
          <w:szCs w:val="24"/>
          <w:lang w:val="en-US"/>
        </w:rPr>
        <w:t>is discussed</w:t>
      </w:r>
      <w:proofErr w:type="gramEnd"/>
      <w:r>
        <w:rPr>
          <w:rFonts w:cs="Times New Roman"/>
          <w:szCs w:val="24"/>
          <w:lang w:val="en-US"/>
        </w:rPr>
        <w:t xml:space="preserve">. In fact, it is a combination of MBI and MBO - BIMBO, in which the buyout is initiated by a group of managers, which can include both current and </w:t>
      </w:r>
      <w:proofErr w:type="gramStart"/>
      <w:r>
        <w:rPr>
          <w:rFonts w:cs="Times New Roman"/>
          <w:szCs w:val="24"/>
          <w:lang w:val="en-US"/>
        </w:rPr>
        <w:t>third-party</w:t>
      </w:r>
      <w:proofErr w:type="gramEnd"/>
      <w:r>
        <w:rPr>
          <w:rFonts w:cs="Times New Roman"/>
          <w:szCs w:val="24"/>
          <w:lang w:val="en-US"/>
        </w:rPr>
        <w:t xml:space="preserve"> managers. Other types may include Management Employee Buyouts, where both employees and management of the company act as investors and participate in the financing of the transaction.</w:t>
      </w:r>
    </w:p>
    <w:p w:rsidR="003C62BE" w:rsidRDefault="003C62BE" w:rsidP="003C62BE">
      <w:pPr>
        <w:pStyle w:val="a5"/>
        <w:spacing w:line="360" w:lineRule="auto"/>
        <w:ind w:firstLine="720"/>
        <w:jc w:val="both"/>
        <w:rPr>
          <w:rFonts w:cs="Times New Roman"/>
          <w:szCs w:val="24"/>
          <w:lang w:val="en-US"/>
        </w:rPr>
      </w:pPr>
      <w:r>
        <w:rPr>
          <w:rFonts w:cs="Times New Roman"/>
          <w:szCs w:val="24"/>
          <w:lang w:val="en-US"/>
        </w:rPr>
        <w:t xml:space="preserve">In general, we can say that the entire LBO system is analogous to the acquisition of real estate under mortgage lending. Acquired real estate becomes a security for the loan, just as </w:t>
      </w:r>
      <w:proofErr w:type="gramStart"/>
      <w:r>
        <w:rPr>
          <w:rFonts w:cs="Times New Roman"/>
          <w:szCs w:val="24"/>
          <w:lang w:val="en-US"/>
        </w:rPr>
        <w:t>some of the borrowed financing for the acquisition of the target company is guaranteed by its assets</w:t>
      </w:r>
      <w:proofErr w:type="gramEnd"/>
      <w:r>
        <w:rPr>
          <w:rFonts w:cs="Times New Roman"/>
          <w:szCs w:val="24"/>
          <w:lang w:val="en-US"/>
        </w:rPr>
        <w:t xml:space="preserve">. The cash flows of the target company </w:t>
      </w:r>
      <w:proofErr w:type="gramStart"/>
      <w:r>
        <w:rPr>
          <w:rFonts w:cs="Times New Roman"/>
          <w:szCs w:val="24"/>
          <w:lang w:val="en-US"/>
        </w:rPr>
        <w:t>will be used</w:t>
      </w:r>
      <w:proofErr w:type="gramEnd"/>
      <w:r>
        <w:rPr>
          <w:rFonts w:cs="Times New Roman"/>
          <w:szCs w:val="24"/>
          <w:lang w:val="en-US"/>
        </w:rPr>
        <w:t xml:space="preserve"> to service the debt obligations involved in its acquisition. Similarly, rental payments from the rental of purchased real estate will serve as a source of repayment of a mortgage.</w:t>
      </w:r>
    </w:p>
    <w:p w:rsidR="003C62BE" w:rsidRDefault="003C62BE" w:rsidP="008D3CCB">
      <w:pPr>
        <w:pStyle w:val="3"/>
        <w:numPr>
          <w:ilvl w:val="2"/>
          <w:numId w:val="2"/>
        </w:numPr>
        <w:rPr>
          <w:lang w:val="en-US"/>
        </w:rPr>
      </w:pPr>
      <w:bookmarkStart w:id="4" w:name="_Toc482826465"/>
      <w:bookmarkStart w:id="5" w:name="_Toc483074638"/>
      <w:r>
        <w:rPr>
          <w:lang w:val="en-US"/>
        </w:rPr>
        <w:t>Key Participants of LBO</w:t>
      </w:r>
      <w:bookmarkEnd w:id="4"/>
      <w:bookmarkEnd w:id="5"/>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The key participants of LBO transactions are financial sponsors, investment banks, banks and institutional lenders, bond investors, target management and the target company itself. The general scheme of key parties’ relationships </w:t>
      </w:r>
      <w:proofErr w:type="gramStart"/>
      <w:r>
        <w:rPr>
          <w:rFonts w:cs="Times New Roman"/>
          <w:szCs w:val="24"/>
          <w:lang w:val="en-US"/>
        </w:rPr>
        <w:t>is</w:t>
      </w:r>
      <w:r w:rsidR="006C692C">
        <w:rPr>
          <w:rFonts w:cs="Times New Roman"/>
          <w:szCs w:val="24"/>
          <w:lang w:val="en-US"/>
        </w:rPr>
        <w:t xml:space="preserve"> presented</w:t>
      </w:r>
      <w:proofErr w:type="gramEnd"/>
      <w:r w:rsidR="006C692C">
        <w:rPr>
          <w:rFonts w:cs="Times New Roman"/>
          <w:szCs w:val="24"/>
          <w:lang w:val="en-US"/>
        </w:rPr>
        <w:t xml:space="preserve"> in the picture below (Pic. 1).</w:t>
      </w:r>
      <w:r>
        <w:rPr>
          <w:rFonts w:cs="Times New Roman"/>
          <w:szCs w:val="24"/>
          <w:lang w:val="en-US"/>
        </w:rPr>
        <w:t xml:space="preserve"> </w:t>
      </w:r>
    </w:p>
    <w:p w:rsidR="007A06C4" w:rsidRDefault="006C692C" w:rsidP="003C62BE">
      <w:pPr>
        <w:pStyle w:val="a5"/>
        <w:spacing w:line="360" w:lineRule="auto"/>
        <w:ind w:firstLine="360"/>
        <w:jc w:val="both"/>
        <w:rPr>
          <w:rFonts w:cs="Times New Roman"/>
          <w:szCs w:val="24"/>
          <w:lang w:val="en-US"/>
        </w:rPr>
      </w:pPr>
      <w:r>
        <w:rPr>
          <w:rFonts w:cs="Times New Roman"/>
          <w:noProof/>
          <w:szCs w:val="24"/>
          <w:lang w:eastAsia="ru-RU"/>
        </w:rPr>
        <w:drawing>
          <wp:inline distT="0" distB="0" distL="0" distR="0" wp14:anchorId="560C87E3">
            <wp:extent cx="5251684" cy="139521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5127" cy="1404100"/>
                    </a:xfrm>
                    <a:prstGeom prst="rect">
                      <a:avLst/>
                    </a:prstGeom>
                    <a:noFill/>
                  </pic:spPr>
                </pic:pic>
              </a:graphicData>
            </a:graphic>
          </wp:inline>
        </w:drawing>
      </w:r>
    </w:p>
    <w:p w:rsidR="003C62BE" w:rsidRDefault="006C692C" w:rsidP="003C62BE">
      <w:pPr>
        <w:pStyle w:val="a5"/>
        <w:spacing w:line="360" w:lineRule="auto"/>
        <w:ind w:firstLine="360"/>
        <w:jc w:val="center"/>
        <w:rPr>
          <w:rFonts w:cs="Times New Roman"/>
          <w:szCs w:val="24"/>
          <w:lang w:val="en-US"/>
        </w:rPr>
      </w:pPr>
      <w:r>
        <w:rPr>
          <w:rFonts w:cs="Times New Roman"/>
          <w:szCs w:val="24"/>
          <w:lang w:val="en-US"/>
        </w:rPr>
        <w:t>Pic 1</w:t>
      </w:r>
      <w:r w:rsidR="003C62BE">
        <w:rPr>
          <w:rFonts w:cs="Times New Roman"/>
          <w:szCs w:val="24"/>
          <w:lang w:val="en-US"/>
        </w:rPr>
        <w:t>. Key participants of an LBO transaction</w:t>
      </w:r>
    </w:p>
    <w:p w:rsidR="003C62BE" w:rsidRDefault="003C62BE" w:rsidP="008D3CCB">
      <w:pPr>
        <w:pStyle w:val="a5"/>
        <w:numPr>
          <w:ilvl w:val="0"/>
          <w:numId w:val="3"/>
        </w:numPr>
        <w:spacing w:line="360" w:lineRule="auto"/>
        <w:jc w:val="both"/>
        <w:rPr>
          <w:rFonts w:cs="Times New Roman"/>
          <w:b/>
          <w:szCs w:val="24"/>
          <w:lang w:val="en-US"/>
        </w:rPr>
      </w:pPr>
      <w:r>
        <w:rPr>
          <w:rFonts w:cs="Times New Roman"/>
          <w:b/>
          <w:szCs w:val="24"/>
          <w:lang w:val="en-US"/>
        </w:rPr>
        <w:t xml:space="preserve">The target </w:t>
      </w:r>
    </w:p>
    <w:p w:rsidR="00676AD0" w:rsidRDefault="00676AD0" w:rsidP="00676AD0">
      <w:pPr>
        <w:pStyle w:val="a5"/>
        <w:spacing w:line="360" w:lineRule="auto"/>
        <w:ind w:firstLine="360"/>
        <w:jc w:val="both"/>
        <w:rPr>
          <w:rFonts w:cs="Times New Roman"/>
          <w:szCs w:val="24"/>
          <w:lang w:val="en-US"/>
        </w:rPr>
      </w:pPr>
      <w:proofErr w:type="gramStart"/>
      <w:r>
        <w:rPr>
          <w:rFonts w:cs="Times New Roman"/>
          <w:szCs w:val="24"/>
          <w:lang w:val="en-US"/>
        </w:rPr>
        <w:t>Both public or</w:t>
      </w:r>
      <w:proofErr w:type="gramEnd"/>
      <w:r>
        <w:rPr>
          <w:rFonts w:cs="Times New Roman"/>
          <w:szCs w:val="24"/>
          <w:lang w:val="en-US"/>
        </w:rPr>
        <w:t xml:space="preserve"> private entities can serve as a potential LBO-target. In case if it is public, it is</w:t>
      </w:r>
      <w:r w:rsidR="003C62BE">
        <w:rPr>
          <w:rFonts w:cs="Times New Roman"/>
          <w:szCs w:val="24"/>
          <w:lang w:val="en-US"/>
        </w:rPr>
        <w:t xml:space="preserve"> first </w:t>
      </w:r>
      <w:proofErr w:type="gramStart"/>
      <w:r w:rsidR="003C62BE">
        <w:rPr>
          <w:rFonts w:cs="Times New Roman"/>
          <w:szCs w:val="24"/>
          <w:lang w:val="en-US"/>
        </w:rPr>
        <w:t>being delisted</w:t>
      </w:r>
      <w:proofErr w:type="gramEnd"/>
      <w:r w:rsidR="003C62BE">
        <w:rPr>
          <w:rFonts w:cs="Times New Roman"/>
          <w:szCs w:val="24"/>
          <w:lang w:val="en-US"/>
        </w:rPr>
        <w:t xml:space="preserve">, yet the bond securities and preferred stocks can continue being traded on the stock market. </w:t>
      </w:r>
      <w:proofErr w:type="gramStart"/>
      <w:r w:rsidR="003C62BE">
        <w:rPr>
          <w:rFonts w:cs="Times New Roman"/>
          <w:szCs w:val="24"/>
          <w:lang w:val="en-US"/>
        </w:rPr>
        <w:t>The target can be presented by a company, subsidiary, a division or branch, belonging to a larger entity</w:t>
      </w:r>
      <w:proofErr w:type="gramEnd"/>
      <w:r w:rsidR="003C62BE">
        <w:rPr>
          <w:rFonts w:cs="Times New Roman"/>
          <w:szCs w:val="24"/>
          <w:lang w:val="en-US"/>
        </w:rPr>
        <w:t xml:space="preserve">. In the least case, the transaction </w:t>
      </w:r>
      <w:proofErr w:type="gramStart"/>
      <w:r>
        <w:rPr>
          <w:rFonts w:cs="Times New Roman"/>
          <w:szCs w:val="24"/>
          <w:lang w:val="en-US"/>
        </w:rPr>
        <w:t>is called</w:t>
      </w:r>
      <w:proofErr w:type="gramEnd"/>
      <w:r>
        <w:rPr>
          <w:rFonts w:cs="Times New Roman"/>
          <w:szCs w:val="24"/>
          <w:lang w:val="en-US"/>
        </w:rPr>
        <w:t xml:space="preserve"> a divisional buy out (1). </w:t>
      </w:r>
    </w:p>
    <w:p w:rsidR="00A0075A" w:rsidRDefault="00A0075A" w:rsidP="00676AD0">
      <w:pPr>
        <w:pStyle w:val="a5"/>
        <w:spacing w:line="360" w:lineRule="auto"/>
        <w:ind w:firstLine="360"/>
        <w:jc w:val="both"/>
        <w:rPr>
          <w:rFonts w:cs="Times New Roman"/>
          <w:szCs w:val="24"/>
          <w:lang w:val="en-US"/>
        </w:rPr>
      </w:pPr>
    </w:p>
    <w:p w:rsidR="00A0075A" w:rsidRDefault="00A0075A" w:rsidP="00676AD0">
      <w:pPr>
        <w:pStyle w:val="a5"/>
        <w:spacing w:line="360" w:lineRule="auto"/>
        <w:ind w:firstLine="360"/>
        <w:jc w:val="both"/>
        <w:rPr>
          <w:rFonts w:cs="Times New Roman"/>
          <w:szCs w:val="24"/>
          <w:lang w:val="en-US"/>
        </w:rPr>
      </w:pPr>
    </w:p>
    <w:p w:rsidR="003C62BE" w:rsidRDefault="003C62BE" w:rsidP="008D3CCB">
      <w:pPr>
        <w:pStyle w:val="a5"/>
        <w:numPr>
          <w:ilvl w:val="0"/>
          <w:numId w:val="3"/>
        </w:numPr>
        <w:spacing w:line="360" w:lineRule="auto"/>
        <w:jc w:val="both"/>
        <w:rPr>
          <w:rFonts w:cs="Times New Roman"/>
          <w:b/>
          <w:szCs w:val="24"/>
          <w:lang w:val="en-US"/>
        </w:rPr>
      </w:pPr>
      <w:r>
        <w:rPr>
          <w:rFonts w:cs="Times New Roman"/>
          <w:b/>
          <w:szCs w:val="24"/>
          <w:lang w:val="en-US"/>
        </w:rPr>
        <w:lastRenderedPageBreak/>
        <w:t>Financial sponsors</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Financial sponsors represent the buy side in the LBO transaction scheme, whose main function is providing equity financing</w:t>
      </w:r>
      <w:r w:rsidR="00676AD0">
        <w:rPr>
          <w:rFonts w:cs="Times New Roman"/>
          <w:szCs w:val="24"/>
          <w:lang w:val="en-US"/>
        </w:rPr>
        <w:t xml:space="preserve"> (2)</w:t>
      </w:r>
      <w:r>
        <w:rPr>
          <w:rFonts w:cs="Times New Roman"/>
          <w:szCs w:val="24"/>
          <w:lang w:val="en-US"/>
        </w:rPr>
        <w:t xml:space="preserve">. They are the main actors in the LBO system, since they are the one to initiate of the transaction. </w:t>
      </w:r>
      <w:proofErr w:type="gramStart"/>
      <w:r>
        <w:rPr>
          <w:rFonts w:cs="Times New Roman"/>
          <w:szCs w:val="24"/>
          <w:lang w:val="en-US"/>
        </w:rPr>
        <w:t>In addition, these are investors who extract the main economic benefit of purchase by debt financing and disclose the essence of LBO - increasing the return on investments as compared to the return of a standard acquisition financed by private equity funds only.</w:t>
      </w:r>
      <w:proofErr w:type="gramEnd"/>
      <w:r>
        <w:rPr>
          <w:rFonts w:cs="Times New Roman"/>
          <w:szCs w:val="24"/>
          <w:lang w:val="en-US"/>
        </w:rPr>
        <w:t xml:space="preserve"> There are two main groups of financial sponsors, which </w:t>
      </w:r>
      <w:proofErr w:type="gramStart"/>
      <w:r>
        <w:rPr>
          <w:rFonts w:cs="Times New Roman"/>
          <w:szCs w:val="24"/>
          <w:lang w:val="en-US"/>
        </w:rPr>
        <w:t>can be classified</w:t>
      </w:r>
      <w:proofErr w:type="gramEnd"/>
      <w:r>
        <w:rPr>
          <w:rFonts w:cs="Times New Roman"/>
          <w:szCs w:val="24"/>
          <w:lang w:val="en-US"/>
        </w:rPr>
        <w:t xml:space="preserve"> into strategic and financial investors. </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Strategic investors </w:t>
      </w:r>
      <w:proofErr w:type="gramStart"/>
      <w:r>
        <w:rPr>
          <w:rFonts w:cs="Times New Roman"/>
          <w:szCs w:val="24"/>
          <w:lang w:val="en-US"/>
        </w:rPr>
        <w:t>are guided</w:t>
      </w:r>
      <w:proofErr w:type="gramEnd"/>
      <w:r>
        <w:rPr>
          <w:rFonts w:cs="Times New Roman"/>
          <w:szCs w:val="24"/>
          <w:lang w:val="en-US"/>
        </w:rPr>
        <w:t xml:space="preserve"> in their decisions by strategic motives. Their primary purpose is to create and extract synergies from the acquisition of the target, such as vertical integration, horizontal integration, expansion to new geographical markets, increase of market share, defense from hostile takeover etc.  </w:t>
      </w:r>
    </w:p>
    <w:p w:rsidR="003C62BE" w:rsidRDefault="003C62BE" w:rsidP="00676AD0">
      <w:pPr>
        <w:pStyle w:val="a5"/>
        <w:spacing w:line="360" w:lineRule="auto"/>
        <w:ind w:firstLine="360"/>
        <w:jc w:val="both"/>
        <w:rPr>
          <w:rFonts w:cs="Times New Roman"/>
          <w:szCs w:val="24"/>
          <w:lang w:val="en-US"/>
        </w:rPr>
      </w:pPr>
      <w:r>
        <w:rPr>
          <w:rFonts w:cs="Times New Roman"/>
          <w:szCs w:val="24"/>
          <w:lang w:val="en-US"/>
        </w:rPr>
        <w:t xml:space="preserve">Financial investors are sponsors presented by financial entities. This term usually refers to a traditional private equity firm, hedge funds, venture capital funds or special purpose entities (SPAC - special purpose acquisition companies). PE firms, hedge and venture funds raise their money from third party investors usually represented by public and corporate pension funds, insurance companies, endowments and foundations, sovereign wealth funds, and wealthy families/individuals. They may also invest their own money to finance the transaction. In case if financial investor is a private equity fund, which is specialized in such kind of transactions by its definition, </w:t>
      </w:r>
      <w:proofErr w:type="gramStart"/>
      <w:r>
        <w:rPr>
          <w:rFonts w:cs="Times New Roman"/>
          <w:szCs w:val="24"/>
          <w:lang w:val="en-US"/>
        </w:rPr>
        <w:t>is usually referred</w:t>
      </w:r>
      <w:proofErr w:type="gramEnd"/>
      <w:r>
        <w:rPr>
          <w:rFonts w:cs="Times New Roman"/>
          <w:szCs w:val="24"/>
          <w:lang w:val="en-US"/>
        </w:rPr>
        <w:t xml:space="preserve"> to as an LBO-firm. </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Financial investors </w:t>
      </w:r>
      <w:proofErr w:type="gramStart"/>
      <w:r>
        <w:rPr>
          <w:rFonts w:cs="Times New Roman"/>
          <w:szCs w:val="24"/>
          <w:lang w:val="en-US"/>
        </w:rPr>
        <w:t>are guided</w:t>
      </w:r>
      <w:proofErr w:type="gramEnd"/>
      <w:r>
        <w:rPr>
          <w:rFonts w:cs="Times New Roman"/>
          <w:szCs w:val="24"/>
          <w:lang w:val="en-US"/>
        </w:rPr>
        <w:t xml:space="preserve"> in their decisions by only financial motives. Typically, they aim to buy the company, significantly improve the inner business processes to increase the enterprise value and then resell the company in 5-7 years of holding period. Within this period, they may employ such improvements as improving the operating efficiency of the target, improving its business strategy, reducing the costs or changing the organizational culture. Thus one of the most important objectives for financial investors is to perform a detailed study of the target company and conduct the so-called due diligence in order to understand if the company has the needed potential. Due-diligence is the process of collecting and studying all available information about the company </w:t>
      </w:r>
      <w:proofErr w:type="gramStart"/>
      <w:r>
        <w:rPr>
          <w:rFonts w:cs="Times New Roman"/>
          <w:szCs w:val="24"/>
          <w:lang w:val="en-US"/>
        </w:rPr>
        <w:t>being redeemed</w:t>
      </w:r>
      <w:proofErr w:type="gramEnd"/>
      <w:r>
        <w:rPr>
          <w:rFonts w:cs="Times New Roman"/>
          <w:szCs w:val="24"/>
          <w:lang w:val="en-US"/>
        </w:rPr>
        <w:t xml:space="preserve"> as much as possible. The main aspects analyzed usually are business, financial, tax, legal, regulatory, environmental aspects.  Financial investors use due diligence to create financial models, justify the purchase assumptions and price, determine the structure of financing. Most often, due diligence is performed by third parties, such as investment banks. </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There are two types of financial investors in PE: general partner </w:t>
      </w:r>
      <w:r w:rsidR="00676AD0">
        <w:rPr>
          <w:rFonts w:cs="Times New Roman"/>
          <w:szCs w:val="24"/>
          <w:lang w:val="en-US"/>
        </w:rPr>
        <w:t xml:space="preserve">(3) </w:t>
      </w:r>
      <w:r>
        <w:rPr>
          <w:rFonts w:cs="Times New Roman"/>
          <w:szCs w:val="24"/>
          <w:lang w:val="en-US"/>
        </w:rPr>
        <w:t>and limited partners</w:t>
      </w:r>
      <w:r w:rsidR="00676AD0">
        <w:rPr>
          <w:rFonts w:cs="Times New Roman"/>
          <w:szCs w:val="24"/>
          <w:lang w:val="en-US"/>
        </w:rPr>
        <w:t xml:space="preserve"> (4)</w:t>
      </w:r>
      <w:r>
        <w:rPr>
          <w:rFonts w:cs="Times New Roman"/>
          <w:szCs w:val="24"/>
          <w:lang w:val="en-US"/>
        </w:rPr>
        <w:t xml:space="preserve">. The capital of the financial investors </w:t>
      </w:r>
      <w:proofErr w:type="gramStart"/>
      <w:r>
        <w:rPr>
          <w:rFonts w:cs="Times New Roman"/>
          <w:szCs w:val="24"/>
          <w:lang w:val="en-US"/>
        </w:rPr>
        <w:t>is organized</w:t>
      </w:r>
      <w:proofErr w:type="gramEnd"/>
      <w:r>
        <w:rPr>
          <w:rFonts w:cs="Times New Roman"/>
          <w:szCs w:val="24"/>
          <w:lang w:val="en-US"/>
        </w:rPr>
        <w:t xml:space="preserve"> into funds that are typically established as a limited partnership</w:t>
      </w:r>
      <w:r w:rsidR="006C692C">
        <w:rPr>
          <w:rFonts w:cs="Times New Roman"/>
          <w:szCs w:val="24"/>
          <w:lang w:val="en-US"/>
        </w:rPr>
        <w:t xml:space="preserve"> (5)</w:t>
      </w:r>
      <w:r>
        <w:rPr>
          <w:rFonts w:cs="Times New Roman"/>
          <w:szCs w:val="24"/>
          <w:lang w:val="en-US"/>
        </w:rPr>
        <w:t xml:space="preserve">. Most of the funds in such a partnership </w:t>
      </w:r>
      <w:proofErr w:type="gramStart"/>
      <w:r>
        <w:rPr>
          <w:rFonts w:cs="Times New Roman"/>
          <w:szCs w:val="24"/>
          <w:lang w:val="en-US"/>
        </w:rPr>
        <w:t>are attracted</w:t>
      </w:r>
      <w:proofErr w:type="gramEnd"/>
      <w:r>
        <w:rPr>
          <w:rFonts w:cs="Times New Roman"/>
          <w:szCs w:val="24"/>
          <w:lang w:val="en-US"/>
        </w:rPr>
        <w:t xml:space="preserve"> from third parties. </w:t>
      </w:r>
      <w:r>
        <w:rPr>
          <w:rFonts w:cs="Times New Roman"/>
          <w:szCs w:val="24"/>
          <w:lang w:val="en-US"/>
        </w:rPr>
        <w:lastRenderedPageBreak/>
        <w:t xml:space="preserve">They </w:t>
      </w:r>
      <w:proofErr w:type="gramStart"/>
      <w:r>
        <w:rPr>
          <w:rFonts w:cs="Times New Roman"/>
          <w:szCs w:val="24"/>
          <w:lang w:val="en-US"/>
        </w:rPr>
        <w:t>are structured</w:t>
      </w:r>
      <w:proofErr w:type="gramEnd"/>
      <w:r>
        <w:rPr>
          <w:rFonts w:cs="Times New Roman"/>
          <w:szCs w:val="24"/>
          <w:lang w:val="en-US"/>
        </w:rPr>
        <w:t xml:space="preserve"> as fixed-life investment vehicles, in which the general partner manages the fund and the limited partners act as passive investors. That is why this pulls are very frequently referred to as a “bling pulls” since the LP subscribe without a specific knowledge about how the funds are going to be managed in particular. Limited partners compensate GP for managing the fund by paying a management fee usually around 1-2% a year on committed capital</w:t>
      </w:r>
      <w:r w:rsidR="005D2D65">
        <w:rPr>
          <w:rFonts w:cs="Times New Roman"/>
          <w:szCs w:val="24"/>
          <w:lang w:val="en-US"/>
        </w:rPr>
        <w:t xml:space="preserve"> (Pic. </w:t>
      </w:r>
      <w:r w:rsidR="006C692C">
        <w:rPr>
          <w:rFonts w:cs="Times New Roman"/>
          <w:szCs w:val="24"/>
          <w:lang w:val="en-US"/>
        </w:rPr>
        <w:t>2</w:t>
      </w:r>
      <w:r w:rsidR="005D2D65">
        <w:rPr>
          <w:rFonts w:cs="Times New Roman"/>
          <w:szCs w:val="24"/>
          <w:lang w:val="en-US"/>
        </w:rPr>
        <w:t>)</w:t>
      </w:r>
      <w:r>
        <w:rPr>
          <w:rFonts w:cs="Times New Roman"/>
          <w:szCs w:val="24"/>
          <w:lang w:val="en-US"/>
        </w:rPr>
        <w:t xml:space="preserve">. </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Even though the relationships between the GP and LP </w:t>
      </w:r>
      <w:proofErr w:type="gramStart"/>
      <w:r>
        <w:rPr>
          <w:rFonts w:cs="Times New Roman"/>
          <w:szCs w:val="24"/>
          <w:lang w:val="en-US"/>
        </w:rPr>
        <w:t>are managed</w:t>
      </w:r>
      <w:proofErr w:type="gramEnd"/>
      <w:r>
        <w:rPr>
          <w:rFonts w:cs="Times New Roman"/>
          <w:szCs w:val="24"/>
          <w:lang w:val="en-US"/>
        </w:rPr>
        <w:t xml:space="preserve"> according to some pre-agreed terms, LP transfer the money to GP only when it is ready with a new investment opportunity. LP do not know how exactly the funds are going to be invested and managed, but being informed about fund’s general strategy, they may impose some restrictions on investing in certain companies or industries. </w:t>
      </w:r>
    </w:p>
    <w:p w:rsidR="003C62BE" w:rsidRDefault="003C62BE" w:rsidP="006C692C">
      <w:pPr>
        <w:pStyle w:val="a5"/>
        <w:spacing w:line="360" w:lineRule="auto"/>
        <w:ind w:firstLine="360"/>
        <w:jc w:val="both"/>
        <w:rPr>
          <w:rFonts w:cs="Times New Roman"/>
          <w:szCs w:val="24"/>
          <w:lang w:val="en-US"/>
        </w:rPr>
      </w:pPr>
      <w:r>
        <w:rPr>
          <w:rFonts w:cs="Times New Roman"/>
          <w:szCs w:val="24"/>
          <w:lang w:val="en-US"/>
        </w:rPr>
        <w:t xml:space="preserve">97-99% of the funds capital </w:t>
      </w:r>
      <w:proofErr w:type="gramStart"/>
      <w:r>
        <w:rPr>
          <w:rFonts w:cs="Times New Roman"/>
          <w:szCs w:val="24"/>
          <w:lang w:val="en-US"/>
        </w:rPr>
        <w:t>is formed</w:t>
      </w:r>
      <w:proofErr w:type="gramEnd"/>
      <w:r>
        <w:rPr>
          <w:rFonts w:cs="Times New Roman"/>
          <w:szCs w:val="24"/>
          <w:lang w:val="en-US"/>
        </w:rPr>
        <w:t xml:space="preserve"> by LP investments, and the rest 1-3% is constributed by GP. The benefit distribution </w:t>
      </w:r>
      <w:proofErr w:type="gramStart"/>
      <w:r>
        <w:rPr>
          <w:rFonts w:cs="Times New Roman"/>
          <w:szCs w:val="24"/>
          <w:lang w:val="en-US"/>
        </w:rPr>
        <w:t>is standardized</w:t>
      </w:r>
      <w:proofErr w:type="gramEnd"/>
      <w:r>
        <w:rPr>
          <w:rFonts w:cs="Times New Roman"/>
          <w:szCs w:val="24"/>
          <w:lang w:val="en-US"/>
        </w:rPr>
        <w:t xml:space="preserve"> for all transactions. A limited partner receives 80% of the profits and the general partner thus receives the remaining 20%.</w:t>
      </w:r>
    </w:p>
    <w:p w:rsidR="006C692C" w:rsidRDefault="006C692C" w:rsidP="006C692C">
      <w:pPr>
        <w:pStyle w:val="a5"/>
        <w:spacing w:line="360" w:lineRule="auto"/>
        <w:ind w:firstLine="360"/>
        <w:jc w:val="both"/>
        <w:rPr>
          <w:rFonts w:cs="Times New Roman"/>
          <w:szCs w:val="24"/>
          <w:lang w:val="en-US"/>
        </w:rPr>
      </w:pPr>
      <w:r>
        <w:rPr>
          <w:rFonts w:cs="Times New Roman"/>
          <w:noProof/>
          <w:szCs w:val="24"/>
          <w:lang w:eastAsia="ru-RU"/>
        </w:rPr>
        <w:drawing>
          <wp:inline distT="0" distB="0" distL="0" distR="0" wp14:anchorId="007DC054">
            <wp:extent cx="4865408" cy="22152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7641" cy="2220869"/>
                    </a:xfrm>
                    <a:prstGeom prst="rect">
                      <a:avLst/>
                    </a:prstGeom>
                    <a:noFill/>
                  </pic:spPr>
                </pic:pic>
              </a:graphicData>
            </a:graphic>
          </wp:inline>
        </w:drawing>
      </w:r>
    </w:p>
    <w:p w:rsidR="003C62BE" w:rsidRDefault="005D2D65" w:rsidP="003C62BE">
      <w:pPr>
        <w:pStyle w:val="a5"/>
        <w:spacing w:line="360" w:lineRule="auto"/>
        <w:ind w:firstLine="360"/>
        <w:jc w:val="center"/>
        <w:rPr>
          <w:rFonts w:cs="Times New Roman"/>
          <w:szCs w:val="24"/>
          <w:lang w:val="en-US"/>
        </w:rPr>
      </w:pPr>
      <w:r>
        <w:rPr>
          <w:rFonts w:cs="Times New Roman"/>
          <w:szCs w:val="24"/>
          <w:lang w:val="en-US"/>
        </w:rPr>
        <w:t>Pic.</w:t>
      </w:r>
      <w:r w:rsidR="006C692C">
        <w:rPr>
          <w:rFonts w:cs="Times New Roman"/>
          <w:szCs w:val="24"/>
          <w:lang w:val="en-US"/>
        </w:rPr>
        <w:t xml:space="preserve"> 2</w:t>
      </w:r>
      <w:r>
        <w:rPr>
          <w:rFonts w:cs="Times New Roman"/>
          <w:szCs w:val="24"/>
          <w:lang w:val="en-US"/>
        </w:rPr>
        <w:t xml:space="preserve">. </w:t>
      </w:r>
      <w:r w:rsidR="003C62BE">
        <w:rPr>
          <w:rFonts w:cs="Times New Roman"/>
          <w:szCs w:val="24"/>
          <w:lang w:val="en-US"/>
        </w:rPr>
        <w:t xml:space="preserve"> Structure </w:t>
      </w:r>
      <w:r>
        <w:rPr>
          <w:rFonts w:cs="Times New Roman"/>
          <w:szCs w:val="24"/>
          <w:lang w:val="en-US"/>
        </w:rPr>
        <w:t>limited partnership</w:t>
      </w:r>
    </w:p>
    <w:p w:rsidR="003C62BE" w:rsidRDefault="003C62BE" w:rsidP="003C62BE">
      <w:pPr>
        <w:pStyle w:val="a5"/>
        <w:spacing w:line="360" w:lineRule="auto"/>
        <w:jc w:val="center"/>
        <w:rPr>
          <w:rFonts w:cs="Times New Roman"/>
          <w:szCs w:val="24"/>
          <w:lang w:val="en-US"/>
        </w:rPr>
      </w:pPr>
      <w:r>
        <w:rPr>
          <w:rFonts w:cs="Times New Roman"/>
          <w:szCs w:val="24"/>
          <w:lang w:val="en-US"/>
        </w:rPr>
        <w:t xml:space="preserve">[Created by the author </w:t>
      </w:r>
      <w:r w:rsidR="00676AD0">
        <w:rPr>
          <w:rFonts w:cs="Times New Roman"/>
          <w:szCs w:val="24"/>
          <w:lang w:val="en-US"/>
        </w:rPr>
        <w:t>based on</w:t>
      </w:r>
      <w:r>
        <w:rPr>
          <w:rFonts w:cs="Times New Roman"/>
          <w:szCs w:val="24"/>
          <w:lang w:val="en-US"/>
        </w:rPr>
        <w:t xml:space="preserve"> Almgren, Haland, 2006]</w:t>
      </w:r>
    </w:p>
    <w:p w:rsidR="003C62BE" w:rsidRDefault="003C62BE" w:rsidP="003C62BE">
      <w:pPr>
        <w:pStyle w:val="a5"/>
        <w:spacing w:line="360" w:lineRule="auto"/>
        <w:ind w:firstLine="708"/>
        <w:jc w:val="both"/>
        <w:rPr>
          <w:rFonts w:cs="Times New Roman"/>
          <w:szCs w:val="24"/>
          <w:lang w:val="en-US"/>
        </w:rPr>
      </w:pPr>
      <w:r>
        <w:rPr>
          <w:rFonts w:cs="Times New Roman"/>
          <w:szCs w:val="24"/>
          <w:lang w:val="en-US"/>
        </w:rPr>
        <w:t xml:space="preserve">Financial sponsors vary in fund size, industry focus and investment strategy. The size of the fund, which can range from tens of millions to tens of billions of dollars (depending on their ability to attract capital), helps determine the parameters of investment. Some investors have industry specialization (for example, industrial companies or media), while others specialize on specific situations (companies in a difficult financial situation, corporate divestitures). Yet some funds with generalist strategy also exist, who take into account all the spectrum of opportunities across multiple industries and strategies. </w:t>
      </w:r>
    </w:p>
    <w:p w:rsidR="00676AD0" w:rsidRDefault="00676AD0" w:rsidP="00676AD0">
      <w:pPr>
        <w:pStyle w:val="a5"/>
        <w:spacing w:line="360" w:lineRule="auto"/>
        <w:ind w:firstLine="360"/>
        <w:jc w:val="both"/>
        <w:rPr>
          <w:rFonts w:cs="Times New Roman"/>
          <w:szCs w:val="24"/>
          <w:lang w:val="en-US"/>
        </w:rPr>
      </w:pPr>
      <w:r>
        <w:rPr>
          <w:rFonts w:cs="Times New Roman"/>
          <w:szCs w:val="24"/>
          <w:lang w:val="en-US"/>
        </w:rPr>
        <w:t xml:space="preserve">Recently there has been a rise of </w:t>
      </w:r>
      <w:r w:rsidR="005D2D65">
        <w:rPr>
          <w:rFonts w:cs="Times New Roman"/>
          <w:szCs w:val="24"/>
          <w:lang w:val="en-US"/>
        </w:rPr>
        <w:t>public</w:t>
      </w:r>
      <w:r>
        <w:rPr>
          <w:rFonts w:cs="Times New Roman"/>
          <w:szCs w:val="24"/>
          <w:lang w:val="en-US"/>
        </w:rPr>
        <w:t xml:space="preserve"> attention to financial investors, followed by increase of their competitiveness in the market of mergers and acquisitions. If before, realizing the long-term synergy effect from the acquisition, strategic investors could always offer a higher purchase price and traditionally had an advantage over financial investors at the auctions, in recent years </w:t>
      </w:r>
      <w:r>
        <w:rPr>
          <w:rFonts w:cs="Times New Roman"/>
          <w:szCs w:val="24"/>
          <w:lang w:val="en-US"/>
        </w:rPr>
        <w:lastRenderedPageBreak/>
        <w:t xml:space="preserve">financial investors have become significantly more competitive, due to the emergence, for example, of such a tool as junk bonds and the availability of money. A recent survey conducted by British researchers on the London Stock Exchange showed that 61% of the largest companies expect increased competition from Private Equity firms in the M &amp; A market. Rothschild's vice president, Roger Kimmel, and John A. Katzenberg, managing director of Citigroup, also note the trend in which strategic buyers lose their advantage in the struggle to acquire a target company and are under pressure, being unable to </w:t>
      </w:r>
      <w:proofErr w:type="gramStart"/>
      <w:r>
        <w:rPr>
          <w:rFonts w:cs="Times New Roman"/>
          <w:szCs w:val="24"/>
          <w:lang w:val="en-US"/>
        </w:rPr>
        <w:t>outbid  LBO</w:t>
      </w:r>
      <w:proofErr w:type="gramEnd"/>
      <w:r>
        <w:rPr>
          <w:rFonts w:cs="Times New Roman"/>
          <w:szCs w:val="24"/>
          <w:lang w:val="en-US"/>
        </w:rPr>
        <w:t xml:space="preserve">-firms. According to the well-known industrialist Runa Andersson, LBO-firms are on average willing to pay 30-40% higher than strategic </w:t>
      </w:r>
      <w:proofErr w:type="gramStart"/>
      <w:r>
        <w:rPr>
          <w:rFonts w:cs="Times New Roman"/>
          <w:szCs w:val="24"/>
          <w:lang w:val="en-US"/>
        </w:rPr>
        <w:t>buyers</w:t>
      </w:r>
      <w:proofErr w:type="gramEnd"/>
      <w:r>
        <w:rPr>
          <w:rFonts w:cs="Times New Roman"/>
          <w:szCs w:val="24"/>
          <w:lang w:val="en-US"/>
        </w:rPr>
        <w:t>.</w:t>
      </w:r>
      <w:r>
        <w:rPr>
          <w:rStyle w:val="a9"/>
          <w:rFonts w:cs="Times New Roman"/>
          <w:szCs w:val="24"/>
          <w:lang w:val="en-US"/>
        </w:rPr>
        <w:footnoteReference w:id="19"/>
      </w:r>
    </w:p>
    <w:p w:rsidR="003C62BE" w:rsidRDefault="003C62BE" w:rsidP="008D3CCB">
      <w:pPr>
        <w:pStyle w:val="a5"/>
        <w:numPr>
          <w:ilvl w:val="0"/>
          <w:numId w:val="3"/>
        </w:numPr>
        <w:spacing w:line="360" w:lineRule="auto"/>
        <w:jc w:val="both"/>
        <w:rPr>
          <w:rFonts w:cs="Times New Roman"/>
          <w:szCs w:val="24"/>
          <w:lang w:val="en-US"/>
        </w:rPr>
      </w:pPr>
      <w:r>
        <w:rPr>
          <w:rFonts w:cs="Times New Roman"/>
          <w:b/>
          <w:szCs w:val="24"/>
          <w:lang w:val="en-US"/>
        </w:rPr>
        <w:t>Investment banks</w:t>
      </w:r>
      <w:r>
        <w:rPr>
          <w:rFonts w:cs="Times New Roman"/>
          <w:szCs w:val="24"/>
          <w:lang w:val="en-US"/>
        </w:rPr>
        <w:t xml:space="preserve">  </w:t>
      </w:r>
    </w:p>
    <w:p w:rsidR="003C62BE" w:rsidRDefault="003C62BE" w:rsidP="00197DAB">
      <w:pPr>
        <w:pStyle w:val="a5"/>
        <w:spacing w:line="360" w:lineRule="auto"/>
        <w:ind w:firstLine="360"/>
        <w:jc w:val="both"/>
        <w:rPr>
          <w:rFonts w:cs="Times New Roman"/>
          <w:szCs w:val="24"/>
          <w:lang w:val="en-US"/>
        </w:rPr>
      </w:pPr>
      <w:r>
        <w:rPr>
          <w:rFonts w:cs="Times New Roman"/>
          <w:szCs w:val="24"/>
          <w:lang w:val="en-US"/>
        </w:rPr>
        <w:t>Investment banks</w:t>
      </w:r>
      <w:r w:rsidR="006C692C">
        <w:rPr>
          <w:rFonts w:cs="Times New Roman"/>
          <w:szCs w:val="24"/>
          <w:lang w:val="en-US"/>
        </w:rPr>
        <w:t xml:space="preserve"> (6)</w:t>
      </w:r>
      <w:r>
        <w:rPr>
          <w:rFonts w:cs="Times New Roman"/>
          <w:szCs w:val="24"/>
          <w:lang w:val="en-US"/>
        </w:rPr>
        <w:t xml:space="preserve"> traditionally play a key role in LBO transaction, serving as creditors, as well as/or M&amp;A advisors on both sell and buy sides. Firstly, they help sponsors, who heavily rely on investment banks to assess the target and choose the appropriate financing structure for a particular transaction. Once the sponsor selects the appropriate financing, which frequently appears to be the compilation of the best terms of proposals from different advisors, the deal team presents </w:t>
      </w:r>
      <w:proofErr w:type="gramStart"/>
      <w:r>
        <w:rPr>
          <w:rFonts w:cs="Times New Roman"/>
          <w:szCs w:val="24"/>
          <w:lang w:val="en-US"/>
        </w:rPr>
        <w:t>its</w:t>
      </w:r>
      <w:proofErr w:type="gramEnd"/>
      <w:r>
        <w:rPr>
          <w:rFonts w:cs="Times New Roman"/>
          <w:szCs w:val="24"/>
          <w:lang w:val="en-US"/>
        </w:rPr>
        <w:t xml:space="preserve"> to the banks internal credit committee for final approval. Very frequently in huge deals, several investment banks </w:t>
      </w:r>
      <w:proofErr w:type="gramStart"/>
      <w:r>
        <w:rPr>
          <w:rFonts w:cs="Times New Roman"/>
          <w:szCs w:val="24"/>
          <w:lang w:val="en-US"/>
        </w:rPr>
        <w:t>are attracted</w:t>
      </w:r>
      <w:proofErr w:type="gramEnd"/>
      <w:r>
        <w:rPr>
          <w:rFonts w:cs="Times New Roman"/>
          <w:szCs w:val="24"/>
          <w:lang w:val="en-US"/>
        </w:rPr>
        <w:t xml:space="preserve"> as consultants simultaneously. It </w:t>
      </w:r>
      <w:proofErr w:type="gramStart"/>
      <w:r>
        <w:rPr>
          <w:rFonts w:cs="Times New Roman"/>
          <w:szCs w:val="24"/>
          <w:lang w:val="en-US"/>
        </w:rPr>
        <w:t>is done</w:t>
      </w:r>
      <w:proofErr w:type="gramEnd"/>
      <w:r>
        <w:rPr>
          <w:rFonts w:cs="Times New Roman"/>
          <w:szCs w:val="24"/>
          <w:lang w:val="en-US"/>
        </w:rPr>
        <w:t xml:space="preserve"> in order to have different points of view on one question and choose the best option, for example regarding the financing. Moreover, several IB can be attracted to provide financing jointly. In this </w:t>
      </w:r>
      <w:proofErr w:type="gramStart"/>
      <w:r>
        <w:rPr>
          <w:rFonts w:cs="Times New Roman"/>
          <w:szCs w:val="24"/>
          <w:lang w:val="en-US"/>
        </w:rPr>
        <w:t>case</w:t>
      </w:r>
      <w:proofErr w:type="gramEnd"/>
      <w:r>
        <w:rPr>
          <w:rFonts w:cs="Times New Roman"/>
          <w:szCs w:val="24"/>
          <w:lang w:val="en-US"/>
        </w:rPr>
        <w:t xml:space="preserve"> a loan provided by a group of several banks (syndicate) is called a syndicated loan. </w:t>
      </w:r>
      <w:r w:rsidR="00E838F8">
        <w:rPr>
          <w:rFonts w:cs="Times New Roman"/>
          <w:szCs w:val="24"/>
          <w:lang w:val="en-US"/>
        </w:rPr>
        <w:t>In addition</w:t>
      </w:r>
      <w:r>
        <w:rPr>
          <w:rFonts w:cs="Times New Roman"/>
          <w:szCs w:val="24"/>
          <w:lang w:val="en-US"/>
        </w:rPr>
        <w:t>, they may perform due-diligence and go through an extensive internal credit process in order to validate the targets business plan. Investment banks may also underwrite the debt financing for the target.</w:t>
      </w:r>
    </w:p>
    <w:p w:rsidR="003C62BE" w:rsidRDefault="003C62BE" w:rsidP="008D3CCB">
      <w:pPr>
        <w:pStyle w:val="a5"/>
        <w:numPr>
          <w:ilvl w:val="0"/>
          <w:numId w:val="3"/>
        </w:numPr>
        <w:spacing w:line="360" w:lineRule="auto"/>
        <w:jc w:val="both"/>
        <w:rPr>
          <w:rFonts w:cs="Times New Roman"/>
          <w:b/>
          <w:szCs w:val="24"/>
          <w:lang w:val="en-US"/>
        </w:rPr>
      </w:pPr>
      <w:r>
        <w:rPr>
          <w:rFonts w:cs="Times New Roman"/>
          <w:b/>
          <w:szCs w:val="24"/>
          <w:lang w:val="en-US"/>
        </w:rPr>
        <w:t xml:space="preserve">Bank and institutional lenders </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Bank and institutional lenders are the providers of capital (bank debt) in LBO financing structure. Even though they are very similar, the difference is that banks provide debt of the highest level of subordination (amortizing term loans), while institutional lenders provide financing of the lowest level of subordination (limited amortization term loans). </w:t>
      </w:r>
    </w:p>
    <w:p w:rsidR="003C62BE" w:rsidRDefault="003C62BE" w:rsidP="003C62BE">
      <w:pPr>
        <w:pStyle w:val="a5"/>
        <w:spacing w:line="360" w:lineRule="auto"/>
        <w:ind w:firstLine="360"/>
        <w:jc w:val="both"/>
        <w:rPr>
          <w:rFonts w:cs="Times New Roman"/>
          <w:szCs w:val="24"/>
          <w:lang w:val="en-US"/>
        </w:rPr>
      </w:pPr>
      <w:proofErr w:type="gramStart"/>
      <w:r>
        <w:rPr>
          <w:rFonts w:cs="Times New Roman"/>
          <w:szCs w:val="24"/>
          <w:lang w:val="en-US"/>
        </w:rPr>
        <w:t>Bank lenders typical can typically be presented by commercial banks, savings and loan institutions, finance companies, and the investment banks serving as arrangers</w:t>
      </w:r>
      <w:proofErr w:type="gramEnd"/>
      <w:r>
        <w:rPr>
          <w:rFonts w:cs="Times New Roman"/>
          <w:szCs w:val="24"/>
          <w:lang w:val="en-US"/>
        </w:rPr>
        <w:t>. The institutional lender base is largely comprised of hedge funds, pension funds, mutual funds, insurance companies, and structured vehicles such as collateralized debt obligation funds (CDOs).</w:t>
      </w:r>
    </w:p>
    <w:p w:rsidR="003C62BE" w:rsidRDefault="003C62BE" w:rsidP="003C62BE">
      <w:pPr>
        <w:pStyle w:val="a5"/>
        <w:spacing w:line="360" w:lineRule="auto"/>
        <w:ind w:firstLine="360"/>
        <w:jc w:val="both"/>
        <w:rPr>
          <w:rFonts w:cs="Times New Roman"/>
          <w:szCs w:val="24"/>
          <w:lang w:val="en-US"/>
        </w:rPr>
      </w:pPr>
      <w:r>
        <w:rPr>
          <w:rFonts w:cs="Times New Roman"/>
          <w:szCs w:val="24"/>
          <w:lang w:val="en-US"/>
        </w:rPr>
        <w:t xml:space="preserve">As with investment banks lenders perform a detailed analysis of the target (due-diligence) and undergo an internal credit process before participating in an LBO financing. The analysis </w:t>
      </w:r>
      <w:proofErr w:type="gramStart"/>
      <w:r>
        <w:rPr>
          <w:rFonts w:cs="Times New Roman"/>
          <w:szCs w:val="24"/>
          <w:lang w:val="en-US"/>
        </w:rPr>
        <w:t xml:space="preserve">is </w:t>
      </w:r>
      <w:r>
        <w:rPr>
          <w:rFonts w:cs="Times New Roman"/>
          <w:szCs w:val="24"/>
          <w:lang w:val="en-US"/>
        </w:rPr>
        <w:lastRenderedPageBreak/>
        <w:t>performed</w:t>
      </w:r>
      <w:proofErr w:type="gramEnd"/>
      <w:r>
        <w:rPr>
          <w:rFonts w:cs="Times New Roman"/>
          <w:szCs w:val="24"/>
          <w:lang w:val="en-US"/>
        </w:rPr>
        <w:t xml:space="preserve"> with a focus on targets credit history profile and cash flow generation ability, in order to make sure the lender will be able to provide all future interest payments and principal payment in time. Lenders also look forward to mitigate their downside risk by requiring covenants and collateral coverage. However, there might be </w:t>
      </w:r>
      <w:proofErr w:type="gramStart"/>
      <w:r>
        <w:rPr>
          <w:rFonts w:cs="Times New Roman"/>
          <w:szCs w:val="24"/>
          <w:lang w:val="en-US"/>
        </w:rPr>
        <w:t>a lot of</w:t>
      </w:r>
      <w:proofErr w:type="gramEnd"/>
      <w:r>
        <w:rPr>
          <w:rFonts w:cs="Times New Roman"/>
          <w:szCs w:val="24"/>
          <w:lang w:val="en-US"/>
        </w:rPr>
        <w:t xml:space="preserve"> external aspects are also factored when making decision to participate in an LBO, for instance, prior experience with a given sector.</w:t>
      </w:r>
    </w:p>
    <w:p w:rsidR="003C62BE" w:rsidRDefault="003C62BE" w:rsidP="008D3CCB">
      <w:pPr>
        <w:pStyle w:val="a5"/>
        <w:numPr>
          <w:ilvl w:val="0"/>
          <w:numId w:val="3"/>
        </w:numPr>
        <w:spacing w:line="360" w:lineRule="auto"/>
        <w:jc w:val="both"/>
        <w:rPr>
          <w:rFonts w:cs="Times New Roman"/>
          <w:b/>
          <w:szCs w:val="24"/>
          <w:lang w:val="en-US"/>
        </w:rPr>
      </w:pPr>
      <w:r>
        <w:rPr>
          <w:rFonts w:cs="Times New Roman"/>
          <w:b/>
          <w:szCs w:val="24"/>
          <w:lang w:val="en-US"/>
        </w:rPr>
        <w:t xml:space="preserve">Bond investors </w:t>
      </w:r>
    </w:p>
    <w:p w:rsidR="003C62BE" w:rsidRDefault="003C62BE" w:rsidP="004F767D">
      <w:pPr>
        <w:pStyle w:val="a5"/>
        <w:spacing w:line="360" w:lineRule="auto"/>
        <w:ind w:firstLine="360"/>
        <w:jc w:val="both"/>
        <w:rPr>
          <w:rFonts w:cs="Times New Roman"/>
          <w:szCs w:val="24"/>
          <w:lang w:val="en-US"/>
        </w:rPr>
      </w:pPr>
      <w:r>
        <w:rPr>
          <w:rFonts w:cs="Times New Roman"/>
          <w:szCs w:val="24"/>
          <w:lang w:val="en-US"/>
        </w:rPr>
        <w:t xml:space="preserve">Bond investors are those who purchase the debt issued by target within LBO. </w:t>
      </w:r>
      <w:proofErr w:type="gramStart"/>
      <w:r>
        <w:rPr>
          <w:rFonts w:cs="Times New Roman"/>
          <w:szCs w:val="24"/>
          <w:lang w:val="en-US"/>
        </w:rPr>
        <w:t>They are usually presented by institutional investors, such as high yield mutual funds, hedge funds, pension fund, insurance companies or CDOs</w:t>
      </w:r>
      <w:proofErr w:type="gramEnd"/>
      <w:r>
        <w:rPr>
          <w:rFonts w:cs="Times New Roman"/>
          <w:szCs w:val="24"/>
          <w:lang w:val="en-US"/>
        </w:rPr>
        <w:t xml:space="preserve">. In order to make a decision regarding the purchase bond investors attend the </w:t>
      </w:r>
      <w:proofErr w:type="gramStart"/>
      <w:r>
        <w:rPr>
          <w:rFonts w:cs="Times New Roman"/>
          <w:szCs w:val="24"/>
          <w:lang w:val="en-US"/>
        </w:rPr>
        <w:t>so called</w:t>
      </w:r>
      <w:proofErr w:type="gramEnd"/>
      <w:r>
        <w:rPr>
          <w:rFonts w:cs="Times New Roman"/>
          <w:szCs w:val="24"/>
          <w:lang w:val="en-US"/>
        </w:rPr>
        <w:t xml:space="preserve"> road-show presentation, during which the senior executives present the investment merits of the company and the proposed transaction. Depending on the size and the scope of the transaction roadshow presentation may be a 3-14 day long process, during which the bakers from the lead underwriter (and generally the representative of general partner) accompany the target’s management on meeting with potential investors. This meeting may have an informal format and </w:t>
      </w:r>
      <w:proofErr w:type="gramStart"/>
      <w:r>
        <w:rPr>
          <w:rFonts w:cs="Times New Roman"/>
          <w:szCs w:val="24"/>
          <w:lang w:val="en-US"/>
        </w:rPr>
        <w:t>be organized</w:t>
      </w:r>
      <w:proofErr w:type="gramEnd"/>
      <w:r>
        <w:rPr>
          <w:rFonts w:cs="Times New Roman"/>
          <w:szCs w:val="24"/>
          <w:lang w:val="en-US"/>
        </w:rPr>
        <w:t xml:space="preserve"> as breakfasts or lunches. The typical US roadshow is conducted across the main financial centers of the country with stops in New York, Boston, Los Angeles, </w:t>
      </w:r>
      <w:proofErr w:type="gramStart"/>
      <w:r>
        <w:rPr>
          <w:rFonts w:cs="Times New Roman"/>
          <w:szCs w:val="24"/>
          <w:lang w:val="en-US"/>
        </w:rPr>
        <w:t>San</w:t>
      </w:r>
      <w:proofErr w:type="gramEnd"/>
      <w:r>
        <w:rPr>
          <w:rFonts w:cs="Times New Roman"/>
          <w:szCs w:val="24"/>
          <w:lang w:val="en-US"/>
        </w:rPr>
        <w:t xml:space="preserve"> Francisco.</w:t>
      </w:r>
      <w:r w:rsidR="004F767D">
        <w:rPr>
          <w:rFonts w:cs="Times New Roman"/>
          <w:szCs w:val="24"/>
          <w:lang w:val="en-US"/>
        </w:rPr>
        <w:t xml:space="preserve"> </w:t>
      </w:r>
      <w:r>
        <w:rPr>
          <w:rFonts w:cs="Times New Roman"/>
          <w:szCs w:val="24"/>
          <w:lang w:val="en-US"/>
        </w:rPr>
        <w:t xml:space="preserve">Prior to roadshow </w:t>
      </w:r>
      <w:proofErr w:type="gramStart"/>
      <w:r>
        <w:rPr>
          <w:rFonts w:cs="Times New Roman"/>
          <w:szCs w:val="24"/>
          <w:lang w:val="en-US"/>
        </w:rPr>
        <w:t>meetings</w:t>
      </w:r>
      <w:proofErr w:type="gramEnd"/>
      <w:r>
        <w:rPr>
          <w:rFonts w:cs="Times New Roman"/>
          <w:szCs w:val="24"/>
          <w:lang w:val="en-US"/>
        </w:rPr>
        <w:t xml:space="preserve"> all potential bond investors receive a preliminary document with the detailed description of the target, called preliminary offering memorandum (OM). It is a legal document in its essence and it must satisfy a higher degree of legal scrutiny and disclosure.    </w:t>
      </w:r>
    </w:p>
    <w:p w:rsidR="003C62BE" w:rsidRDefault="003C62BE" w:rsidP="008D3CCB">
      <w:pPr>
        <w:pStyle w:val="a5"/>
        <w:numPr>
          <w:ilvl w:val="0"/>
          <w:numId w:val="3"/>
        </w:numPr>
        <w:spacing w:line="360" w:lineRule="auto"/>
        <w:jc w:val="both"/>
        <w:rPr>
          <w:rFonts w:cs="Times New Roman"/>
          <w:b/>
          <w:szCs w:val="24"/>
          <w:lang w:val="en-US"/>
        </w:rPr>
      </w:pPr>
      <w:r>
        <w:rPr>
          <w:rFonts w:cs="Times New Roman"/>
          <w:b/>
          <w:szCs w:val="24"/>
          <w:lang w:val="en-US"/>
        </w:rPr>
        <w:t>Target</w:t>
      </w:r>
      <w:r w:rsidR="00E838F8">
        <w:rPr>
          <w:rFonts w:cs="Times New Roman"/>
          <w:b/>
          <w:szCs w:val="24"/>
          <w:lang w:val="en-US"/>
        </w:rPr>
        <w:t xml:space="preserve">’s top </w:t>
      </w:r>
      <w:r>
        <w:rPr>
          <w:rFonts w:cs="Times New Roman"/>
          <w:b/>
          <w:szCs w:val="24"/>
          <w:lang w:val="en-US"/>
        </w:rPr>
        <w:t xml:space="preserve">management </w:t>
      </w:r>
    </w:p>
    <w:p w:rsidR="003C62BE" w:rsidRDefault="003C62BE" w:rsidP="003C62BE">
      <w:pPr>
        <w:pStyle w:val="a5"/>
        <w:spacing w:line="360" w:lineRule="auto"/>
        <w:ind w:firstLine="567"/>
        <w:jc w:val="both"/>
        <w:rPr>
          <w:rFonts w:cs="Times New Roman"/>
          <w:szCs w:val="24"/>
          <w:lang w:val="en-US"/>
        </w:rPr>
      </w:pPr>
      <w:r>
        <w:rPr>
          <w:rFonts w:cs="Times New Roman"/>
          <w:szCs w:val="24"/>
          <w:lang w:val="en-US"/>
        </w:rPr>
        <w:t>Management plays a key role in the marketing of the target, attracting both potential buyers and creditors, working in close cooperation with bankers and preparing all the marketing and financial information. Management is the main representative of the target and it is at his responsibility to articulate the investment merit and attractiveness of the deal. Consequently, in LBO, a strong management team can create a tangible value for the company.</w:t>
      </w:r>
    </w:p>
    <w:p w:rsidR="003C62BE" w:rsidRDefault="003C62BE" w:rsidP="003C62BE">
      <w:pPr>
        <w:pStyle w:val="a5"/>
        <w:spacing w:line="360" w:lineRule="auto"/>
        <w:ind w:firstLine="567"/>
        <w:jc w:val="both"/>
        <w:rPr>
          <w:rFonts w:cs="Times New Roman"/>
          <w:szCs w:val="24"/>
          <w:lang w:val="en-US"/>
        </w:rPr>
      </w:pPr>
      <w:r>
        <w:rPr>
          <w:rFonts w:cs="Times New Roman"/>
          <w:szCs w:val="24"/>
          <w:lang w:val="en-US"/>
        </w:rPr>
        <w:t>Management, as a rule, has a significant capital interest in the company after the transaction, investing in the business along with financial sponsors. Representatives of several levels of target management have the opportunity to participate in a remuneration program, usually tied to a set of financial indicators that characterize the target at the close of the transaction. These compensation incentives can account for up to 15% of the company's share capital. This structure of the compensation package provides a full-fledged management of the economic performance of the company, as it helps to link the performance of managers with the value of the company.</w:t>
      </w:r>
    </w:p>
    <w:p w:rsidR="003C62BE" w:rsidRDefault="003C62BE" w:rsidP="003C62BE">
      <w:pPr>
        <w:pStyle w:val="a5"/>
        <w:spacing w:line="360" w:lineRule="auto"/>
        <w:ind w:firstLine="567"/>
        <w:jc w:val="both"/>
        <w:rPr>
          <w:rFonts w:cs="Times New Roman"/>
          <w:szCs w:val="24"/>
          <w:lang w:val="en-US"/>
        </w:rPr>
      </w:pPr>
      <w:r>
        <w:rPr>
          <w:rFonts w:cs="Times New Roman"/>
          <w:szCs w:val="24"/>
          <w:lang w:val="en-US"/>
        </w:rPr>
        <w:t xml:space="preserve">Top managers of the </w:t>
      </w:r>
      <w:r w:rsidR="004F767D">
        <w:rPr>
          <w:rFonts w:cs="Times New Roman"/>
          <w:szCs w:val="24"/>
          <w:lang w:val="en-US"/>
        </w:rPr>
        <w:t>target</w:t>
      </w:r>
      <w:r>
        <w:rPr>
          <w:rFonts w:cs="Times New Roman"/>
          <w:szCs w:val="24"/>
          <w:lang w:val="en-US"/>
        </w:rPr>
        <w:t xml:space="preserve"> company play a key role in negotiations with both financial investors and creditors. They hold presentations for potential creditors, as they have internal insider information and have a better idea of ​​the company's performance and development </w:t>
      </w:r>
      <w:r>
        <w:rPr>
          <w:rFonts w:cs="Times New Roman"/>
          <w:szCs w:val="24"/>
          <w:lang w:val="en-US"/>
        </w:rPr>
        <w:lastRenderedPageBreak/>
        <w:t>prospects. In most cases, managers remain executives of the repurchased company after LBO, as financial investors are rarely interested in changing the management team.</w:t>
      </w:r>
    </w:p>
    <w:p w:rsidR="00D07BD3" w:rsidRPr="00D07BD3" w:rsidRDefault="00D07BD3" w:rsidP="008D3CCB">
      <w:pPr>
        <w:pStyle w:val="3"/>
        <w:numPr>
          <w:ilvl w:val="2"/>
          <w:numId w:val="2"/>
        </w:numPr>
        <w:rPr>
          <w:rStyle w:val="30"/>
          <w:lang w:val="en-US"/>
        </w:rPr>
      </w:pPr>
      <w:bookmarkStart w:id="6" w:name="_Toc482826466"/>
      <w:bookmarkStart w:id="7" w:name="_Toc483074639"/>
      <w:r>
        <w:rPr>
          <w:lang w:val="en-US"/>
        </w:rPr>
        <w:t>Characteristics of a strong LBO candidate</w:t>
      </w:r>
      <w:bookmarkEnd w:id="6"/>
      <w:bookmarkEnd w:id="7"/>
      <w:r>
        <w:rPr>
          <w:lang w:val="en-US"/>
        </w:rPr>
        <w:t xml:space="preserve"> </w:t>
      </w:r>
    </w:p>
    <w:p w:rsidR="00D07BD3" w:rsidRDefault="00D07BD3" w:rsidP="00D07BD3">
      <w:pPr>
        <w:pStyle w:val="a5"/>
        <w:spacing w:line="360" w:lineRule="auto"/>
        <w:ind w:firstLine="360"/>
        <w:jc w:val="both"/>
        <w:rPr>
          <w:rFonts w:cs="Times New Roman"/>
          <w:szCs w:val="24"/>
          <w:lang w:val="en-US"/>
        </w:rPr>
      </w:pPr>
      <w:proofErr w:type="gramStart"/>
      <w:r>
        <w:rPr>
          <w:rFonts w:cs="Times New Roman"/>
          <w:szCs w:val="24"/>
          <w:lang w:val="en-US"/>
        </w:rPr>
        <w:t>According to Gagliano &amp; Olsen (2003), there are a number of characteristics of a potential target company that make them suitable for an LBO.</w:t>
      </w:r>
      <w:proofErr w:type="gramEnd"/>
      <w:r>
        <w:rPr>
          <w:rFonts w:cs="Times New Roman"/>
          <w:szCs w:val="24"/>
          <w:lang w:val="en-US"/>
        </w:rPr>
        <w:t xml:space="preserve"> In fact, financial sponsors are very flexible investors seeking investment opportunities across multiple industries, companies, geographies and situations. </w:t>
      </w:r>
    </w:p>
    <w:p w:rsidR="00911118" w:rsidRDefault="00D07BD3" w:rsidP="00E31114">
      <w:pPr>
        <w:pStyle w:val="a5"/>
        <w:spacing w:line="360" w:lineRule="auto"/>
        <w:ind w:firstLine="360"/>
        <w:jc w:val="both"/>
        <w:rPr>
          <w:rFonts w:cs="Times New Roman"/>
          <w:szCs w:val="24"/>
          <w:lang w:val="en-US"/>
        </w:rPr>
      </w:pPr>
      <w:r>
        <w:rPr>
          <w:rFonts w:cs="Times New Roman"/>
          <w:szCs w:val="24"/>
          <w:lang w:val="en-US"/>
        </w:rPr>
        <w:t xml:space="preserve">While there are few steadfast rules about which company to invest, certain common traits emerge among traditional LBO candidates. As it </w:t>
      </w:r>
      <w:proofErr w:type="gramStart"/>
      <w:r>
        <w:rPr>
          <w:rFonts w:cs="Times New Roman"/>
          <w:szCs w:val="24"/>
          <w:lang w:val="en-US"/>
        </w:rPr>
        <w:t>was already mentioned</w:t>
      </w:r>
      <w:proofErr w:type="gramEnd"/>
      <w:r>
        <w:rPr>
          <w:rFonts w:cs="Times New Roman"/>
          <w:szCs w:val="24"/>
          <w:lang w:val="en-US"/>
        </w:rPr>
        <w:t xml:space="preserve">, since LBO obligations on debt repayment fall on the target, a number of certain requirements from creditors are presented to it. During due diligence, the sponsor thoroughly studies the candidate’s key strengths and risks. Often LBO candidates </w:t>
      </w:r>
      <w:proofErr w:type="gramStart"/>
      <w:r>
        <w:rPr>
          <w:rFonts w:cs="Times New Roman"/>
          <w:szCs w:val="24"/>
          <w:lang w:val="en-US"/>
        </w:rPr>
        <w:t>are identified</w:t>
      </w:r>
      <w:proofErr w:type="gramEnd"/>
      <w:r>
        <w:rPr>
          <w:rFonts w:cs="Times New Roman"/>
          <w:szCs w:val="24"/>
          <w:lang w:val="en-US"/>
        </w:rPr>
        <w:t xml:space="preserve"> among non-core or non-profitable divisions of large companies or distressed companies with great growth potential. In other cases, the target is simply a solidly performing company with a stable business model and financial position. In this </w:t>
      </w:r>
      <w:proofErr w:type="gramStart"/>
      <w:r>
        <w:rPr>
          <w:rFonts w:cs="Times New Roman"/>
          <w:szCs w:val="24"/>
          <w:lang w:val="en-US"/>
        </w:rPr>
        <w:t>situation</w:t>
      </w:r>
      <w:proofErr w:type="gramEnd"/>
      <w:r>
        <w:rPr>
          <w:rFonts w:cs="Times New Roman"/>
          <w:szCs w:val="24"/>
          <w:lang w:val="en-US"/>
        </w:rPr>
        <w:t xml:space="preserve"> the sponsor believes that the company is undervalued by the market and recognizes growth opportunities which are not exploited by current management. Regardless of the particular situation, the target is </w:t>
      </w:r>
      <w:proofErr w:type="gramStart"/>
      <w:r>
        <w:rPr>
          <w:rFonts w:cs="Times New Roman"/>
          <w:szCs w:val="24"/>
          <w:lang w:val="en-US"/>
        </w:rPr>
        <w:t>attractive  if</w:t>
      </w:r>
      <w:proofErr w:type="gramEnd"/>
      <w:r>
        <w:rPr>
          <w:rFonts w:cs="Times New Roman"/>
          <w:szCs w:val="24"/>
          <w:lang w:val="en-US"/>
        </w:rPr>
        <w:t xml:space="preserve">  “it can be purchased at a price and utilizing a financing structure that provides sufficient returns with a viable exit strategy”.  </w:t>
      </w:r>
    </w:p>
    <w:p w:rsidR="00D07BD3" w:rsidRDefault="00D07BD3" w:rsidP="00E31114">
      <w:pPr>
        <w:pStyle w:val="a5"/>
        <w:spacing w:line="360" w:lineRule="auto"/>
        <w:ind w:firstLine="360"/>
        <w:jc w:val="both"/>
        <w:rPr>
          <w:rFonts w:cs="Times New Roman"/>
          <w:szCs w:val="24"/>
          <w:lang w:val="en-US"/>
        </w:rPr>
      </w:pPr>
      <w:r>
        <w:rPr>
          <w:rFonts w:cs="Times New Roman"/>
          <w:szCs w:val="24"/>
          <w:lang w:val="en-US"/>
        </w:rPr>
        <w:t>Among the main criteria presented for the target company, it is necessary to distinguish the ability to generate stable cash flows, a leading and stable competitive position, the potential for increasing the efficiency of operations, the low required level of capital expenditures and investments, the company's growth potential and the reliability of the management team.</w:t>
      </w: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t>Ability to generate stable cash flows</w:t>
      </w:r>
    </w:p>
    <w:p w:rsidR="00D07BD3" w:rsidRDefault="00E31114" w:rsidP="00D07BD3">
      <w:pPr>
        <w:pStyle w:val="a5"/>
        <w:spacing w:line="360" w:lineRule="auto"/>
        <w:ind w:firstLine="360"/>
        <w:jc w:val="both"/>
        <w:rPr>
          <w:rFonts w:cs="Times New Roman"/>
          <w:szCs w:val="24"/>
          <w:lang w:val="en-US"/>
        </w:rPr>
      </w:pPr>
      <w:r>
        <w:rPr>
          <w:rFonts w:cs="Times New Roman"/>
          <w:szCs w:val="24"/>
          <w:lang w:val="en-US"/>
        </w:rPr>
        <w:t>S</w:t>
      </w:r>
      <w:r w:rsidR="00D07BD3">
        <w:rPr>
          <w:rFonts w:cs="Times New Roman"/>
          <w:szCs w:val="24"/>
          <w:lang w:val="en-US"/>
        </w:rPr>
        <w:t>trong and predictable cash flow generation ability is the most important</w:t>
      </w:r>
      <w:r>
        <w:rPr>
          <w:rFonts w:cs="Times New Roman"/>
          <w:szCs w:val="24"/>
          <w:lang w:val="en-US"/>
        </w:rPr>
        <w:t xml:space="preserve"> and critical criterion for LBO-</w:t>
      </w:r>
      <w:r w:rsidR="00D07BD3">
        <w:rPr>
          <w:rFonts w:cs="Times New Roman"/>
          <w:szCs w:val="24"/>
          <w:lang w:val="en-US"/>
        </w:rPr>
        <w:t>target candidates, given the highly levered capital structure. It tells about the company's solvency and ability to make regular interest payments and service the debt over the life of loans and securities. That is why business characteristics that prove predictability of cash flows increases the company's attractiveness a</w:t>
      </w:r>
      <w:r w:rsidR="003D6FD1">
        <w:rPr>
          <w:rFonts w:cs="Times New Roman"/>
          <w:szCs w:val="24"/>
          <w:lang w:val="en-US"/>
        </w:rPr>
        <w:t>s a target for LBO. V</w:t>
      </w:r>
      <w:r w:rsidR="00D07BD3">
        <w:rPr>
          <w:rFonts w:cs="Times New Roman"/>
          <w:szCs w:val="24"/>
          <w:lang w:val="en-US"/>
        </w:rPr>
        <w:t xml:space="preserve">ery often targets are found in niche industries with stable customer demand and end markets. Such companies may have a strong and recognizable brand, a largely established customer base, </w:t>
      </w:r>
      <w:proofErr w:type="gramStart"/>
      <w:r w:rsidR="00D07BD3">
        <w:rPr>
          <w:rFonts w:cs="Times New Roman"/>
          <w:szCs w:val="24"/>
          <w:lang w:val="en-US"/>
        </w:rPr>
        <w:t>long</w:t>
      </w:r>
      <w:proofErr w:type="gramEnd"/>
      <w:r w:rsidR="00D07BD3">
        <w:rPr>
          <w:rFonts w:cs="Times New Roman"/>
          <w:szCs w:val="24"/>
          <w:lang w:val="en-US"/>
        </w:rPr>
        <w:t xml:space="preserve">-term sales contracts. Prospective sponsors seek to confirm the target’s cash flow generation potential to gain comfort with projections. Thus, they are frequently stress-tested, based on historical volatility and potential future business and economic conditions to support the ability to survive under challenging circumstances. </w:t>
      </w:r>
    </w:p>
    <w:p w:rsidR="00911118" w:rsidRDefault="00911118" w:rsidP="00D07BD3">
      <w:pPr>
        <w:pStyle w:val="a5"/>
        <w:spacing w:line="360" w:lineRule="auto"/>
        <w:ind w:firstLine="360"/>
        <w:jc w:val="both"/>
        <w:rPr>
          <w:rFonts w:cs="Times New Roman"/>
          <w:szCs w:val="24"/>
          <w:lang w:val="en-US"/>
        </w:rPr>
      </w:pP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lastRenderedPageBreak/>
        <w:t xml:space="preserve">Leading market position </w:t>
      </w:r>
    </w:p>
    <w:p w:rsidR="00D07BD3" w:rsidRDefault="00D07BD3" w:rsidP="00D07BD3">
      <w:pPr>
        <w:pStyle w:val="a5"/>
        <w:spacing w:line="360" w:lineRule="auto"/>
        <w:ind w:firstLine="360"/>
        <w:jc w:val="both"/>
        <w:rPr>
          <w:rFonts w:cs="Times New Roman"/>
          <w:szCs w:val="24"/>
          <w:lang w:val="en-US"/>
        </w:rPr>
      </w:pPr>
      <w:r>
        <w:rPr>
          <w:rFonts w:cs="Times New Roman"/>
          <w:szCs w:val="24"/>
          <w:lang w:val="en-US"/>
        </w:rPr>
        <w:t xml:space="preserve">Leading and strong positions in the market reflect, in general, relationships with customers, brand awareness, superior quality of products and services, and other advantages over competitors. The presence of competitive advantages in various areas, for example, in relations with consumers, low costs or differentiation of the product, makes a significant contribution to the stability of product sales and, accordingly, to the stability of cash flows. Depending on the sponsors’ familiarity with the industry and the level of available information about the candidate, they can attract external consultants to conduct independent research of the target. </w:t>
      </w: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t xml:space="preserve">Growth </w:t>
      </w:r>
      <w:r w:rsidR="00911118">
        <w:rPr>
          <w:rFonts w:cs="Times New Roman"/>
          <w:b/>
          <w:szCs w:val="24"/>
          <w:lang w:val="en-US"/>
        </w:rPr>
        <w:t>potential</w:t>
      </w:r>
    </w:p>
    <w:p w:rsidR="00D07BD3" w:rsidRDefault="00D07BD3" w:rsidP="00D07BD3">
      <w:pPr>
        <w:pStyle w:val="a5"/>
        <w:spacing w:line="360" w:lineRule="auto"/>
        <w:ind w:firstLine="360"/>
        <w:jc w:val="both"/>
        <w:rPr>
          <w:rFonts w:cs="Times New Roman"/>
          <w:szCs w:val="24"/>
          <w:lang w:val="en-US"/>
        </w:rPr>
      </w:pPr>
      <w:r>
        <w:rPr>
          <w:rFonts w:cs="Times New Roman"/>
          <w:szCs w:val="24"/>
          <w:lang w:val="en-US"/>
        </w:rPr>
        <w:t xml:space="preserve">The growth potential that sponsors look for might be both organic and through future bolt-on acquisitions. Profitable top line growth at above-market rates helps drive outsized returns, generating greater cash available for debt repayment while also increasing EBITDA and enterprise value. The estimation of the company's market value at the exit is based on EBITDA multiple. Thus, the growth potential leads to higher returns for investors at the close of the deal, since as company grows, the EBITDA is also increasing, so the enterprise value estimate based on EV/EBITDA multiple is consequently growing as well. </w:t>
      </w:r>
    </w:p>
    <w:p w:rsidR="00D07BD3" w:rsidRDefault="00D07BD3" w:rsidP="00B63841">
      <w:pPr>
        <w:pStyle w:val="a5"/>
        <w:spacing w:line="360" w:lineRule="auto"/>
        <w:ind w:firstLine="360"/>
        <w:jc w:val="both"/>
        <w:rPr>
          <w:rFonts w:cs="Times New Roman"/>
          <w:szCs w:val="24"/>
          <w:lang w:val="en-US"/>
        </w:rPr>
      </w:pPr>
      <w:r>
        <w:rPr>
          <w:rFonts w:cs="Times New Roman"/>
          <w:szCs w:val="24"/>
          <w:lang w:val="en-US"/>
        </w:rPr>
        <w:t xml:space="preserve">The company’s potential to develop and expand the scale of operations </w:t>
      </w:r>
      <w:proofErr w:type="gramStart"/>
      <w:r>
        <w:rPr>
          <w:rFonts w:cs="Times New Roman"/>
          <w:szCs w:val="24"/>
          <w:lang w:val="en-US"/>
        </w:rPr>
        <w:t>is very much affected</w:t>
      </w:r>
      <w:proofErr w:type="gramEnd"/>
      <w:r>
        <w:rPr>
          <w:rFonts w:cs="Times New Roman"/>
          <w:szCs w:val="24"/>
          <w:lang w:val="en-US"/>
        </w:rPr>
        <w:t xml:space="preserve"> by the LBO financing structure. The cheaper the sources of funds are, the more financing is available for growth. This is why the sponsors some time do not pursue the strategy of attracting as much debt as possible, to save flexibility for the growth strategy. A study performed on the Swedish private equity market</w:t>
      </w:r>
      <w:r>
        <w:rPr>
          <w:rStyle w:val="a9"/>
          <w:rFonts w:cs="Times New Roman"/>
          <w:szCs w:val="24"/>
          <w:lang w:val="en-US"/>
        </w:rPr>
        <w:footnoteReference w:id="20"/>
      </w:r>
      <w:r>
        <w:rPr>
          <w:rFonts w:cs="Times New Roman"/>
          <w:szCs w:val="24"/>
          <w:lang w:val="en-US"/>
        </w:rPr>
        <w:t xml:space="preserve"> showed that ability of the fund to estimate the future development is a key issue when looking for a suitable candidate. </w:t>
      </w: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t>Opportunities to improve the efficiency of the company</w:t>
      </w:r>
    </w:p>
    <w:p w:rsidR="00D07BD3" w:rsidRDefault="00D07BD3" w:rsidP="00D07BD3">
      <w:pPr>
        <w:pStyle w:val="a5"/>
        <w:spacing w:line="360" w:lineRule="auto"/>
        <w:ind w:firstLine="360"/>
        <w:jc w:val="both"/>
        <w:rPr>
          <w:rFonts w:cs="Times New Roman"/>
          <w:szCs w:val="24"/>
          <w:lang w:val="en-US"/>
        </w:rPr>
      </w:pPr>
      <w:r>
        <w:rPr>
          <w:rFonts w:cs="Times New Roman"/>
          <w:szCs w:val="24"/>
          <w:lang w:val="en-US"/>
        </w:rPr>
        <w:t xml:space="preserve">While it is essential that the LBO candidate </w:t>
      </w:r>
      <w:proofErr w:type="gramStart"/>
      <w:r>
        <w:rPr>
          <w:rFonts w:cs="Times New Roman"/>
          <w:szCs w:val="24"/>
          <w:lang w:val="en-US"/>
        </w:rPr>
        <w:t>has</w:t>
      </w:r>
      <w:proofErr w:type="gramEnd"/>
      <w:r>
        <w:rPr>
          <w:rFonts w:cs="Times New Roman"/>
          <w:szCs w:val="24"/>
          <w:lang w:val="en-US"/>
        </w:rPr>
        <w:t xml:space="preserve"> a strong business model</w:t>
      </w:r>
      <w:r w:rsidR="001A651F">
        <w:rPr>
          <w:rFonts w:cs="Times New Roman"/>
          <w:szCs w:val="24"/>
          <w:lang w:val="en-US"/>
        </w:rPr>
        <w:t>,</w:t>
      </w:r>
      <w:r>
        <w:rPr>
          <w:rFonts w:cs="Times New Roman"/>
          <w:szCs w:val="24"/>
          <w:lang w:val="en-US"/>
        </w:rPr>
        <w:t xml:space="preserve"> the investors still seek targets providing opportunitie</w:t>
      </w:r>
      <w:r w:rsidR="001A651F">
        <w:rPr>
          <w:rFonts w:cs="Times New Roman"/>
          <w:szCs w:val="24"/>
          <w:lang w:val="en-US"/>
        </w:rPr>
        <w:t xml:space="preserve">s for operational improvements. Usually it </w:t>
      </w:r>
      <w:proofErr w:type="gramStart"/>
      <w:r w:rsidR="001A651F">
        <w:rPr>
          <w:rFonts w:cs="Times New Roman"/>
          <w:szCs w:val="24"/>
          <w:lang w:val="en-US"/>
        </w:rPr>
        <w:t>is referred</w:t>
      </w:r>
      <w:proofErr w:type="gramEnd"/>
      <w:r w:rsidR="001A651F">
        <w:rPr>
          <w:rFonts w:cs="Times New Roman"/>
          <w:szCs w:val="24"/>
          <w:lang w:val="en-US"/>
        </w:rPr>
        <w:t xml:space="preserve"> to cost savings. </w:t>
      </w:r>
      <w:r>
        <w:rPr>
          <w:rFonts w:cs="Times New Roman"/>
          <w:szCs w:val="24"/>
          <w:lang w:val="en-US"/>
        </w:rPr>
        <w:t>Traditional cost saving measures include reducing corporate overhead, headcount optimization initiatives, operations streamlining, implementing IT systems, selling non-core assets, introducing lean manufacturing, six sigma process, etc. Another direction is negotiating with current or finding new corporate partners</w:t>
      </w:r>
      <w:r w:rsidR="001A651F">
        <w:rPr>
          <w:rFonts w:cs="Times New Roman"/>
          <w:szCs w:val="24"/>
          <w:lang w:val="en-US"/>
        </w:rPr>
        <w:t xml:space="preserve"> (suppliers, customers). For the</w:t>
      </w:r>
      <w:r>
        <w:rPr>
          <w:rFonts w:cs="Times New Roman"/>
          <w:szCs w:val="24"/>
          <w:lang w:val="en-US"/>
        </w:rPr>
        <w:t>s</w:t>
      </w:r>
      <w:r w:rsidR="001A651F">
        <w:rPr>
          <w:rFonts w:cs="Times New Roman"/>
          <w:szCs w:val="24"/>
          <w:lang w:val="en-US"/>
        </w:rPr>
        <w:t>e</w:t>
      </w:r>
      <w:r>
        <w:rPr>
          <w:rFonts w:cs="Times New Roman"/>
          <w:szCs w:val="24"/>
          <w:lang w:val="en-US"/>
        </w:rPr>
        <w:t xml:space="preserve"> </w:t>
      </w:r>
      <w:proofErr w:type="gramStart"/>
      <w:r>
        <w:rPr>
          <w:rFonts w:cs="Times New Roman"/>
          <w:szCs w:val="24"/>
          <w:lang w:val="en-US"/>
        </w:rPr>
        <w:t>initiatives</w:t>
      </w:r>
      <w:proofErr w:type="gramEnd"/>
      <w:r>
        <w:rPr>
          <w:rFonts w:cs="Times New Roman"/>
          <w:szCs w:val="24"/>
          <w:lang w:val="en-US"/>
        </w:rPr>
        <w:t xml:space="preserve"> investors may attract external consultants or industry experts to assist during the due-diligence as well as assess the opportunity represented by establishing “best practices” at the target. The proper implementation of </w:t>
      </w:r>
      <w:proofErr w:type="gramStart"/>
      <w:r>
        <w:rPr>
          <w:rFonts w:cs="Times New Roman"/>
          <w:szCs w:val="24"/>
          <w:lang w:val="en-US"/>
        </w:rPr>
        <w:t>business process improvement initiatives</w:t>
      </w:r>
      <w:proofErr w:type="gramEnd"/>
      <w:r>
        <w:rPr>
          <w:rFonts w:cs="Times New Roman"/>
          <w:szCs w:val="24"/>
          <w:lang w:val="en-US"/>
        </w:rPr>
        <w:t xml:space="preserve"> is in fact the key determinant of equity </w:t>
      </w:r>
      <w:r>
        <w:rPr>
          <w:rFonts w:cs="Times New Roman"/>
          <w:szCs w:val="24"/>
          <w:lang w:val="en-US"/>
        </w:rPr>
        <w:lastRenderedPageBreak/>
        <w:t xml:space="preserve">value increase post acquisition. </w:t>
      </w:r>
      <w:proofErr w:type="gramStart"/>
      <w:r>
        <w:rPr>
          <w:rFonts w:cs="Times New Roman"/>
          <w:szCs w:val="24"/>
          <w:lang w:val="en-US"/>
        </w:rPr>
        <w:t>As a result</w:t>
      </w:r>
      <w:proofErr w:type="gramEnd"/>
      <w:r>
        <w:rPr>
          <w:rFonts w:cs="Times New Roman"/>
          <w:szCs w:val="24"/>
          <w:lang w:val="en-US"/>
        </w:rPr>
        <w:t xml:space="preserve"> of these and other restructuring efforts, one would expect an increase in EBITDA multiple. </w:t>
      </w:r>
    </w:p>
    <w:p w:rsidR="00D07BD3" w:rsidRDefault="00D07BD3" w:rsidP="00D07BD3">
      <w:pPr>
        <w:pStyle w:val="a5"/>
        <w:spacing w:line="360" w:lineRule="auto"/>
        <w:ind w:firstLine="360"/>
        <w:jc w:val="both"/>
        <w:rPr>
          <w:rFonts w:cs="Times New Roman"/>
          <w:szCs w:val="24"/>
          <w:lang w:val="en-US"/>
        </w:rPr>
      </w:pPr>
      <w:r>
        <w:rPr>
          <w:rFonts w:cs="Times New Roman"/>
          <w:szCs w:val="24"/>
          <w:lang w:val="en-US"/>
        </w:rPr>
        <w:t xml:space="preserve"> At the same time, sponsors should be careful not to jeopardize current sales or attractive opportunities for growth. Radical measures regarding marketing, capital investment or research can reduce the company's growth potential. In this regard, cost reduction should be carried out by reducing transaction costs, rather than reducing the cost of marketing or R&amp;D.</w:t>
      </w: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t xml:space="preserve">Low capex requirement </w:t>
      </w:r>
    </w:p>
    <w:p w:rsidR="00D07BD3" w:rsidRDefault="00D07BD3" w:rsidP="001A651F">
      <w:pPr>
        <w:pStyle w:val="a5"/>
        <w:spacing w:line="360" w:lineRule="auto"/>
        <w:ind w:firstLine="360"/>
        <w:jc w:val="both"/>
        <w:rPr>
          <w:rFonts w:cs="Times New Roman"/>
          <w:szCs w:val="24"/>
          <w:lang w:val="en-US"/>
        </w:rPr>
      </w:pPr>
      <w:r>
        <w:rPr>
          <w:rFonts w:cs="Times New Roman"/>
          <w:szCs w:val="24"/>
          <w:lang w:val="en-US"/>
        </w:rPr>
        <w:t xml:space="preserve">Other things being equal, a low level of capital expenditures increases the company's cash flow generation ability. In this regard, better LBO candidates tend to have a limited need for capital expenditures. Nevertheless, a company with large capital expenditure requirements may by interesting for investors if their growth potential is very high. During </w:t>
      </w:r>
      <w:proofErr w:type="gramStart"/>
      <w:r>
        <w:rPr>
          <w:rFonts w:cs="Times New Roman"/>
          <w:szCs w:val="24"/>
          <w:lang w:val="en-US"/>
        </w:rPr>
        <w:t>due-diligence</w:t>
      </w:r>
      <w:proofErr w:type="gramEnd"/>
      <w:r>
        <w:rPr>
          <w:rFonts w:cs="Times New Roman"/>
          <w:szCs w:val="24"/>
          <w:lang w:val="en-US"/>
        </w:rPr>
        <w:t xml:space="preserve"> investors differentiate between those expenditures deemed necessary to continue operating the business (“maintenance capex”) from those that are discretionary (“growth capex”). The first type </w:t>
      </w:r>
      <w:proofErr w:type="gramStart"/>
      <w:r>
        <w:rPr>
          <w:rFonts w:cs="Times New Roman"/>
          <w:szCs w:val="24"/>
          <w:lang w:val="en-US"/>
        </w:rPr>
        <w:t>is used</w:t>
      </w:r>
      <w:proofErr w:type="gramEnd"/>
      <w:r>
        <w:rPr>
          <w:rFonts w:cs="Times New Roman"/>
          <w:szCs w:val="24"/>
          <w:lang w:val="en-US"/>
        </w:rPr>
        <w:t xml:space="preserve"> to maintain the existing assets, mainly property plant and equipment, whereas growth capex is used to purchase new assets.</w:t>
      </w:r>
    </w:p>
    <w:p w:rsidR="00D07BD3" w:rsidRDefault="00D07BD3" w:rsidP="008D3CCB">
      <w:pPr>
        <w:pStyle w:val="a5"/>
        <w:numPr>
          <w:ilvl w:val="0"/>
          <w:numId w:val="4"/>
        </w:numPr>
        <w:spacing w:line="360" w:lineRule="auto"/>
        <w:jc w:val="both"/>
        <w:rPr>
          <w:rFonts w:cs="Times New Roman"/>
          <w:b/>
          <w:szCs w:val="24"/>
          <w:lang w:val="en-US"/>
        </w:rPr>
      </w:pPr>
      <w:r>
        <w:rPr>
          <w:rFonts w:cs="Times New Roman"/>
          <w:b/>
          <w:szCs w:val="24"/>
          <w:lang w:val="en-US"/>
        </w:rPr>
        <w:t xml:space="preserve">Strong asset base </w:t>
      </w:r>
    </w:p>
    <w:p w:rsidR="00D07BD3" w:rsidRDefault="001A651F" w:rsidP="00D07BD3">
      <w:pPr>
        <w:pStyle w:val="a5"/>
        <w:spacing w:line="360" w:lineRule="auto"/>
        <w:ind w:firstLine="360"/>
        <w:jc w:val="both"/>
        <w:rPr>
          <w:rFonts w:cs="Times New Roman"/>
          <w:szCs w:val="24"/>
          <w:lang w:val="en-US"/>
        </w:rPr>
      </w:pPr>
      <w:r>
        <w:rPr>
          <w:rFonts w:cs="Times New Roman"/>
          <w:szCs w:val="24"/>
          <w:lang w:val="en-US"/>
        </w:rPr>
        <w:t>Strong assets</w:t>
      </w:r>
      <w:r w:rsidR="00D07BD3">
        <w:rPr>
          <w:rFonts w:cs="Times New Roman"/>
          <w:szCs w:val="24"/>
          <w:lang w:val="en-US"/>
        </w:rPr>
        <w:t xml:space="preserve"> serves as collateral to secure the loan and increase the likelihood of principal </w:t>
      </w:r>
      <w:r>
        <w:rPr>
          <w:rFonts w:cs="Times New Roman"/>
          <w:szCs w:val="24"/>
          <w:lang w:val="en-US"/>
        </w:rPr>
        <w:t>repayment</w:t>
      </w:r>
      <w:r w:rsidR="00D07BD3">
        <w:rPr>
          <w:rFonts w:cs="Times New Roman"/>
          <w:szCs w:val="24"/>
          <w:lang w:val="en-US"/>
        </w:rPr>
        <w:t xml:space="preserve"> in case of bankruptcy (and liquidation). The target company's asset base is especially important in the credit market, where </w:t>
      </w:r>
      <w:r>
        <w:rPr>
          <w:rFonts w:cs="Times New Roman"/>
          <w:szCs w:val="24"/>
          <w:lang w:val="en-US"/>
        </w:rPr>
        <w:t>the creditor willingness to provide funds depends on the value of assets</w:t>
      </w:r>
      <w:r w:rsidR="00D07BD3">
        <w:rPr>
          <w:rFonts w:cs="Times New Roman"/>
          <w:szCs w:val="24"/>
          <w:lang w:val="en-US"/>
        </w:rPr>
        <w:t xml:space="preserve">. The asset strength </w:t>
      </w:r>
      <w:proofErr w:type="gramStart"/>
      <w:r w:rsidR="00D07BD3">
        <w:rPr>
          <w:rFonts w:cs="Times New Roman"/>
          <w:szCs w:val="24"/>
          <w:lang w:val="en-US"/>
        </w:rPr>
        <w:t>is defined</w:t>
      </w:r>
      <w:proofErr w:type="gramEnd"/>
      <w:r w:rsidR="00D07BD3">
        <w:rPr>
          <w:rFonts w:cs="Times New Roman"/>
          <w:szCs w:val="24"/>
          <w:lang w:val="en-US"/>
        </w:rPr>
        <w:t xml:space="preserve"> as the asset size as well as the quality of the asset base. Short-term assets, such as account receivable and inventory, are considered high quality assets given their liquidity, </w:t>
      </w:r>
      <w:proofErr w:type="gramStart"/>
      <w:r w:rsidR="00D07BD3">
        <w:rPr>
          <w:rFonts w:cs="Times New Roman"/>
          <w:szCs w:val="24"/>
          <w:lang w:val="en-US"/>
        </w:rPr>
        <w:t>whereas  long</w:t>
      </w:r>
      <w:proofErr w:type="gramEnd"/>
      <w:r w:rsidR="00D07BD3">
        <w:rPr>
          <w:rFonts w:cs="Times New Roman"/>
          <w:szCs w:val="24"/>
          <w:lang w:val="en-US"/>
        </w:rPr>
        <w:t>-term assets, for instance, PP&amp;E are low quality assets.</w:t>
      </w:r>
    </w:p>
    <w:p w:rsidR="00D07BD3" w:rsidRDefault="00ED56D3" w:rsidP="008D3CCB">
      <w:pPr>
        <w:pStyle w:val="a5"/>
        <w:numPr>
          <w:ilvl w:val="0"/>
          <w:numId w:val="4"/>
        </w:numPr>
        <w:spacing w:line="360" w:lineRule="auto"/>
        <w:jc w:val="both"/>
        <w:rPr>
          <w:rFonts w:cs="Times New Roman"/>
          <w:b/>
          <w:szCs w:val="24"/>
          <w:lang w:val="en-US"/>
        </w:rPr>
      </w:pPr>
      <w:r>
        <w:rPr>
          <w:rFonts w:cs="Times New Roman"/>
          <w:b/>
          <w:szCs w:val="24"/>
          <w:lang w:val="en-US"/>
        </w:rPr>
        <w:t>Strong</w:t>
      </w:r>
      <w:r w:rsidR="00D07BD3">
        <w:rPr>
          <w:rFonts w:cs="Times New Roman"/>
          <w:b/>
          <w:szCs w:val="24"/>
          <w:lang w:val="en-US"/>
        </w:rPr>
        <w:t xml:space="preserve"> Management Team</w:t>
      </w:r>
    </w:p>
    <w:p w:rsidR="00D07BD3" w:rsidRDefault="00D07BD3" w:rsidP="001F4111">
      <w:pPr>
        <w:pStyle w:val="a5"/>
        <w:spacing w:line="360" w:lineRule="auto"/>
        <w:ind w:firstLine="360"/>
        <w:jc w:val="both"/>
        <w:rPr>
          <w:rFonts w:cs="Times New Roman"/>
          <w:szCs w:val="24"/>
          <w:lang w:val="en-US"/>
        </w:rPr>
      </w:pPr>
      <w:r>
        <w:rPr>
          <w:rFonts w:cs="Times New Roman"/>
          <w:szCs w:val="24"/>
          <w:lang w:val="en-US"/>
        </w:rPr>
        <w:t xml:space="preserve">A strong management team with a good business reputation increases the company's attractiveness as an LBO candidate. Talented managers are extremely important and necessary in the case of the LBO given the need to operate under a highly levered capital structure and ambitious targets. Prior experience in managing company in stressed conditions, such as restructuring, integrating acquisitions, </w:t>
      </w:r>
      <w:proofErr w:type="gramStart"/>
      <w:r>
        <w:rPr>
          <w:rFonts w:cs="Times New Roman"/>
          <w:szCs w:val="24"/>
          <w:lang w:val="en-US"/>
        </w:rPr>
        <w:t>is especially appreciated</w:t>
      </w:r>
      <w:proofErr w:type="gramEnd"/>
      <w:r>
        <w:rPr>
          <w:rFonts w:cs="Times New Roman"/>
          <w:szCs w:val="24"/>
          <w:lang w:val="en-US"/>
        </w:rPr>
        <w:t xml:space="preserve"> by sponsors. </w:t>
      </w:r>
      <w:r w:rsidR="001F4111">
        <w:rPr>
          <w:rFonts w:cs="Times New Roman"/>
          <w:szCs w:val="24"/>
          <w:lang w:val="en-US"/>
        </w:rPr>
        <w:t>A</w:t>
      </w:r>
      <w:r>
        <w:rPr>
          <w:rFonts w:cs="Times New Roman"/>
          <w:szCs w:val="24"/>
          <w:lang w:val="en-US"/>
        </w:rPr>
        <w:t xml:space="preserve"> strong management team is crucial for driving company performance going forward and helping the sponsor meet its investment objectives.</w:t>
      </w:r>
      <w:r>
        <w:rPr>
          <w:rStyle w:val="a9"/>
          <w:rFonts w:cs="Times New Roman"/>
          <w:szCs w:val="24"/>
          <w:lang w:val="en-US"/>
        </w:rPr>
        <w:footnoteReference w:id="21"/>
      </w:r>
    </w:p>
    <w:p w:rsidR="00D07BD3" w:rsidRDefault="00D07BD3" w:rsidP="00D07BD3">
      <w:pPr>
        <w:pStyle w:val="a5"/>
        <w:spacing w:line="360" w:lineRule="auto"/>
        <w:ind w:firstLine="360"/>
        <w:jc w:val="both"/>
        <w:rPr>
          <w:rFonts w:cs="Times New Roman"/>
          <w:szCs w:val="24"/>
          <w:lang w:val="en-US"/>
        </w:rPr>
      </w:pPr>
      <w:r>
        <w:rPr>
          <w:rFonts w:cs="Times New Roman"/>
          <w:szCs w:val="24"/>
          <w:lang w:val="en-US"/>
        </w:rPr>
        <w:t xml:space="preserve">Certainly, the exact criteria for an LBO target may vary depending on the particular investor. Below </w:t>
      </w:r>
      <w:proofErr w:type="gramStart"/>
      <w:r>
        <w:rPr>
          <w:rFonts w:cs="Times New Roman"/>
          <w:szCs w:val="24"/>
          <w:lang w:val="en-US"/>
        </w:rPr>
        <w:t>are summarized</w:t>
      </w:r>
      <w:proofErr w:type="gramEnd"/>
      <w:r>
        <w:rPr>
          <w:rFonts w:cs="Times New Roman"/>
          <w:szCs w:val="24"/>
          <w:lang w:val="en-US"/>
        </w:rPr>
        <w:t xml:space="preserve"> the criteria developed by Morgan Stanley company</w:t>
      </w:r>
      <w:r>
        <w:rPr>
          <w:rStyle w:val="a9"/>
          <w:rFonts w:cs="Times New Roman"/>
          <w:szCs w:val="24"/>
          <w:lang w:val="en-US"/>
        </w:rPr>
        <w:footnoteReference w:id="22"/>
      </w:r>
      <w:r>
        <w:rPr>
          <w:rFonts w:cs="Times New Roman"/>
          <w:szCs w:val="24"/>
          <w:lang w:val="en-US"/>
        </w:rPr>
        <w:t>:</w:t>
      </w:r>
    </w:p>
    <w:p w:rsidR="001F4111" w:rsidRDefault="001F4111" w:rsidP="001F4111">
      <w:pPr>
        <w:pStyle w:val="a5"/>
        <w:spacing w:line="360" w:lineRule="auto"/>
        <w:ind w:firstLine="360"/>
        <w:jc w:val="right"/>
        <w:rPr>
          <w:rFonts w:cs="Times New Roman"/>
          <w:szCs w:val="24"/>
          <w:lang w:val="en-US"/>
        </w:rPr>
      </w:pPr>
      <w:r w:rsidRPr="001F4111">
        <w:rPr>
          <w:rFonts w:cs="Times New Roman"/>
          <w:i/>
          <w:szCs w:val="24"/>
          <w:lang w:val="en-US"/>
        </w:rPr>
        <w:lastRenderedPageBreak/>
        <w:t>Table 1.</w:t>
      </w:r>
      <w:r>
        <w:rPr>
          <w:rFonts w:cs="Times New Roman"/>
          <w:szCs w:val="24"/>
          <w:lang w:val="en-US"/>
        </w:rPr>
        <w:t xml:space="preserve"> LBO-target characteristics developed by Morgan Stanley </w:t>
      </w:r>
    </w:p>
    <w:tbl>
      <w:tblPr>
        <w:tblW w:w="0" w:type="auto"/>
        <w:tblLook w:val="04A0" w:firstRow="1" w:lastRow="0" w:firstColumn="1" w:lastColumn="0" w:noHBand="0" w:noVBand="1"/>
      </w:tblPr>
      <w:tblGrid>
        <w:gridCol w:w="4671"/>
        <w:gridCol w:w="4673"/>
      </w:tblGrid>
      <w:tr w:rsidR="00D07BD3" w:rsidTr="00D07BD3">
        <w:tc>
          <w:tcPr>
            <w:tcW w:w="4672" w:type="dxa"/>
            <w:tcBorders>
              <w:top w:val="single" w:sz="4" w:space="0" w:color="auto"/>
              <w:left w:val="single" w:sz="4" w:space="0" w:color="auto"/>
              <w:bottom w:val="single" w:sz="4" w:space="0" w:color="auto"/>
              <w:right w:val="single" w:sz="4" w:space="0" w:color="auto"/>
            </w:tcBorders>
            <w:hideMark/>
          </w:tcPr>
          <w:p w:rsidR="00D07BD3" w:rsidRDefault="00D07BD3">
            <w:pPr>
              <w:pStyle w:val="a5"/>
              <w:spacing w:line="360" w:lineRule="auto"/>
              <w:jc w:val="both"/>
              <w:rPr>
                <w:szCs w:val="24"/>
                <w:lang w:val="en-US"/>
              </w:rPr>
            </w:pPr>
            <w:r>
              <w:rPr>
                <w:szCs w:val="24"/>
                <w:lang w:val="en-US"/>
              </w:rPr>
              <w:t xml:space="preserve">Financial </w:t>
            </w:r>
            <w:r w:rsidR="001F4111">
              <w:rPr>
                <w:szCs w:val="24"/>
                <w:lang w:val="en-US"/>
              </w:rPr>
              <w:t xml:space="preserve">characteristics </w:t>
            </w:r>
          </w:p>
        </w:tc>
        <w:tc>
          <w:tcPr>
            <w:tcW w:w="4673" w:type="dxa"/>
            <w:tcBorders>
              <w:top w:val="single" w:sz="4" w:space="0" w:color="auto"/>
              <w:left w:val="single" w:sz="4" w:space="0" w:color="auto"/>
              <w:bottom w:val="single" w:sz="4" w:space="0" w:color="auto"/>
              <w:right w:val="single" w:sz="4" w:space="0" w:color="auto"/>
            </w:tcBorders>
            <w:hideMark/>
          </w:tcPr>
          <w:p w:rsidR="00D07BD3" w:rsidRDefault="00D07BD3">
            <w:pPr>
              <w:pStyle w:val="a5"/>
              <w:spacing w:line="360" w:lineRule="auto"/>
              <w:jc w:val="both"/>
              <w:rPr>
                <w:szCs w:val="24"/>
                <w:lang w:val="en-US"/>
              </w:rPr>
            </w:pPr>
            <w:r>
              <w:rPr>
                <w:szCs w:val="24"/>
                <w:lang w:val="en-US"/>
              </w:rPr>
              <w:t xml:space="preserve">Business </w:t>
            </w:r>
            <w:r w:rsidR="001F4111">
              <w:rPr>
                <w:szCs w:val="24"/>
                <w:lang w:val="en-US"/>
              </w:rPr>
              <w:t>characteristics</w:t>
            </w:r>
          </w:p>
        </w:tc>
      </w:tr>
      <w:tr w:rsidR="00D07BD3" w:rsidRPr="00FC5765" w:rsidTr="00D07BD3">
        <w:tc>
          <w:tcPr>
            <w:tcW w:w="4672" w:type="dxa"/>
            <w:tcBorders>
              <w:top w:val="single" w:sz="4" w:space="0" w:color="auto"/>
              <w:left w:val="single" w:sz="4" w:space="0" w:color="auto"/>
              <w:bottom w:val="single" w:sz="4" w:space="0" w:color="auto"/>
              <w:right w:val="single" w:sz="4" w:space="0" w:color="auto"/>
            </w:tcBorders>
            <w:hideMark/>
          </w:tcPr>
          <w:p w:rsidR="00D07BD3" w:rsidRDefault="00D07BD3" w:rsidP="008D3CCB">
            <w:pPr>
              <w:pStyle w:val="a5"/>
              <w:numPr>
                <w:ilvl w:val="0"/>
                <w:numId w:val="4"/>
              </w:numPr>
              <w:spacing w:line="360" w:lineRule="auto"/>
              <w:jc w:val="both"/>
              <w:rPr>
                <w:szCs w:val="24"/>
                <w:lang w:val="en-US"/>
              </w:rPr>
            </w:pPr>
            <w:r>
              <w:rPr>
                <w:szCs w:val="24"/>
                <w:lang w:val="en-US"/>
              </w:rPr>
              <w:t xml:space="preserve">Ability to maintain above average profit margins </w:t>
            </w:r>
          </w:p>
          <w:p w:rsidR="00D07BD3" w:rsidRDefault="00D07BD3" w:rsidP="008D3CCB">
            <w:pPr>
              <w:pStyle w:val="a5"/>
              <w:numPr>
                <w:ilvl w:val="0"/>
                <w:numId w:val="4"/>
              </w:numPr>
              <w:spacing w:line="360" w:lineRule="auto"/>
              <w:jc w:val="both"/>
              <w:rPr>
                <w:szCs w:val="24"/>
                <w:lang w:val="en-US"/>
              </w:rPr>
            </w:pPr>
            <w:r>
              <w:rPr>
                <w:szCs w:val="24"/>
                <w:lang w:val="en-US"/>
              </w:rPr>
              <w:t xml:space="preserve">Strong, predictable cash flows </w:t>
            </w:r>
          </w:p>
          <w:p w:rsidR="00D07BD3" w:rsidRDefault="00D07BD3" w:rsidP="008D3CCB">
            <w:pPr>
              <w:pStyle w:val="a5"/>
              <w:numPr>
                <w:ilvl w:val="0"/>
                <w:numId w:val="4"/>
              </w:numPr>
              <w:spacing w:line="360" w:lineRule="auto"/>
              <w:jc w:val="both"/>
              <w:rPr>
                <w:szCs w:val="24"/>
                <w:lang w:val="en-US"/>
              </w:rPr>
            </w:pPr>
            <w:r>
              <w:rPr>
                <w:szCs w:val="24"/>
                <w:lang w:val="en-US"/>
              </w:rPr>
              <w:t xml:space="preserve">Readily separable liquid assets </w:t>
            </w:r>
          </w:p>
        </w:tc>
        <w:tc>
          <w:tcPr>
            <w:tcW w:w="4673" w:type="dxa"/>
            <w:tcBorders>
              <w:top w:val="single" w:sz="4" w:space="0" w:color="auto"/>
              <w:left w:val="single" w:sz="4" w:space="0" w:color="auto"/>
              <w:bottom w:val="single" w:sz="4" w:space="0" w:color="auto"/>
              <w:right w:val="single" w:sz="4" w:space="0" w:color="auto"/>
            </w:tcBorders>
            <w:hideMark/>
          </w:tcPr>
          <w:p w:rsidR="00D07BD3" w:rsidRDefault="00D07BD3" w:rsidP="008D3CCB">
            <w:pPr>
              <w:pStyle w:val="a5"/>
              <w:numPr>
                <w:ilvl w:val="0"/>
                <w:numId w:val="4"/>
              </w:numPr>
              <w:spacing w:line="360" w:lineRule="auto"/>
              <w:jc w:val="both"/>
              <w:rPr>
                <w:szCs w:val="24"/>
                <w:lang w:val="en-US"/>
              </w:rPr>
            </w:pPr>
            <w:r>
              <w:rPr>
                <w:szCs w:val="24"/>
                <w:lang w:val="en-US"/>
              </w:rPr>
              <w:t xml:space="preserve">Strong management team </w:t>
            </w:r>
          </w:p>
          <w:p w:rsidR="00D07BD3" w:rsidRDefault="00D07BD3" w:rsidP="008D3CCB">
            <w:pPr>
              <w:pStyle w:val="a5"/>
              <w:numPr>
                <w:ilvl w:val="0"/>
                <w:numId w:val="4"/>
              </w:numPr>
              <w:spacing w:line="360" w:lineRule="auto"/>
              <w:jc w:val="both"/>
              <w:rPr>
                <w:szCs w:val="24"/>
                <w:lang w:val="en-US"/>
              </w:rPr>
            </w:pPr>
            <w:r>
              <w:rPr>
                <w:szCs w:val="24"/>
                <w:lang w:val="en-US"/>
              </w:rPr>
              <w:t xml:space="preserve">Well-known brand name and strong market position </w:t>
            </w:r>
          </w:p>
          <w:p w:rsidR="00D07BD3" w:rsidRDefault="00D07BD3" w:rsidP="008D3CCB">
            <w:pPr>
              <w:pStyle w:val="a5"/>
              <w:numPr>
                <w:ilvl w:val="0"/>
                <w:numId w:val="4"/>
              </w:numPr>
              <w:spacing w:line="360" w:lineRule="auto"/>
              <w:jc w:val="both"/>
              <w:rPr>
                <w:szCs w:val="24"/>
                <w:lang w:val="en-US"/>
              </w:rPr>
            </w:pPr>
            <w:r>
              <w:rPr>
                <w:szCs w:val="24"/>
                <w:lang w:val="en-US"/>
              </w:rPr>
              <w:t xml:space="preserve">Low costs </w:t>
            </w:r>
          </w:p>
          <w:p w:rsidR="00D07BD3" w:rsidRDefault="00D07BD3" w:rsidP="008D3CCB">
            <w:pPr>
              <w:pStyle w:val="a5"/>
              <w:numPr>
                <w:ilvl w:val="0"/>
                <w:numId w:val="4"/>
              </w:numPr>
              <w:spacing w:line="360" w:lineRule="auto"/>
              <w:jc w:val="both"/>
              <w:rPr>
                <w:szCs w:val="24"/>
                <w:lang w:val="en-US"/>
              </w:rPr>
            </w:pPr>
            <w:r>
              <w:rPr>
                <w:szCs w:val="24"/>
                <w:lang w:val="en-US"/>
              </w:rPr>
              <w:t xml:space="preserve">Potential for growth </w:t>
            </w:r>
          </w:p>
          <w:p w:rsidR="00D07BD3" w:rsidRDefault="00D07BD3" w:rsidP="008D3CCB">
            <w:pPr>
              <w:pStyle w:val="a5"/>
              <w:numPr>
                <w:ilvl w:val="0"/>
                <w:numId w:val="4"/>
              </w:numPr>
              <w:spacing w:line="360" w:lineRule="auto"/>
              <w:jc w:val="both"/>
              <w:rPr>
                <w:szCs w:val="24"/>
                <w:lang w:val="en-US"/>
              </w:rPr>
            </w:pPr>
            <w:r>
              <w:rPr>
                <w:szCs w:val="24"/>
                <w:lang w:val="en-US"/>
              </w:rPr>
              <w:t xml:space="preserve">Products are not subjects to rapid technological change </w:t>
            </w:r>
          </w:p>
        </w:tc>
      </w:tr>
    </w:tbl>
    <w:p w:rsidR="00D07BD3" w:rsidRDefault="00D07BD3" w:rsidP="008810F7">
      <w:pPr>
        <w:pStyle w:val="a5"/>
        <w:spacing w:line="360" w:lineRule="auto"/>
        <w:ind w:firstLine="360"/>
        <w:jc w:val="both"/>
        <w:rPr>
          <w:rFonts w:cs="Times New Roman"/>
          <w:szCs w:val="24"/>
          <w:lang w:val="en-US"/>
        </w:rPr>
      </w:pPr>
      <w:r>
        <w:rPr>
          <w:rFonts w:cs="Times New Roman"/>
          <w:szCs w:val="24"/>
          <w:lang w:val="en-US"/>
        </w:rPr>
        <w:t>Financial investors also track for specific key ratios, such as EV/EBITDA, EV/EBITA, EV/Sales, EV/Cash flow and (EV-CAPEX)/Cash flow.</w:t>
      </w:r>
      <w:r>
        <w:rPr>
          <w:rStyle w:val="a9"/>
          <w:rFonts w:cs="Times New Roman"/>
          <w:szCs w:val="24"/>
          <w:lang w:val="en-US"/>
        </w:rPr>
        <w:footnoteReference w:id="23"/>
      </w:r>
      <w:r>
        <w:rPr>
          <w:rFonts w:cs="Times New Roman"/>
          <w:szCs w:val="24"/>
          <w:lang w:val="en-US"/>
        </w:rPr>
        <w:t xml:space="preserve"> </w:t>
      </w:r>
    </w:p>
    <w:p w:rsidR="00D07BD3" w:rsidRDefault="00D07BD3" w:rsidP="008D3CCB">
      <w:pPr>
        <w:pStyle w:val="a5"/>
        <w:numPr>
          <w:ilvl w:val="0"/>
          <w:numId w:val="4"/>
        </w:numPr>
        <w:spacing w:line="360" w:lineRule="auto"/>
        <w:jc w:val="both"/>
        <w:rPr>
          <w:rFonts w:cs="Times New Roman"/>
          <w:szCs w:val="24"/>
          <w:lang w:val="en-US"/>
        </w:rPr>
      </w:pPr>
      <w:r>
        <w:rPr>
          <w:rFonts w:cs="Times New Roman"/>
          <w:szCs w:val="24"/>
          <w:lang w:val="en-US"/>
        </w:rPr>
        <w:t xml:space="preserve">“A good deal has an EV/EBITDA entry multiple between 6X-10X.” </w:t>
      </w:r>
    </w:p>
    <w:p w:rsidR="00D07BD3" w:rsidRDefault="00D07BD3" w:rsidP="008D3CCB">
      <w:pPr>
        <w:pStyle w:val="a5"/>
        <w:numPr>
          <w:ilvl w:val="0"/>
          <w:numId w:val="4"/>
        </w:numPr>
        <w:spacing w:line="360" w:lineRule="auto"/>
        <w:jc w:val="both"/>
        <w:rPr>
          <w:rFonts w:cs="Times New Roman"/>
          <w:szCs w:val="24"/>
          <w:lang w:val="en-US"/>
        </w:rPr>
      </w:pPr>
      <w:r>
        <w:rPr>
          <w:rFonts w:cs="Times New Roman"/>
          <w:szCs w:val="24"/>
          <w:lang w:val="en-US"/>
        </w:rPr>
        <w:t xml:space="preserve">“We avoid companies with EV/Sales above 2X.” </w:t>
      </w:r>
    </w:p>
    <w:p w:rsidR="00D07BD3" w:rsidRDefault="00D07BD3" w:rsidP="008D3CCB">
      <w:pPr>
        <w:pStyle w:val="a5"/>
        <w:numPr>
          <w:ilvl w:val="0"/>
          <w:numId w:val="4"/>
        </w:numPr>
        <w:spacing w:line="360" w:lineRule="auto"/>
        <w:jc w:val="both"/>
        <w:rPr>
          <w:rFonts w:cs="Times New Roman"/>
          <w:szCs w:val="24"/>
          <w:lang w:val="en-US"/>
        </w:rPr>
      </w:pPr>
      <w:r>
        <w:rPr>
          <w:rFonts w:cs="Times New Roman"/>
          <w:szCs w:val="24"/>
          <w:lang w:val="en-US"/>
        </w:rPr>
        <w:t xml:space="preserve">“EV/Cash flow should not be more than 10X.” </w:t>
      </w:r>
    </w:p>
    <w:p w:rsidR="00D07BD3" w:rsidRDefault="00D07BD3" w:rsidP="00D07BD3">
      <w:pPr>
        <w:pStyle w:val="a5"/>
        <w:spacing w:line="360" w:lineRule="auto"/>
        <w:ind w:firstLine="708"/>
        <w:jc w:val="both"/>
        <w:rPr>
          <w:rFonts w:cs="Times New Roman"/>
          <w:szCs w:val="24"/>
          <w:lang w:val="en-US"/>
        </w:rPr>
      </w:pPr>
      <w:r>
        <w:rPr>
          <w:rFonts w:cs="Times New Roman"/>
          <w:szCs w:val="24"/>
          <w:lang w:val="en-US"/>
        </w:rPr>
        <w:t xml:space="preserve">This metrics </w:t>
      </w:r>
      <w:proofErr w:type="gramStart"/>
      <w:r>
        <w:rPr>
          <w:rFonts w:cs="Times New Roman"/>
          <w:szCs w:val="24"/>
          <w:lang w:val="en-US"/>
        </w:rPr>
        <w:t>are used</w:t>
      </w:r>
      <w:proofErr w:type="gramEnd"/>
      <w:r>
        <w:rPr>
          <w:rFonts w:cs="Times New Roman"/>
          <w:szCs w:val="24"/>
          <w:lang w:val="en-US"/>
        </w:rPr>
        <w:t xml:space="preserve"> as a sanity check of the target. If key ratios are ok, soft factors such as industry, management, business model, market position etc. are often the ones deciding whether to take on the investment or not. </w:t>
      </w:r>
    </w:p>
    <w:p w:rsidR="00D43FC6" w:rsidRDefault="00D43FC6" w:rsidP="008D3CCB">
      <w:pPr>
        <w:pStyle w:val="3"/>
        <w:numPr>
          <w:ilvl w:val="2"/>
          <w:numId w:val="2"/>
        </w:numPr>
        <w:rPr>
          <w:lang w:val="en-US"/>
        </w:rPr>
      </w:pPr>
      <w:bookmarkStart w:id="8" w:name="_Toc482826467"/>
      <w:bookmarkStart w:id="9" w:name="_Toc483074640"/>
      <w:r>
        <w:rPr>
          <w:lang w:val="en-US"/>
        </w:rPr>
        <w:t>Possible LBO financing structure</w:t>
      </w:r>
      <w:bookmarkEnd w:id="8"/>
      <w:bookmarkEnd w:id="9"/>
      <w:r>
        <w:rPr>
          <w:lang w:val="en-US"/>
        </w:rPr>
        <w:t xml:space="preserve"> </w:t>
      </w:r>
    </w:p>
    <w:p w:rsidR="006412D9" w:rsidRDefault="00D43FC6" w:rsidP="006412D9">
      <w:pPr>
        <w:pStyle w:val="a5"/>
        <w:spacing w:line="360" w:lineRule="auto"/>
        <w:ind w:firstLine="360"/>
        <w:jc w:val="both"/>
        <w:rPr>
          <w:rFonts w:cs="Times New Roman"/>
          <w:szCs w:val="24"/>
          <w:lang w:val="en-US"/>
        </w:rPr>
      </w:pPr>
      <w:r>
        <w:rPr>
          <w:rFonts w:cs="Times New Roman"/>
          <w:szCs w:val="24"/>
          <w:lang w:val="en-US"/>
        </w:rPr>
        <w:t>LBO-firms make a lot of effort to determine the optimal financing structure, as it must balance the company's ability to service and repay debt with the need to use cash flow to support the business growth. Academic studies usually describe some predetermined financing structure in LBO transactions. For example, Axelson et al (2010)</w:t>
      </w:r>
      <w:r>
        <w:rPr>
          <w:rStyle w:val="a9"/>
          <w:rFonts w:cs="Times New Roman"/>
          <w:szCs w:val="24"/>
          <w:lang w:val="en-US"/>
        </w:rPr>
        <w:footnoteReference w:id="24"/>
      </w:r>
      <w:r>
        <w:rPr>
          <w:rFonts w:cs="Times New Roman"/>
          <w:szCs w:val="24"/>
          <w:lang w:val="en-US"/>
        </w:rPr>
        <w:t xml:space="preserve"> note that funds typically use debt comprising up to 70% of the transaction value. Yet practitioners will commonly say that they will try to use as much debt as possible to maximize the return on investment. There are four main groups of LBO fascinating</w:t>
      </w:r>
    </w:p>
    <w:p w:rsidR="00D43FC6" w:rsidRDefault="00D43FC6" w:rsidP="008D3CCB">
      <w:pPr>
        <w:pStyle w:val="a5"/>
        <w:numPr>
          <w:ilvl w:val="0"/>
          <w:numId w:val="6"/>
        </w:numPr>
        <w:spacing w:line="360" w:lineRule="auto"/>
        <w:jc w:val="both"/>
        <w:rPr>
          <w:rFonts w:cs="Times New Roman"/>
          <w:szCs w:val="24"/>
          <w:lang w:val="en-US"/>
        </w:rPr>
      </w:pPr>
      <w:r>
        <w:rPr>
          <w:rFonts w:cs="Times New Roman"/>
          <w:szCs w:val="24"/>
          <w:lang w:val="en-US"/>
        </w:rPr>
        <w:t>Bank loans</w:t>
      </w:r>
    </w:p>
    <w:p w:rsidR="00D43FC6" w:rsidRDefault="00D43FC6" w:rsidP="008D3CCB">
      <w:pPr>
        <w:pStyle w:val="a5"/>
        <w:numPr>
          <w:ilvl w:val="0"/>
          <w:numId w:val="6"/>
        </w:numPr>
        <w:spacing w:line="360" w:lineRule="auto"/>
        <w:jc w:val="both"/>
        <w:rPr>
          <w:rFonts w:cs="Times New Roman"/>
          <w:szCs w:val="24"/>
          <w:lang w:val="en-US"/>
        </w:rPr>
      </w:pPr>
      <w:r>
        <w:rPr>
          <w:rFonts w:cs="Times New Roman"/>
          <w:szCs w:val="24"/>
          <w:lang w:val="en-US"/>
        </w:rPr>
        <w:t>High-yield bonds</w:t>
      </w:r>
    </w:p>
    <w:p w:rsidR="00D43FC6" w:rsidRDefault="00D43FC6" w:rsidP="008D3CCB">
      <w:pPr>
        <w:pStyle w:val="a5"/>
        <w:numPr>
          <w:ilvl w:val="0"/>
          <w:numId w:val="6"/>
        </w:numPr>
        <w:spacing w:line="360" w:lineRule="auto"/>
        <w:jc w:val="both"/>
        <w:rPr>
          <w:rFonts w:cs="Times New Roman"/>
          <w:szCs w:val="24"/>
          <w:lang w:val="en-US"/>
        </w:rPr>
      </w:pPr>
      <w:r>
        <w:rPr>
          <w:rFonts w:cs="Times New Roman"/>
          <w:szCs w:val="24"/>
          <w:lang w:val="en-US"/>
        </w:rPr>
        <w:t>Mezzanine financing</w:t>
      </w:r>
    </w:p>
    <w:p w:rsidR="00D43FC6" w:rsidRDefault="00D43FC6" w:rsidP="008D3CCB">
      <w:pPr>
        <w:pStyle w:val="a5"/>
        <w:numPr>
          <w:ilvl w:val="0"/>
          <w:numId w:val="6"/>
        </w:numPr>
        <w:spacing w:line="360" w:lineRule="auto"/>
        <w:jc w:val="both"/>
        <w:rPr>
          <w:rFonts w:cs="Times New Roman"/>
          <w:szCs w:val="24"/>
          <w:lang w:val="en-US"/>
        </w:rPr>
      </w:pPr>
      <w:r>
        <w:rPr>
          <w:rFonts w:cs="Times New Roman"/>
          <w:szCs w:val="24"/>
          <w:lang w:val="en-US"/>
        </w:rPr>
        <w:t>Private equity of investors</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lastRenderedPageBreak/>
        <w:t xml:space="preserve">In general, the higher the position of a particular source of financing in the above </w:t>
      </w:r>
      <w:r w:rsidR="006412D9">
        <w:rPr>
          <w:rFonts w:cs="Times New Roman"/>
          <w:szCs w:val="24"/>
          <w:lang w:val="en-US"/>
        </w:rPr>
        <w:t>list</w:t>
      </w:r>
      <w:r>
        <w:rPr>
          <w:rFonts w:cs="Times New Roman"/>
          <w:szCs w:val="24"/>
          <w:lang w:val="en-US"/>
        </w:rPr>
        <w:t xml:space="preserve">, the lower the risk, meaning the lower cost of capital for the borrower. Yet, the cost of a certain capital is inversely proportionate to </w:t>
      </w:r>
      <w:proofErr w:type="gramStart"/>
      <w:r>
        <w:rPr>
          <w:rFonts w:cs="Times New Roman"/>
          <w:szCs w:val="24"/>
          <w:lang w:val="en-US"/>
        </w:rPr>
        <w:t>the to</w:t>
      </w:r>
      <w:proofErr w:type="gramEnd"/>
      <w:r>
        <w:rPr>
          <w:rFonts w:cs="Times New Roman"/>
          <w:szCs w:val="24"/>
          <w:lang w:val="en-US"/>
        </w:rPr>
        <w:t xml:space="preserve"> the flexibility permitted by the applicable debt instrument. </w:t>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Bank loan</w:t>
      </w:r>
    </w:p>
    <w:p w:rsidR="00D43FC6" w:rsidRDefault="00D43FC6" w:rsidP="00D43FC6">
      <w:pPr>
        <w:pStyle w:val="a5"/>
        <w:spacing w:line="360" w:lineRule="auto"/>
        <w:ind w:firstLine="708"/>
        <w:jc w:val="both"/>
        <w:rPr>
          <w:rFonts w:cs="Times New Roman"/>
          <w:szCs w:val="24"/>
          <w:lang w:val="en-US"/>
        </w:rPr>
      </w:pPr>
      <w:r>
        <w:rPr>
          <w:rFonts w:cs="Times New Roman"/>
          <w:szCs w:val="24"/>
          <w:lang w:val="en-US"/>
        </w:rPr>
        <w:t xml:space="preserve">Bank credit is one of the main sources for financing in LBO, due low cost and low risk. It is frequently referred to as “senior secured credit facilities” since it has the highest order of subordination and, as a rule, consists of a revolving credit facility (which can be borrowed, repaid and reborrowed) and one or more term loan credit tranches (which may not be reborrowed once paid). The bank loan </w:t>
      </w:r>
      <w:proofErr w:type="gramStart"/>
      <w:r>
        <w:rPr>
          <w:rFonts w:cs="Times New Roman"/>
          <w:szCs w:val="24"/>
          <w:lang w:val="en-US"/>
        </w:rPr>
        <w:t>is issued</w:t>
      </w:r>
      <w:proofErr w:type="gramEnd"/>
      <w:r>
        <w:rPr>
          <w:rFonts w:cs="Times New Roman"/>
          <w:szCs w:val="24"/>
          <w:lang w:val="en-US"/>
        </w:rPr>
        <w:t xml:space="preserve"> in the private market and, therefore, is not subject to SEC regulation and disclosure requirements. Nevertheless, there are certain covenants imposed on the debtor, which </w:t>
      </w:r>
      <w:proofErr w:type="gramStart"/>
      <w:r>
        <w:rPr>
          <w:rFonts w:cs="Times New Roman"/>
          <w:szCs w:val="24"/>
          <w:lang w:val="en-US"/>
        </w:rPr>
        <w:t>can be divided</w:t>
      </w:r>
      <w:proofErr w:type="gramEnd"/>
      <w:r>
        <w:rPr>
          <w:rFonts w:cs="Times New Roman"/>
          <w:szCs w:val="24"/>
          <w:lang w:val="en-US"/>
        </w:rPr>
        <w:t xml:space="preserve"> into three categories:</w:t>
      </w:r>
    </w:p>
    <w:p w:rsidR="00D43FC6" w:rsidRDefault="00D43FC6" w:rsidP="008D3CCB">
      <w:pPr>
        <w:pStyle w:val="a5"/>
        <w:numPr>
          <w:ilvl w:val="0"/>
          <w:numId w:val="5"/>
        </w:numPr>
        <w:spacing w:line="360" w:lineRule="auto"/>
        <w:jc w:val="both"/>
        <w:rPr>
          <w:rFonts w:cs="Times New Roman"/>
          <w:szCs w:val="24"/>
          <w:lang w:val="en-US"/>
        </w:rPr>
      </w:pPr>
      <w:r>
        <w:rPr>
          <w:rFonts w:cs="Times New Roman"/>
          <w:szCs w:val="24"/>
          <w:lang w:val="en-US"/>
        </w:rPr>
        <w:t>Active - requiring the borrower to perform certain actions, such as the regular provision of regular reporting, regular disclosure of information on the directions of business development;</w:t>
      </w:r>
    </w:p>
    <w:p w:rsidR="00D43FC6" w:rsidRDefault="00D43FC6" w:rsidP="008D3CCB">
      <w:pPr>
        <w:pStyle w:val="a5"/>
        <w:numPr>
          <w:ilvl w:val="0"/>
          <w:numId w:val="5"/>
        </w:numPr>
        <w:spacing w:line="360" w:lineRule="auto"/>
        <w:jc w:val="both"/>
        <w:rPr>
          <w:rFonts w:cs="Times New Roman"/>
          <w:szCs w:val="24"/>
          <w:lang w:val="en-US"/>
        </w:rPr>
      </w:pPr>
      <w:r>
        <w:rPr>
          <w:rFonts w:cs="Times New Roman"/>
          <w:szCs w:val="24"/>
          <w:lang w:val="en-US"/>
        </w:rPr>
        <w:t>Passive - imposing restrictions on the borrower's activities, for example, restrictions may be placed on the opportunity of reselling assets, on the minimum level of cash on the balance sheet or on the total amount of the company's debt;</w:t>
      </w:r>
    </w:p>
    <w:p w:rsidR="00D43FC6" w:rsidRDefault="00D43FC6" w:rsidP="008D3CCB">
      <w:pPr>
        <w:pStyle w:val="a5"/>
        <w:numPr>
          <w:ilvl w:val="0"/>
          <w:numId w:val="5"/>
        </w:numPr>
        <w:spacing w:line="360" w:lineRule="auto"/>
        <w:jc w:val="both"/>
        <w:rPr>
          <w:rFonts w:cs="Times New Roman"/>
          <w:szCs w:val="24"/>
          <w:lang w:val="en-US"/>
        </w:rPr>
      </w:pPr>
      <w:r>
        <w:rPr>
          <w:rFonts w:cs="Times New Roman"/>
          <w:szCs w:val="24"/>
          <w:lang w:val="en-US"/>
        </w:rPr>
        <w:t>Requiring the maintenance of certain values ​​of financial indicators, for example, a certain level of liquidity, the ratio of debt to EBITDA.</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t xml:space="preserve">Typically quarterly interest is charged on a bank loan at a certain benchmark rate (usually LIBOR or the Base Rate) plus an applicable margin (“spread”), determined based on the borrower characteristics, such as creditworthiness, quality of assets. This type of debt is often called floating, because its value varies in accordance with changes to the underlying benchmark rate. </w:t>
      </w:r>
    </w:p>
    <w:p w:rsidR="00D43FC6" w:rsidRDefault="004D0455" w:rsidP="008D3CCB">
      <w:pPr>
        <w:pStyle w:val="a5"/>
        <w:numPr>
          <w:ilvl w:val="0"/>
          <w:numId w:val="7"/>
        </w:numPr>
        <w:spacing w:line="360" w:lineRule="auto"/>
        <w:jc w:val="both"/>
        <w:rPr>
          <w:rFonts w:cs="Times New Roman"/>
          <w:szCs w:val="24"/>
          <w:lang w:val="en-US"/>
        </w:rPr>
      </w:pPr>
      <w:r>
        <w:rPr>
          <w:rFonts w:cs="Times New Roman"/>
          <w:b/>
          <w:szCs w:val="24"/>
          <w:lang w:val="en-US"/>
        </w:rPr>
        <w:t>High-yield</w:t>
      </w:r>
      <w:r w:rsidR="00D43FC6">
        <w:rPr>
          <w:rFonts w:cs="Times New Roman"/>
          <w:b/>
          <w:szCs w:val="24"/>
          <w:lang w:val="en-US"/>
        </w:rPr>
        <w:t xml:space="preserve"> bonds</w:t>
      </w:r>
    </w:p>
    <w:p w:rsidR="00D43FC6" w:rsidRDefault="00D43FC6" w:rsidP="00D43FC6">
      <w:pPr>
        <w:pStyle w:val="a5"/>
        <w:spacing w:line="360" w:lineRule="auto"/>
        <w:jc w:val="both"/>
        <w:rPr>
          <w:rFonts w:cs="Times New Roman"/>
          <w:szCs w:val="24"/>
          <w:lang w:val="en-US"/>
        </w:rPr>
      </w:pPr>
      <w:r>
        <w:rPr>
          <w:rFonts w:cs="Times New Roman"/>
          <w:szCs w:val="24"/>
          <w:lang w:val="en-US"/>
        </w:rPr>
        <w:tab/>
        <w:t xml:space="preserve">High yield bonds are </w:t>
      </w:r>
      <w:proofErr w:type="gramStart"/>
      <w:r>
        <w:rPr>
          <w:rFonts w:cs="Times New Roman"/>
          <w:szCs w:val="24"/>
          <w:lang w:val="en-US"/>
        </w:rPr>
        <w:t>non-investment grade debt securities</w:t>
      </w:r>
      <w:proofErr w:type="gramEnd"/>
      <w:r>
        <w:rPr>
          <w:rFonts w:cs="Times New Roman"/>
          <w:szCs w:val="24"/>
          <w:lang w:val="en-US"/>
        </w:rPr>
        <w:t xml:space="preserve"> (BBB in accordance with the Standard &amp; Poor's methodology and Fitch or below Baa on Moody's scale) that obligate the issuer to make interest payments to bondholders on regular basis (typically semiannually) and repay the principal at the maturity date. This type of debt </w:t>
      </w:r>
      <w:proofErr w:type="gramStart"/>
      <w:r>
        <w:rPr>
          <w:rFonts w:cs="Times New Roman"/>
          <w:szCs w:val="24"/>
          <w:lang w:val="en-US"/>
        </w:rPr>
        <w:t>is characterized</w:t>
      </w:r>
      <w:proofErr w:type="gramEnd"/>
      <w:r>
        <w:rPr>
          <w:rFonts w:cs="Times New Roman"/>
          <w:szCs w:val="24"/>
          <w:lang w:val="en-US"/>
        </w:rPr>
        <w:t xml:space="preserve"> with unsecured position, longer maturity, less restrictive </w:t>
      </w:r>
      <w:r>
        <w:rPr>
          <w:rFonts w:cs="Times New Roman"/>
          <w:iCs/>
          <w:szCs w:val="24"/>
          <w:lang w:val="en-US"/>
        </w:rPr>
        <w:t xml:space="preserve">incurrence </w:t>
      </w:r>
      <w:r>
        <w:rPr>
          <w:rFonts w:cs="Times New Roman"/>
          <w:szCs w:val="24"/>
          <w:lang w:val="en-US"/>
        </w:rPr>
        <w:t xml:space="preserve">covenants. Because of </w:t>
      </w:r>
      <w:proofErr w:type="gramStart"/>
      <w:r>
        <w:rPr>
          <w:rFonts w:cs="Times New Roman"/>
          <w:szCs w:val="24"/>
          <w:lang w:val="en-US"/>
        </w:rPr>
        <w:t>that</w:t>
      </w:r>
      <w:proofErr w:type="gramEnd"/>
      <w:r>
        <w:rPr>
          <w:rFonts w:cs="Times New Roman"/>
          <w:szCs w:val="24"/>
          <w:lang w:val="en-US"/>
        </w:rPr>
        <w:t xml:space="preserve"> they have higher coupon rate than do bank debt to compensate to investors higher risks. The average yield on high-yield bonds may be 10-15%. These bonds have always played an important role in financing the LBO transaction, because they are more available, providing possibility to significantly increase </w:t>
      </w:r>
      <w:proofErr w:type="gramStart"/>
      <w:r>
        <w:rPr>
          <w:rFonts w:cs="Times New Roman"/>
          <w:szCs w:val="24"/>
          <w:lang w:val="en-US"/>
        </w:rPr>
        <w:t>leverage</w:t>
      </w:r>
      <w:proofErr w:type="gramEnd"/>
      <w:r>
        <w:rPr>
          <w:rFonts w:cs="Times New Roman"/>
          <w:szCs w:val="24"/>
          <w:lang w:val="en-US"/>
        </w:rPr>
        <w:t>, decreasing the equity contribution. Moreover, high-yield bonds give the company a much greater degree of freedom than bank loans, due to higher flexibility, the almost total absence of covenants,</w:t>
      </w:r>
      <w:r w:rsidR="00704815">
        <w:rPr>
          <w:rFonts w:cs="Times New Roman"/>
          <w:szCs w:val="24"/>
          <w:lang w:val="en-US"/>
        </w:rPr>
        <w:t xml:space="preserve"> </w:t>
      </w:r>
      <w:proofErr w:type="gramStart"/>
      <w:r w:rsidR="00704815">
        <w:rPr>
          <w:rFonts w:cs="Times New Roman"/>
          <w:szCs w:val="24"/>
          <w:lang w:val="en-US"/>
        </w:rPr>
        <w:t>lack</w:t>
      </w:r>
      <w:proofErr w:type="gramEnd"/>
      <w:r w:rsidR="00704815">
        <w:rPr>
          <w:rFonts w:cs="Times New Roman"/>
          <w:szCs w:val="24"/>
          <w:lang w:val="en-US"/>
        </w:rPr>
        <w:t xml:space="preserve"> of mandatory amortization. </w:t>
      </w:r>
      <w:r>
        <w:rPr>
          <w:rFonts w:cs="Times New Roman"/>
          <w:szCs w:val="24"/>
          <w:lang w:val="en-US"/>
        </w:rPr>
        <w:t xml:space="preserve">The interest on </w:t>
      </w:r>
      <w:r w:rsidR="00704815">
        <w:rPr>
          <w:rFonts w:cs="Times New Roman"/>
          <w:szCs w:val="24"/>
          <w:lang w:val="en-US"/>
        </w:rPr>
        <w:t>high yield bonds is typically</w:t>
      </w:r>
      <w:r>
        <w:rPr>
          <w:rFonts w:cs="Times New Roman"/>
          <w:szCs w:val="24"/>
          <w:lang w:val="en-US"/>
        </w:rPr>
        <w:t xml:space="preserve"> fixed, and priced at </w:t>
      </w:r>
      <w:r>
        <w:rPr>
          <w:rFonts w:cs="Times New Roman"/>
          <w:szCs w:val="24"/>
          <w:lang w:val="en-US"/>
        </w:rPr>
        <w:lastRenderedPageBreak/>
        <w:t xml:space="preserve">the issuance of bonds </w:t>
      </w:r>
      <w:proofErr w:type="gramStart"/>
      <w:r>
        <w:rPr>
          <w:rFonts w:cs="Times New Roman"/>
          <w:szCs w:val="24"/>
          <w:lang w:val="en-US"/>
        </w:rPr>
        <w:t>on the basis of</w:t>
      </w:r>
      <w:proofErr w:type="gramEnd"/>
      <w:r>
        <w:rPr>
          <w:rFonts w:cs="Times New Roman"/>
          <w:szCs w:val="24"/>
          <w:lang w:val="en-US"/>
        </w:rPr>
        <w:t xml:space="preserve"> a spread to a benchmark Treasury. This means that the interest rate is constant throat the bond lifespan. Even though high yield bonds with floating rate coupon </w:t>
      </w:r>
      <w:proofErr w:type="gramStart"/>
      <w:r>
        <w:rPr>
          <w:rFonts w:cs="Times New Roman"/>
          <w:szCs w:val="24"/>
          <w:lang w:val="en-US"/>
        </w:rPr>
        <w:t>are also commonly used</w:t>
      </w:r>
      <w:proofErr w:type="gramEnd"/>
      <w:r>
        <w:rPr>
          <w:rFonts w:cs="Times New Roman"/>
          <w:szCs w:val="24"/>
          <w:lang w:val="en-US"/>
        </w:rPr>
        <w:t>, they are not typical for LBO transactions.</w:t>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 xml:space="preserve">Mezzanine debt </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t xml:space="preserve">Mezzanine is a debt instrument that actually lies between traditional debt and equity. For the sponsor, the attraction of mezzanine financing makes it possible to increase </w:t>
      </w:r>
      <w:proofErr w:type="gramStart"/>
      <w:r>
        <w:rPr>
          <w:rFonts w:cs="Times New Roman"/>
          <w:szCs w:val="24"/>
          <w:lang w:val="en-US"/>
        </w:rPr>
        <w:t>leverage</w:t>
      </w:r>
      <w:proofErr w:type="gramEnd"/>
      <w:r>
        <w:rPr>
          <w:rFonts w:cs="Times New Roman"/>
          <w:szCs w:val="24"/>
          <w:lang w:val="en-US"/>
        </w:rPr>
        <w:t xml:space="preserve"> at a rate lower than the cost of equity when other sources of funds are unavailable or utterly used. For example, the mezzanine debt may substitute or supplement the high yield bond financing when the markets re not favorable. For the investor the mezzanine debt offers higher rate of return that higher rate of return than traditional high yield bonds and </w:t>
      </w:r>
      <w:proofErr w:type="gramStart"/>
      <w:r>
        <w:rPr>
          <w:rFonts w:cs="Times New Roman"/>
          <w:szCs w:val="24"/>
          <w:lang w:val="en-US"/>
        </w:rPr>
        <w:t>can be structured</w:t>
      </w:r>
      <w:proofErr w:type="gramEnd"/>
      <w:r>
        <w:rPr>
          <w:rFonts w:cs="Times New Roman"/>
          <w:szCs w:val="24"/>
          <w:lang w:val="en-US"/>
        </w:rPr>
        <w:t xml:space="preserve"> to offer equity upside potential in the form of purchased equity or detachable warrants that are exchangeable into common stock of the issuer. </w:t>
      </w:r>
      <w:r>
        <w:rPr>
          <w:rStyle w:val="a9"/>
          <w:rFonts w:cs="Times New Roman"/>
          <w:szCs w:val="24"/>
          <w:lang w:val="en-US"/>
        </w:rPr>
        <w:footnoteReference w:id="25"/>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 xml:space="preserve">Equity financing </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t xml:space="preserve">The remaining small portion of the LBO financing structure </w:t>
      </w:r>
      <w:proofErr w:type="gramStart"/>
      <w:r>
        <w:rPr>
          <w:rFonts w:cs="Times New Roman"/>
          <w:szCs w:val="24"/>
          <w:lang w:val="en-US"/>
        </w:rPr>
        <w:t>is formed</w:t>
      </w:r>
      <w:proofErr w:type="gramEnd"/>
      <w:r>
        <w:rPr>
          <w:rFonts w:cs="Times New Roman"/>
          <w:szCs w:val="24"/>
          <w:lang w:val="en-US"/>
        </w:rPr>
        <w:t xml:space="preserve"> by equity contribution of investors. The portion of equity in the capital structure varies from case to case depending on the debt market conditions,  type of the company, and the purchase multiple paid. For very big transactions several investors may </w:t>
      </w:r>
      <w:proofErr w:type="gramStart"/>
      <w:r>
        <w:rPr>
          <w:rFonts w:cs="Times New Roman"/>
          <w:szCs w:val="24"/>
          <w:lang w:val="en-US"/>
        </w:rPr>
        <w:t>gather together</w:t>
      </w:r>
      <w:proofErr w:type="gramEnd"/>
      <w:r>
        <w:rPr>
          <w:rFonts w:cs="Times New Roman"/>
          <w:szCs w:val="24"/>
          <w:lang w:val="en-US"/>
        </w:rPr>
        <w:t xml:space="preserve"> to form a consortium of investors (“club deal”), in order to reduce individual equity contribution and increase personal return. It also reduces the risk of investors in case of bankruptcy. </w:t>
      </w:r>
    </w:p>
    <w:p w:rsidR="00D43FC6" w:rsidRDefault="00D43FC6" w:rsidP="008D3CCB">
      <w:pPr>
        <w:pStyle w:val="3"/>
        <w:numPr>
          <w:ilvl w:val="2"/>
          <w:numId w:val="2"/>
        </w:numPr>
        <w:rPr>
          <w:szCs w:val="26"/>
          <w:lang w:val="en-US"/>
        </w:rPr>
      </w:pPr>
      <w:bookmarkStart w:id="10" w:name="_Toc482826468"/>
      <w:bookmarkStart w:id="11" w:name="_Toc483074641"/>
      <w:r>
        <w:rPr>
          <w:lang w:val="en-US"/>
        </w:rPr>
        <w:t>LBO transaction scheme</w:t>
      </w:r>
      <w:bookmarkEnd w:id="10"/>
      <w:bookmarkEnd w:id="11"/>
      <w:r>
        <w:rPr>
          <w:lang w:val="en-US"/>
        </w:rPr>
        <w:t xml:space="preserve"> </w:t>
      </w:r>
    </w:p>
    <w:p w:rsidR="00D43FC6" w:rsidRDefault="00D43FC6" w:rsidP="00D43FC6">
      <w:pPr>
        <w:pStyle w:val="a5"/>
        <w:spacing w:line="360" w:lineRule="auto"/>
        <w:ind w:firstLine="360"/>
        <w:jc w:val="both"/>
        <w:rPr>
          <w:rFonts w:cs="Times New Roman"/>
          <w:szCs w:val="24"/>
          <w:lang w:val="en-US"/>
        </w:rPr>
      </w:pPr>
      <w:proofErr w:type="gramStart"/>
      <w:r>
        <w:rPr>
          <w:rFonts w:cs="Times New Roman"/>
          <w:szCs w:val="24"/>
          <w:lang w:val="en-US"/>
        </w:rPr>
        <w:t>At the moment</w:t>
      </w:r>
      <w:proofErr w:type="gramEnd"/>
      <w:r>
        <w:rPr>
          <w:rFonts w:cs="Times New Roman"/>
          <w:szCs w:val="24"/>
          <w:lang w:val="en-US"/>
        </w:rPr>
        <w:t xml:space="preserve"> there is no systematic approach to understanding the whole LBO process. However, the analysis of academic papers, suggested there are three main phases of an LBO transaction from the point investor: transaction phase, the holding phase, and the closing phase.</w:t>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Transaction Phase</w:t>
      </w:r>
    </w:p>
    <w:p w:rsidR="00D43FC6" w:rsidRDefault="00D43FC6" w:rsidP="00D43FC6">
      <w:pPr>
        <w:pStyle w:val="a5"/>
        <w:spacing w:line="360" w:lineRule="auto"/>
        <w:ind w:firstLine="708"/>
        <w:jc w:val="both"/>
        <w:rPr>
          <w:rFonts w:cs="Times New Roman"/>
          <w:szCs w:val="24"/>
          <w:lang w:val="en-US"/>
        </w:rPr>
      </w:pPr>
      <w:r>
        <w:rPr>
          <w:rFonts w:cs="Times New Roman"/>
          <w:szCs w:val="24"/>
          <w:lang w:val="en-US"/>
        </w:rPr>
        <w:t xml:space="preserve">The transaction phase is the one to open the deal process and it consist of three main sub stages:  target identification, target evaluation and target acquisition.  </w:t>
      </w:r>
    </w:p>
    <w:p w:rsidR="00D43FC6" w:rsidRDefault="00A164E2" w:rsidP="00A164E2">
      <w:pPr>
        <w:pStyle w:val="a5"/>
        <w:spacing w:line="360" w:lineRule="auto"/>
        <w:ind w:firstLine="360"/>
        <w:jc w:val="both"/>
        <w:rPr>
          <w:rFonts w:cs="Times New Roman"/>
          <w:szCs w:val="24"/>
          <w:lang w:val="en-US"/>
        </w:rPr>
      </w:pPr>
      <w:r>
        <w:rPr>
          <w:rFonts w:cs="Times New Roman"/>
          <w:szCs w:val="24"/>
          <w:lang w:val="en-US"/>
        </w:rPr>
        <w:t>Target identification</w:t>
      </w:r>
      <w:r w:rsidR="00D43FC6">
        <w:rPr>
          <w:rFonts w:cs="Times New Roman"/>
          <w:szCs w:val="24"/>
          <w:lang w:val="en-US"/>
        </w:rPr>
        <w:t xml:space="preserve"> involves screening sources of information, as well as performing a preliminary analysis of the most attractive, from the financial sponsor's point of view, companies. The purpose of the screening is to identify a potential target. The screening process </w:t>
      </w:r>
      <w:proofErr w:type="gramStart"/>
      <w:r w:rsidR="00D43FC6">
        <w:rPr>
          <w:rFonts w:cs="Times New Roman"/>
          <w:szCs w:val="24"/>
          <w:lang w:val="en-US"/>
        </w:rPr>
        <w:t>is usually followed</w:t>
      </w:r>
      <w:proofErr w:type="gramEnd"/>
      <w:r w:rsidR="00D43FC6">
        <w:rPr>
          <w:rFonts w:cs="Times New Roman"/>
          <w:szCs w:val="24"/>
          <w:lang w:val="en-US"/>
        </w:rPr>
        <w:t xml:space="preserve"> by an indicative bid on the target by the LBO firm. The purpose with this bid, which is not binding, is to demonstrate for the seller that the LBO firm is interested enough to get a closer look at the target.</w:t>
      </w:r>
    </w:p>
    <w:p w:rsidR="00D43FC6" w:rsidRDefault="00A164E2" w:rsidP="00D43FC6">
      <w:pPr>
        <w:pStyle w:val="a5"/>
        <w:spacing w:line="360" w:lineRule="auto"/>
        <w:ind w:firstLine="360"/>
        <w:jc w:val="both"/>
        <w:rPr>
          <w:rFonts w:cs="Times New Roman"/>
          <w:szCs w:val="24"/>
          <w:lang w:val="en-US"/>
        </w:rPr>
      </w:pPr>
      <w:r w:rsidRPr="00A164E2">
        <w:rPr>
          <w:rFonts w:cs="Times New Roman"/>
          <w:szCs w:val="24"/>
          <w:lang w:val="en-US"/>
        </w:rPr>
        <w:lastRenderedPageBreak/>
        <w:t xml:space="preserve">In target </w:t>
      </w:r>
      <w:proofErr w:type="gramStart"/>
      <w:r w:rsidRPr="00A164E2">
        <w:rPr>
          <w:rFonts w:cs="Times New Roman"/>
          <w:szCs w:val="24"/>
          <w:lang w:val="en-US"/>
        </w:rPr>
        <w:t>evaluation</w:t>
      </w:r>
      <w:proofErr w:type="gramEnd"/>
      <w:r w:rsidRPr="00A164E2">
        <w:rPr>
          <w:rFonts w:cs="Times New Roman"/>
          <w:szCs w:val="24"/>
          <w:lang w:val="en-US"/>
        </w:rPr>
        <w:t xml:space="preserve"> investor usually </w:t>
      </w:r>
      <w:r w:rsidR="00D43FC6">
        <w:rPr>
          <w:rFonts w:cs="Times New Roman"/>
          <w:szCs w:val="24"/>
          <w:lang w:val="en-US"/>
        </w:rPr>
        <w:t>performs a two-step analysis of the candidate: internal analysis and due diligence.</w:t>
      </w:r>
      <w:r>
        <w:rPr>
          <w:rFonts w:cs="Times New Roman"/>
          <w:szCs w:val="24"/>
          <w:lang w:val="en-US"/>
        </w:rPr>
        <w:t xml:space="preserve"> </w:t>
      </w:r>
      <w:r w:rsidR="00D43FC6">
        <w:rPr>
          <w:rFonts w:cs="Times New Roman"/>
          <w:szCs w:val="24"/>
          <w:lang w:val="en-US"/>
        </w:rPr>
        <w:t xml:space="preserve">The primary goal of target valuation is to form a decision making ground for bidding process and determine the highest price that </w:t>
      </w:r>
      <w:proofErr w:type="gramStart"/>
      <w:r w:rsidR="00D43FC6">
        <w:rPr>
          <w:rFonts w:cs="Times New Roman"/>
          <w:szCs w:val="24"/>
          <w:lang w:val="en-US"/>
        </w:rPr>
        <w:t>can be offered</w:t>
      </w:r>
      <w:proofErr w:type="gramEnd"/>
      <w:r w:rsidR="00D43FC6">
        <w:rPr>
          <w:rFonts w:cs="Times New Roman"/>
          <w:szCs w:val="24"/>
          <w:lang w:val="en-US"/>
        </w:rPr>
        <w:t xml:space="preserve"> without causing any economic loss for the investor. Alongside with the target valuation also the deal price is being valued, which may include not only the price of target, but also deal additional costs: cost of raising capital, consultant’s fees, investments banks’ fees, etc. Another purpose of valuation is to get a deep understanding about the mechanisms that drive the target value. </w:t>
      </w:r>
    </w:p>
    <w:p w:rsidR="00A164E2" w:rsidRDefault="00D43FC6" w:rsidP="00A164E2">
      <w:pPr>
        <w:pStyle w:val="a5"/>
        <w:spacing w:line="360" w:lineRule="auto"/>
        <w:ind w:firstLine="360"/>
        <w:jc w:val="both"/>
        <w:rPr>
          <w:rFonts w:cs="Times New Roman"/>
          <w:szCs w:val="24"/>
          <w:lang w:val="en-US"/>
        </w:rPr>
      </w:pPr>
      <w:r>
        <w:rPr>
          <w:rFonts w:cs="Times New Roman"/>
          <w:szCs w:val="24"/>
          <w:lang w:val="en-US"/>
        </w:rPr>
        <w:t xml:space="preserve">Investors have different valuation approaches. While strategic buyers mostly use the discounted cash flow model as the main valuation </w:t>
      </w:r>
      <w:r w:rsidR="00A164E2">
        <w:rPr>
          <w:rFonts w:cs="Times New Roman"/>
          <w:szCs w:val="24"/>
          <w:lang w:val="en-US"/>
        </w:rPr>
        <w:t>technique, LBO firms use an LBO-</w:t>
      </w:r>
      <w:r>
        <w:rPr>
          <w:rFonts w:cs="Times New Roman"/>
          <w:szCs w:val="24"/>
          <w:lang w:val="en-US"/>
        </w:rPr>
        <w:t xml:space="preserve">model. The difference in the methods used </w:t>
      </w:r>
      <w:proofErr w:type="gramStart"/>
      <w:r>
        <w:rPr>
          <w:rFonts w:cs="Times New Roman"/>
          <w:szCs w:val="24"/>
          <w:lang w:val="en-US"/>
        </w:rPr>
        <w:t>is determined</w:t>
      </w:r>
      <w:proofErr w:type="gramEnd"/>
      <w:r>
        <w:rPr>
          <w:rFonts w:cs="Times New Roman"/>
          <w:szCs w:val="24"/>
          <w:lang w:val="en-US"/>
        </w:rPr>
        <w:t xml:space="preserve"> by goals pursued by the sponsors. In the first case, the priority </w:t>
      </w:r>
      <w:proofErr w:type="gramStart"/>
      <w:r>
        <w:rPr>
          <w:rFonts w:cs="Times New Roman"/>
          <w:szCs w:val="24"/>
          <w:lang w:val="en-US"/>
        </w:rPr>
        <w:t>is given</w:t>
      </w:r>
      <w:proofErr w:type="gramEnd"/>
      <w:r>
        <w:rPr>
          <w:rFonts w:cs="Times New Roman"/>
          <w:szCs w:val="24"/>
          <w:lang w:val="en-US"/>
        </w:rPr>
        <w:t xml:space="preserve"> </w:t>
      </w:r>
      <w:r w:rsidR="00A164E2">
        <w:rPr>
          <w:rFonts w:cs="Times New Roman"/>
          <w:szCs w:val="24"/>
          <w:lang w:val="en-US"/>
        </w:rPr>
        <w:t>to estimating</w:t>
      </w:r>
      <w:r>
        <w:rPr>
          <w:rFonts w:cs="Times New Roman"/>
          <w:szCs w:val="24"/>
          <w:lang w:val="en-US"/>
        </w:rPr>
        <w:t xml:space="preserve"> the fundamental company value and the synergy from acquisitions. In the second case, investors are interested in economic returns coming from subsequent resale, and as both purchase and resale </w:t>
      </w:r>
      <w:proofErr w:type="gramStart"/>
      <w:r>
        <w:rPr>
          <w:rFonts w:cs="Times New Roman"/>
          <w:szCs w:val="24"/>
          <w:lang w:val="en-US"/>
        </w:rPr>
        <w:t>are carried out</w:t>
      </w:r>
      <w:proofErr w:type="gramEnd"/>
      <w:r>
        <w:rPr>
          <w:rFonts w:cs="Times New Roman"/>
          <w:szCs w:val="24"/>
          <w:lang w:val="en-US"/>
        </w:rPr>
        <w:t xml:space="preserve"> at market value, </w:t>
      </w:r>
      <w:r w:rsidR="00A164E2">
        <w:rPr>
          <w:rFonts w:cs="Times New Roman"/>
          <w:szCs w:val="24"/>
          <w:lang w:val="en-US"/>
        </w:rPr>
        <w:t xml:space="preserve">market values as used. </w:t>
      </w:r>
    </w:p>
    <w:p w:rsidR="00D43FC6" w:rsidRDefault="00A164E2" w:rsidP="00A164E2">
      <w:pPr>
        <w:pStyle w:val="a5"/>
        <w:spacing w:line="360" w:lineRule="auto"/>
        <w:ind w:firstLine="360"/>
        <w:jc w:val="both"/>
        <w:rPr>
          <w:rFonts w:cs="Times New Roman"/>
          <w:szCs w:val="24"/>
          <w:lang w:val="en-US"/>
        </w:rPr>
      </w:pPr>
      <w:r w:rsidRPr="00A164E2">
        <w:rPr>
          <w:rFonts w:cs="Times New Roman"/>
          <w:szCs w:val="24"/>
          <w:lang w:val="en-US"/>
        </w:rPr>
        <w:t xml:space="preserve">During target acquisition </w:t>
      </w:r>
      <w:proofErr w:type="gramStart"/>
      <w:r w:rsidR="00D43FC6">
        <w:rPr>
          <w:rFonts w:cs="Times New Roman"/>
          <w:szCs w:val="24"/>
          <w:lang w:val="en-US"/>
        </w:rPr>
        <w:t>road-show</w:t>
      </w:r>
      <w:proofErr w:type="gramEnd"/>
      <w:r w:rsidR="00D43FC6">
        <w:rPr>
          <w:rFonts w:cs="Times New Roman"/>
          <w:szCs w:val="24"/>
          <w:lang w:val="en-US"/>
        </w:rPr>
        <w:t xml:space="preserve"> presentations are </w:t>
      </w:r>
      <w:r>
        <w:rPr>
          <w:rFonts w:cs="Times New Roman"/>
          <w:szCs w:val="24"/>
          <w:lang w:val="en-US"/>
        </w:rPr>
        <w:t>completed</w:t>
      </w:r>
      <w:r w:rsidR="00D43FC6">
        <w:rPr>
          <w:rFonts w:cs="Times New Roman"/>
          <w:szCs w:val="24"/>
          <w:lang w:val="en-US"/>
        </w:rPr>
        <w:t xml:space="preserve">, the transaction price </w:t>
      </w:r>
      <w:r>
        <w:rPr>
          <w:rFonts w:cs="Times New Roman"/>
          <w:szCs w:val="24"/>
          <w:lang w:val="en-US"/>
        </w:rPr>
        <w:t>is confirmed,</w:t>
      </w:r>
      <w:r w:rsidR="00D43FC6">
        <w:rPr>
          <w:rFonts w:cs="Times New Roman"/>
          <w:szCs w:val="24"/>
          <w:lang w:val="en-US"/>
        </w:rPr>
        <w:t xml:space="preserve"> the final session of negotiations on the forthc</w:t>
      </w:r>
      <w:r>
        <w:rPr>
          <w:rFonts w:cs="Times New Roman"/>
          <w:szCs w:val="24"/>
          <w:lang w:val="en-US"/>
        </w:rPr>
        <w:t xml:space="preserve">oming transaction has been held and the contract is signed. </w:t>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 xml:space="preserve">Holding phase </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t xml:space="preserve">The </w:t>
      </w:r>
      <w:r w:rsidR="00D844E6">
        <w:rPr>
          <w:rFonts w:cs="Times New Roman"/>
          <w:szCs w:val="24"/>
          <w:lang w:val="en-US"/>
        </w:rPr>
        <w:t>holding phase is</w:t>
      </w:r>
      <w:r>
        <w:rPr>
          <w:rFonts w:cs="Times New Roman"/>
          <w:szCs w:val="24"/>
          <w:lang w:val="en-US"/>
        </w:rPr>
        <w:t xml:space="preserve"> the most extensive for a financial investor. As already mentioned, it can last from </w:t>
      </w:r>
      <w:r w:rsidR="00D844E6">
        <w:rPr>
          <w:rFonts w:cs="Times New Roman"/>
          <w:szCs w:val="24"/>
          <w:lang w:val="en-US"/>
        </w:rPr>
        <w:t>three to ten years, depending on the private equity</w:t>
      </w:r>
      <w:r>
        <w:rPr>
          <w:rFonts w:cs="Times New Roman"/>
          <w:szCs w:val="24"/>
          <w:lang w:val="en-US"/>
        </w:rPr>
        <w:t xml:space="preserve"> fund's strategy. A study performed on the holding phases of Nordic region private equity finds revealed that the typical holding period today is between 3-7 years.</w:t>
      </w:r>
      <w:r>
        <w:rPr>
          <w:rStyle w:val="a9"/>
          <w:rFonts w:cs="Times New Roman"/>
          <w:szCs w:val="24"/>
          <w:lang w:val="en-US"/>
        </w:rPr>
        <w:footnoteReference w:id="26"/>
      </w:r>
      <w:r>
        <w:rPr>
          <w:rFonts w:cs="Times New Roman"/>
          <w:szCs w:val="24"/>
          <w:lang w:val="en-US"/>
        </w:rPr>
        <w:t xml:space="preserve"> Yet, it used to be a way shorter 10 years ago (3-5 years).</w:t>
      </w:r>
    </w:p>
    <w:p w:rsidR="00D43FC6" w:rsidRDefault="00D43FC6" w:rsidP="00D43FC6">
      <w:pPr>
        <w:pStyle w:val="a5"/>
        <w:spacing w:line="360" w:lineRule="auto"/>
        <w:ind w:firstLine="360"/>
        <w:jc w:val="both"/>
        <w:rPr>
          <w:rFonts w:cs="Times New Roman"/>
          <w:szCs w:val="24"/>
          <w:lang w:val="en-US"/>
        </w:rPr>
      </w:pPr>
      <w:r>
        <w:rPr>
          <w:rFonts w:cs="Times New Roman"/>
          <w:szCs w:val="24"/>
          <w:lang w:val="en-US"/>
        </w:rPr>
        <w:t xml:space="preserve">The goal of investors is to increase the value of the company to extract profit from subsequent resale or IPO, for which a set of measures </w:t>
      </w:r>
      <w:proofErr w:type="gramStart"/>
      <w:r>
        <w:rPr>
          <w:rFonts w:cs="Times New Roman"/>
          <w:szCs w:val="24"/>
          <w:lang w:val="en-US"/>
        </w:rPr>
        <w:t>is carried out</w:t>
      </w:r>
      <w:proofErr w:type="gramEnd"/>
      <w:r>
        <w:rPr>
          <w:rFonts w:cs="Times New Roman"/>
          <w:szCs w:val="24"/>
          <w:lang w:val="en-US"/>
        </w:rPr>
        <w:t>. Previously, LBO-companies made efforts primarily to maximize cash flows generated by companies. However, with the transformation of economic relations, the development of stock markets, and increased competition, the focus of optimization processes has shifted from operational improvements to improving the firm's competitiveness. A study conducted by McKinsey &amp; Co emphasizes the crucial importance of initiatives implemented in the following three areas:</w:t>
      </w:r>
    </w:p>
    <w:p w:rsidR="00D43FC6" w:rsidRDefault="00D43FC6" w:rsidP="008D3CCB">
      <w:pPr>
        <w:pStyle w:val="a5"/>
        <w:numPr>
          <w:ilvl w:val="0"/>
          <w:numId w:val="8"/>
        </w:numPr>
        <w:spacing w:line="360" w:lineRule="auto"/>
        <w:jc w:val="both"/>
        <w:rPr>
          <w:rFonts w:cs="Times New Roman"/>
          <w:szCs w:val="24"/>
          <w:lang w:val="en-US"/>
        </w:rPr>
      </w:pPr>
      <w:r>
        <w:rPr>
          <w:rFonts w:cs="Times New Roman"/>
          <w:szCs w:val="24"/>
          <w:lang w:val="en-US"/>
        </w:rPr>
        <w:t xml:space="preserve">Increasing  the efficiency </w:t>
      </w:r>
      <w:r w:rsidR="00D844E6">
        <w:rPr>
          <w:rFonts w:cs="Times New Roman"/>
          <w:szCs w:val="24"/>
          <w:lang w:val="en-US"/>
        </w:rPr>
        <w:t>target’s management</w:t>
      </w:r>
      <w:r>
        <w:rPr>
          <w:rFonts w:cs="Times New Roman"/>
          <w:szCs w:val="24"/>
          <w:lang w:val="en-US"/>
        </w:rPr>
        <w:t>;</w:t>
      </w:r>
    </w:p>
    <w:p w:rsidR="00D43FC6" w:rsidRDefault="00D43FC6" w:rsidP="008D3CCB">
      <w:pPr>
        <w:pStyle w:val="a5"/>
        <w:numPr>
          <w:ilvl w:val="0"/>
          <w:numId w:val="8"/>
        </w:numPr>
        <w:spacing w:line="360" w:lineRule="auto"/>
        <w:jc w:val="both"/>
        <w:rPr>
          <w:rFonts w:cs="Times New Roman"/>
          <w:szCs w:val="24"/>
          <w:lang w:val="en-US"/>
        </w:rPr>
      </w:pPr>
      <w:r>
        <w:rPr>
          <w:rFonts w:cs="Times New Roman"/>
          <w:szCs w:val="24"/>
          <w:lang w:val="en-US"/>
        </w:rPr>
        <w:t xml:space="preserve">Improvement of the </w:t>
      </w:r>
      <w:r w:rsidR="00D844E6">
        <w:rPr>
          <w:rFonts w:cs="Times New Roman"/>
          <w:szCs w:val="24"/>
          <w:lang w:val="en-US"/>
        </w:rPr>
        <w:t>target’s business strategy</w:t>
      </w:r>
      <w:r>
        <w:rPr>
          <w:rFonts w:cs="Times New Roman"/>
          <w:szCs w:val="24"/>
          <w:lang w:val="en-US"/>
        </w:rPr>
        <w:t>;</w:t>
      </w:r>
    </w:p>
    <w:p w:rsidR="00D43FC6" w:rsidRDefault="00D844E6" w:rsidP="008D3CCB">
      <w:pPr>
        <w:pStyle w:val="a5"/>
        <w:numPr>
          <w:ilvl w:val="0"/>
          <w:numId w:val="8"/>
        </w:numPr>
        <w:spacing w:line="360" w:lineRule="auto"/>
        <w:jc w:val="both"/>
        <w:rPr>
          <w:rFonts w:cs="Times New Roman"/>
          <w:szCs w:val="24"/>
          <w:lang w:val="en-US"/>
        </w:rPr>
      </w:pPr>
      <w:r>
        <w:rPr>
          <w:rFonts w:cs="Times New Roman"/>
          <w:szCs w:val="24"/>
          <w:lang w:val="en-US"/>
        </w:rPr>
        <w:t xml:space="preserve">Increasing </w:t>
      </w:r>
      <w:r w:rsidR="00EA376F">
        <w:rPr>
          <w:rFonts w:cs="Times New Roman"/>
          <w:szCs w:val="24"/>
          <w:lang w:val="en-US"/>
        </w:rPr>
        <w:t xml:space="preserve">target’s </w:t>
      </w:r>
      <w:r>
        <w:rPr>
          <w:rFonts w:cs="Times New Roman"/>
          <w:szCs w:val="24"/>
          <w:lang w:val="en-US"/>
        </w:rPr>
        <w:t>productivity/</w:t>
      </w:r>
      <w:r w:rsidR="00D43FC6">
        <w:rPr>
          <w:rFonts w:cs="Times New Roman"/>
          <w:szCs w:val="24"/>
          <w:lang w:val="en-US"/>
        </w:rPr>
        <w:t>efficiency.</w:t>
      </w:r>
    </w:p>
    <w:p w:rsidR="00D43FC6" w:rsidRDefault="00D43FC6" w:rsidP="00CC2531">
      <w:pPr>
        <w:pStyle w:val="a5"/>
        <w:spacing w:line="360" w:lineRule="auto"/>
        <w:ind w:firstLine="360"/>
        <w:jc w:val="both"/>
        <w:rPr>
          <w:rFonts w:cs="Times New Roman"/>
          <w:szCs w:val="24"/>
          <w:lang w:val="en-US"/>
        </w:rPr>
      </w:pPr>
      <w:r>
        <w:rPr>
          <w:rFonts w:cs="Times New Roman"/>
          <w:szCs w:val="24"/>
          <w:lang w:val="en-US"/>
        </w:rPr>
        <w:lastRenderedPageBreak/>
        <w:t>Damo</w:t>
      </w:r>
      <w:r w:rsidR="00CC2531">
        <w:rPr>
          <w:rFonts w:cs="Times New Roman"/>
          <w:szCs w:val="24"/>
          <w:lang w:val="en-US"/>
        </w:rPr>
        <w:t>d</w:t>
      </w:r>
      <w:r>
        <w:rPr>
          <w:rFonts w:cs="Times New Roman"/>
          <w:szCs w:val="24"/>
          <w:lang w:val="en-US"/>
        </w:rPr>
        <w:t>aran mentions that after an acquisition, management usually tries to create shareholder value by a variety of actions such as:</w:t>
      </w:r>
      <w:r>
        <w:rPr>
          <w:rStyle w:val="a9"/>
          <w:rFonts w:cs="Times New Roman"/>
          <w:szCs w:val="24"/>
          <w:lang w:val="en-US"/>
        </w:rPr>
        <w:footnoteReference w:id="27"/>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Investments in new products and</w:t>
      </w:r>
      <w:r w:rsidR="00CC2531">
        <w:rPr>
          <w:rFonts w:cs="Times New Roman"/>
          <w:szCs w:val="24"/>
          <w:lang w:val="en-US"/>
        </w:rPr>
        <w:t xml:space="preserve"> sales force to increase sales;</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Cost reductions, e.g. elimination of inefficiencies, red</w:t>
      </w:r>
      <w:r w:rsidR="00CC2531">
        <w:rPr>
          <w:rFonts w:cs="Times New Roman"/>
          <w:szCs w:val="24"/>
          <w:lang w:val="en-US"/>
        </w:rPr>
        <w:t>uction of overstaffed workforce;</w:t>
      </w:r>
      <w:r>
        <w:rPr>
          <w:rFonts w:cs="Times New Roman"/>
          <w:szCs w:val="24"/>
          <w:lang w:val="en-US"/>
        </w:rPr>
        <w:t xml:space="preserve"> outsourcing, moving operations to co</w:t>
      </w:r>
      <w:r w:rsidR="00CC2531">
        <w:rPr>
          <w:rFonts w:cs="Times New Roman"/>
          <w:szCs w:val="24"/>
          <w:lang w:val="en-US"/>
        </w:rPr>
        <w:t>untries with lower labor costs;</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 xml:space="preserve">Reduction of tax burden, e.g. </w:t>
      </w:r>
      <w:r w:rsidR="00CC2531">
        <w:rPr>
          <w:rFonts w:cs="Times New Roman"/>
          <w:szCs w:val="24"/>
          <w:lang w:val="en-US"/>
        </w:rPr>
        <w:t>moving operations to tax havens;</w:t>
      </w:r>
      <w:r>
        <w:rPr>
          <w:rFonts w:cs="Times New Roman"/>
          <w:szCs w:val="24"/>
          <w:lang w:val="en-US"/>
        </w:rPr>
        <w:t xml:space="preserve"> </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Improvement of inventory and accounts re</w:t>
      </w:r>
      <w:r w:rsidR="00CC2531">
        <w:rPr>
          <w:rFonts w:cs="Times New Roman"/>
          <w:szCs w:val="24"/>
          <w:lang w:val="en-US"/>
        </w:rPr>
        <w:t>ceivable and payable management;</w:t>
      </w:r>
      <w:r>
        <w:rPr>
          <w:rFonts w:cs="Times New Roman"/>
          <w:szCs w:val="24"/>
          <w:lang w:val="en-US"/>
        </w:rPr>
        <w:t xml:space="preserve"> </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Divestment or redeployme</w:t>
      </w:r>
      <w:r w:rsidR="00CC2531">
        <w:rPr>
          <w:rFonts w:cs="Times New Roman"/>
          <w:szCs w:val="24"/>
          <w:lang w:val="en-US"/>
        </w:rPr>
        <w:t>nt of poorly performing assets;</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Replacement of outdated equipment and lab</w:t>
      </w:r>
      <w:r w:rsidR="00CC2531">
        <w:rPr>
          <w:rFonts w:cs="Times New Roman"/>
          <w:szCs w:val="24"/>
          <w:lang w:val="en-US"/>
        </w:rPr>
        <w:t>or by more efficient equipment;</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Reassessing capital expenditur</w:t>
      </w:r>
      <w:r w:rsidR="00CC2531">
        <w:rPr>
          <w:rFonts w:cs="Times New Roman"/>
          <w:szCs w:val="24"/>
          <w:lang w:val="en-US"/>
        </w:rPr>
        <w:t>e plans and associated payoffs;</w:t>
      </w:r>
    </w:p>
    <w:p w:rsidR="00D43FC6" w:rsidRDefault="00D43FC6" w:rsidP="008D3CCB">
      <w:pPr>
        <w:pStyle w:val="a5"/>
        <w:numPr>
          <w:ilvl w:val="0"/>
          <w:numId w:val="9"/>
        </w:numPr>
        <w:spacing w:line="360" w:lineRule="auto"/>
        <w:jc w:val="both"/>
        <w:rPr>
          <w:rFonts w:cs="Times New Roman"/>
          <w:szCs w:val="24"/>
          <w:lang w:val="en-US"/>
        </w:rPr>
      </w:pPr>
      <w:r>
        <w:rPr>
          <w:rFonts w:cs="Times New Roman"/>
          <w:szCs w:val="24"/>
          <w:lang w:val="en-US"/>
        </w:rPr>
        <w:t xml:space="preserve">Distribution of excess cash to the new owners. </w:t>
      </w:r>
    </w:p>
    <w:p w:rsidR="00D43FC6" w:rsidRDefault="00D43FC6" w:rsidP="008D3CCB">
      <w:pPr>
        <w:pStyle w:val="a5"/>
        <w:numPr>
          <w:ilvl w:val="0"/>
          <w:numId w:val="7"/>
        </w:numPr>
        <w:spacing w:line="360" w:lineRule="auto"/>
        <w:jc w:val="both"/>
        <w:rPr>
          <w:rFonts w:cs="Times New Roman"/>
          <w:b/>
          <w:szCs w:val="24"/>
          <w:lang w:val="en-US"/>
        </w:rPr>
      </w:pPr>
      <w:r>
        <w:rPr>
          <w:rFonts w:cs="Times New Roman"/>
          <w:b/>
          <w:szCs w:val="24"/>
          <w:lang w:val="en-US"/>
        </w:rPr>
        <w:t xml:space="preserve">Close of transaction and primary exit strategies </w:t>
      </w:r>
    </w:p>
    <w:p w:rsidR="008810F7" w:rsidRDefault="00D43FC6" w:rsidP="00D43FC6">
      <w:pPr>
        <w:pStyle w:val="a5"/>
        <w:spacing w:line="360" w:lineRule="auto"/>
        <w:ind w:firstLine="360"/>
        <w:jc w:val="both"/>
        <w:rPr>
          <w:rFonts w:cs="Times New Roman"/>
          <w:szCs w:val="24"/>
          <w:lang w:val="en-US"/>
        </w:rPr>
      </w:pPr>
      <w:r>
        <w:rPr>
          <w:rFonts w:cs="Times New Roman"/>
          <w:szCs w:val="24"/>
          <w:lang w:val="en-US"/>
        </w:rPr>
        <w:t xml:space="preserve">The financial returns from a leveraged buyout </w:t>
      </w:r>
      <w:proofErr w:type="gramStart"/>
      <w:r>
        <w:rPr>
          <w:rFonts w:cs="Times New Roman"/>
          <w:szCs w:val="24"/>
          <w:lang w:val="en-US"/>
        </w:rPr>
        <w:t>are not truly realized</w:t>
      </w:r>
      <w:proofErr w:type="gramEnd"/>
      <w:r>
        <w:rPr>
          <w:rFonts w:cs="Times New Roman"/>
          <w:szCs w:val="24"/>
          <w:lang w:val="en-US"/>
        </w:rPr>
        <w:t xml:space="preserve"> until the business is exited, or sold. When deciding upon a suitable exit strategy, private equity funds develop “dual track” schemes before the acquisition in order to find the best possible exit strategy. This </w:t>
      </w:r>
      <w:proofErr w:type="gramStart"/>
      <w:r>
        <w:rPr>
          <w:rFonts w:cs="Times New Roman"/>
          <w:szCs w:val="24"/>
          <w:lang w:val="en-US"/>
        </w:rPr>
        <w:t>can be realized</w:t>
      </w:r>
      <w:proofErr w:type="gramEnd"/>
      <w:r>
        <w:rPr>
          <w:rFonts w:cs="Times New Roman"/>
          <w:szCs w:val="24"/>
          <w:lang w:val="en-US"/>
        </w:rPr>
        <w:t xml:space="preserve"> by three main options:</w:t>
      </w:r>
      <w:r w:rsidR="008810F7">
        <w:rPr>
          <w:rFonts w:cs="Times New Roman"/>
          <w:szCs w:val="24"/>
          <w:lang w:val="en-US"/>
        </w:rPr>
        <w:t xml:space="preserve"> s</w:t>
      </w:r>
      <w:r>
        <w:rPr>
          <w:rFonts w:cs="Times New Roman"/>
          <w:szCs w:val="24"/>
          <w:lang w:val="en-US"/>
        </w:rPr>
        <w:t>ale to a strategic investor (usually referred to as a “strategic sale”)</w:t>
      </w:r>
      <w:r w:rsidR="008810F7">
        <w:rPr>
          <w:rFonts w:cs="Times New Roman"/>
          <w:szCs w:val="24"/>
          <w:lang w:val="en-US"/>
        </w:rPr>
        <w:t xml:space="preserve">, sale to a financial investor, initial public offering (IPO), dividend recapitalization. </w:t>
      </w:r>
    </w:p>
    <w:p w:rsidR="00622623" w:rsidRDefault="008810F7" w:rsidP="008D3CCB">
      <w:pPr>
        <w:pStyle w:val="a5"/>
        <w:numPr>
          <w:ilvl w:val="0"/>
          <w:numId w:val="10"/>
        </w:numPr>
        <w:spacing w:line="360" w:lineRule="auto"/>
        <w:jc w:val="both"/>
        <w:rPr>
          <w:rFonts w:cs="Times New Roman"/>
          <w:szCs w:val="24"/>
          <w:lang w:val="en-US"/>
        </w:rPr>
      </w:pPr>
      <w:r w:rsidRPr="00622623">
        <w:rPr>
          <w:rFonts w:cs="Times New Roman"/>
          <w:i/>
          <w:szCs w:val="24"/>
          <w:lang w:val="en-US"/>
        </w:rPr>
        <w:t>Sale of business to a strategic investor</w:t>
      </w:r>
      <w:r w:rsidR="00622623" w:rsidRPr="00622623">
        <w:rPr>
          <w:rFonts w:cs="Times New Roman"/>
          <w:i/>
          <w:szCs w:val="24"/>
          <w:lang w:val="en-US"/>
        </w:rPr>
        <w:t xml:space="preserve">. </w:t>
      </w:r>
      <w:r w:rsidRPr="00622623">
        <w:rPr>
          <w:rFonts w:cs="Times New Roman"/>
          <w:szCs w:val="24"/>
          <w:lang w:val="en-US"/>
        </w:rPr>
        <w:t xml:space="preserve">Traditionally, sponsors are doing their best to sell the company to strategic investors, as they represent the most attractive potential bidders due to ability to realize the potential synergy from the purchase, and, therefore, are willing to pay a higher price. Strategic buyers in general have better understanding of how value </w:t>
      </w:r>
      <w:proofErr w:type="gramStart"/>
      <w:r w:rsidRPr="00622623">
        <w:rPr>
          <w:rFonts w:cs="Times New Roman"/>
          <w:szCs w:val="24"/>
          <w:lang w:val="en-US"/>
        </w:rPr>
        <w:t>is created</w:t>
      </w:r>
      <w:proofErr w:type="gramEnd"/>
      <w:r w:rsidRPr="00622623">
        <w:rPr>
          <w:rFonts w:cs="Times New Roman"/>
          <w:szCs w:val="24"/>
          <w:lang w:val="en-US"/>
        </w:rPr>
        <w:t xml:space="preserve">, thus realizing the future synergy they can always offer a higher price. </w:t>
      </w:r>
    </w:p>
    <w:p w:rsidR="009A65AA" w:rsidRDefault="008810F7" w:rsidP="008D3CCB">
      <w:pPr>
        <w:pStyle w:val="a5"/>
        <w:numPr>
          <w:ilvl w:val="0"/>
          <w:numId w:val="10"/>
        </w:numPr>
        <w:spacing w:line="360" w:lineRule="auto"/>
        <w:jc w:val="both"/>
        <w:rPr>
          <w:rFonts w:cs="Times New Roman"/>
          <w:szCs w:val="24"/>
          <w:lang w:val="en-US"/>
        </w:rPr>
      </w:pPr>
      <w:r w:rsidRPr="00622623">
        <w:rPr>
          <w:rFonts w:cs="Times New Roman"/>
          <w:i/>
          <w:szCs w:val="24"/>
          <w:lang w:val="en-US"/>
        </w:rPr>
        <w:t xml:space="preserve">Sale </w:t>
      </w:r>
      <w:r w:rsidR="00622623" w:rsidRPr="00622623">
        <w:rPr>
          <w:rFonts w:cs="Times New Roman"/>
          <w:i/>
          <w:szCs w:val="24"/>
          <w:lang w:val="en-US"/>
        </w:rPr>
        <w:t xml:space="preserve">to financial investor. </w:t>
      </w:r>
      <w:r w:rsidRPr="00622623">
        <w:rPr>
          <w:rFonts w:cs="Times New Roman"/>
          <w:szCs w:val="24"/>
          <w:lang w:val="en-US"/>
        </w:rPr>
        <w:t xml:space="preserve">The development of private equity market made sale to financial sponsor </w:t>
      </w:r>
      <w:r w:rsidR="00622623" w:rsidRPr="00622623">
        <w:rPr>
          <w:rFonts w:cs="Times New Roman"/>
          <w:szCs w:val="24"/>
          <w:lang w:val="en-US"/>
        </w:rPr>
        <w:t>increasingly commonplace phenomena</w:t>
      </w:r>
      <w:r w:rsidRPr="00622623">
        <w:rPr>
          <w:rFonts w:cs="Times New Roman"/>
          <w:szCs w:val="24"/>
          <w:lang w:val="en-US"/>
        </w:rPr>
        <w:t xml:space="preserve">. Financial investors experience an increase of negotiating power as compared to strategic bidders. </w:t>
      </w:r>
    </w:p>
    <w:p w:rsidR="00C714E1" w:rsidRDefault="00622623" w:rsidP="008D3CCB">
      <w:pPr>
        <w:pStyle w:val="a5"/>
        <w:numPr>
          <w:ilvl w:val="0"/>
          <w:numId w:val="10"/>
        </w:numPr>
        <w:spacing w:line="360" w:lineRule="auto"/>
        <w:jc w:val="both"/>
        <w:rPr>
          <w:rFonts w:cs="Times New Roman"/>
          <w:szCs w:val="24"/>
          <w:lang w:val="en-US"/>
        </w:rPr>
      </w:pPr>
      <w:r w:rsidRPr="009A65AA">
        <w:rPr>
          <w:rFonts w:cs="Times New Roman"/>
          <w:i/>
          <w:szCs w:val="24"/>
          <w:lang w:val="en-US"/>
        </w:rPr>
        <w:t>Initial Public Offering</w:t>
      </w:r>
      <w:r w:rsidRPr="009A65AA">
        <w:rPr>
          <w:rFonts w:cs="Times New Roman"/>
          <w:szCs w:val="24"/>
          <w:lang w:val="en-US"/>
        </w:rPr>
        <w:t xml:space="preserve">. </w:t>
      </w:r>
      <w:r w:rsidR="008810F7" w:rsidRPr="009A65AA">
        <w:rPr>
          <w:rFonts w:cs="Times New Roman"/>
          <w:szCs w:val="24"/>
          <w:lang w:val="en-US"/>
        </w:rPr>
        <w:t>In an IPO exit strategy, investor will sell the portion of the target shares to the public. The main disadvantage of this exit strategy is that the seller cannot exit 100% of the company at once</w:t>
      </w:r>
      <w:r w:rsidR="008810F7">
        <w:rPr>
          <w:rStyle w:val="a9"/>
          <w:rFonts w:cs="Times New Roman"/>
          <w:szCs w:val="24"/>
          <w:lang w:val="en-US"/>
        </w:rPr>
        <w:footnoteReference w:id="28"/>
      </w:r>
      <w:r w:rsidR="008810F7" w:rsidRPr="009A65AA">
        <w:rPr>
          <w:rFonts w:cs="Times New Roman"/>
          <w:szCs w:val="24"/>
          <w:lang w:val="en-US"/>
        </w:rPr>
        <w:t xml:space="preserve"> since the full exit in this case comes with subsequent follow-on equity offerings until the eventual sale of the company. </w:t>
      </w:r>
      <w:r w:rsidR="009A65AA">
        <w:rPr>
          <w:rFonts w:cs="Times New Roman"/>
          <w:szCs w:val="24"/>
          <w:lang w:val="en-US"/>
        </w:rPr>
        <w:t xml:space="preserve">This may done </w:t>
      </w:r>
      <w:r w:rsidR="008810F7" w:rsidRPr="009A65AA">
        <w:rPr>
          <w:rFonts w:cs="Times New Roman"/>
          <w:szCs w:val="24"/>
          <w:lang w:val="en-US"/>
        </w:rPr>
        <w:t xml:space="preserve">to create confidence among new shareholders. In this regard, unlike the sale of business, an IPO does not allow a financial investor </w:t>
      </w:r>
      <w:proofErr w:type="gramStart"/>
      <w:r w:rsidR="008810F7" w:rsidRPr="009A65AA">
        <w:rPr>
          <w:rFonts w:cs="Times New Roman"/>
          <w:szCs w:val="24"/>
          <w:lang w:val="en-US"/>
        </w:rPr>
        <w:t>to fully monetize</w:t>
      </w:r>
      <w:proofErr w:type="gramEnd"/>
      <w:r w:rsidR="008810F7" w:rsidRPr="009A65AA">
        <w:rPr>
          <w:rFonts w:cs="Times New Roman"/>
          <w:szCs w:val="24"/>
          <w:lang w:val="en-US"/>
        </w:rPr>
        <w:t xml:space="preserve"> the value of LBO quickly. Yet, due to </w:t>
      </w:r>
      <w:r w:rsidR="008810F7" w:rsidRPr="009A65AA">
        <w:rPr>
          <w:rFonts w:cs="Times New Roman"/>
          <w:szCs w:val="24"/>
          <w:lang w:val="en-US"/>
        </w:rPr>
        <w:lastRenderedPageBreak/>
        <w:t>its dependence on equity capital markets, an IPO strategy may offer a compellin</w:t>
      </w:r>
      <w:r w:rsidR="00C714E1">
        <w:rPr>
          <w:rFonts w:cs="Times New Roman"/>
          <w:szCs w:val="24"/>
          <w:lang w:val="en-US"/>
        </w:rPr>
        <w:t>g valuation premium to the sale</w:t>
      </w:r>
      <w:r w:rsidR="008810F7" w:rsidRPr="009A65AA">
        <w:rPr>
          <w:rFonts w:cs="Times New Roman"/>
          <w:szCs w:val="24"/>
          <w:lang w:val="en-US"/>
        </w:rPr>
        <w:t>.</w:t>
      </w:r>
      <w:r w:rsidR="008810F7">
        <w:rPr>
          <w:rStyle w:val="a9"/>
          <w:rFonts w:cs="Times New Roman"/>
          <w:szCs w:val="24"/>
          <w:lang w:val="en-US"/>
        </w:rPr>
        <w:footnoteReference w:id="29"/>
      </w:r>
    </w:p>
    <w:p w:rsidR="008810F7" w:rsidRPr="00C714E1" w:rsidRDefault="00C714E1" w:rsidP="008D3CCB">
      <w:pPr>
        <w:pStyle w:val="a5"/>
        <w:numPr>
          <w:ilvl w:val="0"/>
          <w:numId w:val="10"/>
        </w:numPr>
        <w:spacing w:line="360" w:lineRule="auto"/>
        <w:jc w:val="both"/>
        <w:rPr>
          <w:rFonts w:cs="Times New Roman"/>
          <w:szCs w:val="24"/>
          <w:lang w:val="en-US"/>
        </w:rPr>
      </w:pPr>
      <w:r w:rsidRPr="00C714E1">
        <w:rPr>
          <w:rFonts w:cs="Times New Roman"/>
          <w:i/>
          <w:szCs w:val="24"/>
          <w:lang w:val="en-US"/>
        </w:rPr>
        <w:t>Dividend recapitalization</w:t>
      </w:r>
      <w:r>
        <w:rPr>
          <w:rFonts w:cs="Times New Roman"/>
          <w:szCs w:val="24"/>
          <w:lang w:val="en-US"/>
        </w:rPr>
        <w:t xml:space="preserve">. </w:t>
      </w:r>
      <w:r w:rsidR="008810F7" w:rsidRPr="00C714E1">
        <w:rPr>
          <w:rFonts w:cs="Times New Roman"/>
          <w:szCs w:val="24"/>
          <w:lang w:val="en-US"/>
        </w:rPr>
        <w:t xml:space="preserve">Even though it is not a clear “exit strategy” dividend recap is a way for a fund to receive liquidity from their business investments, which also provides the investor with a feasible option to monetize the investment prior to exit. In dividend </w:t>
      </w:r>
      <w:proofErr w:type="gramStart"/>
      <w:r w:rsidR="008810F7" w:rsidRPr="00C714E1">
        <w:rPr>
          <w:rFonts w:cs="Times New Roman"/>
          <w:szCs w:val="24"/>
          <w:lang w:val="en-US"/>
        </w:rPr>
        <w:t>recapitalization</w:t>
      </w:r>
      <w:proofErr w:type="gramEnd"/>
      <w:r w:rsidR="008810F7" w:rsidRPr="00C714E1">
        <w:rPr>
          <w:rFonts w:cs="Times New Roman"/>
          <w:szCs w:val="24"/>
          <w:lang w:val="en-US"/>
        </w:rPr>
        <w:t xml:space="preserve"> the target raises additional debt in order to pay dividends to the current shareholders. </w:t>
      </w:r>
    </w:p>
    <w:p w:rsidR="00D254BF" w:rsidRDefault="00D254BF" w:rsidP="008D3CCB">
      <w:pPr>
        <w:pStyle w:val="2"/>
        <w:numPr>
          <w:ilvl w:val="1"/>
          <w:numId w:val="2"/>
        </w:numPr>
        <w:spacing w:line="360" w:lineRule="auto"/>
        <w:rPr>
          <w:lang w:val="en-US"/>
        </w:rPr>
      </w:pPr>
      <w:bookmarkStart w:id="12" w:name="_Toc483074642"/>
      <w:r>
        <w:rPr>
          <w:lang w:val="en-US"/>
        </w:rPr>
        <w:t>Review of academic literature on LBO-analysis</w:t>
      </w:r>
      <w:bookmarkEnd w:id="12"/>
      <w:r>
        <w:rPr>
          <w:lang w:val="en-US"/>
        </w:rPr>
        <w:t xml:space="preserve"> </w:t>
      </w:r>
    </w:p>
    <w:p w:rsidR="00890B4C" w:rsidRPr="00890B4C" w:rsidRDefault="009E0C38" w:rsidP="00890B4C">
      <w:pPr>
        <w:pStyle w:val="a5"/>
        <w:spacing w:line="360" w:lineRule="auto"/>
        <w:ind w:firstLine="567"/>
        <w:jc w:val="both"/>
        <w:rPr>
          <w:lang w:val="en-US"/>
        </w:rPr>
      </w:pPr>
      <w:r>
        <w:rPr>
          <w:lang w:val="en-US"/>
        </w:rPr>
        <w:t>Currently there are no academic papers devoted to normative models regarding LBO. Yet, there</w:t>
      </w:r>
      <w:r w:rsidR="00890B4C">
        <w:rPr>
          <w:lang w:val="en-US"/>
        </w:rPr>
        <w:t xml:space="preserve"> is a plenty of academic literature </w:t>
      </w:r>
      <w:r>
        <w:rPr>
          <w:lang w:val="en-US"/>
        </w:rPr>
        <w:t xml:space="preserve">focused on building and analyzing different positive models. </w:t>
      </w:r>
      <w:r w:rsidR="007E7D8E">
        <w:rPr>
          <w:lang w:val="en-US"/>
        </w:rPr>
        <w:t xml:space="preserve"> </w:t>
      </w:r>
    </w:p>
    <w:p w:rsidR="00E65904" w:rsidRDefault="00B34601" w:rsidP="00890B4C">
      <w:pPr>
        <w:pStyle w:val="a5"/>
        <w:spacing w:line="360" w:lineRule="auto"/>
        <w:ind w:firstLine="567"/>
        <w:jc w:val="both"/>
        <w:rPr>
          <w:lang w:val="en-US"/>
        </w:rPr>
      </w:pPr>
      <w:r w:rsidRPr="0035377A">
        <w:rPr>
          <w:lang w:val="en-US"/>
        </w:rPr>
        <w:t>Steven N. Kaplain and Rickard S. Ruback</w:t>
      </w:r>
      <w:r w:rsidRPr="00890B4C">
        <w:rPr>
          <w:i/>
          <w:lang w:val="en-US"/>
        </w:rPr>
        <w:t xml:space="preserve"> </w:t>
      </w:r>
      <w:r>
        <w:rPr>
          <w:lang w:val="en-US"/>
        </w:rPr>
        <w:t>(1995)</w:t>
      </w:r>
      <w:r w:rsidR="007E7D8E">
        <w:rPr>
          <w:lang w:val="en-US"/>
        </w:rPr>
        <w:t xml:space="preserve"> analyze</w:t>
      </w:r>
      <w:r w:rsidR="00647CB6">
        <w:rPr>
          <w:lang w:val="en-US"/>
        </w:rPr>
        <w:t xml:space="preserve"> the market value of l</w:t>
      </w:r>
      <w:r w:rsidR="007E7D8E">
        <w:rPr>
          <w:lang w:val="en-US"/>
        </w:rPr>
        <w:t>evered transactions and compare</w:t>
      </w:r>
      <w:r w:rsidR="00647CB6">
        <w:rPr>
          <w:lang w:val="en-US"/>
        </w:rPr>
        <w:t xml:space="preserve"> it with </w:t>
      </w:r>
      <w:r w:rsidR="00647CB6" w:rsidRPr="00647CB6">
        <w:rPr>
          <w:lang w:val="en-US"/>
        </w:rPr>
        <w:t xml:space="preserve">the discounted </w:t>
      </w:r>
      <w:r w:rsidR="00647CB6">
        <w:rPr>
          <w:lang w:val="en-US"/>
        </w:rPr>
        <w:t xml:space="preserve">cash flow valuation </w:t>
      </w:r>
      <w:r w:rsidR="00647CB6" w:rsidRPr="00647CB6">
        <w:rPr>
          <w:lang w:val="en-US"/>
        </w:rPr>
        <w:t>a</w:t>
      </w:r>
      <w:r w:rsidR="00890B4C">
        <w:rPr>
          <w:lang w:val="en-US"/>
        </w:rPr>
        <w:t>nd three multiple based methods</w:t>
      </w:r>
      <w:r w:rsidR="00EA2A8B">
        <w:rPr>
          <w:lang w:val="en-US"/>
        </w:rPr>
        <w:t xml:space="preserve">: company comparable, transaction comparable and industry comparable. </w:t>
      </w:r>
      <w:proofErr w:type="gramStart"/>
      <w:r w:rsidR="00FA78CF">
        <w:rPr>
          <w:lang w:val="en-US"/>
        </w:rPr>
        <w:t>As a comparable companies</w:t>
      </w:r>
      <w:proofErr w:type="gramEnd"/>
      <w:r w:rsidR="00FA78CF">
        <w:rPr>
          <w:lang w:val="en-US"/>
        </w:rPr>
        <w:t xml:space="preserve">, companies with similar cash flow growth and associated risk are used. As comparable transactions, transactions of the similar value and industry </w:t>
      </w:r>
      <w:proofErr w:type="gramStart"/>
      <w:r w:rsidR="00FA78CF">
        <w:rPr>
          <w:lang w:val="en-US"/>
        </w:rPr>
        <w:t>are taken</w:t>
      </w:r>
      <w:proofErr w:type="gramEnd"/>
      <w:r w:rsidR="00FA78CF">
        <w:rPr>
          <w:lang w:val="en-US"/>
        </w:rPr>
        <w:t xml:space="preserve">. As for </w:t>
      </w:r>
      <w:proofErr w:type="gramStart"/>
      <w:r w:rsidR="00FA78CF">
        <w:rPr>
          <w:lang w:val="en-US"/>
        </w:rPr>
        <w:t>industry</w:t>
      </w:r>
      <w:proofErr w:type="gramEnd"/>
      <w:r w:rsidR="00FA78CF">
        <w:rPr>
          <w:lang w:val="en-US"/>
        </w:rPr>
        <w:t xml:space="preserve"> comparable</w:t>
      </w:r>
      <w:r w:rsidR="00E65904">
        <w:rPr>
          <w:lang w:val="en-US"/>
        </w:rPr>
        <w:t xml:space="preserve"> multiples they are found</w:t>
      </w:r>
      <w:r w:rsidR="00E65904" w:rsidRPr="00E65904">
        <w:rPr>
          <w:lang w:val="en-US"/>
        </w:rPr>
        <w:t xml:space="preserve"> using four digits SIC codes</w:t>
      </w:r>
      <w:r w:rsidR="00E65904">
        <w:rPr>
          <w:lang w:val="en-US"/>
        </w:rPr>
        <w:t xml:space="preserve">. The research provides a clear evidence of a strong relationship between the market value of the LBO transactions and the corresponding DCF valuation of the target company. </w:t>
      </w:r>
      <w:proofErr w:type="gramStart"/>
      <w:r w:rsidR="00E65904">
        <w:rPr>
          <w:lang w:val="en-US"/>
        </w:rPr>
        <w:t xml:space="preserve">The </w:t>
      </w:r>
      <w:r w:rsidR="00E65904" w:rsidRPr="00E65904">
        <w:rPr>
          <w:lang w:val="en-US"/>
        </w:rPr>
        <w:t xml:space="preserve"> DCF</w:t>
      </w:r>
      <w:proofErr w:type="gramEnd"/>
      <w:r w:rsidR="00E65904" w:rsidRPr="00E65904">
        <w:rPr>
          <w:lang w:val="en-US"/>
        </w:rPr>
        <w:t xml:space="preserve"> </w:t>
      </w:r>
      <w:r w:rsidR="00E65904">
        <w:rPr>
          <w:lang w:val="en-US"/>
        </w:rPr>
        <w:t xml:space="preserve">valuations </w:t>
      </w:r>
      <w:r w:rsidR="00E65904" w:rsidRPr="00E65904">
        <w:rPr>
          <w:lang w:val="en-US"/>
        </w:rPr>
        <w:t>were on average within</w:t>
      </w:r>
      <w:r w:rsidR="00E65904">
        <w:rPr>
          <w:lang w:val="en-US"/>
        </w:rPr>
        <w:t xml:space="preserve"> 10% of the market value of the </w:t>
      </w:r>
      <w:r w:rsidR="00E65904" w:rsidRPr="00E65904">
        <w:rPr>
          <w:lang w:val="en-US"/>
        </w:rPr>
        <w:t>completed transaction. Kaplan and Ruback concludes that the DCF based approach perform at least</w:t>
      </w:r>
      <w:r w:rsidR="00E65904">
        <w:rPr>
          <w:lang w:val="en-US"/>
        </w:rPr>
        <w:t xml:space="preserve"> </w:t>
      </w:r>
      <w:r w:rsidR="00E65904" w:rsidRPr="00E65904">
        <w:rPr>
          <w:lang w:val="en-US"/>
        </w:rPr>
        <w:t>as well as valuation methods using comparable companies and transactions.</w:t>
      </w:r>
    </w:p>
    <w:p w:rsidR="00EA2A8B" w:rsidRDefault="00EA2A8B" w:rsidP="00EA2A8B">
      <w:pPr>
        <w:pStyle w:val="a5"/>
        <w:spacing w:line="360" w:lineRule="auto"/>
        <w:ind w:firstLine="567"/>
        <w:jc w:val="both"/>
        <w:rPr>
          <w:rFonts w:cs="Times New Roman"/>
          <w:szCs w:val="24"/>
          <w:lang w:val="en-US"/>
        </w:rPr>
      </w:pPr>
      <w:r w:rsidRPr="0035377A">
        <w:rPr>
          <w:rFonts w:cs="Times New Roman"/>
          <w:szCs w:val="24"/>
          <w:lang w:val="en-US"/>
        </w:rPr>
        <w:t>Andrade and Kaplan</w:t>
      </w:r>
      <w:r>
        <w:rPr>
          <w:rFonts w:cs="Times New Roman"/>
          <w:szCs w:val="24"/>
          <w:lang w:val="en-US"/>
        </w:rPr>
        <w:t xml:space="preserve"> (1998) analyze </w:t>
      </w:r>
      <w:proofErr w:type="gramStart"/>
      <w:r>
        <w:rPr>
          <w:rFonts w:cs="Times New Roman"/>
          <w:szCs w:val="24"/>
          <w:lang w:val="en-US"/>
        </w:rPr>
        <w:t>31 levered</w:t>
      </w:r>
      <w:proofErr w:type="gramEnd"/>
      <w:r>
        <w:rPr>
          <w:rFonts w:cs="Times New Roman"/>
          <w:szCs w:val="24"/>
          <w:lang w:val="en-US"/>
        </w:rPr>
        <w:t xml:space="preserve"> buyouts that eventually defaulted in the late 1980s. In their terms, financial distress is when “the first year a firm either has EBITDA less than interest expense, attempts to restructure its debt or defaults”. They distinguish between two main types of distress: resulting from inappropriate financing structure and resulting from issues related to firms operations (underperformance). Andrade and Kaplan specifically study the factors that drive leveraged buyouts into bankruptcy and discover that high </w:t>
      </w:r>
      <w:proofErr w:type="gramStart"/>
      <w:r>
        <w:rPr>
          <w:rFonts w:cs="Times New Roman"/>
          <w:szCs w:val="24"/>
          <w:lang w:val="en-US"/>
        </w:rPr>
        <w:t>leverage</w:t>
      </w:r>
      <w:proofErr w:type="gramEnd"/>
      <w:r>
        <w:rPr>
          <w:rFonts w:cs="Times New Roman"/>
          <w:szCs w:val="24"/>
          <w:lang w:val="en-US"/>
        </w:rPr>
        <w:t xml:space="preserve"> is the primary cause of distress while the underlying economic performance of the firm and the industry is of less importance. In fact, their sample firms all have positive operating margins in distress and even better margins than industry averages. Moreover, they find that distress costs are lower for transactions of higher value and in the cases where larger fractions of the debt </w:t>
      </w:r>
      <w:proofErr w:type="gramStart"/>
      <w:r>
        <w:rPr>
          <w:rFonts w:cs="Times New Roman"/>
          <w:szCs w:val="24"/>
          <w:lang w:val="en-US"/>
        </w:rPr>
        <w:t>are owed</w:t>
      </w:r>
      <w:proofErr w:type="gramEnd"/>
      <w:r>
        <w:rPr>
          <w:rFonts w:cs="Times New Roman"/>
          <w:szCs w:val="24"/>
          <w:lang w:val="en-US"/>
        </w:rPr>
        <w:t xml:space="preserve"> to banks. </w:t>
      </w:r>
    </w:p>
    <w:p w:rsidR="00890B4C" w:rsidRDefault="002B5649" w:rsidP="00890B4C">
      <w:pPr>
        <w:pStyle w:val="a5"/>
        <w:spacing w:line="360" w:lineRule="auto"/>
        <w:ind w:firstLine="567"/>
        <w:jc w:val="both"/>
        <w:rPr>
          <w:rFonts w:cs="Times New Roman"/>
          <w:szCs w:val="24"/>
          <w:lang w:val="en-US"/>
        </w:rPr>
      </w:pPr>
      <w:r>
        <w:rPr>
          <w:rFonts w:cs="Times New Roman"/>
          <w:szCs w:val="24"/>
          <w:lang w:val="en-US"/>
        </w:rPr>
        <w:t>Alexen et al (</w:t>
      </w:r>
      <w:r w:rsidR="0035377A">
        <w:rPr>
          <w:rFonts w:cs="Times New Roman"/>
          <w:szCs w:val="24"/>
          <w:lang w:val="en-US"/>
        </w:rPr>
        <w:t>2007</w:t>
      </w:r>
      <w:r>
        <w:rPr>
          <w:rFonts w:cs="Times New Roman"/>
          <w:szCs w:val="24"/>
          <w:lang w:val="en-US"/>
        </w:rPr>
        <w:t xml:space="preserve">) </w:t>
      </w:r>
      <w:proofErr w:type="gramStart"/>
      <w:r w:rsidR="00890B4C">
        <w:rPr>
          <w:rFonts w:cs="Times New Roman"/>
          <w:szCs w:val="24"/>
          <w:lang w:val="en-US"/>
        </w:rPr>
        <w:t>Perform</w:t>
      </w:r>
      <w:proofErr w:type="gramEnd"/>
      <w:r w:rsidR="00890B4C">
        <w:rPr>
          <w:rFonts w:cs="Times New Roman"/>
          <w:szCs w:val="24"/>
          <w:lang w:val="en-US"/>
        </w:rPr>
        <w:t xml:space="preserve"> an empirical analysis of financing structures of large LBOs. Authors collect detailed and comprehensive data on financings of 153 LBOs with value over 1 </w:t>
      </w:r>
      <w:r w:rsidR="00890B4C">
        <w:rPr>
          <w:rFonts w:cs="Times New Roman"/>
          <w:szCs w:val="24"/>
          <w:lang w:val="en-US"/>
        </w:rPr>
        <w:lastRenderedPageBreak/>
        <w:t xml:space="preserve">billion dollars. Firstly, </w:t>
      </w:r>
      <w:r w:rsidR="0035377A">
        <w:rPr>
          <w:rFonts w:cs="Times New Roman"/>
          <w:szCs w:val="24"/>
          <w:lang w:val="en-US"/>
        </w:rPr>
        <w:t>they</w:t>
      </w:r>
      <w:r w:rsidR="00890B4C">
        <w:rPr>
          <w:rFonts w:cs="Times New Roman"/>
          <w:szCs w:val="24"/>
          <w:lang w:val="en-US"/>
        </w:rPr>
        <w:t xml:space="preserve"> describe the way </w:t>
      </w:r>
      <w:proofErr w:type="gramStart"/>
      <w:r w:rsidR="00890B4C">
        <w:rPr>
          <w:rFonts w:cs="Times New Roman"/>
          <w:szCs w:val="24"/>
          <w:lang w:val="en-US"/>
        </w:rPr>
        <w:t>leverage</w:t>
      </w:r>
      <w:proofErr w:type="gramEnd"/>
      <w:r w:rsidR="00890B4C">
        <w:rPr>
          <w:rFonts w:cs="Times New Roman"/>
          <w:szCs w:val="24"/>
          <w:lang w:val="en-US"/>
        </w:rPr>
        <w:t xml:space="preserve"> is used in financing buyouts: they document the financing structures and then attempt to explain those structures by existing capital structure theories. Secondly, assuming that GPs o</w:t>
      </w:r>
      <w:r w:rsidR="0035377A">
        <w:rPr>
          <w:rFonts w:cs="Times New Roman"/>
          <w:szCs w:val="24"/>
          <w:lang w:val="en-US"/>
        </w:rPr>
        <w:t>ptimize the capital structures in</w:t>
      </w:r>
      <w:r w:rsidR="00890B4C">
        <w:rPr>
          <w:rFonts w:cs="Times New Roman"/>
          <w:szCs w:val="24"/>
          <w:lang w:val="en-US"/>
        </w:rPr>
        <w:t xml:space="preserve"> the moment of purchase, authors </w:t>
      </w:r>
      <w:r w:rsidR="0035377A">
        <w:rPr>
          <w:rFonts w:cs="Times New Roman"/>
          <w:szCs w:val="24"/>
          <w:lang w:val="en-US"/>
        </w:rPr>
        <w:t>compare level</w:t>
      </w:r>
      <w:r w:rsidR="00890B4C">
        <w:rPr>
          <w:rFonts w:cs="Times New Roman"/>
          <w:szCs w:val="24"/>
          <w:lang w:val="en-US"/>
        </w:rPr>
        <w:t xml:space="preserve"> and the cross-sectional distribution of capital structures of public and private companies, and discuss possible reasons for observed differences. Third, they consider the relation between </w:t>
      </w:r>
      <w:proofErr w:type="gramStart"/>
      <w:r w:rsidR="00890B4C">
        <w:rPr>
          <w:rFonts w:cs="Times New Roman"/>
          <w:szCs w:val="24"/>
          <w:lang w:val="en-US"/>
        </w:rPr>
        <w:t>leverage</w:t>
      </w:r>
      <w:proofErr w:type="gramEnd"/>
      <w:r w:rsidR="00890B4C">
        <w:rPr>
          <w:rFonts w:cs="Times New Roman"/>
          <w:szCs w:val="24"/>
          <w:lang w:val="en-US"/>
        </w:rPr>
        <w:t xml:space="preserve"> and transaction multiples, and try to estimate the extent to which the ability of debt markets to provide financing impacts the pricing of deals. The results suggest that the availability of deal-level financing appears to impacts the investment process in private buyouts in ways unlike public firms. </w:t>
      </w:r>
    </w:p>
    <w:p w:rsidR="00890B4C" w:rsidRPr="00EB6390" w:rsidRDefault="00890B4C" w:rsidP="00913DF9">
      <w:pPr>
        <w:pStyle w:val="a5"/>
        <w:spacing w:line="360" w:lineRule="auto"/>
        <w:ind w:firstLine="567"/>
        <w:jc w:val="both"/>
        <w:rPr>
          <w:rFonts w:cs="Times New Roman"/>
          <w:szCs w:val="24"/>
          <w:lang w:val="en-US"/>
        </w:rPr>
      </w:pPr>
      <w:r w:rsidRPr="00EA2A8B">
        <w:rPr>
          <w:rFonts w:cs="Times New Roman"/>
          <w:szCs w:val="24"/>
          <w:lang w:val="en-US"/>
        </w:rPr>
        <w:t>Hotchkiss et al. (2010)</w:t>
      </w:r>
      <w:r>
        <w:rPr>
          <w:rFonts w:cs="Times New Roman"/>
          <w:szCs w:val="24"/>
          <w:lang w:val="en-US"/>
        </w:rPr>
        <w:t xml:space="preserve"> </w:t>
      </w:r>
      <w:r w:rsidR="00913DF9">
        <w:rPr>
          <w:rFonts w:cs="Times New Roman"/>
          <w:szCs w:val="24"/>
          <w:lang w:val="en-US"/>
        </w:rPr>
        <w:t xml:space="preserve">collect exit and entry multiples data on 2156 LBOs conducted between 1997 and 2010 </w:t>
      </w:r>
      <w:r>
        <w:rPr>
          <w:rFonts w:cs="Times New Roman"/>
          <w:szCs w:val="24"/>
          <w:lang w:val="en-US"/>
        </w:rPr>
        <w:t xml:space="preserve">finds that </w:t>
      </w:r>
      <w:r w:rsidR="00913DF9">
        <w:rPr>
          <w:rFonts w:cs="Times New Roman"/>
          <w:szCs w:val="24"/>
          <w:lang w:val="en-US"/>
        </w:rPr>
        <w:t>bankruptcies</w:t>
      </w:r>
      <w:r>
        <w:rPr>
          <w:rFonts w:cs="Times New Roman"/>
          <w:szCs w:val="24"/>
          <w:lang w:val="en-US"/>
        </w:rPr>
        <w:t xml:space="preserve"> are more common among priva</w:t>
      </w:r>
      <w:r w:rsidR="00913DF9">
        <w:rPr>
          <w:rFonts w:cs="Times New Roman"/>
          <w:szCs w:val="24"/>
          <w:lang w:val="en-US"/>
        </w:rPr>
        <w:t>te equity-backed firms than non-</w:t>
      </w:r>
      <w:r>
        <w:rPr>
          <w:rFonts w:cs="Times New Roman"/>
          <w:szCs w:val="24"/>
          <w:lang w:val="en-US"/>
        </w:rPr>
        <w:t>p</w:t>
      </w:r>
      <w:r w:rsidR="00913DF9">
        <w:rPr>
          <w:rFonts w:cs="Times New Roman"/>
          <w:szCs w:val="24"/>
          <w:lang w:val="en-US"/>
        </w:rPr>
        <w:t>rivate equity backed firms (5,1% versus 3%)</w:t>
      </w:r>
      <w:r>
        <w:rPr>
          <w:rFonts w:cs="Times New Roman"/>
          <w:szCs w:val="24"/>
          <w:lang w:val="en-US"/>
        </w:rPr>
        <w:t xml:space="preserve">. </w:t>
      </w:r>
      <w:r w:rsidR="00913DF9">
        <w:rPr>
          <w:rFonts w:cs="Times New Roman"/>
          <w:szCs w:val="24"/>
          <w:lang w:val="en-US"/>
        </w:rPr>
        <w:t xml:space="preserve">Yet, the least default with a lower frequency. </w:t>
      </w:r>
      <w:r>
        <w:rPr>
          <w:rFonts w:cs="Times New Roman"/>
          <w:szCs w:val="24"/>
          <w:lang w:val="en-US"/>
        </w:rPr>
        <w:t xml:space="preserve">Secondly, they discover that when in default private equity backed firms are more likely to remain independent firms post default than </w:t>
      </w:r>
      <w:proofErr w:type="gramStart"/>
      <w:r>
        <w:rPr>
          <w:rFonts w:cs="Times New Roman"/>
          <w:szCs w:val="24"/>
          <w:lang w:val="en-US"/>
        </w:rPr>
        <w:t>non private</w:t>
      </w:r>
      <w:proofErr w:type="gramEnd"/>
      <w:r>
        <w:rPr>
          <w:rFonts w:cs="Times New Roman"/>
          <w:szCs w:val="24"/>
          <w:lang w:val="en-US"/>
        </w:rPr>
        <w:t xml:space="preserve"> equity owned firms. Hotchkiss et al. (2010) argue this is because “PE-backed firms being more likely to survive when they are only financially rather than economically distressed, while firms with unprofitable operations are more likely to be sold or liquidated when they are PE-backed.” These findings echoes Andrade and Kaplan (1998) results and suggest private equity backing “improves the screening process in bankruptcy, increasing the likelihood that economically viable firms are successfully reorganized”. They also find that when a company is private equity backed recovery rates to creditors are lower “due to a lower recovery to bonds for the private equity backed defaults”. These findings are consistent with the findings of Kaplan and Stein (1993) “who show that junk bond investors bore </w:t>
      </w:r>
      <w:r w:rsidRPr="00EB6390">
        <w:rPr>
          <w:rFonts w:cs="Times New Roman"/>
          <w:szCs w:val="24"/>
          <w:lang w:val="en-US"/>
        </w:rPr>
        <w:t xml:space="preserve">the majority of the credit losses after the late 1980’s buyout boom”. </w:t>
      </w:r>
    </w:p>
    <w:p w:rsidR="00890B4C" w:rsidRDefault="00890B4C" w:rsidP="00307966">
      <w:pPr>
        <w:pStyle w:val="a5"/>
        <w:spacing w:line="360" w:lineRule="auto"/>
        <w:ind w:firstLine="567"/>
        <w:jc w:val="both"/>
        <w:rPr>
          <w:rFonts w:cs="Times New Roman"/>
          <w:szCs w:val="24"/>
          <w:lang w:val="en-US"/>
        </w:rPr>
      </w:pPr>
      <w:r w:rsidRPr="00EB6390">
        <w:rPr>
          <w:rFonts w:cs="Times New Roman"/>
          <w:szCs w:val="24"/>
          <w:lang w:val="en-US"/>
        </w:rPr>
        <w:t>Wilson and Wright (2010)</w:t>
      </w:r>
      <w:r>
        <w:rPr>
          <w:rFonts w:cs="Times New Roman"/>
          <w:szCs w:val="24"/>
          <w:lang w:val="en-US"/>
        </w:rPr>
        <w:t xml:space="preserve"> studies the determinants of failure, defined as entering the bankruptcy process, in a dataset of companies in the UK over the period 1995-2009. </w:t>
      </w:r>
      <w:r w:rsidR="00EB6390">
        <w:rPr>
          <w:rFonts w:cs="Times New Roman"/>
          <w:szCs w:val="24"/>
          <w:lang w:val="en-US"/>
        </w:rPr>
        <w:t xml:space="preserve">Their research studies </w:t>
      </w:r>
      <w:r>
        <w:rPr>
          <w:rFonts w:cs="Times New Roman"/>
          <w:szCs w:val="24"/>
          <w:lang w:val="en-US"/>
        </w:rPr>
        <w:t xml:space="preserve">a range of financial and non-financial factors </w:t>
      </w:r>
      <w:r w:rsidR="00EB6390">
        <w:rPr>
          <w:rFonts w:cs="Times New Roman"/>
          <w:szCs w:val="24"/>
          <w:lang w:val="en-US"/>
        </w:rPr>
        <w:t>(</w:t>
      </w:r>
      <w:r>
        <w:rPr>
          <w:rFonts w:cs="Times New Roman"/>
          <w:szCs w:val="24"/>
          <w:lang w:val="en-US"/>
        </w:rPr>
        <w:t>such as director characteristics</w:t>
      </w:r>
      <w:r w:rsidR="00EB6390">
        <w:rPr>
          <w:rFonts w:cs="Times New Roman"/>
          <w:szCs w:val="24"/>
          <w:lang w:val="en-US"/>
        </w:rPr>
        <w:t xml:space="preserve">). Authors </w:t>
      </w:r>
      <w:proofErr w:type="gramStart"/>
      <w:r w:rsidR="00EB6390">
        <w:rPr>
          <w:rFonts w:cs="Times New Roman"/>
          <w:szCs w:val="24"/>
          <w:lang w:val="en-US"/>
        </w:rPr>
        <w:t>come to the conclusions</w:t>
      </w:r>
      <w:proofErr w:type="gramEnd"/>
      <w:r w:rsidR="00EB6390">
        <w:rPr>
          <w:rFonts w:cs="Times New Roman"/>
          <w:szCs w:val="24"/>
          <w:lang w:val="en-US"/>
        </w:rPr>
        <w:t xml:space="preserve"> similar to previous studies: </w:t>
      </w:r>
      <w:r>
        <w:rPr>
          <w:rFonts w:cs="Times New Roman"/>
          <w:szCs w:val="24"/>
          <w:lang w:val="en-US"/>
        </w:rPr>
        <w:t>“a greater likelihood of failure is significantly as</w:t>
      </w:r>
      <w:r w:rsidR="00EB6390">
        <w:rPr>
          <w:rFonts w:cs="Times New Roman"/>
          <w:szCs w:val="24"/>
          <w:lang w:val="en-US"/>
        </w:rPr>
        <w:t>sociated with higher leverage”</w:t>
      </w:r>
      <w:r>
        <w:rPr>
          <w:rFonts w:cs="Times New Roman"/>
          <w:szCs w:val="24"/>
          <w:lang w:val="en-US"/>
        </w:rPr>
        <w:t>.</w:t>
      </w:r>
      <w:r w:rsidR="001908E9">
        <w:rPr>
          <w:rFonts w:cs="Times New Roman"/>
          <w:szCs w:val="24"/>
          <w:lang w:val="en-US"/>
        </w:rPr>
        <w:t xml:space="preserve"> They also conclude that management buyins are more likely fail than management buyouts.</w:t>
      </w:r>
      <w:r>
        <w:rPr>
          <w:rFonts w:cs="Times New Roman"/>
          <w:szCs w:val="24"/>
          <w:lang w:val="en-US"/>
        </w:rPr>
        <w:t xml:space="preserve"> Moreover, Wilson and Wright 2010 assess that private equity backed deals completed post 2003 are not riskier than the population of </w:t>
      </w:r>
      <w:proofErr w:type="gramStart"/>
      <w:r>
        <w:rPr>
          <w:rFonts w:cs="Times New Roman"/>
          <w:szCs w:val="24"/>
          <w:lang w:val="en-US"/>
        </w:rPr>
        <w:t>non buyouts</w:t>
      </w:r>
      <w:proofErr w:type="gramEnd"/>
      <w:r>
        <w:rPr>
          <w:rFonts w:cs="Times New Roman"/>
          <w:szCs w:val="24"/>
          <w:lang w:val="en-US"/>
        </w:rPr>
        <w:t xml:space="preserve">, which implies that high leverage is not isolated to private equity. </w:t>
      </w:r>
      <w:proofErr w:type="gramStart"/>
      <w:r>
        <w:rPr>
          <w:rFonts w:cs="Times New Roman"/>
          <w:szCs w:val="24"/>
          <w:lang w:val="en-US"/>
        </w:rPr>
        <w:t>They conclude that they “do not find support for the view that higher failure rates due to higher leverage are a specific feature of private equity backed buyouts” and end their paper by suggesting “private equity backed companies as well as targeting better buyout prospects are in a better position, because of active ownership and governance, to adjust capital structure over the economic cycle and, therefore, manage insolvency risk”</w:t>
      </w:r>
      <w:proofErr w:type="gramEnd"/>
    </w:p>
    <w:p w:rsidR="00890B4C" w:rsidRDefault="00890B4C" w:rsidP="00890B4C">
      <w:pPr>
        <w:pStyle w:val="a5"/>
        <w:spacing w:line="360" w:lineRule="auto"/>
        <w:ind w:firstLine="567"/>
        <w:jc w:val="both"/>
        <w:rPr>
          <w:rFonts w:asciiTheme="minorHAnsi" w:hAnsiTheme="minorHAnsi"/>
          <w:sz w:val="22"/>
          <w:lang w:val="en-US"/>
        </w:rPr>
      </w:pPr>
      <w:r w:rsidRPr="00F06544">
        <w:rPr>
          <w:rFonts w:cs="Times New Roman"/>
          <w:szCs w:val="24"/>
          <w:lang w:val="en-US"/>
        </w:rPr>
        <w:lastRenderedPageBreak/>
        <w:t>Ann-Kristin</w:t>
      </w:r>
      <w:r>
        <w:rPr>
          <w:rFonts w:cs="Times New Roman"/>
          <w:szCs w:val="24"/>
          <w:lang w:val="en-US"/>
        </w:rPr>
        <w:t xml:space="preserve"> et al</w:t>
      </w:r>
      <w:r w:rsidR="00F06544">
        <w:rPr>
          <w:rFonts w:cs="Times New Roman"/>
          <w:szCs w:val="24"/>
          <w:lang w:val="en-US"/>
        </w:rPr>
        <w:t>.</w:t>
      </w:r>
      <w:r>
        <w:rPr>
          <w:rFonts w:cs="Times New Roman"/>
          <w:szCs w:val="24"/>
          <w:lang w:val="en-US"/>
        </w:rPr>
        <w:t xml:space="preserve"> </w:t>
      </w:r>
      <w:r w:rsidR="00F06544">
        <w:rPr>
          <w:rFonts w:cs="Times New Roman"/>
          <w:szCs w:val="24"/>
          <w:lang w:val="en-US"/>
        </w:rPr>
        <w:t xml:space="preserve">(2013) </w:t>
      </w:r>
      <w:r>
        <w:rPr>
          <w:rFonts w:cs="Times New Roman"/>
          <w:szCs w:val="24"/>
          <w:lang w:val="en-US"/>
        </w:rPr>
        <w:t xml:space="preserve">employ control right theory to study the structure and the determinants of covenants on levered </w:t>
      </w:r>
      <w:proofErr w:type="gramStart"/>
      <w:r>
        <w:rPr>
          <w:rFonts w:cs="Times New Roman"/>
          <w:szCs w:val="24"/>
          <w:lang w:val="en-US"/>
        </w:rPr>
        <w:t>buy outs</w:t>
      </w:r>
      <w:proofErr w:type="gramEnd"/>
      <w:r>
        <w:rPr>
          <w:rFonts w:cs="Times New Roman"/>
          <w:szCs w:val="24"/>
          <w:lang w:val="en-US"/>
        </w:rPr>
        <w:t xml:space="preserve">. Authors do it on the sample of 130 German transaction conducted between 2000 and 2008, which cover almost half of the LBO market of that period (by volume). Concerning the structure of protective covenants </w:t>
      </w:r>
      <w:proofErr w:type="gramStart"/>
      <w:r>
        <w:rPr>
          <w:rFonts w:cs="Times New Roman"/>
          <w:szCs w:val="24"/>
          <w:lang w:val="en-US"/>
        </w:rPr>
        <w:t>authors</w:t>
      </w:r>
      <w:proofErr w:type="gramEnd"/>
      <w:r>
        <w:rPr>
          <w:rFonts w:cs="Times New Roman"/>
          <w:szCs w:val="24"/>
          <w:lang w:val="en-US"/>
        </w:rPr>
        <w:t xml:space="preserve"> conclude that they are more or less standardized and more conservative than in USA. Moreover, </w:t>
      </w:r>
      <w:r>
        <w:rPr>
          <w:lang w:val="en-US"/>
        </w:rPr>
        <w:t xml:space="preserve">covenants </w:t>
      </w:r>
      <w:proofErr w:type="gramStart"/>
      <w:r>
        <w:rPr>
          <w:lang w:val="en-US"/>
        </w:rPr>
        <w:t>are designed</w:t>
      </w:r>
      <w:proofErr w:type="gramEnd"/>
      <w:r>
        <w:rPr>
          <w:lang w:val="en-US"/>
        </w:rPr>
        <w:t xml:space="preserve"> in a hierarchical manner, with the Debt to EBITDA covenant being the first to breach in early years. Authors say that they are the first to apply a direct measure of financial covenant restrictiveness, </w:t>
      </w:r>
      <w:proofErr w:type="gramStart"/>
      <w:r>
        <w:rPr>
          <w:lang w:val="en-US"/>
        </w:rPr>
        <w:t>which  is</w:t>
      </w:r>
      <w:proofErr w:type="gramEnd"/>
      <w:r>
        <w:rPr>
          <w:lang w:val="en-US"/>
        </w:rPr>
        <w:t xml:space="preserve"> the real negotiated item between lead arrangers and sponsors. Results show that financial covenant restrictiveness </w:t>
      </w:r>
      <w:proofErr w:type="gramStart"/>
      <w:r>
        <w:rPr>
          <w:lang w:val="en-US"/>
        </w:rPr>
        <w:t>is significantly negatively related</w:t>
      </w:r>
      <w:proofErr w:type="gramEnd"/>
      <w:r>
        <w:rPr>
          <w:lang w:val="en-US"/>
        </w:rPr>
        <w:t xml:space="preserve"> to the size of the private equity group, which serves as a proxy for reputation. </w:t>
      </w:r>
      <w:proofErr w:type="gramStart"/>
      <w:r>
        <w:rPr>
          <w:lang w:val="en-US"/>
        </w:rPr>
        <w:t>Also</w:t>
      </w:r>
      <w:proofErr w:type="gramEnd"/>
      <w:r>
        <w:rPr>
          <w:lang w:val="en-US"/>
        </w:rPr>
        <w:t xml:space="preserve"> they say that target-related factors, like growth and profitability, have a strong impact on financial covenant restrictiveness. </w:t>
      </w:r>
    </w:p>
    <w:p w:rsidR="00B34601" w:rsidRDefault="00684FF5" w:rsidP="00EA1BB5">
      <w:pPr>
        <w:pStyle w:val="a5"/>
        <w:spacing w:line="360" w:lineRule="auto"/>
        <w:ind w:firstLine="360"/>
        <w:jc w:val="both"/>
        <w:rPr>
          <w:lang w:val="en-US"/>
        </w:rPr>
      </w:pPr>
      <w:r>
        <w:rPr>
          <w:lang w:val="en-US"/>
        </w:rPr>
        <w:t>Frederik Gardefos and Henrik Viderberger in their work “Private Equity Valuation” (2011) analyze three LBO-analysis techniques: adjusted present value</w:t>
      </w:r>
      <w:r w:rsidR="00B34601">
        <w:rPr>
          <w:lang w:val="en-US"/>
        </w:rPr>
        <w:t xml:space="preserve"> model (APV)</w:t>
      </w:r>
      <w:r>
        <w:rPr>
          <w:lang w:val="en-US"/>
        </w:rPr>
        <w:t xml:space="preserve">, </w:t>
      </w:r>
      <w:r w:rsidR="007F6DBF">
        <w:rPr>
          <w:lang w:val="en-US"/>
        </w:rPr>
        <w:t>multiple valuation model</w:t>
      </w:r>
      <w:r w:rsidR="00B34601">
        <w:rPr>
          <w:lang w:val="en-US"/>
        </w:rPr>
        <w:t xml:space="preserve"> </w:t>
      </w:r>
      <w:r>
        <w:rPr>
          <w:lang w:val="en-US"/>
        </w:rPr>
        <w:t xml:space="preserve">and </w:t>
      </w:r>
      <w:r w:rsidR="00B34601">
        <w:rPr>
          <w:lang w:val="en-US"/>
        </w:rPr>
        <w:t>levered</w:t>
      </w:r>
      <w:r>
        <w:rPr>
          <w:lang w:val="en-US"/>
        </w:rPr>
        <w:t xml:space="preserve"> </w:t>
      </w:r>
      <w:r w:rsidR="00B34601">
        <w:rPr>
          <w:lang w:val="en-US"/>
        </w:rPr>
        <w:t>buy ou</w:t>
      </w:r>
      <w:r>
        <w:rPr>
          <w:lang w:val="en-US"/>
        </w:rPr>
        <w:t>t</w:t>
      </w:r>
      <w:r w:rsidR="00B34601">
        <w:rPr>
          <w:lang w:val="en-US"/>
        </w:rPr>
        <w:t xml:space="preserve"> model (LBO-model)</w:t>
      </w:r>
      <w:r>
        <w:rPr>
          <w:lang w:val="en-US"/>
        </w:rPr>
        <w:t xml:space="preserve"> in analysis of levered buyouts. </w:t>
      </w:r>
      <w:r w:rsidR="00B34601">
        <w:rPr>
          <w:lang w:val="en-US"/>
        </w:rPr>
        <w:t xml:space="preserve">Authors employ these three models to value a set of 24 </w:t>
      </w:r>
      <w:r w:rsidR="00A704C0">
        <w:rPr>
          <w:lang w:val="en-US"/>
        </w:rPr>
        <w:t>LBOs.</w:t>
      </w:r>
      <w:r w:rsidR="00B34601">
        <w:rPr>
          <w:lang w:val="en-US"/>
        </w:rPr>
        <w:t xml:space="preserve"> The data that they use </w:t>
      </w:r>
      <w:proofErr w:type="gramStart"/>
      <w:r w:rsidR="00B34601">
        <w:rPr>
          <w:lang w:val="en-US"/>
        </w:rPr>
        <w:t>is assembled</w:t>
      </w:r>
      <w:proofErr w:type="gramEnd"/>
      <w:r w:rsidR="00B34601">
        <w:rPr>
          <w:lang w:val="en-US"/>
        </w:rPr>
        <w:t xml:space="preserve"> from internal private data of completed transactions on the Swedish private equity market. </w:t>
      </w:r>
      <w:r w:rsidR="00A704C0" w:rsidRPr="00A704C0">
        <w:rPr>
          <w:lang w:val="en-US"/>
        </w:rPr>
        <w:t>Comparing the</w:t>
      </w:r>
      <w:r w:rsidR="00A704C0">
        <w:rPr>
          <w:lang w:val="en-US"/>
        </w:rPr>
        <w:t xml:space="preserve"> factual value of the</w:t>
      </w:r>
      <w:r w:rsidR="00A704C0" w:rsidRPr="00A704C0">
        <w:rPr>
          <w:lang w:val="en-US"/>
        </w:rPr>
        <w:t xml:space="preserve"> leveraged transaction</w:t>
      </w:r>
      <w:r w:rsidR="00A704C0">
        <w:rPr>
          <w:lang w:val="en-US"/>
        </w:rPr>
        <w:t xml:space="preserve">s with the ones </w:t>
      </w:r>
      <w:r w:rsidR="002A05B7">
        <w:rPr>
          <w:lang w:val="en-US"/>
        </w:rPr>
        <w:t>p</w:t>
      </w:r>
      <w:r w:rsidR="002A05B7" w:rsidRPr="00A704C0">
        <w:rPr>
          <w:lang w:val="en-US"/>
        </w:rPr>
        <w:t>redict</w:t>
      </w:r>
      <w:r w:rsidR="002A05B7">
        <w:rPr>
          <w:lang w:val="en-US"/>
        </w:rPr>
        <w:t xml:space="preserve">ed </w:t>
      </w:r>
      <w:r w:rsidR="002A05B7" w:rsidRPr="00A704C0">
        <w:rPr>
          <w:lang w:val="en-US"/>
        </w:rPr>
        <w:t>by</w:t>
      </w:r>
      <w:r w:rsidR="00A704C0">
        <w:rPr>
          <w:lang w:val="en-US"/>
        </w:rPr>
        <w:t xml:space="preserve"> models, authors </w:t>
      </w:r>
      <w:proofErr w:type="gramStart"/>
      <w:r w:rsidR="00A704C0">
        <w:rPr>
          <w:lang w:val="en-US"/>
        </w:rPr>
        <w:t>come to a conclusion</w:t>
      </w:r>
      <w:proofErr w:type="gramEnd"/>
      <w:r w:rsidR="00A704C0" w:rsidRPr="00A704C0">
        <w:rPr>
          <w:lang w:val="en-US"/>
        </w:rPr>
        <w:t xml:space="preserve"> contra</w:t>
      </w:r>
      <w:r w:rsidR="00A704C0">
        <w:rPr>
          <w:lang w:val="en-US"/>
        </w:rPr>
        <w:t>dicting the results of Kaplan &amp;</w:t>
      </w:r>
      <w:r w:rsidR="00647CB6">
        <w:rPr>
          <w:lang w:val="en-US"/>
        </w:rPr>
        <w:t xml:space="preserve"> </w:t>
      </w:r>
      <w:r w:rsidR="00A704C0" w:rsidRPr="00A704C0">
        <w:rPr>
          <w:lang w:val="en-US"/>
        </w:rPr>
        <w:t>Ruback (1995)</w:t>
      </w:r>
      <w:r w:rsidR="00A704C0">
        <w:rPr>
          <w:lang w:val="en-US"/>
        </w:rPr>
        <w:t>. Gardefos and Viderberger</w:t>
      </w:r>
      <w:r w:rsidR="00B34601">
        <w:rPr>
          <w:lang w:val="en-US"/>
        </w:rPr>
        <w:t xml:space="preserve"> conclude that the multiples valuation perform significantly better that cash flow based APV model and LBO-model. </w:t>
      </w:r>
      <w:r w:rsidR="002A05B7">
        <w:rPr>
          <w:lang w:val="en-US"/>
        </w:rPr>
        <w:t xml:space="preserve">Regarding the </w:t>
      </w:r>
      <w:r w:rsidR="00A704C0" w:rsidRPr="00A704C0">
        <w:rPr>
          <w:lang w:val="en-US"/>
        </w:rPr>
        <w:t>LBO</w:t>
      </w:r>
      <w:r w:rsidR="002A05B7">
        <w:rPr>
          <w:lang w:val="en-US"/>
        </w:rPr>
        <w:t xml:space="preserve">-model their </w:t>
      </w:r>
      <w:r w:rsidR="00A704C0" w:rsidRPr="00A704C0">
        <w:rPr>
          <w:lang w:val="en-US"/>
        </w:rPr>
        <w:t xml:space="preserve">valuations that are </w:t>
      </w:r>
      <w:r w:rsidR="002A05B7">
        <w:rPr>
          <w:lang w:val="en-US"/>
        </w:rPr>
        <w:t>much</w:t>
      </w:r>
      <w:r w:rsidR="00A704C0" w:rsidRPr="00A704C0">
        <w:rPr>
          <w:lang w:val="en-US"/>
        </w:rPr>
        <w:t xml:space="preserve"> closer to the market value than </w:t>
      </w:r>
      <w:r w:rsidR="002A05B7">
        <w:rPr>
          <w:lang w:val="en-US"/>
        </w:rPr>
        <w:t>they</w:t>
      </w:r>
      <w:r w:rsidR="00A704C0" w:rsidRPr="00A704C0">
        <w:rPr>
          <w:lang w:val="en-US"/>
        </w:rPr>
        <w:t xml:space="preserve"> able </w:t>
      </w:r>
      <w:proofErr w:type="gramStart"/>
      <w:r w:rsidR="00A704C0" w:rsidRPr="00A704C0">
        <w:rPr>
          <w:lang w:val="en-US"/>
        </w:rPr>
        <w:t>to</w:t>
      </w:r>
      <w:proofErr w:type="gramEnd"/>
      <w:r w:rsidR="00A704C0" w:rsidRPr="00A704C0">
        <w:rPr>
          <w:lang w:val="en-US"/>
        </w:rPr>
        <w:t xml:space="preserve"> find using APV. </w:t>
      </w:r>
      <w:r w:rsidR="00E33559">
        <w:rPr>
          <w:lang w:val="en-US"/>
        </w:rPr>
        <w:t>Still, the value obtained with LBO valuation is significantly above market valu</w:t>
      </w:r>
      <w:r w:rsidR="00647CB6">
        <w:rPr>
          <w:lang w:val="en-US"/>
        </w:rPr>
        <w:t>e,</w:t>
      </w:r>
      <w:r w:rsidR="00D55D2E">
        <w:rPr>
          <w:lang w:val="en-US"/>
        </w:rPr>
        <w:t xml:space="preserve"> </w:t>
      </w:r>
      <w:r w:rsidR="00647CB6">
        <w:rPr>
          <w:lang w:val="en-US"/>
        </w:rPr>
        <w:t xml:space="preserve">147% of it, which means that </w:t>
      </w:r>
      <w:r w:rsidR="00647CB6" w:rsidRPr="00647CB6">
        <w:rPr>
          <w:lang w:val="en-US"/>
        </w:rPr>
        <w:t>L</w:t>
      </w:r>
      <w:r w:rsidR="00D55D2E">
        <w:rPr>
          <w:lang w:val="en-US"/>
        </w:rPr>
        <w:t>BO-</w:t>
      </w:r>
      <w:r w:rsidR="00647CB6" w:rsidRPr="00647CB6">
        <w:rPr>
          <w:lang w:val="en-US"/>
        </w:rPr>
        <w:t>model</w:t>
      </w:r>
      <w:r w:rsidR="00647CB6">
        <w:rPr>
          <w:lang w:val="en-US"/>
        </w:rPr>
        <w:t xml:space="preserve"> calculates</w:t>
      </w:r>
      <w:r w:rsidR="00647CB6" w:rsidRPr="00647CB6">
        <w:rPr>
          <w:lang w:val="en-US"/>
        </w:rPr>
        <w:t xml:space="preserve"> an enterprise value nearly 1.5 times as high as the actual </w:t>
      </w:r>
      <w:r w:rsidR="00647CB6">
        <w:rPr>
          <w:lang w:val="en-US"/>
        </w:rPr>
        <w:t xml:space="preserve">purchase price.  </w:t>
      </w:r>
      <w:r w:rsidR="00A704C0">
        <w:rPr>
          <w:lang w:val="en-US"/>
        </w:rPr>
        <w:t xml:space="preserve">Authors argue that the dataset used by Kaplan &amp; </w:t>
      </w:r>
      <w:r w:rsidR="00A704C0" w:rsidRPr="00A704C0">
        <w:rPr>
          <w:lang w:val="en-US"/>
        </w:rPr>
        <w:t xml:space="preserve">Ruback (1995) </w:t>
      </w:r>
      <w:proofErr w:type="gramStart"/>
      <w:r w:rsidR="00A704C0" w:rsidRPr="00A704C0">
        <w:rPr>
          <w:lang w:val="en-US"/>
        </w:rPr>
        <w:t>may be flawed</w:t>
      </w:r>
      <w:proofErr w:type="gramEnd"/>
      <w:r w:rsidR="00A704C0">
        <w:rPr>
          <w:lang w:val="en-US"/>
        </w:rPr>
        <w:t xml:space="preserve">, since it is complied on data found in fairness opinions. Gardefors and Viderberder use </w:t>
      </w:r>
      <w:r w:rsidR="00A704C0" w:rsidRPr="00A704C0">
        <w:rPr>
          <w:lang w:val="en-US"/>
        </w:rPr>
        <w:t xml:space="preserve">actual data that </w:t>
      </w:r>
      <w:proofErr w:type="gramStart"/>
      <w:r w:rsidR="00A704C0" w:rsidRPr="00A704C0">
        <w:rPr>
          <w:lang w:val="en-US"/>
        </w:rPr>
        <w:t>was used</w:t>
      </w:r>
      <w:proofErr w:type="gramEnd"/>
      <w:r w:rsidR="00A704C0" w:rsidRPr="00A704C0">
        <w:rPr>
          <w:lang w:val="en-US"/>
        </w:rPr>
        <w:t xml:space="preserve"> to value the company by each private equity fund</w:t>
      </w:r>
      <w:r w:rsidR="00A704C0">
        <w:rPr>
          <w:lang w:val="en-US"/>
        </w:rPr>
        <w:t xml:space="preserve"> instead. </w:t>
      </w:r>
    </w:p>
    <w:p w:rsidR="00B65DF4" w:rsidRDefault="00B65DF4" w:rsidP="00F109E4">
      <w:pPr>
        <w:pStyle w:val="a5"/>
        <w:spacing w:line="360" w:lineRule="auto"/>
        <w:ind w:firstLine="360"/>
        <w:jc w:val="both"/>
        <w:rPr>
          <w:lang w:val="en-US"/>
        </w:rPr>
      </w:pPr>
      <w:r>
        <w:rPr>
          <w:lang w:val="en-US"/>
        </w:rPr>
        <w:t>Kreuter at al. (2004)</w:t>
      </w:r>
      <w:r w:rsidR="00F109E4">
        <w:rPr>
          <w:lang w:val="en-US"/>
        </w:rPr>
        <w:t xml:space="preserve"> </w:t>
      </w:r>
      <w:r w:rsidR="00F109E4" w:rsidRPr="00F109E4">
        <w:rPr>
          <w:lang w:val="en-US"/>
        </w:rPr>
        <w:t xml:space="preserve">found support for the importance of </w:t>
      </w:r>
      <w:r w:rsidR="00F109E4">
        <w:rPr>
          <w:lang w:val="en-US"/>
        </w:rPr>
        <w:t xml:space="preserve">extensive research by LBO firms </w:t>
      </w:r>
      <w:r w:rsidR="00F109E4" w:rsidRPr="00F109E4">
        <w:rPr>
          <w:lang w:val="en-US"/>
        </w:rPr>
        <w:t>when identifying suitable targets. According to their stud</w:t>
      </w:r>
      <w:r w:rsidR="00F109E4">
        <w:rPr>
          <w:lang w:val="en-US"/>
        </w:rPr>
        <w:t xml:space="preserve">y, buyouts that originated from </w:t>
      </w:r>
      <w:r w:rsidR="00F109E4" w:rsidRPr="00F109E4">
        <w:rPr>
          <w:lang w:val="en-US"/>
        </w:rPr>
        <w:t xml:space="preserve">other sources than publicly known deals generated superior </w:t>
      </w:r>
      <w:r w:rsidR="00F109E4">
        <w:rPr>
          <w:lang w:val="en-US"/>
        </w:rPr>
        <w:t xml:space="preserve">returns. However, this does not </w:t>
      </w:r>
      <w:r w:rsidR="00F109E4" w:rsidRPr="00F109E4">
        <w:rPr>
          <w:lang w:val="en-US"/>
        </w:rPr>
        <w:t>conclude that it should affect their ability to outbid strategic bu</w:t>
      </w:r>
      <w:r w:rsidR="00F109E4">
        <w:rPr>
          <w:lang w:val="en-US"/>
        </w:rPr>
        <w:t xml:space="preserve">yers. Instead, it rather points </w:t>
      </w:r>
      <w:r w:rsidR="00F109E4" w:rsidRPr="00F109E4">
        <w:rPr>
          <w:lang w:val="en-US"/>
        </w:rPr>
        <w:t>to the importance of their deal sourcing capability to genera</w:t>
      </w:r>
      <w:r w:rsidR="00F109E4">
        <w:rPr>
          <w:lang w:val="en-US"/>
        </w:rPr>
        <w:t xml:space="preserve">te value to the investment. The </w:t>
      </w:r>
      <w:r w:rsidR="00F109E4" w:rsidRPr="00F109E4">
        <w:rPr>
          <w:lang w:val="en-US"/>
        </w:rPr>
        <w:t>study further found that deals originating from advisor</w:t>
      </w:r>
      <w:r w:rsidR="00F109E4">
        <w:rPr>
          <w:lang w:val="en-US"/>
        </w:rPr>
        <w:t xml:space="preserve">s had superior returns to deals </w:t>
      </w:r>
      <w:r w:rsidR="00F109E4" w:rsidRPr="00F109E4">
        <w:rPr>
          <w:lang w:val="en-US"/>
        </w:rPr>
        <w:t>sourced from the LBO firms’ network. One could therefo</w:t>
      </w:r>
      <w:r w:rsidR="00F109E4">
        <w:rPr>
          <w:lang w:val="en-US"/>
        </w:rPr>
        <w:t xml:space="preserve">re argue that the importance of </w:t>
      </w:r>
      <w:r w:rsidR="00F109E4" w:rsidRPr="00F109E4">
        <w:rPr>
          <w:lang w:val="en-US"/>
        </w:rPr>
        <w:t>their network have less impact in the early transaction phase of an LBO</w:t>
      </w:r>
    </w:p>
    <w:p w:rsidR="00F109E4" w:rsidRDefault="00F109E4" w:rsidP="00F109E4">
      <w:pPr>
        <w:pStyle w:val="a5"/>
        <w:spacing w:line="360" w:lineRule="auto"/>
        <w:ind w:firstLine="360"/>
        <w:jc w:val="both"/>
        <w:rPr>
          <w:lang w:val="en-US"/>
        </w:rPr>
      </w:pPr>
      <w:proofErr w:type="gramStart"/>
      <w:r w:rsidRPr="00F109E4">
        <w:rPr>
          <w:lang w:val="en-US"/>
        </w:rPr>
        <w:lastRenderedPageBreak/>
        <w:t>According to Gagliano &amp; Olsen (2003), there are a number of</w:t>
      </w:r>
      <w:r>
        <w:rPr>
          <w:lang w:val="en-US"/>
        </w:rPr>
        <w:t xml:space="preserve"> characteristics of a potential </w:t>
      </w:r>
      <w:r w:rsidRPr="00F109E4">
        <w:rPr>
          <w:lang w:val="en-US"/>
        </w:rPr>
        <w:t>target company that make them suitable for an LBO.</w:t>
      </w:r>
      <w:proofErr w:type="gramEnd"/>
      <w:r w:rsidRPr="00F109E4">
        <w:rPr>
          <w:lang w:val="en-US"/>
        </w:rPr>
        <w:t xml:space="preserve"> F</w:t>
      </w:r>
      <w:r>
        <w:rPr>
          <w:lang w:val="en-US"/>
        </w:rPr>
        <w:t xml:space="preserve">irst, the company should have a </w:t>
      </w:r>
      <w:r w:rsidRPr="00F109E4">
        <w:rPr>
          <w:lang w:val="en-US"/>
        </w:rPr>
        <w:t>capital structure that allows them to take on a large amount o</w:t>
      </w:r>
      <w:r>
        <w:rPr>
          <w:lang w:val="en-US"/>
        </w:rPr>
        <w:t xml:space="preserve">f debt, which often </w:t>
      </w:r>
      <w:proofErr w:type="gramStart"/>
      <w:r>
        <w:rPr>
          <w:lang w:val="en-US"/>
        </w:rPr>
        <w:t xml:space="preserve">is </w:t>
      </w:r>
      <w:r w:rsidRPr="00F109E4">
        <w:rPr>
          <w:lang w:val="en-US"/>
        </w:rPr>
        <w:t>characterized</w:t>
      </w:r>
      <w:proofErr w:type="gramEnd"/>
      <w:r w:rsidRPr="00F109E4">
        <w:rPr>
          <w:lang w:val="en-US"/>
        </w:rPr>
        <w:t xml:space="preserve"> by a strong and wealthy balance sheet with a relative low level of debt. In order to</w:t>
      </w:r>
      <w:r>
        <w:rPr>
          <w:lang w:val="en-US"/>
        </w:rPr>
        <w:t xml:space="preserve"> </w:t>
      </w:r>
      <w:r w:rsidRPr="00F109E4">
        <w:rPr>
          <w:lang w:val="en-US"/>
        </w:rPr>
        <w:t>be able to service the new debt, a firm should have stable and predictable cash flows. Such firms</w:t>
      </w:r>
      <w:r>
        <w:rPr>
          <w:lang w:val="en-US"/>
        </w:rPr>
        <w:t xml:space="preserve"> </w:t>
      </w:r>
      <w:r w:rsidRPr="00F109E4">
        <w:rPr>
          <w:lang w:val="en-US"/>
        </w:rPr>
        <w:t>generally have a strong market position with low risk of new entrants. Strong cash flows can also</w:t>
      </w:r>
      <w:r>
        <w:rPr>
          <w:lang w:val="en-US"/>
        </w:rPr>
        <w:t xml:space="preserve"> </w:t>
      </w:r>
      <w:r w:rsidRPr="00F109E4">
        <w:rPr>
          <w:lang w:val="en-US"/>
        </w:rPr>
        <w:t xml:space="preserve">come from a low future capital requirements and the possibility to </w:t>
      </w:r>
      <w:r>
        <w:rPr>
          <w:lang w:val="en-US"/>
        </w:rPr>
        <w:t xml:space="preserve">sell off assets that do not fit </w:t>
      </w:r>
      <w:r w:rsidRPr="00F109E4">
        <w:rPr>
          <w:lang w:val="en-US"/>
        </w:rPr>
        <w:t>into the company’s business model. Furthermore, the firm should be able to take on cost cut</w:t>
      </w:r>
      <w:r>
        <w:rPr>
          <w:lang w:val="en-US"/>
        </w:rPr>
        <w:t xml:space="preserve"> </w:t>
      </w:r>
      <w:r w:rsidRPr="00F109E4">
        <w:rPr>
          <w:lang w:val="en-US"/>
        </w:rPr>
        <w:t>programs in order to increase the profitability. As the investme</w:t>
      </w:r>
      <w:r>
        <w:rPr>
          <w:lang w:val="en-US"/>
        </w:rPr>
        <w:t xml:space="preserve">nt period is limited, it should </w:t>
      </w:r>
      <w:r w:rsidRPr="00F109E4">
        <w:rPr>
          <w:lang w:val="en-US"/>
        </w:rPr>
        <w:t xml:space="preserve">be possible to identify a number of attractive exit opportunities. </w:t>
      </w:r>
    </w:p>
    <w:p w:rsidR="00496C05" w:rsidRPr="00496C05" w:rsidRDefault="00496C05" w:rsidP="00F109E4">
      <w:pPr>
        <w:pStyle w:val="a5"/>
        <w:spacing w:line="360" w:lineRule="auto"/>
        <w:ind w:firstLine="360"/>
        <w:jc w:val="both"/>
        <w:rPr>
          <w:lang w:val="en-US"/>
        </w:rPr>
      </w:pPr>
      <w:r>
        <w:rPr>
          <w:lang w:val="en-US"/>
        </w:rPr>
        <w:t xml:space="preserve">Mattias Almgren and </w:t>
      </w:r>
      <w:r w:rsidRPr="00496C05">
        <w:rPr>
          <w:lang w:val="en-US"/>
        </w:rPr>
        <w:t>Karl Håland</w:t>
      </w:r>
      <w:r>
        <w:rPr>
          <w:lang w:val="en-US"/>
        </w:rPr>
        <w:t xml:space="preserve"> (2010) </w:t>
      </w:r>
      <w:r w:rsidR="00B65DF4" w:rsidRPr="00B65DF4">
        <w:rPr>
          <w:lang w:val="en-US"/>
        </w:rPr>
        <w:t>identify</w:t>
      </w:r>
      <w:r w:rsidR="00B65DF4">
        <w:rPr>
          <w:lang w:val="en-US"/>
        </w:rPr>
        <w:t xml:space="preserve"> and discuss the</w:t>
      </w:r>
      <w:r w:rsidR="00B65DF4" w:rsidRPr="00B65DF4">
        <w:rPr>
          <w:lang w:val="en-US"/>
        </w:rPr>
        <w:t xml:space="preserve"> factors affecting an LBO firm’s rel</w:t>
      </w:r>
      <w:r w:rsidR="00B65DF4">
        <w:rPr>
          <w:lang w:val="en-US"/>
        </w:rPr>
        <w:t xml:space="preserve">ative competitiveness and hence </w:t>
      </w:r>
      <w:r w:rsidR="00B65DF4" w:rsidRPr="00B65DF4">
        <w:rPr>
          <w:lang w:val="en-US"/>
        </w:rPr>
        <w:t xml:space="preserve">ability to outbid strategic buyers. </w:t>
      </w:r>
      <w:r w:rsidR="00B65DF4">
        <w:rPr>
          <w:lang w:val="en-US"/>
        </w:rPr>
        <w:t xml:space="preserve">Authors identify </w:t>
      </w:r>
      <w:r w:rsidR="00B65DF4" w:rsidRPr="00B65DF4">
        <w:rPr>
          <w:lang w:val="en-US"/>
        </w:rPr>
        <w:t>14 factors have been</w:t>
      </w:r>
      <w:r w:rsidR="00B65DF4">
        <w:rPr>
          <w:lang w:val="en-US"/>
        </w:rPr>
        <w:t xml:space="preserve"> </w:t>
      </w:r>
      <w:r w:rsidR="00B65DF4" w:rsidRPr="00B65DF4">
        <w:rPr>
          <w:lang w:val="en-US"/>
        </w:rPr>
        <w:t>identified</w:t>
      </w:r>
      <w:r w:rsidR="00B65DF4">
        <w:rPr>
          <w:lang w:val="en-US"/>
        </w:rPr>
        <w:t xml:space="preserve">. In their </w:t>
      </w:r>
      <w:proofErr w:type="gramStart"/>
      <w:r w:rsidR="00B65DF4">
        <w:rPr>
          <w:lang w:val="en-US"/>
        </w:rPr>
        <w:t>work</w:t>
      </w:r>
      <w:proofErr w:type="gramEnd"/>
      <w:r w:rsidR="00B65DF4">
        <w:rPr>
          <w:lang w:val="en-US"/>
        </w:rPr>
        <w:t xml:space="preserve"> authors provide a detailed description of the preliminary qualitative LBO-analysis that should be done by investors to analyze the LBO return potential. According to the </w:t>
      </w:r>
      <w:r w:rsidR="00266903">
        <w:rPr>
          <w:lang w:val="en-US"/>
        </w:rPr>
        <w:t>author,</w:t>
      </w:r>
      <w:r w:rsidR="00B65DF4">
        <w:rPr>
          <w:lang w:val="en-US"/>
        </w:rPr>
        <w:t xml:space="preserve"> there are </w:t>
      </w:r>
      <w:r w:rsidR="000B4603">
        <w:rPr>
          <w:lang w:val="en-US"/>
        </w:rPr>
        <w:t>four</w:t>
      </w:r>
      <w:r w:rsidR="00B65DF4">
        <w:rPr>
          <w:lang w:val="en-US"/>
        </w:rPr>
        <w:t xml:space="preserve"> main stages </w:t>
      </w:r>
      <w:r w:rsidR="00266903">
        <w:rPr>
          <w:lang w:val="en-US"/>
        </w:rPr>
        <w:t>of LBO-analysis: sourcing, screening</w:t>
      </w:r>
      <w:r w:rsidR="000B4603">
        <w:rPr>
          <w:lang w:val="en-US"/>
        </w:rPr>
        <w:t>, evaluation and</w:t>
      </w:r>
      <w:r w:rsidR="00266903">
        <w:rPr>
          <w:lang w:val="en-US"/>
        </w:rPr>
        <w:t xml:space="preserve"> valuation. </w:t>
      </w:r>
    </w:p>
    <w:p w:rsidR="004B794F" w:rsidRDefault="001D2823" w:rsidP="00EA1BB5">
      <w:pPr>
        <w:pStyle w:val="a5"/>
        <w:spacing w:line="360" w:lineRule="auto"/>
        <w:ind w:firstLine="360"/>
        <w:jc w:val="both"/>
        <w:rPr>
          <w:lang w:val="en-US"/>
        </w:rPr>
      </w:pPr>
      <w:r>
        <w:rPr>
          <w:lang w:val="en-US"/>
        </w:rPr>
        <w:t>Carl-Johan Standberg in his work “Levered buyout: an LBO valuation model” (2011) conducts a series of interview</w:t>
      </w:r>
      <w:r w:rsidR="004B794F">
        <w:rPr>
          <w:lang w:val="en-US"/>
        </w:rPr>
        <w:t>s</w:t>
      </w:r>
      <w:r>
        <w:rPr>
          <w:lang w:val="en-US"/>
        </w:rPr>
        <w:t xml:space="preserve"> with seven private equity </w:t>
      </w:r>
      <w:r w:rsidR="004B794F">
        <w:rPr>
          <w:lang w:val="en-US"/>
        </w:rPr>
        <w:t xml:space="preserve">funds in attempt to collect and reveal how LBO-analysis is conducted in reality. In his interview Stranbergs asks PE funds such questions as what is the average amount of premium payed for in transactions, how long is the holding period, what exit strategies do PE funds prefer and why, what financing structure they use in LBO-analysis, etc. </w:t>
      </w:r>
    </w:p>
    <w:p w:rsidR="004B794F" w:rsidRDefault="004B794F" w:rsidP="004B794F">
      <w:pPr>
        <w:pStyle w:val="a5"/>
        <w:spacing w:line="360" w:lineRule="auto"/>
        <w:jc w:val="both"/>
        <w:rPr>
          <w:lang w:val="en-US"/>
        </w:rPr>
      </w:pPr>
      <w:r>
        <w:rPr>
          <w:lang w:val="en-US"/>
        </w:rPr>
        <w:t xml:space="preserve">As a </w:t>
      </w:r>
      <w:proofErr w:type="gramStart"/>
      <w:r>
        <w:rPr>
          <w:lang w:val="en-US"/>
        </w:rPr>
        <w:t>result</w:t>
      </w:r>
      <w:proofErr w:type="gramEnd"/>
      <w:r>
        <w:rPr>
          <w:lang w:val="en-US"/>
        </w:rPr>
        <w:t xml:space="preserve"> he creates an LBO-valuation model and a qualitative framework for finding a suitable LBO-target. The framework for finding a suitable LBO-target integrates techniques used in </w:t>
      </w:r>
      <w:r w:rsidRPr="004B794F">
        <w:rPr>
          <w:lang w:val="en-US"/>
        </w:rPr>
        <w:t>most distinguished private equity firms active in Sweden.</w:t>
      </w:r>
      <w:r>
        <w:rPr>
          <w:lang w:val="en-US"/>
        </w:rPr>
        <w:t xml:space="preserve"> The LBO-model, it its turn, is created in cooperation with DCM (debt capital markets) division at one of the leading investment banks of the Nordic region. In order to show how his LBO-analysis logic works the author applied the technique on a retail company - Björn Borg. Finally, to </w:t>
      </w:r>
      <w:r w:rsidRPr="004B794F">
        <w:rPr>
          <w:lang w:val="en-US"/>
        </w:rPr>
        <w:t xml:space="preserve">verify the accuracy of the framework, calculated return from the model </w:t>
      </w:r>
      <w:proofErr w:type="gramStart"/>
      <w:r w:rsidRPr="004B794F">
        <w:rPr>
          <w:lang w:val="en-US"/>
        </w:rPr>
        <w:t>is analyzed and compared to the indications given by the framework</w:t>
      </w:r>
      <w:proofErr w:type="gramEnd"/>
      <w:r w:rsidRPr="004B794F">
        <w:rPr>
          <w:lang w:val="en-US"/>
        </w:rPr>
        <w:t>.</w:t>
      </w:r>
      <w:r w:rsidR="00890B4C">
        <w:rPr>
          <w:lang w:val="en-US"/>
        </w:rPr>
        <w:t xml:space="preserve"> The authors says that LBO-firms primarily use LBO-models in their analysis. </w:t>
      </w:r>
      <w:proofErr w:type="gramStart"/>
      <w:r w:rsidR="00890B4C" w:rsidRPr="00890B4C">
        <w:rPr>
          <w:lang w:val="en-US"/>
        </w:rPr>
        <w:t>DCF valuation mo</w:t>
      </w:r>
      <w:r w:rsidR="00890B4C">
        <w:rPr>
          <w:lang w:val="en-US"/>
        </w:rPr>
        <w:t>del is rarely used by PE companies</w:t>
      </w:r>
      <w:proofErr w:type="gramEnd"/>
      <w:r w:rsidR="00890B4C">
        <w:rPr>
          <w:lang w:val="en-US"/>
        </w:rPr>
        <w:t>, as</w:t>
      </w:r>
      <w:r w:rsidR="00890B4C" w:rsidRPr="00890B4C">
        <w:rPr>
          <w:lang w:val="en-US"/>
        </w:rPr>
        <w:t xml:space="preserve"> its output is too sensitive to changes in the perpetuity growth rate. It </w:t>
      </w:r>
      <w:proofErr w:type="gramStart"/>
      <w:r w:rsidR="00890B4C" w:rsidRPr="00890B4C">
        <w:rPr>
          <w:lang w:val="en-US"/>
        </w:rPr>
        <w:t>can be used</w:t>
      </w:r>
      <w:proofErr w:type="gramEnd"/>
      <w:r w:rsidR="00890B4C" w:rsidRPr="00890B4C">
        <w:rPr>
          <w:lang w:val="en-US"/>
        </w:rPr>
        <w:t xml:space="preserve"> only if only data on peers is not available. “An LBO model has a practical approach and reflects reality as opposed to the DCF model which is strictly theoretical. We do not use the DCF model in our daily work. The LBO model tells us how much money we will make on the deal. The DCF model does not.”</w:t>
      </w:r>
    </w:p>
    <w:p w:rsidR="00F06544" w:rsidRDefault="00F06544" w:rsidP="00F06544">
      <w:pPr>
        <w:pStyle w:val="a5"/>
        <w:spacing w:line="360" w:lineRule="auto"/>
        <w:ind w:firstLine="567"/>
        <w:jc w:val="both"/>
        <w:rPr>
          <w:lang w:val="en-US"/>
        </w:rPr>
      </w:pPr>
      <w:proofErr w:type="gramStart"/>
      <w:r>
        <w:rPr>
          <w:lang w:val="en-US"/>
        </w:rPr>
        <w:lastRenderedPageBreak/>
        <w:t>Francos</w:t>
      </w:r>
      <w:proofErr w:type="gramEnd"/>
      <w:r>
        <w:rPr>
          <w:lang w:val="en-US"/>
        </w:rPr>
        <w:t xml:space="preserve"> grimaud and patric Legland (2015) – “What is the impact of Private Equity Funds on the LBO value creation?</w:t>
      </w:r>
      <w:r w:rsidR="00A0075A">
        <w:rPr>
          <w:lang w:val="en-US"/>
        </w:rPr>
        <w:t>”</w:t>
      </w:r>
      <w:r>
        <w:rPr>
          <w:lang w:val="en-US"/>
        </w:rPr>
        <w:t xml:space="preserve"> This paper studies the role of Private Equity funds in LBO value creation. Our approach begins with a literature review, addressing how the Private Equity sponsors can intervene in the management and the financial optimization of their target. Then we propose a quantitative framework to measure the value creation in a LBO development, for the different stakeholders. We observe the importance of approaching the value creation through a multicriteria analysis, taking into account the temporal aspect and a </w:t>
      </w:r>
      <w:proofErr w:type="gramStart"/>
      <w:r>
        <w:rPr>
          <w:lang w:val="en-US"/>
        </w:rPr>
        <w:t>peers</w:t>
      </w:r>
      <w:proofErr w:type="gramEnd"/>
      <w:r>
        <w:rPr>
          <w:lang w:val="en-US"/>
        </w:rPr>
        <w:t xml:space="preserve"> control sample for the company. We finally apply this framework to the Legrand case study, a French manufacturer of electrical products, acquired in 2002 by Wendel and KKR. For this case study, we conclude that value </w:t>
      </w:r>
      <w:proofErr w:type="gramStart"/>
      <w:r>
        <w:rPr>
          <w:lang w:val="en-US"/>
        </w:rPr>
        <w:t>has been created</w:t>
      </w:r>
      <w:proofErr w:type="gramEnd"/>
      <w:r>
        <w:rPr>
          <w:lang w:val="en-US"/>
        </w:rPr>
        <w:t xml:space="preserve"> for both the firm, the shareholders and the debtholders, notably thanks to an active and long-term involvement of the sponsor and the managers.</w:t>
      </w:r>
    </w:p>
    <w:p w:rsidR="00D254BF" w:rsidRDefault="00D254BF" w:rsidP="008D3CCB">
      <w:pPr>
        <w:pStyle w:val="2"/>
        <w:numPr>
          <w:ilvl w:val="1"/>
          <w:numId w:val="2"/>
        </w:numPr>
        <w:spacing w:line="360" w:lineRule="auto"/>
        <w:rPr>
          <w:lang w:val="en-US"/>
        </w:rPr>
      </w:pPr>
      <w:bookmarkStart w:id="13" w:name="_Toc483074643"/>
      <w:r>
        <w:rPr>
          <w:lang w:val="en-US"/>
        </w:rPr>
        <w:t>Review of business literature on LBO-analysis</w:t>
      </w:r>
      <w:bookmarkEnd w:id="13"/>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As mentioned before all the information about LBO-analysis techniques is very much confidential. The knowledge about LBO-modelling </w:t>
      </w:r>
      <w:r w:rsidR="009E0C38">
        <w:rPr>
          <w:rFonts w:cs="Times New Roman"/>
          <w:szCs w:val="24"/>
          <w:lang w:val="en-US"/>
        </w:rPr>
        <w:t xml:space="preserve">in business literature </w:t>
      </w:r>
      <w:r>
        <w:rPr>
          <w:rFonts w:cs="Times New Roman"/>
          <w:szCs w:val="24"/>
          <w:lang w:val="en-US"/>
        </w:rPr>
        <w:t>is limited to</w:t>
      </w:r>
      <w:r w:rsidR="00714647">
        <w:rPr>
          <w:rFonts w:cs="Times New Roman"/>
          <w:szCs w:val="24"/>
          <w:lang w:val="en-US"/>
        </w:rPr>
        <w:t xml:space="preserve"> two</w:t>
      </w:r>
      <w:r>
        <w:rPr>
          <w:rFonts w:cs="Times New Roman"/>
          <w:szCs w:val="24"/>
          <w:lang w:val="en-US"/>
        </w:rPr>
        <w:t xml:space="preserve"> types of sources:</w:t>
      </w:r>
      <w:r w:rsidR="00714647">
        <w:rPr>
          <w:rFonts w:cs="Times New Roman"/>
          <w:szCs w:val="24"/>
          <w:lang w:val="en-US"/>
        </w:rPr>
        <w:t xml:space="preserve"> </w:t>
      </w:r>
    </w:p>
    <w:p w:rsidR="00F06544" w:rsidRDefault="00F06544" w:rsidP="008D3CCB">
      <w:pPr>
        <w:pStyle w:val="a5"/>
        <w:numPr>
          <w:ilvl w:val="0"/>
          <w:numId w:val="12"/>
        </w:numPr>
        <w:spacing w:line="360" w:lineRule="auto"/>
        <w:ind w:left="1134"/>
        <w:jc w:val="both"/>
        <w:rPr>
          <w:rFonts w:cs="Times New Roman"/>
          <w:szCs w:val="24"/>
          <w:lang w:val="en-US"/>
        </w:rPr>
      </w:pPr>
      <w:r>
        <w:rPr>
          <w:rFonts w:cs="Times New Roman"/>
          <w:szCs w:val="24"/>
          <w:lang w:val="en-US"/>
        </w:rPr>
        <w:t>Professional books and practical guides (“</w:t>
      </w:r>
      <w:r>
        <w:rPr>
          <w:rFonts w:cs="Times New Roman"/>
          <w:bCs/>
          <w:szCs w:val="24"/>
          <w:lang w:val="en-US"/>
        </w:rPr>
        <w:t>Equity Valuation: Models from Leading Investment Banks”</w:t>
      </w:r>
      <w:r>
        <w:rPr>
          <w:rFonts w:cs="Times New Roman"/>
          <w:i/>
          <w:iCs/>
          <w:szCs w:val="24"/>
          <w:lang w:val="en-US"/>
        </w:rPr>
        <w:t xml:space="preserve"> </w:t>
      </w:r>
      <w:r>
        <w:rPr>
          <w:rFonts w:cs="Times New Roman"/>
          <w:iCs/>
          <w:szCs w:val="24"/>
          <w:lang w:val="en-US"/>
        </w:rPr>
        <w:t>by</w:t>
      </w:r>
      <w:r>
        <w:rPr>
          <w:rFonts w:cs="Times New Roman"/>
          <w:i/>
          <w:iCs/>
          <w:szCs w:val="24"/>
          <w:lang w:val="en-US"/>
        </w:rPr>
        <w:t xml:space="preserve"> </w:t>
      </w:r>
      <w:r>
        <w:rPr>
          <w:rFonts w:cs="Times New Roman"/>
          <w:iCs/>
          <w:szCs w:val="24"/>
          <w:lang w:val="en-US"/>
        </w:rPr>
        <w:t>Wiley and Sons,</w:t>
      </w:r>
      <w:r>
        <w:rPr>
          <w:rFonts w:cs="Times New Roman"/>
          <w:i/>
          <w:iCs/>
          <w:szCs w:val="24"/>
          <w:lang w:val="en-US"/>
        </w:rPr>
        <w:t xml:space="preserve"> “</w:t>
      </w:r>
      <w:r>
        <w:rPr>
          <w:rFonts w:cs="Times New Roman"/>
          <w:iCs/>
          <w:szCs w:val="24"/>
          <w:lang w:val="en-US"/>
        </w:rPr>
        <w:t>Levered Buyouts” by Paul Pignataro, “Investment Banking” by Rosembaum and Pearl etc.);</w:t>
      </w:r>
    </w:p>
    <w:p w:rsidR="00F06544" w:rsidRDefault="00F06544" w:rsidP="008D3CCB">
      <w:pPr>
        <w:pStyle w:val="a5"/>
        <w:numPr>
          <w:ilvl w:val="0"/>
          <w:numId w:val="12"/>
        </w:numPr>
        <w:spacing w:line="360" w:lineRule="auto"/>
        <w:ind w:left="1134"/>
        <w:jc w:val="both"/>
        <w:rPr>
          <w:rFonts w:cs="Times New Roman"/>
          <w:szCs w:val="24"/>
          <w:lang w:val="en-US"/>
        </w:rPr>
      </w:pPr>
      <w:r>
        <w:rPr>
          <w:rFonts w:cs="Times New Roman"/>
          <w:szCs w:val="24"/>
          <w:lang w:val="en-US"/>
        </w:rPr>
        <w:t>Self-study resources (interview preparation materials).</w:t>
      </w:r>
    </w:p>
    <w:p w:rsidR="00F06544" w:rsidRPr="00F777AC" w:rsidRDefault="00F06544" w:rsidP="009E0C38">
      <w:pPr>
        <w:pStyle w:val="a5"/>
        <w:spacing w:line="360" w:lineRule="auto"/>
        <w:jc w:val="both"/>
        <w:rPr>
          <w:rFonts w:cs="Times New Roman"/>
          <w:b/>
          <w:szCs w:val="24"/>
          <w:lang w:val="en-US"/>
        </w:rPr>
      </w:pPr>
      <w:r w:rsidRPr="00F777AC">
        <w:rPr>
          <w:rFonts w:cs="Times New Roman"/>
          <w:b/>
          <w:szCs w:val="24"/>
          <w:lang w:val="en-US"/>
        </w:rPr>
        <w:t>Rosembaum and Pearl “Investment Banking”</w:t>
      </w:r>
    </w:p>
    <w:p w:rsidR="00F06544" w:rsidRDefault="00F06544" w:rsidP="00F06544">
      <w:pPr>
        <w:pStyle w:val="a5"/>
        <w:spacing w:line="360" w:lineRule="auto"/>
        <w:ind w:firstLine="708"/>
        <w:jc w:val="both"/>
        <w:rPr>
          <w:rFonts w:cs="Times New Roman"/>
          <w:szCs w:val="24"/>
          <w:lang w:val="en-US"/>
        </w:rPr>
      </w:pPr>
      <w:r>
        <w:rPr>
          <w:rFonts w:cs="Times New Roman"/>
          <w:szCs w:val="24"/>
          <w:lang w:val="en-US"/>
        </w:rPr>
        <w:t xml:space="preserve">In professional book </w:t>
      </w:r>
      <w:r w:rsidR="009E0C38">
        <w:rPr>
          <w:rFonts w:cs="Times New Roman"/>
          <w:szCs w:val="24"/>
          <w:lang w:val="en-US"/>
        </w:rPr>
        <w:t xml:space="preserve">and practical guide </w:t>
      </w:r>
      <w:r>
        <w:rPr>
          <w:rFonts w:cs="Times New Roman"/>
          <w:szCs w:val="24"/>
          <w:lang w:val="en-US"/>
        </w:rPr>
        <w:t xml:space="preserve">by Rosembaum and Pearl “Investment Banking”, authors provide a sound introduction into LBO-analysis and its broad applications. While, as said before, there are multiple ways of performing LBO-analysis and building LBO-models, they have developed five step LBO-analysis scheme and performed an illustrative analysis using and imaginary company as an LBO target. The steps suggested by the authors </w:t>
      </w:r>
      <w:proofErr w:type="gramStart"/>
      <w:r>
        <w:rPr>
          <w:rFonts w:cs="Times New Roman"/>
          <w:szCs w:val="24"/>
          <w:lang w:val="en-US"/>
        </w:rPr>
        <w:t>are described</w:t>
      </w:r>
      <w:proofErr w:type="gramEnd"/>
      <w:r>
        <w:rPr>
          <w:rFonts w:cs="Times New Roman"/>
          <w:szCs w:val="24"/>
          <w:lang w:val="en-US"/>
        </w:rPr>
        <w:t xml:space="preserve"> in detail below. </w:t>
      </w:r>
    </w:p>
    <w:p w:rsidR="00F06544" w:rsidRDefault="00F06544" w:rsidP="00F06544">
      <w:pPr>
        <w:pStyle w:val="a5"/>
        <w:spacing w:line="360" w:lineRule="auto"/>
        <w:ind w:firstLine="360"/>
        <w:jc w:val="both"/>
        <w:rPr>
          <w:rFonts w:cs="Times New Roman"/>
          <w:bCs/>
          <w:i/>
          <w:szCs w:val="24"/>
          <w:lang w:val="en-US"/>
        </w:rPr>
      </w:pPr>
      <w:r>
        <w:rPr>
          <w:rFonts w:cs="Times New Roman"/>
          <w:bCs/>
          <w:i/>
          <w:szCs w:val="24"/>
          <w:lang w:val="en-US"/>
        </w:rPr>
        <w:t>Step I. Locating and Analyzing the Necessary Information</w:t>
      </w:r>
    </w:p>
    <w:p w:rsidR="00F06544" w:rsidRDefault="00F06544" w:rsidP="00F06544">
      <w:pPr>
        <w:pStyle w:val="a5"/>
        <w:spacing w:line="360" w:lineRule="auto"/>
        <w:ind w:firstLine="360"/>
        <w:jc w:val="both"/>
        <w:rPr>
          <w:rFonts w:cs="Times New Roman"/>
          <w:bCs/>
          <w:szCs w:val="24"/>
          <w:lang w:val="en-US"/>
        </w:rPr>
      </w:pPr>
      <w:r>
        <w:rPr>
          <w:rFonts w:cs="Times New Roman"/>
          <w:bCs/>
          <w:szCs w:val="24"/>
          <w:lang w:val="en-US"/>
        </w:rPr>
        <w:t xml:space="preserve">The authors suggest starting LBO-analysis with collecting all the available information about the target and the sector it operates </w:t>
      </w:r>
      <w:proofErr w:type="gramStart"/>
      <w:r>
        <w:rPr>
          <w:rFonts w:cs="Times New Roman"/>
          <w:bCs/>
          <w:szCs w:val="24"/>
          <w:lang w:val="en-US"/>
        </w:rPr>
        <w:t>in</w:t>
      </w:r>
      <w:proofErr w:type="gramEnd"/>
      <w:r>
        <w:rPr>
          <w:rFonts w:cs="Times New Roman"/>
          <w:bCs/>
          <w:szCs w:val="24"/>
          <w:lang w:val="en-US"/>
        </w:rPr>
        <w:t xml:space="preserve">. The data should be taken from CIM, data room, management presentations, SEC filings, </w:t>
      </w:r>
      <w:proofErr w:type="gramStart"/>
      <w:r>
        <w:rPr>
          <w:rFonts w:cs="Times New Roman"/>
          <w:bCs/>
          <w:szCs w:val="24"/>
          <w:lang w:val="en-US"/>
        </w:rPr>
        <w:t>research</w:t>
      </w:r>
      <w:proofErr w:type="gramEnd"/>
      <w:r>
        <w:rPr>
          <w:rFonts w:cs="Times New Roman"/>
          <w:bCs/>
          <w:szCs w:val="24"/>
          <w:lang w:val="en-US"/>
        </w:rPr>
        <w:t xml:space="preserve"> reports, the Internet, etc. Authors say that it is necessary in order to develop the initial set of financial projections. Rosembaum and Pearl do not mention how to quantitatively compare several LBO targets under given transaction assumptions before starting the LBO-modeling itself. They only provide hints on sources of information about potential LBO-targets and on ways </w:t>
      </w:r>
      <w:proofErr w:type="gramStart"/>
      <w:r>
        <w:rPr>
          <w:rFonts w:cs="Times New Roman"/>
          <w:bCs/>
          <w:szCs w:val="24"/>
          <w:lang w:val="en-US"/>
        </w:rPr>
        <w:t>to qualitatively assess</w:t>
      </w:r>
      <w:proofErr w:type="gramEnd"/>
      <w:r>
        <w:rPr>
          <w:rFonts w:cs="Times New Roman"/>
          <w:bCs/>
          <w:szCs w:val="24"/>
          <w:lang w:val="en-US"/>
        </w:rPr>
        <w:t xml:space="preserve"> those targets.</w:t>
      </w:r>
    </w:p>
    <w:p w:rsidR="00F06544" w:rsidRDefault="00F06544" w:rsidP="00F06544">
      <w:pPr>
        <w:pStyle w:val="a5"/>
        <w:spacing w:line="360" w:lineRule="auto"/>
        <w:ind w:firstLine="360"/>
        <w:jc w:val="both"/>
        <w:rPr>
          <w:rFonts w:cs="Times New Roman"/>
          <w:bCs/>
          <w:i/>
          <w:szCs w:val="24"/>
          <w:lang w:val="en-US"/>
        </w:rPr>
      </w:pPr>
      <w:r>
        <w:rPr>
          <w:rFonts w:cs="Times New Roman"/>
          <w:bCs/>
          <w:i/>
          <w:szCs w:val="24"/>
          <w:lang w:val="en-US"/>
        </w:rPr>
        <w:t>Step II. Build the Pre-LBO Model</w:t>
      </w:r>
    </w:p>
    <w:p w:rsidR="00F06544" w:rsidRDefault="00F06544" w:rsidP="009E0C38">
      <w:pPr>
        <w:pStyle w:val="a5"/>
        <w:spacing w:line="360" w:lineRule="auto"/>
        <w:ind w:firstLine="360"/>
        <w:jc w:val="both"/>
        <w:rPr>
          <w:rFonts w:cs="Times New Roman"/>
          <w:szCs w:val="24"/>
          <w:lang w:val="en-US"/>
        </w:rPr>
      </w:pPr>
      <w:r>
        <w:rPr>
          <w:rFonts w:cs="Times New Roman"/>
          <w:bCs/>
          <w:szCs w:val="24"/>
          <w:lang w:val="en-US"/>
        </w:rPr>
        <w:lastRenderedPageBreak/>
        <w:t>The second step proposed by the authors is building a pre-LBO model – a basic three-statement financial projection model (income statement, balance sheet, and cash flow statement) that initially excludes the effects of the LBO transaction. It includes building h</w:t>
      </w:r>
      <w:r>
        <w:rPr>
          <w:rFonts w:cs="Times New Roman"/>
          <w:szCs w:val="24"/>
          <w:lang w:val="en-US"/>
        </w:rPr>
        <w:t xml:space="preserve">istorical and projected income statement through EBIT, inputting opening balance sheet and projecting balance sheet items, and building cash flow statement through investing activities. Authors propose doing projections for to ten years to match the maturity of the longest tenured debt instrument in the capital structure. The projections of the income statement </w:t>
      </w:r>
      <w:proofErr w:type="gramStart"/>
      <w:r>
        <w:rPr>
          <w:rFonts w:cs="Times New Roman"/>
          <w:szCs w:val="24"/>
          <w:lang w:val="en-US"/>
        </w:rPr>
        <w:t>are based</w:t>
      </w:r>
      <w:proofErr w:type="gramEnd"/>
      <w:r>
        <w:rPr>
          <w:rFonts w:cs="Times New Roman"/>
          <w:szCs w:val="24"/>
          <w:lang w:val="en-US"/>
        </w:rPr>
        <w:t xml:space="preserve"> on forecasts of each item of the statements. Rosembaum and Pearl propose freezing 5</w:t>
      </w:r>
      <w:r>
        <w:rPr>
          <w:rFonts w:cs="Times New Roman"/>
          <w:szCs w:val="24"/>
          <w:vertAlign w:val="superscript"/>
          <w:lang w:val="en-US"/>
        </w:rPr>
        <w:t>th</w:t>
      </w:r>
      <w:r>
        <w:rPr>
          <w:rFonts w:cs="Times New Roman"/>
          <w:szCs w:val="24"/>
          <w:lang w:val="en-US"/>
        </w:rPr>
        <w:t xml:space="preserve"> year forecasts to frame the outer year projections. It is important to note, that authors use three scenario forecasts – management case, base case, sponsor case – in order to reflect more or less conservative operating scenarios. The “Base Case” </w:t>
      </w:r>
      <w:proofErr w:type="gramStart"/>
      <w:r>
        <w:rPr>
          <w:rFonts w:cs="Times New Roman"/>
          <w:szCs w:val="24"/>
          <w:lang w:val="en-US"/>
        </w:rPr>
        <w:t>is generally premised</w:t>
      </w:r>
      <w:proofErr w:type="gramEnd"/>
      <w:r>
        <w:rPr>
          <w:rFonts w:cs="Times New Roman"/>
          <w:szCs w:val="24"/>
          <w:lang w:val="en-US"/>
        </w:rPr>
        <w:t xml:space="preserve"> on management assumptions, but with adjustments made based on the deal team’s independent due diligence, research, and perspectives. “Sponsor case” is the operating scenario that the deal team ultimately uses to set covenants and </w:t>
      </w:r>
      <w:proofErr w:type="gramStart"/>
      <w:r>
        <w:rPr>
          <w:rFonts w:cs="Times New Roman"/>
          <w:szCs w:val="24"/>
          <w:lang w:val="en-US"/>
        </w:rPr>
        <w:t>market the transaction to investors is provided by the sponsor</w:t>
      </w:r>
      <w:proofErr w:type="gramEnd"/>
      <w:r>
        <w:rPr>
          <w:rFonts w:cs="Times New Roman"/>
          <w:szCs w:val="24"/>
          <w:lang w:val="en-US"/>
        </w:rPr>
        <w:t xml:space="preserve">. “Management case” </w:t>
      </w:r>
      <w:proofErr w:type="gramStart"/>
      <w:r>
        <w:rPr>
          <w:rFonts w:cs="Times New Roman"/>
          <w:szCs w:val="24"/>
          <w:lang w:val="en-US"/>
        </w:rPr>
        <w:t>is based</w:t>
      </w:r>
      <w:proofErr w:type="gramEnd"/>
      <w:r>
        <w:rPr>
          <w:rFonts w:cs="Times New Roman"/>
          <w:szCs w:val="24"/>
          <w:lang w:val="en-US"/>
        </w:rPr>
        <w:t xml:space="preserve"> solely on ta</w:t>
      </w:r>
      <w:r w:rsidR="009E0C38">
        <w:rPr>
          <w:rFonts w:cs="Times New Roman"/>
          <w:szCs w:val="24"/>
          <w:lang w:val="en-US"/>
        </w:rPr>
        <w:t xml:space="preserve">rget’s management assumptions. </w:t>
      </w:r>
      <w:r>
        <w:rPr>
          <w:rFonts w:cs="Times New Roman"/>
          <w:szCs w:val="24"/>
          <w:lang w:val="en-US"/>
        </w:rPr>
        <w:t xml:space="preserve">Authors built the model with functionality to input into financial statements changes resulting from LBO itself, in order to provide the most comprehensive analysis. This changes are resulting from financing fees (which are amortized), and the new capital structure of the target. </w:t>
      </w:r>
    </w:p>
    <w:p w:rsidR="00F06544" w:rsidRDefault="00F06544" w:rsidP="00F06544">
      <w:pPr>
        <w:pStyle w:val="a5"/>
        <w:spacing w:line="360" w:lineRule="auto"/>
        <w:ind w:firstLine="567"/>
        <w:jc w:val="both"/>
        <w:rPr>
          <w:rFonts w:cs="Times New Roman"/>
          <w:bCs/>
          <w:i/>
          <w:szCs w:val="24"/>
          <w:lang w:val="en-US"/>
        </w:rPr>
      </w:pPr>
      <w:r>
        <w:rPr>
          <w:rFonts w:cs="Times New Roman"/>
          <w:bCs/>
          <w:i/>
          <w:szCs w:val="24"/>
          <w:lang w:val="en-US"/>
        </w:rPr>
        <w:t>Step III. Input Transaction Structure</w:t>
      </w:r>
    </w:p>
    <w:p w:rsidR="00F06544" w:rsidRDefault="00F06544" w:rsidP="00F06544">
      <w:pPr>
        <w:pStyle w:val="a5"/>
        <w:spacing w:line="360" w:lineRule="auto"/>
        <w:ind w:firstLine="567"/>
        <w:jc w:val="both"/>
        <w:rPr>
          <w:rFonts w:cs="Times New Roman"/>
          <w:szCs w:val="24"/>
          <w:lang w:val="en-US"/>
        </w:rPr>
      </w:pPr>
      <w:r>
        <w:rPr>
          <w:rFonts w:cs="Times New Roman"/>
          <w:szCs w:val="24"/>
          <w:lang w:val="en-US"/>
        </w:rPr>
        <w:t xml:space="preserve">This step is about entering purchase price assumptions, entering financing structure and </w:t>
      </w:r>
      <w:proofErr w:type="gramStart"/>
      <w:r>
        <w:rPr>
          <w:rFonts w:cs="Times New Roman"/>
          <w:szCs w:val="24"/>
          <w:lang w:val="en-US"/>
        </w:rPr>
        <w:t>linking  Sources</w:t>
      </w:r>
      <w:proofErr w:type="gramEnd"/>
      <w:r>
        <w:rPr>
          <w:rFonts w:cs="Times New Roman"/>
          <w:szCs w:val="24"/>
          <w:lang w:val="en-US"/>
        </w:rPr>
        <w:t xml:space="preserve"> and Uses to Balance Sheet Adjustments Columns. For determining the price of the </w:t>
      </w:r>
      <w:proofErr w:type="gramStart"/>
      <w:r>
        <w:rPr>
          <w:rFonts w:cs="Times New Roman"/>
          <w:szCs w:val="24"/>
          <w:lang w:val="en-US"/>
        </w:rPr>
        <w:t>company</w:t>
      </w:r>
      <w:proofErr w:type="gramEnd"/>
      <w:r>
        <w:rPr>
          <w:rFonts w:cs="Times New Roman"/>
          <w:szCs w:val="24"/>
          <w:lang w:val="en-US"/>
        </w:rPr>
        <w:t xml:space="preserve"> authors propose using multiples paid for similar LBO targets in precedent transactions. No market premium </w:t>
      </w:r>
      <w:proofErr w:type="gramStart"/>
      <w:r>
        <w:rPr>
          <w:rFonts w:cs="Times New Roman"/>
          <w:szCs w:val="24"/>
          <w:lang w:val="en-US"/>
        </w:rPr>
        <w:t>is assumed</w:t>
      </w:r>
      <w:proofErr w:type="gramEnd"/>
      <w:r>
        <w:rPr>
          <w:rFonts w:cs="Times New Roman"/>
          <w:szCs w:val="24"/>
          <w:lang w:val="en-US"/>
        </w:rPr>
        <w:t xml:space="preserve"> when determining the equity vale. In determining the financing </w:t>
      </w:r>
      <w:proofErr w:type="gramStart"/>
      <w:r>
        <w:rPr>
          <w:rFonts w:cs="Times New Roman"/>
          <w:szCs w:val="24"/>
          <w:lang w:val="en-US"/>
        </w:rPr>
        <w:t>structure</w:t>
      </w:r>
      <w:proofErr w:type="gramEnd"/>
      <w:r>
        <w:rPr>
          <w:rFonts w:cs="Times New Roman"/>
          <w:szCs w:val="24"/>
          <w:lang w:val="en-US"/>
        </w:rPr>
        <w:t xml:space="preserve"> authors do not pay attention to the leverage levels. They assume 30/70 debt to equity ratio and develop four possible financing structures in the model. </w:t>
      </w:r>
    </w:p>
    <w:p w:rsidR="00F06544" w:rsidRDefault="00F06544" w:rsidP="00F06544">
      <w:pPr>
        <w:pStyle w:val="a5"/>
        <w:spacing w:line="360" w:lineRule="auto"/>
        <w:ind w:firstLine="567"/>
        <w:jc w:val="both"/>
        <w:rPr>
          <w:rFonts w:cs="Times New Roman"/>
          <w:szCs w:val="24"/>
          <w:lang w:val="en-US"/>
        </w:rPr>
      </w:pPr>
      <w:r>
        <w:rPr>
          <w:rFonts w:cs="Times New Roman"/>
          <w:bCs/>
          <w:i/>
          <w:szCs w:val="24"/>
          <w:lang w:val="en-US"/>
        </w:rPr>
        <w:t>Step IV. Complete the Post-LBO Model</w:t>
      </w:r>
    </w:p>
    <w:p w:rsidR="00F06544" w:rsidRDefault="00F06544" w:rsidP="00F06544">
      <w:pPr>
        <w:pStyle w:val="a5"/>
        <w:spacing w:line="360" w:lineRule="auto"/>
        <w:ind w:firstLine="567"/>
        <w:jc w:val="both"/>
        <w:rPr>
          <w:rFonts w:cs="Times New Roman"/>
          <w:szCs w:val="24"/>
          <w:lang w:val="en-US"/>
        </w:rPr>
      </w:pPr>
      <w:r>
        <w:rPr>
          <w:rFonts w:cs="Times New Roman"/>
          <w:szCs w:val="24"/>
          <w:lang w:val="en-US"/>
        </w:rPr>
        <w:t xml:space="preserve">In the next step authors, build debt schedules, complete pro forma income statement, balance sheet and cash flow statement of the target. The debt schedule </w:t>
      </w:r>
      <w:proofErr w:type="gramStart"/>
      <w:r>
        <w:rPr>
          <w:rFonts w:cs="Times New Roman"/>
          <w:szCs w:val="24"/>
          <w:lang w:val="en-US"/>
        </w:rPr>
        <w:t>is constructed</w:t>
      </w:r>
      <w:proofErr w:type="gramEnd"/>
      <w:r>
        <w:rPr>
          <w:rFonts w:cs="Times New Roman"/>
          <w:szCs w:val="24"/>
          <w:lang w:val="en-US"/>
        </w:rPr>
        <w:t xml:space="preserve"> in accordance with the security and seniority of the loans, securities, and other debt instruments in the capital structure</w:t>
      </w:r>
    </w:p>
    <w:p w:rsidR="00F06544" w:rsidRDefault="00F06544" w:rsidP="00F06544">
      <w:pPr>
        <w:pStyle w:val="a5"/>
        <w:spacing w:line="360" w:lineRule="auto"/>
        <w:jc w:val="both"/>
        <w:rPr>
          <w:rFonts w:cs="Times New Roman"/>
          <w:szCs w:val="24"/>
          <w:lang w:val="en-US"/>
        </w:rPr>
      </w:pPr>
      <w:r>
        <w:rPr>
          <w:rFonts w:cs="Times New Roman"/>
          <w:szCs w:val="24"/>
          <w:lang w:val="en-US"/>
        </w:rPr>
        <w:t>(i.e., beginning with the revolver, followed by term loan tranches, and bonds). As detailed in the following pages, we began the construction debt schedule by entering the forward LIBOR curve, followed by the calculation of annual projected cash available for debt repayment (free cash flow). We then entered the key terms for each individual debt instrument in the financing structure (i.e., size, term, coupon, and mandatory repayments/amortization schedule, if any).</w:t>
      </w:r>
    </w:p>
    <w:p w:rsidR="00F06544" w:rsidRDefault="00F06544" w:rsidP="00F06544">
      <w:pPr>
        <w:pStyle w:val="a5"/>
        <w:spacing w:line="360" w:lineRule="auto"/>
        <w:ind w:firstLine="708"/>
        <w:jc w:val="both"/>
        <w:rPr>
          <w:rFonts w:cs="Times New Roman"/>
          <w:bCs/>
          <w:i/>
          <w:szCs w:val="24"/>
          <w:lang w:val="en-US"/>
        </w:rPr>
      </w:pPr>
      <w:r>
        <w:rPr>
          <w:rFonts w:cs="Times New Roman"/>
          <w:bCs/>
          <w:i/>
          <w:szCs w:val="24"/>
          <w:lang w:val="en-US"/>
        </w:rPr>
        <w:t>Step V. Perform the LBO Analysis</w:t>
      </w:r>
    </w:p>
    <w:p w:rsidR="00F06544" w:rsidRDefault="00F06544" w:rsidP="00F06544">
      <w:pPr>
        <w:pStyle w:val="a5"/>
        <w:spacing w:line="360" w:lineRule="auto"/>
        <w:ind w:firstLine="708"/>
        <w:jc w:val="both"/>
        <w:rPr>
          <w:rFonts w:cs="Times New Roman"/>
          <w:szCs w:val="24"/>
          <w:lang w:val="en-US"/>
        </w:rPr>
      </w:pPr>
      <w:r>
        <w:rPr>
          <w:rFonts w:cs="Times New Roman"/>
          <w:szCs w:val="24"/>
          <w:lang w:val="en-US"/>
        </w:rPr>
        <w:lastRenderedPageBreak/>
        <w:t xml:space="preserve">Last step consists of five sub-steps: analyzing LBO Financing Structure, performing return analysis, determining valuation and creating transaction summary page. Different financing structures </w:t>
      </w:r>
      <w:proofErr w:type="gramStart"/>
      <w:r>
        <w:rPr>
          <w:rFonts w:cs="Times New Roman"/>
          <w:szCs w:val="24"/>
          <w:lang w:val="en-US"/>
        </w:rPr>
        <w:t>are analyzed</w:t>
      </w:r>
      <w:proofErr w:type="gramEnd"/>
      <w:r>
        <w:rPr>
          <w:rFonts w:cs="Times New Roman"/>
          <w:szCs w:val="24"/>
          <w:lang w:val="en-US"/>
        </w:rPr>
        <w:t xml:space="preserve"> using the four developed financing structure options. In </w:t>
      </w:r>
      <w:proofErr w:type="gramStart"/>
      <w:r>
        <w:rPr>
          <w:rFonts w:cs="Times New Roman"/>
          <w:szCs w:val="24"/>
          <w:lang w:val="en-US"/>
        </w:rPr>
        <w:t>return</w:t>
      </w:r>
      <w:proofErr w:type="gramEnd"/>
      <w:r>
        <w:rPr>
          <w:rFonts w:cs="Times New Roman"/>
          <w:szCs w:val="24"/>
          <w:lang w:val="en-US"/>
        </w:rPr>
        <w:t xml:space="preserve"> analysis authors calculate the IRR assuming no additional cash inflows (dividends to the sponsor) or outflows (additional investment by the sponsor) during the investment period, IRR and cash return are calculated on the basis of the sponsor’s initial equity contribution (outflow) and the assumed equity proceeds at exit (inflow). Finally, the sensitivity analysis </w:t>
      </w:r>
      <w:proofErr w:type="gramStart"/>
      <w:r>
        <w:rPr>
          <w:rFonts w:cs="Times New Roman"/>
          <w:szCs w:val="24"/>
          <w:lang w:val="en-US"/>
        </w:rPr>
        <w:t>is performed</w:t>
      </w:r>
      <w:proofErr w:type="gramEnd"/>
      <w:r>
        <w:rPr>
          <w:rFonts w:cs="Times New Roman"/>
          <w:szCs w:val="24"/>
          <w:lang w:val="en-US"/>
        </w:rPr>
        <w:t xml:space="preserve"> based on Entry and Exit Multiples, and exit multiple and exit year drivers. </w:t>
      </w:r>
    </w:p>
    <w:p w:rsidR="00F06544" w:rsidRPr="00F777AC" w:rsidRDefault="00F06544" w:rsidP="009E0C38">
      <w:pPr>
        <w:pStyle w:val="a5"/>
        <w:spacing w:line="360" w:lineRule="auto"/>
        <w:jc w:val="both"/>
        <w:rPr>
          <w:rFonts w:cs="Times New Roman"/>
          <w:b/>
          <w:szCs w:val="24"/>
          <w:lang w:val="en-US"/>
        </w:rPr>
      </w:pPr>
      <w:r w:rsidRPr="00F777AC">
        <w:rPr>
          <w:rFonts w:cs="Times New Roman"/>
          <w:b/>
          <w:szCs w:val="24"/>
          <w:lang w:val="en-US"/>
        </w:rPr>
        <w:t>“Equity Valuation: Models from Leading Investment Banks”, John Wiley &amp; Sons</w:t>
      </w:r>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This book </w:t>
      </w:r>
      <w:proofErr w:type="gramStart"/>
      <w:r>
        <w:rPr>
          <w:rFonts w:cs="Times New Roman"/>
          <w:szCs w:val="24"/>
          <w:lang w:val="en-US"/>
        </w:rPr>
        <w:t>is written</w:t>
      </w:r>
      <w:proofErr w:type="gramEnd"/>
      <w:r>
        <w:rPr>
          <w:rFonts w:cs="Times New Roman"/>
          <w:szCs w:val="24"/>
          <w:lang w:val="en-US"/>
        </w:rPr>
        <w:t xml:space="preserve"> from the perspective of practitioners, and the editors have chosen leaders in the field who can describe the theory and implementation behind their various valuation approaches. In </w:t>
      </w:r>
      <w:proofErr w:type="gramStart"/>
      <w:r>
        <w:rPr>
          <w:rFonts w:cs="Times New Roman"/>
          <w:szCs w:val="24"/>
          <w:lang w:val="en-US"/>
        </w:rPr>
        <w:t>Part</w:t>
      </w:r>
      <w:proofErr w:type="gramEnd"/>
      <w:r>
        <w:rPr>
          <w:rFonts w:cs="Times New Roman"/>
          <w:szCs w:val="24"/>
          <w:lang w:val="en-US"/>
        </w:rPr>
        <w:t xml:space="preserve"> VI of the book, Jan Viebig, Daniel Stillit and Thorsten Poddig provide readers with a glimpse into LBO-analysis. The authors do not present a deep description on how to build an LBO-model, yet they make a solid introduction into its mechanics and its main underlying assumptions. After that, they discuss the key LBO parameters and run the reader </w:t>
      </w:r>
      <w:proofErr w:type="gramStart"/>
      <w:r>
        <w:rPr>
          <w:rFonts w:cs="Times New Roman"/>
          <w:szCs w:val="24"/>
          <w:lang w:val="en-US"/>
        </w:rPr>
        <w:t>step-by-step</w:t>
      </w:r>
      <w:proofErr w:type="gramEnd"/>
      <w:r>
        <w:rPr>
          <w:rFonts w:cs="Times New Roman"/>
          <w:szCs w:val="24"/>
          <w:lang w:val="en-US"/>
        </w:rPr>
        <w:t xml:space="preserve"> through LBO analysis of Continental AG – one of the world’s leading automotive industry suppliers, with extensive operations in rubber, tire, braking technology, driving dynamics control, electronics, sensor systems and telematics.</w:t>
      </w:r>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Firstly, the author describes the key details of the transaction – key assumptions related to timing, prices, control premium, etc. In calculation of equity </w:t>
      </w:r>
      <w:proofErr w:type="gramStart"/>
      <w:r>
        <w:rPr>
          <w:rFonts w:cs="Times New Roman"/>
          <w:szCs w:val="24"/>
          <w:lang w:val="en-US"/>
        </w:rPr>
        <w:t>value</w:t>
      </w:r>
      <w:proofErr w:type="gramEnd"/>
      <w:r>
        <w:rPr>
          <w:rFonts w:cs="Times New Roman"/>
          <w:szCs w:val="24"/>
          <w:lang w:val="en-US"/>
        </w:rPr>
        <w:t xml:space="preserve"> the control premium is assumed to be 20%. Interestingly the management fees are included in the calculation of enterprise value. Then they set out the capital structure for the buyout. The </w:t>
      </w:r>
      <w:proofErr w:type="gramStart"/>
      <w:r>
        <w:rPr>
          <w:rFonts w:cs="Times New Roman"/>
          <w:szCs w:val="24"/>
          <w:lang w:val="en-US"/>
        </w:rPr>
        <w:t>leverage</w:t>
      </w:r>
      <w:proofErr w:type="gramEnd"/>
      <w:r>
        <w:rPr>
          <w:rFonts w:cs="Times New Roman"/>
          <w:szCs w:val="24"/>
          <w:lang w:val="en-US"/>
        </w:rPr>
        <w:t xml:space="preserve"> level is based on the average leverage for European LBO financings. In debt </w:t>
      </w:r>
      <w:proofErr w:type="gramStart"/>
      <w:r>
        <w:rPr>
          <w:rFonts w:cs="Times New Roman"/>
          <w:szCs w:val="24"/>
          <w:lang w:val="en-US"/>
        </w:rPr>
        <w:t>split</w:t>
      </w:r>
      <w:proofErr w:type="gramEnd"/>
      <w:r>
        <w:rPr>
          <w:rFonts w:cs="Times New Roman"/>
          <w:szCs w:val="24"/>
          <w:lang w:val="en-US"/>
        </w:rPr>
        <w:t xml:space="preserve"> only one financing structure is assumed. </w:t>
      </w:r>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Further, the authors make financial statement projections and construct pre-LBO </w:t>
      </w:r>
      <w:proofErr w:type="gramStart"/>
      <w:r>
        <w:rPr>
          <w:rFonts w:cs="Times New Roman"/>
          <w:szCs w:val="24"/>
          <w:lang w:val="en-US"/>
        </w:rPr>
        <w:t>sales and profit</w:t>
      </w:r>
      <w:proofErr w:type="gramEnd"/>
      <w:r>
        <w:rPr>
          <w:rFonts w:cs="Times New Roman"/>
          <w:szCs w:val="24"/>
          <w:lang w:val="en-US"/>
        </w:rPr>
        <w:t xml:space="preserve"> and cash flow statement items. Compared to Rosembaum and Pearl, John Wiley and Sons do not make full projections of financial statements, instead they chose to proxy these by consolidated business drivers, such as gross sales, EBIT margin, depreciation, CAPEX. After </w:t>
      </w:r>
      <w:proofErr w:type="gramStart"/>
      <w:r>
        <w:rPr>
          <w:rFonts w:cs="Times New Roman"/>
          <w:szCs w:val="24"/>
          <w:lang w:val="en-US"/>
        </w:rPr>
        <w:t>that</w:t>
      </w:r>
      <w:proofErr w:type="gramEnd"/>
      <w:r>
        <w:rPr>
          <w:rFonts w:cs="Times New Roman"/>
          <w:szCs w:val="24"/>
          <w:lang w:val="en-US"/>
        </w:rPr>
        <w:t xml:space="preserve"> they create debt repayment schedule and perform IRR analysis. IRR analysis shows the range of IRRs for three different exit multiples and four potential exit years. Sensitivity analysis </w:t>
      </w:r>
      <w:proofErr w:type="gramStart"/>
      <w:r>
        <w:rPr>
          <w:rFonts w:cs="Times New Roman"/>
          <w:szCs w:val="24"/>
          <w:lang w:val="en-US"/>
        </w:rPr>
        <w:t>is based</w:t>
      </w:r>
      <w:proofErr w:type="gramEnd"/>
      <w:r>
        <w:rPr>
          <w:rFonts w:cs="Times New Roman"/>
          <w:szCs w:val="24"/>
          <w:lang w:val="en-US"/>
        </w:rPr>
        <w:t xml:space="preserve"> on proportions of debt consideration and premium paid.</w:t>
      </w:r>
    </w:p>
    <w:p w:rsidR="00F06544" w:rsidRDefault="009E0C38" w:rsidP="009E0C38">
      <w:pPr>
        <w:pStyle w:val="a5"/>
        <w:spacing w:line="360" w:lineRule="auto"/>
        <w:jc w:val="both"/>
        <w:rPr>
          <w:rFonts w:cs="Times New Roman"/>
          <w:b/>
          <w:szCs w:val="24"/>
          <w:lang w:val="en-US"/>
        </w:rPr>
      </w:pPr>
      <w:r>
        <w:rPr>
          <w:rFonts w:cs="Times New Roman"/>
          <w:b/>
          <w:szCs w:val="24"/>
          <w:lang w:val="en-US"/>
        </w:rPr>
        <w:t>“</w:t>
      </w:r>
      <w:r w:rsidR="00F06544">
        <w:rPr>
          <w:rFonts w:cs="Times New Roman"/>
          <w:b/>
          <w:szCs w:val="24"/>
          <w:lang w:val="en-US"/>
        </w:rPr>
        <w:t xml:space="preserve">Levered Buy Outs”, Paul Pignataro </w:t>
      </w:r>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This book seeks to give any investor the fundamental tools to help analyze a leveraged buyout and determine if the potential returns are worth the investment. The </w:t>
      </w:r>
      <w:proofErr w:type="gramStart"/>
      <w:r>
        <w:rPr>
          <w:rFonts w:cs="Times New Roman"/>
          <w:szCs w:val="24"/>
          <w:lang w:val="en-US"/>
        </w:rPr>
        <w:t>tool  presented</w:t>
      </w:r>
      <w:proofErr w:type="gramEnd"/>
      <w:r>
        <w:rPr>
          <w:rFonts w:cs="Times New Roman"/>
          <w:szCs w:val="24"/>
          <w:lang w:val="en-US"/>
        </w:rPr>
        <w:t xml:space="preserve"> by authors is used by investment banks and private equity funds worldwide. Author evaluates the potential leveraged buyout of the H.J. Heinz Company, determining its current financial standing, projecting </w:t>
      </w:r>
      <w:r>
        <w:rPr>
          <w:rFonts w:cs="Times New Roman"/>
          <w:szCs w:val="24"/>
          <w:lang w:val="en-US"/>
        </w:rPr>
        <w:lastRenderedPageBreak/>
        <w:t>its future performance, and estimating the potential return on investment using the exact same methods used by the bulge bracket investment banks and top private equity firms.</w:t>
      </w:r>
    </w:p>
    <w:p w:rsidR="00F06544" w:rsidRDefault="00F06544" w:rsidP="00F06544">
      <w:pPr>
        <w:pStyle w:val="a5"/>
        <w:spacing w:line="360" w:lineRule="auto"/>
        <w:ind w:firstLine="360"/>
        <w:jc w:val="both"/>
        <w:rPr>
          <w:rFonts w:cs="Times New Roman"/>
          <w:szCs w:val="24"/>
          <w:lang w:val="en-US"/>
        </w:rPr>
      </w:pPr>
      <w:r>
        <w:rPr>
          <w:rFonts w:cs="Times New Roman"/>
          <w:szCs w:val="24"/>
          <w:lang w:val="en-US"/>
        </w:rPr>
        <w:t xml:space="preserve">Paul Pignataro distinguished between three main steps in performing LBO-analysis: obtaining the purchase price, estimating the sources and uses of funds and calculating investor rate of return. </w:t>
      </w:r>
    </w:p>
    <w:p w:rsidR="00F06544" w:rsidRDefault="00F06544" w:rsidP="00F06544">
      <w:pPr>
        <w:pStyle w:val="a5"/>
        <w:spacing w:line="360" w:lineRule="auto"/>
        <w:jc w:val="both"/>
        <w:rPr>
          <w:rFonts w:cs="Times New Roman"/>
          <w:szCs w:val="24"/>
          <w:lang w:val="en-US"/>
        </w:rPr>
      </w:pPr>
      <w:r>
        <w:rPr>
          <w:rFonts w:cs="Times New Roman"/>
          <w:szCs w:val="24"/>
          <w:lang w:val="en-US"/>
        </w:rPr>
        <w:t xml:space="preserve">To calculate the purchase price author suggests </w:t>
      </w:r>
      <w:proofErr w:type="gramStart"/>
      <w:r>
        <w:rPr>
          <w:rFonts w:cs="Times New Roman"/>
          <w:szCs w:val="24"/>
          <w:lang w:val="en-US"/>
        </w:rPr>
        <w:t>to use</w:t>
      </w:r>
      <w:proofErr w:type="gramEnd"/>
      <w:r>
        <w:rPr>
          <w:rFonts w:cs="Times New Roman"/>
          <w:szCs w:val="24"/>
          <w:lang w:val="en-US"/>
        </w:rPr>
        <w:t xml:space="preserve"> different methods including fundamental valuation. Yet, in the model market value plus control premium is used. Market premium is assumed </w:t>
      </w:r>
      <w:proofErr w:type="gramStart"/>
      <w:r>
        <w:rPr>
          <w:rFonts w:cs="Times New Roman"/>
          <w:szCs w:val="24"/>
          <w:lang w:val="en-US"/>
        </w:rPr>
        <w:t>to be 20</w:t>
      </w:r>
      <w:proofErr w:type="gramEnd"/>
      <w:r>
        <w:rPr>
          <w:rFonts w:cs="Times New Roman"/>
          <w:szCs w:val="24"/>
          <w:lang w:val="en-US"/>
        </w:rPr>
        <w:t xml:space="preserve">%. </w:t>
      </w:r>
    </w:p>
    <w:p w:rsidR="00F06544" w:rsidRDefault="00F06544" w:rsidP="00F06544">
      <w:pPr>
        <w:pStyle w:val="a5"/>
        <w:spacing w:line="360" w:lineRule="auto"/>
        <w:jc w:val="both"/>
        <w:rPr>
          <w:rFonts w:cs="Times New Roman"/>
          <w:szCs w:val="24"/>
          <w:lang w:val="en-US"/>
        </w:rPr>
      </w:pPr>
      <w:r>
        <w:rPr>
          <w:rFonts w:cs="Times New Roman"/>
          <w:szCs w:val="24"/>
          <w:lang w:val="en-US"/>
        </w:rPr>
        <w:tab/>
        <w:t xml:space="preserve">Once a purchase price </w:t>
      </w:r>
      <w:proofErr w:type="gramStart"/>
      <w:r>
        <w:rPr>
          <w:rFonts w:cs="Times New Roman"/>
          <w:szCs w:val="24"/>
          <w:lang w:val="en-US"/>
        </w:rPr>
        <w:t>has been established</w:t>
      </w:r>
      <w:proofErr w:type="gramEnd"/>
      <w:r>
        <w:rPr>
          <w:rFonts w:cs="Times New Roman"/>
          <w:szCs w:val="24"/>
          <w:lang w:val="en-US"/>
        </w:rPr>
        <w:t xml:space="preserve">, we need to determine the amount of funds we actually need to rise to complete the acquisition (uses) and we need to know how we will obtain those funds (sources). The uses of funds are comprised of purchase price, net debt and transaction fees. As to sources of funds author does not explain how to specify the </w:t>
      </w:r>
      <w:proofErr w:type="gramStart"/>
      <w:r>
        <w:rPr>
          <w:rFonts w:cs="Times New Roman"/>
          <w:szCs w:val="24"/>
          <w:lang w:val="en-US"/>
        </w:rPr>
        <w:t>leverage</w:t>
      </w:r>
      <w:proofErr w:type="gramEnd"/>
      <w:r>
        <w:rPr>
          <w:rFonts w:cs="Times New Roman"/>
          <w:szCs w:val="24"/>
          <w:lang w:val="en-US"/>
        </w:rPr>
        <w:t xml:space="preserve"> level and the financing structure of the transaction. After that author starts with financial statement projections. In their </w:t>
      </w:r>
      <w:proofErr w:type="gramStart"/>
      <w:r>
        <w:rPr>
          <w:rFonts w:cs="Times New Roman"/>
          <w:szCs w:val="24"/>
          <w:lang w:val="en-US"/>
        </w:rPr>
        <w:t>projections</w:t>
      </w:r>
      <w:proofErr w:type="gramEnd"/>
      <w:r>
        <w:rPr>
          <w:rFonts w:cs="Times New Roman"/>
          <w:szCs w:val="24"/>
          <w:lang w:val="en-US"/>
        </w:rPr>
        <w:t xml:space="preserve"> authors use only one scenario. </w:t>
      </w:r>
    </w:p>
    <w:p w:rsidR="009E0C38" w:rsidRPr="009E0C38" w:rsidRDefault="009E0C38" w:rsidP="009E0C38">
      <w:pPr>
        <w:pStyle w:val="a5"/>
        <w:spacing w:line="360" w:lineRule="auto"/>
        <w:jc w:val="both"/>
        <w:rPr>
          <w:rFonts w:cs="Times New Roman"/>
          <w:b/>
          <w:szCs w:val="24"/>
          <w:lang w:val="en-US"/>
        </w:rPr>
      </w:pPr>
      <w:r w:rsidRPr="009E0C38">
        <w:rPr>
          <w:rFonts w:cs="Times New Roman"/>
          <w:b/>
          <w:szCs w:val="24"/>
          <w:lang w:val="en-US"/>
        </w:rPr>
        <w:t xml:space="preserve">Self-study resources </w:t>
      </w:r>
    </w:p>
    <w:p w:rsidR="002F255D" w:rsidRDefault="00F06544" w:rsidP="002F255D">
      <w:pPr>
        <w:pStyle w:val="a5"/>
        <w:spacing w:line="360" w:lineRule="auto"/>
        <w:ind w:firstLine="708"/>
        <w:jc w:val="both"/>
        <w:rPr>
          <w:rFonts w:cs="Times New Roman"/>
          <w:szCs w:val="24"/>
          <w:lang w:val="en-US"/>
        </w:rPr>
      </w:pPr>
      <w:r>
        <w:rPr>
          <w:rFonts w:cs="Times New Roman"/>
          <w:szCs w:val="24"/>
          <w:lang w:val="en-US"/>
        </w:rPr>
        <w:t xml:space="preserve">The last category of LBO-models </w:t>
      </w:r>
      <w:proofErr w:type="gramStart"/>
      <w:r>
        <w:rPr>
          <w:rFonts w:cs="Times New Roman"/>
          <w:szCs w:val="24"/>
          <w:lang w:val="en-US"/>
        </w:rPr>
        <w:t>are presented</w:t>
      </w:r>
      <w:proofErr w:type="gramEnd"/>
      <w:r>
        <w:rPr>
          <w:rFonts w:cs="Times New Roman"/>
          <w:szCs w:val="24"/>
          <w:lang w:val="en-US"/>
        </w:rPr>
        <w:t xml:space="preserve"> in self-study resources and YouTube tutorials, which both usually refer to different interview preparation materials. There are dozens of such models in the </w:t>
      </w:r>
      <w:proofErr w:type="gramStart"/>
      <w:r>
        <w:rPr>
          <w:rFonts w:cs="Times New Roman"/>
          <w:szCs w:val="24"/>
          <w:lang w:val="en-US"/>
        </w:rPr>
        <w:t>Internet,</w:t>
      </w:r>
      <w:proofErr w:type="gramEnd"/>
      <w:r>
        <w:rPr>
          <w:rFonts w:cs="Times New Roman"/>
          <w:szCs w:val="24"/>
          <w:lang w:val="en-US"/>
        </w:rPr>
        <w:t xml:space="preserve"> the examples may include ones, published on </w:t>
      </w:r>
      <w:hyperlink r:id="rId14" w:history="1">
        <w:r>
          <w:rPr>
            <w:rStyle w:val="af0"/>
            <w:rFonts w:cs="Times New Roman"/>
            <w:szCs w:val="24"/>
            <w:lang w:val="en-US"/>
          </w:rPr>
          <w:t>www.streetofwalls.com</w:t>
        </w:r>
      </w:hyperlink>
      <w:r>
        <w:rPr>
          <w:rFonts w:cs="Times New Roman"/>
          <w:szCs w:val="24"/>
          <w:lang w:val="en-US"/>
        </w:rPr>
        <w:t xml:space="preserve">, </w:t>
      </w:r>
      <w:hyperlink r:id="rId15" w:history="1">
        <w:r>
          <w:rPr>
            <w:rStyle w:val="af0"/>
            <w:rFonts w:cs="Times New Roman"/>
            <w:szCs w:val="24"/>
            <w:lang w:val="en-US"/>
          </w:rPr>
          <w:t>https://breakingintowallstreet.com/</w:t>
        </w:r>
      </w:hyperlink>
      <w:r>
        <w:rPr>
          <w:rFonts w:cs="Times New Roman"/>
          <w:szCs w:val="24"/>
          <w:lang w:val="en-US"/>
        </w:rPr>
        <w:t xml:space="preserve">, </w:t>
      </w:r>
      <w:hyperlink r:id="rId16" w:history="1">
        <w:r>
          <w:rPr>
            <w:rStyle w:val="af0"/>
            <w:rFonts w:cs="Times New Roman"/>
            <w:szCs w:val="24"/>
            <w:lang w:val="en-US"/>
          </w:rPr>
          <w:t>https://www.wallstreetprep.com/</w:t>
        </w:r>
      </w:hyperlink>
      <w:r>
        <w:rPr>
          <w:rFonts w:cs="Times New Roman"/>
          <w:szCs w:val="24"/>
          <w:lang w:val="en-US"/>
        </w:rPr>
        <w:t xml:space="preserve">, </w:t>
      </w:r>
      <w:hyperlink r:id="rId17" w:history="1">
        <w:r>
          <w:rPr>
            <w:rStyle w:val="af0"/>
            <w:rFonts w:cs="Times New Roman"/>
            <w:szCs w:val="24"/>
            <w:lang w:val="en-US"/>
          </w:rPr>
          <w:t>www.mergersandinquisitions.com/</w:t>
        </w:r>
      </w:hyperlink>
      <w:r>
        <w:rPr>
          <w:rFonts w:cs="Times New Roman"/>
          <w:szCs w:val="24"/>
          <w:lang w:val="en-US"/>
        </w:rPr>
        <w:t xml:space="preserve">. All these models share the same flaws, determined by the fact they are “short-form” simple LBO-models. They include only basic and minimum calculations that suffice for performing a basic returns analysis. A short-form LBO model uses an abbreviated cash flow statement and debt schedule in place of a full balance sheet with working capital typically calculated as a percentage of sales. In equity valuation they do not consider types of shares </w:t>
      </w:r>
      <w:proofErr w:type="gramStart"/>
      <w:r>
        <w:rPr>
          <w:rFonts w:cs="Times New Roman"/>
          <w:szCs w:val="24"/>
          <w:lang w:val="en-US"/>
        </w:rPr>
        <w:t>outstanding  (</w:t>
      </w:r>
      <w:proofErr w:type="gramEnd"/>
      <w:r>
        <w:rPr>
          <w:rFonts w:cs="Times New Roman"/>
          <w:szCs w:val="24"/>
          <w:lang w:val="en-US"/>
        </w:rPr>
        <w:t xml:space="preserve">diluted or basic) in calculation of equity value and do not take into account whether the target is public or private (different equity valuation formula should be used for each case). Moreover, they do not provide explanation for chosen financial </w:t>
      </w:r>
      <w:proofErr w:type="gramStart"/>
      <w:r>
        <w:rPr>
          <w:rFonts w:cs="Times New Roman"/>
          <w:szCs w:val="24"/>
          <w:lang w:val="en-US"/>
        </w:rPr>
        <w:t>leverage</w:t>
      </w:r>
      <w:proofErr w:type="gramEnd"/>
      <w:r>
        <w:rPr>
          <w:rFonts w:cs="Times New Roman"/>
          <w:szCs w:val="24"/>
          <w:lang w:val="en-US"/>
        </w:rPr>
        <w:t xml:space="preserve"> and the financing structure, use only one scenario in financial statement projections. In </w:t>
      </w:r>
      <w:proofErr w:type="gramStart"/>
      <w:r>
        <w:rPr>
          <w:rFonts w:cs="Times New Roman"/>
          <w:szCs w:val="24"/>
          <w:lang w:val="en-US"/>
        </w:rPr>
        <w:t>forecasts</w:t>
      </w:r>
      <w:proofErr w:type="gramEnd"/>
      <w:r>
        <w:rPr>
          <w:rFonts w:cs="Times New Roman"/>
          <w:szCs w:val="24"/>
          <w:lang w:val="en-US"/>
        </w:rPr>
        <w:t xml:space="preserve"> usually fixed growth rate is applied and only main financial statement drivers are analyzed instead of full statements. Finally, </w:t>
      </w:r>
      <w:proofErr w:type="gramStart"/>
      <w:r>
        <w:rPr>
          <w:rFonts w:cs="Times New Roman"/>
          <w:szCs w:val="24"/>
          <w:lang w:val="en-US"/>
        </w:rPr>
        <w:t>this LBO-models</w:t>
      </w:r>
      <w:proofErr w:type="gramEnd"/>
      <w:r>
        <w:rPr>
          <w:rFonts w:cs="Times New Roman"/>
          <w:szCs w:val="24"/>
          <w:lang w:val="en-US"/>
        </w:rPr>
        <w:t xml:space="preserve"> do not include sensitivity analysis. </w:t>
      </w:r>
    </w:p>
    <w:p w:rsidR="009E0C38" w:rsidRDefault="002F255D" w:rsidP="002F255D">
      <w:pPr>
        <w:pStyle w:val="a5"/>
        <w:spacing w:line="360" w:lineRule="auto"/>
        <w:ind w:firstLine="360"/>
        <w:jc w:val="both"/>
        <w:rPr>
          <w:rFonts w:cs="Times New Roman"/>
          <w:szCs w:val="24"/>
          <w:lang w:val="en-US"/>
        </w:rPr>
      </w:pPr>
      <w:r>
        <w:rPr>
          <w:rFonts w:cs="Times New Roman"/>
          <w:szCs w:val="24"/>
          <w:lang w:val="en-US"/>
        </w:rPr>
        <w:t xml:space="preserve">It is important to say a few words about models with regard to two main investor objectives prior LBO: target identification and target evaluation. </w:t>
      </w:r>
    </w:p>
    <w:p w:rsidR="002F255D" w:rsidRDefault="002F255D" w:rsidP="002F255D">
      <w:pPr>
        <w:pStyle w:val="a5"/>
        <w:spacing w:line="360" w:lineRule="auto"/>
        <w:ind w:firstLine="360"/>
        <w:jc w:val="both"/>
        <w:rPr>
          <w:rFonts w:cs="Times New Roman"/>
          <w:szCs w:val="24"/>
          <w:lang w:val="en-US"/>
        </w:rPr>
      </w:pPr>
      <w:r>
        <w:rPr>
          <w:rFonts w:cs="Times New Roman"/>
          <w:szCs w:val="24"/>
          <w:lang w:val="en-US"/>
        </w:rPr>
        <w:t xml:space="preserve">While there are few steadfast rules, certain common traits emerge among traditional LBO candidates, as outlined in the characteristics of a strong LBO candidate. </w:t>
      </w:r>
    </w:p>
    <w:p w:rsidR="002F255D" w:rsidRDefault="002F255D" w:rsidP="002F255D">
      <w:pPr>
        <w:pStyle w:val="a5"/>
        <w:spacing w:line="360" w:lineRule="auto"/>
        <w:ind w:firstLine="360"/>
        <w:jc w:val="both"/>
        <w:rPr>
          <w:rFonts w:cs="Times New Roman"/>
          <w:szCs w:val="24"/>
          <w:lang w:val="en-US"/>
        </w:rPr>
      </w:pPr>
      <w:r>
        <w:rPr>
          <w:rFonts w:cs="Times New Roman"/>
          <w:szCs w:val="24"/>
          <w:lang w:val="en-US"/>
        </w:rPr>
        <w:lastRenderedPageBreak/>
        <w:t>Usually, investors are considering a number of potential LBO-targets at once.</w:t>
      </w:r>
      <w:r>
        <w:rPr>
          <w:rStyle w:val="a9"/>
          <w:rFonts w:cs="Times New Roman"/>
          <w:szCs w:val="24"/>
          <w:lang w:val="en-US"/>
        </w:rPr>
        <w:footnoteReference w:id="30"/>
      </w:r>
      <w:r>
        <w:rPr>
          <w:rFonts w:cs="Times New Roman"/>
          <w:szCs w:val="24"/>
          <w:lang w:val="en-US"/>
        </w:rPr>
        <w:t xml:space="preserve"> However, building an LBO-model for all of them is very costly. These costs are usually involved in transaction fee item of the LBO-model and can comprise to 5% of the transaction value.</w:t>
      </w:r>
      <w:r>
        <w:rPr>
          <w:rStyle w:val="a9"/>
          <w:rFonts w:cs="Times New Roman"/>
          <w:szCs w:val="24"/>
          <w:lang w:val="en-US"/>
        </w:rPr>
        <w:footnoteReference w:id="31"/>
      </w:r>
      <w:r>
        <w:rPr>
          <w:rFonts w:cs="Times New Roman"/>
          <w:szCs w:val="24"/>
          <w:lang w:val="en-US"/>
        </w:rPr>
        <w:t xml:space="preserve"> Because of these investors run quantitative screens for a range of potential LBO-targets. Deep analysis of available information in business, as well as academic literature on this topic suggests that there are no publicly available instruments, giving an opportunity </w:t>
      </w:r>
      <w:proofErr w:type="gramStart"/>
      <w:r>
        <w:rPr>
          <w:rFonts w:cs="Times New Roman"/>
          <w:szCs w:val="24"/>
          <w:lang w:val="en-US"/>
        </w:rPr>
        <w:t>to quantitatively compare</w:t>
      </w:r>
      <w:proofErr w:type="gramEnd"/>
      <w:r>
        <w:rPr>
          <w:rFonts w:cs="Times New Roman"/>
          <w:szCs w:val="24"/>
          <w:lang w:val="en-US"/>
        </w:rPr>
        <w:t xml:space="preserve"> several LBO targets under given assumptions prior building individual LBO-model. This </w:t>
      </w:r>
      <w:proofErr w:type="gramStart"/>
      <w:r>
        <w:rPr>
          <w:rFonts w:cs="Times New Roman"/>
          <w:szCs w:val="24"/>
          <w:lang w:val="en-US"/>
        </w:rPr>
        <w:t>can be proved</w:t>
      </w:r>
      <w:proofErr w:type="gramEnd"/>
      <w:r>
        <w:rPr>
          <w:rFonts w:cs="Times New Roman"/>
          <w:szCs w:val="24"/>
          <w:lang w:val="en-US"/>
        </w:rPr>
        <w:t xml:space="preserve"> by several facts:</w:t>
      </w:r>
    </w:p>
    <w:p w:rsidR="002F255D" w:rsidRDefault="002F255D" w:rsidP="008D3CCB">
      <w:pPr>
        <w:pStyle w:val="a5"/>
        <w:numPr>
          <w:ilvl w:val="0"/>
          <w:numId w:val="23"/>
        </w:numPr>
        <w:spacing w:line="360" w:lineRule="auto"/>
        <w:jc w:val="both"/>
        <w:rPr>
          <w:rFonts w:cs="Times New Roman"/>
          <w:szCs w:val="24"/>
          <w:lang w:val="en-US"/>
        </w:rPr>
      </w:pPr>
      <w:r>
        <w:rPr>
          <w:rFonts w:cs="Times New Roman"/>
          <w:szCs w:val="24"/>
          <w:lang w:val="en-US"/>
        </w:rPr>
        <w:t>There are no citations of LBO-screening tools in Scopus;</w:t>
      </w:r>
    </w:p>
    <w:p w:rsidR="002F255D" w:rsidRDefault="002F255D" w:rsidP="008D3CCB">
      <w:pPr>
        <w:pStyle w:val="a5"/>
        <w:numPr>
          <w:ilvl w:val="0"/>
          <w:numId w:val="23"/>
        </w:numPr>
        <w:spacing w:line="360" w:lineRule="auto"/>
        <w:jc w:val="both"/>
        <w:rPr>
          <w:rFonts w:cs="Times New Roman"/>
          <w:szCs w:val="24"/>
          <w:lang w:val="en-US"/>
        </w:rPr>
      </w:pPr>
      <w:r>
        <w:rPr>
          <w:rFonts w:cs="Times New Roman"/>
          <w:szCs w:val="24"/>
          <w:lang w:val="en-US"/>
        </w:rPr>
        <w:t xml:space="preserve">Professional books and practical guides mention only qualitative assessment of LBO candidates prior LBO-modelling (Paul Pignataro (2014), Whiley and Sons (2008), Rosembaum and Pearl (2013)). </w:t>
      </w:r>
    </w:p>
    <w:p w:rsidR="002F255D" w:rsidRDefault="002F255D" w:rsidP="008D3CCB">
      <w:pPr>
        <w:pStyle w:val="a5"/>
        <w:numPr>
          <w:ilvl w:val="0"/>
          <w:numId w:val="23"/>
        </w:numPr>
        <w:spacing w:line="360" w:lineRule="auto"/>
        <w:jc w:val="both"/>
        <w:rPr>
          <w:rFonts w:cs="Times New Roman"/>
          <w:szCs w:val="24"/>
          <w:lang w:val="en-US"/>
        </w:rPr>
      </w:pPr>
      <w:r>
        <w:rPr>
          <w:rFonts w:cs="Times New Roman"/>
          <w:szCs w:val="24"/>
          <w:lang w:val="en-US"/>
        </w:rPr>
        <w:t xml:space="preserve">There is only one publicly available tool for screening multiple LBO candidates at once, which </w:t>
      </w:r>
      <w:proofErr w:type="gramStart"/>
      <w:r>
        <w:rPr>
          <w:rFonts w:cs="Times New Roman"/>
          <w:szCs w:val="24"/>
          <w:lang w:val="en-US"/>
        </w:rPr>
        <w:t>is presented</w:t>
      </w:r>
      <w:proofErr w:type="gramEnd"/>
      <w:r>
        <w:rPr>
          <w:rFonts w:cs="Times New Roman"/>
          <w:szCs w:val="24"/>
          <w:lang w:val="en-US"/>
        </w:rPr>
        <w:t xml:space="preserve"> on Bloomberg. It provides a screening tool </w:t>
      </w:r>
      <w:proofErr w:type="gramStart"/>
      <w:r>
        <w:rPr>
          <w:rFonts w:cs="Times New Roman"/>
          <w:szCs w:val="24"/>
          <w:lang w:val="en-US"/>
        </w:rPr>
        <w:t>to algorithmically identify</w:t>
      </w:r>
      <w:proofErr w:type="gramEnd"/>
      <w:r>
        <w:rPr>
          <w:rFonts w:cs="Times New Roman"/>
          <w:szCs w:val="24"/>
          <w:lang w:val="en-US"/>
        </w:rPr>
        <w:t xml:space="preserve"> potential LBO candidates b</w:t>
      </w:r>
      <w:r w:rsidR="001920B6">
        <w:rPr>
          <w:rFonts w:cs="Times New Roman"/>
          <w:szCs w:val="24"/>
          <w:lang w:val="en-US"/>
        </w:rPr>
        <w:t>ased on company characteristics (Appendix 1).</w:t>
      </w:r>
    </w:p>
    <w:p w:rsidR="002F255D" w:rsidRDefault="002F255D" w:rsidP="008D3CCB">
      <w:pPr>
        <w:pStyle w:val="a5"/>
        <w:numPr>
          <w:ilvl w:val="0"/>
          <w:numId w:val="23"/>
        </w:numPr>
        <w:spacing w:line="360" w:lineRule="auto"/>
        <w:jc w:val="both"/>
        <w:rPr>
          <w:rFonts w:cs="Times New Roman"/>
          <w:szCs w:val="24"/>
          <w:lang w:val="en-US"/>
        </w:rPr>
      </w:pPr>
      <w:r>
        <w:rPr>
          <w:rFonts w:cs="Times New Roman"/>
          <w:szCs w:val="24"/>
          <w:lang w:val="en-US"/>
        </w:rPr>
        <w:t>Series of interviews performed by Carl-Johan Strandberg with seven of the biggest European private equity funds, revealed that financial investors run large screens of targets to choose one, however many of the approached firms were reluctant to reveal information about it.</w:t>
      </w:r>
    </w:p>
    <w:p w:rsidR="002F255D" w:rsidRDefault="002F255D" w:rsidP="002F255D">
      <w:pPr>
        <w:pStyle w:val="a5"/>
        <w:spacing w:line="360" w:lineRule="auto"/>
        <w:ind w:firstLine="708"/>
        <w:jc w:val="both"/>
        <w:rPr>
          <w:rFonts w:cs="Times New Roman"/>
          <w:szCs w:val="24"/>
          <w:lang w:val="en-US"/>
        </w:rPr>
      </w:pPr>
      <w:r>
        <w:rPr>
          <w:rFonts w:cs="Times New Roman"/>
          <w:szCs w:val="24"/>
          <w:lang w:val="en-US"/>
        </w:rPr>
        <w:t xml:space="preserve">As soon as there are no publicly available tools giving an opportunity to quantitatively screen and compare several LBO targets, it </w:t>
      </w:r>
      <w:proofErr w:type="gramStart"/>
      <w:r>
        <w:rPr>
          <w:rFonts w:cs="Times New Roman"/>
          <w:szCs w:val="24"/>
          <w:lang w:val="en-US"/>
        </w:rPr>
        <w:t>was concluded</w:t>
      </w:r>
      <w:proofErr w:type="gramEnd"/>
      <w:r>
        <w:rPr>
          <w:rFonts w:cs="Times New Roman"/>
          <w:szCs w:val="24"/>
          <w:lang w:val="en-US"/>
        </w:rPr>
        <w:t xml:space="preserve"> that there is a need for developing such. This tool will help the investors in their decision making process as whether to proceed with building an LBO model.</w:t>
      </w:r>
    </w:p>
    <w:p w:rsidR="002F255D" w:rsidRDefault="002F255D" w:rsidP="002F255D">
      <w:pPr>
        <w:pStyle w:val="a5"/>
        <w:spacing w:line="360" w:lineRule="auto"/>
        <w:ind w:firstLine="360"/>
        <w:jc w:val="both"/>
        <w:rPr>
          <w:rFonts w:cs="Times New Roman"/>
          <w:szCs w:val="24"/>
          <w:lang w:val="en-US"/>
        </w:rPr>
      </w:pPr>
      <w:r>
        <w:rPr>
          <w:rFonts w:cs="Times New Roman"/>
          <w:szCs w:val="24"/>
          <w:lang w:val="en-US"/>
        </w:rPr>
        <w:t xml:space="preserve">As for LBO-models. The practical part in an LBO valuation model </w:t>
      </w:r>
      <w:proofErr w:type="gramStart"/>
      <w:r>
        <w:rPr>
          <w:rFonts w:cs="Times New Roman"/>
          <w:szCs w:val="24"/>
          <w:lang w:val="en-US"/>
        </w:rPr>
        <w:t>is made</w:t>
      </w:r>
      <w:proofErr w:type="gramEnd"/>
      <w:r>
        <w:rPr>
          <w:rFonts w:cs="Times New Roman"/>
          <w:szCs w:val="24"/>
          <w:lang w:val="en-US"/>
        </w:rPr>
        <w:t xml:space="preserve"> as secrecy in the financial industry. All investment banks have their own way of calculating and do not wish to share their thoughts with others. </w:t>
      </w:r>
      <w:r>
        <w:rPr>
          <w:rStyle w:val="a9"/>
          <w:rFonts w:cs="Times New Roman"/>
          <w:szCs w:val="24"/>
          <w:lang w:val="en-US"/>
        </w:rPr>
        <w:footnoteReference w:id="32"/>
      </w:r>
      <w:r>
        <w:rPr>
          <w:rFonts w:cs="Times New Roman"/>
          <w:szCs w:val="24"/>
          <w:lang w:val="en-US"/>
        </w:rPr>
        <w:t xml:space="preserve"> However, the structure of </w:t>
      </w:r>
      <w:proofErr w:type="gramStart"/>
      <w:r>
        <w:rPr>
          <w:rFonts w:cs="Times New Roman"/>
          <w:szCs w:val="24"/>
          <w:lang w:val="en-US"/>
        </w:rPr>
        <w:t>this models</w:t>
      </w:r>
      <w:proofErr w:type="gramEnd"/>
      <w:r>
        <w:rPr>
          <w:rFonts w:cs="Times New Roman"/>
          <w:szCs w:val="24"/>
          <w:lang w:val="en-US"/>
        </w:rPr>
        <w:t xml:space="preserve"> are very similar across different PE companies and investment banks. When it comes to LBO </w:t>
      </w:r>
      <w:proofErr w:type="gramStart"/>
      <w:r>
        <w:rPr>
          <w:rFonts w:cs="Times New Roman"/>
          <w:szCs w:val="24"/>
          <w:lang w:val="en-US"/>
        </w:rPr>
        <w:t>valuation</w:t>
      </w:r>
      <w:proofErr w:type="gramEnd"/>
      <w:r>
        <w:rPr>
          <w:rFonts w:cs="Times New Roman"/>
          <w:szCs w:val="24"/>
          <w:lang w:val="en-US"/>
        </w:rPr>
        <w:t xml:space="preserve"> it is all about determining the attractiveness of the target, which is quantified by its investor rate of return (IRR). </w:t>
      </w:r>
    </w:p>
    <w:p w:rsidR="00F06544" w:rsidRDefault="002F255D" w:rsidP="002F255D">
      <w:pPr>
        <w:pStyle w:val="a5"/>
        <w:spacing w:line="360" w:lineRule="auto"/>
        <w:ind w:firstLine="360"/>
        <w:jc w:val="both"/>
        <w:rPr>
          <w:rFonts w:cs="Times New Roman"/>
          <w:szCs w:val="24"/>
          <w:lang w:val="en-US"/>
        </w:rPr>
      </w:pPr>
      <w:r w:rsidRPr="002F255D">
        <w:rPr>
          <w:rFonts w:cs="Times New Roman"/>
          <w:szCs w:val="24"/>
          <w:lang w:val="en-US"/>
        </w:rPr>
        <w:t xml:space="preserve">All models that we have now are either simple or flawed. </w:t>
      </w:r>
      <w:r w:rsidR="00F06544" w:rsidRPr="002F255D">
        <w:rPr>
          <w:rFonts w:cs="Times New Roman"/>
          <w:szCs w:val="24"/>
          <w:lang w:val="en-US"/>
        </w:rPr>
        <w:t>The</w:t>
      </w:r>
      <w:r w:rsidR="00F06544">
        <w:rPr>
          <w:rFonts w:cs="Times New Roman"/>
          <w:szCs w:val="24"/>
          <w:lang w:val="en-US"/>
        </w:rPr>
        <w:t xml:space="preserve"> flaws of the publicly available LBO-models </w:t>
      </w:r>
      <w:proofErr w:type="gramStart"/>
      <w:r w:rsidR="00F06544">
        <w:rPr>
          <w:rFonts w:cs="Times New Roman"/>
          <w:szCs w:val="24"/>
          <w:lang w:val="en-US"/>
        </w:rPr>
        <w:t>are summarized</w:t>
      </w:r>
      <w:proofErr w:type="gramEnd"/>
      <w:r w:rsidR="00F06544">
        <w:rPr>
          <w:rFonts w:cs="Times New Roman"/>
          <w:szCs w:val="24"/>
          <w:lang w:val="en-US"/>
        </w:rPr>
        <w:t xml:space="preserve"> in the </w:t>
      </w:r>
      <w:r w:rsidR="008F0112">
        <w:rPr>
          <w:rFonts w:cs="Times New Roman"/>
          <w:szCs w:val="24"/>
          <w:lang w:val="en-US"/>
        </w:rPr>
        <w:t>Appendix 1</w:t>
      </w:r>
      <w:r w:rsidR="00F06544">
        <w:rPr>
          <w:rFonts w:cs="Times New Roman"/>
          <w:szCs w:val="24"/>
          <w:lang w:val="en-US"/>
        </w:rPr>
        <w:t xml:space="preserve">. As a criteria for a flaw detection were used the best practices of LBO-modelling techniques used by leading Investment Banks (Goldman Sachs, </w:t>
      </w:r>
      <w:r w:rsidR="00F06544">
        <w:rPr>
          <w:rFonts w:cs="Times New Roman"/>
          <w:szCs w:val="24"/>
          <w:lang w:val="en-US"/>
        </w:rPr>
        <w:lastRenderedPageBreak/>
        <w:t xml:space="preserve">UBS, Morgan Stanley, </w:t>
      </w:r>
      <w:r w:rsidR="00B26308">
        <w:rPr>
          <w:rFonts w:cs="Times New Roman"/>
          <w:szCs w:val="24"/>
          <w:lang w:val="en-US"/>
        </w:rPr>
        <w:t>Deutsche Bank</w:t>
      </w:r>
      <w:r w:rsidR="00F06544">
        <w:rPr>
          <w:rFonts w:cs="Times New Roman"/>
          <w:szCs w:val="24"/>
          <w:lang w:val="en-US"/>
        </w:rPr>
        <w:t xml:space="preserve">). This techniques are described in the researches conducted by this companies (Credit Suisse (2007a), Credit Suisse (2007b), Deutsche Bank (2007), Goldman Sachs (2007), Morgan Stanley (2003), UBS (2007)) and presented in the book “Equity valuation : models from leading investment banks” by Jan Viebig, Thorsten Poddig, and Armin Varmaz. In the last column, the solution to the mentioned flaws is proposed. </w:t>
      </w:r>
      <w:r>
        <w:rPr>
          <w:rFonts w:cs="Times New Roman"/>
          <w:szCs w:val="24"/>
          <w:lang w:val="en-US"/>
        </w:rPr>
        <w:t xml:space="preserve">Thus, it </w:t>
      </w:r>
      <w:proofErr w:type="gramStart"/>
      <w:r>
        <w:rPr>
          <w:rFonts w:cs="Times New Roman"/>
          <w:szCs w:val="24"/>
          <w:lang w:val="en-US"/>
        </w:rPr>
        <w:t>was concluded</w:t>
      </w:r>
      <w:proofErr w:type="gramEnd"/>
      <w:r>
        <w:rPr>
          <w:rFonts w:cs="Times New Roman"/>
          <w:szCs w:val="24"/>
          <w:lang w:val="en-US"/>
        </w:rPr>
        <w:t xml:space="preserve"> that there is a need to improve publicly available LBO-models. </w:t>
      </w:r>
    </w:p>
    <w:p w:rsidR="00F06544" w:rsidRPr="00F06544" w:rsidRDefault="00F06544" w:rsidP="00172D03">
      <w:pPr>
        <w:pStyle w:val="1"/>
        <w:spacing w:line="360" w:lineRule="auto"/>
        <w:rPr>
          <w:lang w:val="en-US"/>
        </w:rPr>
      </w:pPr>
      <w:bookmarkStart w:id="14" w:name="_Toc483074644"/>
      <w:r>
        <w:rPr>
          <w:lang w:val="en-US"/>
        </w:rPr>
        <w:t>Summary of Chapter 1</w:t>
      </w:r>
      <w:bookmarkEnd w:id="14"/>
    </w:p>
    <w:p w:rsidR="00117425" w:rsidRDefault="00F52F96" w:rsidP="00DA2639">
      <w:pPr>
        <w:pStyle w:val="a5"/>
        <w:spacing w:line="360" w:lineRule="auto"/>
        <w:ind w:firstLine="567"/>
        <w:jc w:val="both"/>
        <w:rPr>
          <w:rFonts w:cs="Times New Roman"/>
          <w:szCs w:val="24"/>
          <w:lang w:val="en-US"/>
        </w:rPr>
      </w:pPr>
      <w:r>
        <w:rPr>
          <w:rFonts w:cs="Times New Roman"/>
          <w:szCs w:val="24"/>
          <w:lang w:val="en-US"/>
        </w:rPr>
        <w:t xml:space="preserve">The topic of the leveraged </w:t>
      </w:r>
      <w:r w:rsidR="007B079B">
        <w:rPr>
          <w:rFonts w:cs="Times New Roman"/>
          <w:szCs w:val="24"/>
          <w:lang w:val="en-US"/>
        </w:rPr>
        <w:t>buyouts</w:t>
      </w:r>
      <w:r>
        <w:rPr>
          <w:rFonts w:cs="Times New Roman"/>
          <w:szCs w:val="24"/>
          <w:lang w:val="en-US"/>
        </w:rPr>
        <w:t xml:space="preserve"> has become an object of increased attention since the late of 20th century. LBO is the acquisition of a company or its part by a group of external or </w:t>
      </w:r>
      <w:r w:rsidR="00B26308">
        <w:rPr>
          <w:rFonts w:cs="Times New Roman"/>
          <w:szCs w:val="24"/>
          <w:lang w:val="en-US"/>
        </w:rPr>
        <w:t>internal</w:t>
      </w:r>
      <w:r>
        <w:rPr>
          <w:rFonts w:cs="Times New Roman"/>
          <w:szCs w:val="24"/>
          <w:lang w:val="en-US"/>
        </w:rPr>
        <w:t xml:space="preserve"> investors</w:t>
      </w:r>
      <w:r w:rsidR="00DA2639" w:rsidRPr="00DA2639">
        <w:rPr>
          <w:lang w:val="en-US"/>
        </w:rPr>
        <w:t xml:space="preserve"> </w:t>
      </w:r>
      <w:r w:rsidR="00DA2639" w:rsidRPr="00DA2639">
        <w:rPr>
          <w:rFonts w:cs="Times New Roman"/>
          <w:szCs w:val="24"/>
          <w:lang w:val="en-US"/>
        </w:rPr>
        <w:t>with the use of to finance a relatively large portion of the purchase price.</w:t>
      </w:r>
      <w:r w:rsidR="00DA2639">
        <w:rPr>
          <w:rFonts w:cs="Times New Roman"/>
          <w:szCs w:val="24"/>
          <w:lang w:val="en-US"/>
        </w:rPr>
        <w:t xml:space="preserve"> </w:t>
      </w:r>
      <w:r w:rsidR="00073AA8">
        <w:rPr>
          <w:rFonts w:cs="Times New Roman"/>
          <w:szCs w:val="24"/>
          <w:lang w:val="en-US"/>
        </w:rPr>
        <w:t xml:space="preserve">Debt </w:t>
      </w:r>
      <w:proofErr w:type="gramStart"/>
      <w:r w:rsidR="00073AA8">
        <w:rPr>
          <w:rFonts w:cs="Times New Roman"/>
          <w:szCs w:val="24"/>
          <w:lang w:val="en-US"/>
        </w:rPr>
        <w:t>is attracted</w:t>
      </w:r>
      <w:proofErr w:type="gramEnd"/>
      <w:r w:rsidR="00073AA8">
        <w:rPr>
          <w:rFonts w:cs="Times New Roman"/>
          <w:szCs w:val="24"/>
          <w:lang w:val="en-US"/>
        </w:rPr>
        <w:t xml:space="preserve"> under </w:t>
      </w:r>
      <w:r>
        <w:rPr>
          <w:rFonts w:cs="Times New Roman"/>
          <w:szCs w:val="24"/>
          <w:lang w:val="en-US"/>
        </w:rPr>
        <w:t>provision of tangible assets and future cash flows of the target company</w:t>
      </w:r>
      <w:r w:rsidR="00DA2639">
        <w:rPr>
          <w:rFonts w:cs="Times New Roman"/>
          <w:szCs w:val="24"/>
          <w:lang w:val="en-US"/>
        </w:rPr>
        <w:t>, which are used as a collateral</w:t>
      </w:r>
      <w:r>
        <w:rPr>
          <w:rFonts w:cs="Times New Roman"/>
          <w:szCs w:val="24"/>
          <w:lang w:val="en-US"/>
        </w:rPr>
        <w:t xml:space="preserve">. </w:t>
      </w:r>
      <w:r w:rsidR="00117425">
        <w:rPr>
          <w:rFonts w:cs="Times New Roman"/>
          <w:szCs w:val="24"/>
          <w:lang w:val="en-US"/>
        </w:rPr>
        <w:t xml:space="preserve">The main economic benefit of LBO from the point of investor is increasing return </w:t>
      </w:r>
      <w:proofErr w:type="gramStart"/>
      <w:r w:rsidR="00117425">
        <w:rPr>
          <w:rFonts w:cs="Times New Roman"/>
          <w:szCs w:val="24"/>
          <w:lang w:val="en-US"/>
        </w:rPr>
        <w:t>through the use of</w:t>
      </w:r>
      <w:proofErr w:type="gramEnd"/>
      <w:r w:rsidR="00117425">
        <w:rPr>
          <w:rFonts w:cs="Times New Roman"/>
          <w:szCs w:val="24"/>
          <w:lang w:val="en-US"/>
        </w:rPr>
        <w:t xml:space="preserve"> debt.</w:t>
      </w:r>
    </w:p>
    <w:p w:rsidR="00F52F96" w:rsidRDefault="00117425" w:rsidP="00DA2639">
      <w:pPr>
        <w:pStyle w:val="a5"/>
        <w:spacing w:line="360" w:lineRule="auto"/>
        <w:ind w:firstLine="567"/>
        <w:jc w:val="both"/>
        <w:rPr>
          <w:rFonts w:cs="Times New Roman"/>
          <w:szCs w:val="24"/>
          <w:lang w:val="en-US"/>
        </w:rPr>
      </w:pPr>
      <w:r w:rsidRPr="00117425">
        <w:rPr>
          <w:rFonts w:cs="Times New Roman"/>
          <w:szCs w:val="24"/>
          <w:lang w:val="en-US"/>
        </w:rPr>
        <w:t xml:space="preserve">The success of the LBO close </w:t>
      </w:r>
      <w:proofErr w:type="gramStart"/>
      <w:r w:rsidRPr="00117425">
        <w:rPr>
          <w:rFonts w:cs="Times New Roman"/>
          <w:szCs w:val="24"/>
          <w:lang w:val="en-US"/>
        </w:rPr>
        <w:t>is based</w:t>
      </w:r>
      <w:proofErr w:type="gramEnd"/>
      <w:r w:rsidRPr="00117425">
        <w:rPr>
          <w:rFonts w:cs="Times New Roman"/>
          <w:szCs w:val="24"/>
          <w:lang w:val="en-US"/>
        </w:rPr>
        <w:t xml:space="preserve"> on the ability of the financial investor to attract the necessary financing for the acquisition of the target. Sources of debt used for LBO are the issuance of various forms of debt and other instruments classified by their status and seniority, as well as the attraction of loans.</w:t>
      </w:r>
      <w:r>
        <w:rPr>
          <w:rFonts w:cs="Times New Roman"/>
          <w:szCs w:val="24"/>
          <w:lang w:val="en-US"/>
        </w:rPr>
        <w:t xml:space="preserve"> </w:t>
      </w:r>
      <w:r w:rsidR="00F52F96">
        <w:rPr>
          <w:rFonts w:cs="Times New Roman"/>
          <w:szCs w:val="24"/>
          <w:lang w:val="en-US"/>
        </w:rPr>
        <w:t xml:space="preserve">The financing structure </w:t>
      </w:r>
      <w:r w:rsidR="00B26308">
        <w:rPr>
          <w:rFonts w:cs="Times New Roman"/>
          <w:szCs w:val="24"/>
          <w:lang w:val="en-US"/>
        </w:rPr>
        <w:t xml:space="preserve">of a levered buyout </w:t>
      </w:r>
      <w:r w:rsidR="00F52F96">
        <w:rPr>
          <w:rFonts w:cs="Times New Roman"/>
          <w:szCs w:val="24"/>
          <w:lang w:val="en-US"/>
        </w:rPr>
        <w:t xml:space="preserve">is individual for each transaction, but as a rule, financial investors try to attract as much debt as possible to increase the return on investment. </w:t>
      </w:r>
    </w:p>
    <w:p w:rsidR="00117425" w:rsidRDefault="00117425" w:rsidP="00117425">
      <w:pPr>
        <w:pStyle w:val="a5"/>
        <w:spacing w:line="360" w:lineRule="auto"/>
        <w:ind w:firstLine="567"/>
        <w:jc w:val="both"/>
        <w:rPr>
          <w:rFonts w:cs="Times New Roman"/>
          <w:szCs w:val="24"/>
          <w:lang w:val="en-US"/>
        </w:rPr>
      </w:pPr>
      <w:r w:rsidRPr="00B2795E">
        <w:rPr>
          <w:rFonts w:cs="Times New Roman"/>
          <w:szCs w:val="24"/>
          <w:lang w:val="en-US"/>
        </w:rPr>
        <w:t xml:space="preserve">Since the debt repayment obligations fall on the target company, a number of certain requirements </w:t>
      </w:r>
      <w:proofErr w:type="gramStart"/>
      <w:r w:rsidRPr="00B2795E">
        <w:rPr>
          <w:rFonts w:cs="Times New Roman"/>
          <w:szCs w:val="24"/>
          <w:lang w:val="en-US"/>
        </w:rPr>
        <w:t>are presented</w:t>
      </w:r>
      <w:proofErr w:type="gramEnd"/>
      <w:r w:rsidRPr="00B2795E">
        <w:rPr>
          <w:rFonts w:cs="Times New Roman"/>
          <w:szCs w:val="24"/>
          <w:lang w:val="en-US"/>
        </w:rPr>
        <w:t xml:space="preserve"> to this companies from creditor side. Among them are </w:t>
      </w:r>
      <w:r>
        <w:rPr>
          <w:rFonts w:cs="Times New Roman"/>
          <w:szCs w:val="24"/>
          <w:lang w:val="en-US"/>
        </w:rPr>
        <w:t xml:space="preserve">ability to generate stable cash flows, leading market position, growth potential, opportunities to improve efficiency, low CAPEX requirement, strong asset base, proven management team. From this point of view, a very important task is search and selection of a target company, for which due diligence is conducted. </w:t>
      </w:r>
    </w:p>
    <w:p w:rsidR="00B26308" w:rsidRDefault="00F52F96" w:rsidP="00117425">
      <w:pPr>
        <w:pStyle w:val="a5"/>
        <w:spacing w:line="360" w:lineRule="auto"/>
        <w:ind w:firstLine="567"/>
        <w:jc w:val="both"/>
        <w:rPr>
          <w:rFonts w:cs="Times New Roman"/>
          <w:szCs w:val="24"/>
          <w:lang w:val="en-US"/>
        </w:rPr>
      </w:pPr>
      <w:r>
        <w:rPr>
          <w:rFonts w:cs="Times New Roman"/>
          <w:szCs w:val="24"/>
          <w:lang w:val="en-US"/>
        </w:rPr>
        <w:t xml:space="preserve">During </w:t>
      </w:r>
      <w:proofErr w:type="gramStart"/>
      <w:r>
        <w:rPr>
          <w:rFonts w:cs="Times New Roman"/>
          <w:szCs w:val="24"/>
          <w:lang w:val="en-US"/>
        </w:rPr>
        <w:t>LBO</w:t>
      </w:r>
      <w:proofErr w:type="gramEnd"/>
      <w:r>
        <w:rPr>
          <w:rFonts w:cs="Times New Roman"/>
          <w:szCs w:val="24"/>
          <w:lang w:val="en-US"/>
        </w:rPr>
        <w:t xml:space="preserve"> investors are interested in acquiring a company, increasing its value over the next few years, and then reselling it. </w:t>
      </w:r>
      <w:r w:rsidR="00117425" w:rsidRPr="00117425">
        <w:rPr>
          <w:rFonts w:cs="Times New Roman"/>
          <w:szCs w:val="24"/>
          <w:lang w:val="en-US"/>
        </w:rPr>
        <w:t>To maximize the value of the target company, investors implement a number of measures during the holding period, such as increasing operating efficiency, improving the business strategy, optimizing costs, etc. Financial investors require an IRR of least 20%.</w:t>
      </w:r>
    </w:p>
    <w:p w:rsidR="00F52F96" w:rsidRDefault="00F52F96" w:rsidP="00F52F96">
      <w:pPr>
        <w:pStyle w:val="a5"/>
        <w:spacing w:line="360" w:lineRule="auto"/>
        <w:ind w:firstLine="567"/>
        <w:jc w:val="both"/>
        <w:rPr>
          <w:rFonts w:cs="Times New Roman"/>
          <w:szCs w:val="24"/>
          <w:lang w:val="en-US"/>
        </w:rPr>
      </w:pPr>
      <w:r>
        <w:rPr>
          <w:rFonts w:cs="Times New Roman"/>
          <w:szCs w:val="24"/>
          <w:lang w:val="en-US"/>
        </w:rPr>
        <w:t xml:space="preserve">Ultimately, most sponsors tend to exit the transaction or monetize their investments </w:t>
      </w:r>
      <w:r w:rsidR="00072A73">
        <w:rPr>
          <w:rFonts w:cs="Times New Roman"/>
          <w:szCs w:val="24"/>
          <w:lang w:val="en-US"/>
        </w:rPr>
        <w:t>within</w:t>
      </w:r>
      <w:r>
        <w:rPr>
          <w:rFonts w:cs="Times New Roman"/>
          <w:szCs w:val="24"/>
          <w:lang w:val="en-US"/>
        </w:rPr>
        <w:t xml:space="preserve"> 5-7 years. </w:t>
      </w:r>
      <w:r w:rsidR="00072A73">
        <w:rPr>
          <w:rFonts w:cs="Times New Roman"/>
          <w:szCs w:val="24"/>
          <w:lang w:val="en-US"/>
        </w:rPr>
        <w:t xml:space="preserve">The primary exit strategies are sale to a financial investor, sale to a strategic investor and initial public offering. Another way to monetize the levered buy out is a dividend recapitalization. </w:t>
      </w:r>
    </w:p>
    <w:p w:rsidR="00F52F96" w:rsidRDefault="00F52F96" w:rsidP="00F52F96">
      <w:pPr>
        <w:pStyle w:val="a5"/>
        <w:spacing w:line="360" w:lineRule="auto"/>
        <w:ind w:firstLine="360"/>
        <w:jc w:val="both"/>
        <w:rPr>
          <w:rFonts w:cs="Times New Roman"/>
          <w:szCs w:val="24"/>
          <w:lang w:val="en-US"/>
        </w:rPr>
      </w:pPr>
      <w:r>
        <w:rPr>
          <w:rFonts w:cs="Times New Roman"/>
          <w:szCs w:val="24"/>
          <w:lang w:val="en-US"/>
        </w:rPr>
        <w:lastRenderedPageBreak/>
        <w:t xml:space="preserve">After deep analysis of information about LBO-analysis tools, several conclusions </w:t>
      </w:r>
      <w:proofErr w:type="gramStart"/>
      <w:r>
        <w:rPr>
          <w:rFonts w:cs="Times New Roman"/>
          <w:szCs w:val="24"/>
          <w:lang w:val="en-US"/>
        </w:rPr>
        <w:t>were made</w:t>
      </w:r>
      <w:proofErr w:type="gramEnd"/>
      <w:r>
        <w:rPr>
          <w:rFonts w:cs="Times New Roman"/>
          <w:szCs w:val="24"/>
          <w:lang w:val="en-US"/>
        </w:rPr>
        <w:t>.</w:t>
      </w:r>
    </w:p>
    <w:p w:rsidR="00B26308" w:rsidRDefault="00072A73" w:rsidP="00072A73">
      <w:pPr>
        <w:pStyle w:val="a5"/>
        <w:spacing w:line="360" w:lineRule="auto"/>
        <w:jc w:val="both"/>
        <w:rPr>
          <w:lang w:val="en-US"/>
        </w:rPr>
      </w:pPr>
      <w:r w:rsidRPr="00072A73">
        <w:rPr>
          <w:lang w:val="en-US"/>
        </w:rPr>
        <w:t>Given the current popularity of LBOs and importance of LBO-analysis, there is a plenty of academic and business literature devoted to analyzing and describing different aspects of LBOs and LBO-analysis.</w:t>
      </w:r>
      <w:r>
        <w:rPr>
          <w:lang w:val="en-US"/>
        </w:rPr>
        <w:t xml:space="preserve"> </w:t>
      </w:r>
      <w:r w:rsidR="00B26308">
        <w:rPr>
          <w:lang w:val="en-US"/>
        </w:rPr>
        <w:t xml:space="preserve">However, academic literature is mostly concentrated on building and analyzing positive economic models. Yet, building and analyzing normative models presents a great matter of interest from the point of all LBO transaction participants. </w:t>
      </w:r>
    </w:p>
    <w:p w:rsidR="00117425" w:rsidRDefault="00B26308" w:rsidP="00117425">
      <w:pPr>
        <w:pStyle w:val="a5"/>
        <w:spacing w:line="360" w:lineRule="auto"/>
        <w:ind w:firstLine="708"/>
        <w:jc w:val="both"/>
        <w:rPr>
          <w:rFonts w:cs="Times New Roman"/>
          <w:szCs w:val="24"/>
          <w:lang w:val="en-US"/>
        </w:rPr>
      </w:pPr>
      <w:r>
        <w:rPr>
          <w:lang w:val="en-US"/>
        </w:rPr>
        <w:t>At the same time, information presented in business literature is very limited</w:t>
      </w:r>
      <w:r w:rsidR="00A93A1E">
        <w:rPr>
          <w:lang w:val="en-US"/>
        </w:rPr>
        <w:t xml:space="preserve"> to qualitative assessments. For quantitative</w:t>
      </w:r>
      <w:r w:rsidR="00117425">
        <w:rPr>
          <w:lang w:val="en-US"/>
        </w:rPr>
        <w:t xml:space="preserve"> </w:t>
      </w:r>
      <w:r w:rsidR="00A93A1E">
        <w:rPr>
          <w:lang w:val="en-US"/>
        </w:rPr>
        <w:t>analysis</w:t>
      </w:r>
      <w:r>
        <w:rPr>
          <w:lang w:val="en-US"/>
        </w:rPr>
        <w:t xml:space="preserve"> </w:t>
      </w:r>
      <w:r>
        <w:rPr>
          <w:rFonts w:cs="Times New Roman"/>
          <w:szCs w:val="24"/>
          <w:lang w:val="en-US"/>
        </w:rPr>
        <w:t xml:space="preserve">professional investors use their own and internally developed LBO-analysis schemes </w:t>
      </w:r>
      <w:r w:rsidR="00072A73">
        <w:rPr>
          <w:rFonts w:cs="Times New Roman"/>
          <w:szCs w:val="24"/>
          <w:lang w:val="en-US"/>
        </w:rPr>
        <w:t xml:space="preserve">and models, which </w:t>
      </w:r>
      <w:r>
        <w:rPr>
          <w:rFonts w:cs="Times New Roman"/>
          <w:szCs w:val="24"/>
          <w:lang w:val="en-US"/>
        </w:rPr>
        <w:t xml:space="preserve">are often referred to as “hard currency”, since they reflect the core competence of the investment company. </w:t>
      </w:r>
      <w:r w:rsidR="0004085C">
        <w:rPr>
          <w:rFonts w:cs="Times New Roman"/>
          <w:szCs w:val="24"/>
          <w:lang w:val="en-US"/>
        </w:rPr>
        <w:t xml:space="preserve">Thus </w:t>
      </w:r>
      <w:proofErr w:type="gramStart"/>
      <w:r w:rsidR="0004085C">
        <w:rPr>
          <w:rFonts w:cs="Times New Roman"/>
          <w:szCs w:val="24"/>
          <w:lang w:val="en-US"/>
        </w:rPr>
        <w:t>this</w:t>
      </w:r>
      <w:r>
        <w:rPr>
          <w:rFonts w:cs="Times New Roman"/>
          <w:szCs w:val="24"/>
          <w:lang w:val="en-US"/>
        </w:rPr>
        <w:t xml:space="preserve">  models</w:t>
      </w:r>
      <w:proofErr w:type="gramEnd"/>
      <w:r>
        <w:rPr>
          <w:rFonts w:cs="Times New Roman"/>
          <w:szCs w:val="24"/>
          <w:lang w:val="en-US"/>
        </w:rPr>
        <w:t xml:space="preserve"> are highly confidential, they are treated as corporate secrets and not revealed to public. </w:t>
      </w:r>
    </w:p>
    <w:p w:rsidR="00117425" w:rsidRPr="00117425" w:rsidRDefault="00117425" w:rsidP="0004085C">
      <w:pPr>
        <w:pStyle w:val="a5"/>
        <w:spacing w:line="360" w:lineRule="auto"/>
        <w:ind w:firstLine="708"/>
        <w:jc w:val="both"/>
        <w:rPr>
          <w:rFonts w:cs="Times New Roman"/>
          <w:szCs w:val="24"/>
          <w:lang w:val="en-US"/>
        </w:rPr>
      </w:pPr>
      <w:r>
        <w:rPr>
          <w:rFonts w:cs="Times New Roman"/>
          <w:szCs w:val="24"/>
          <w:lang w:val="en-US"/>
        </w:rPr>
        <w:t xml:space="preserve">Firstly, </w:t>
      </w:r>
      <w:r w:rsidRPr="00117425">
        <w:rPr>
          <w:rFonts w:cs="Times New Roman"/>
          <w:szCs w:val="24"/>
          <w:lang w:val="en-US"/>
        </w:rPr>
        <w:t xml:space="preserve">there are no publicly available tools giving an opportunity to </w:t>
      </w:r>
      <w:r w:rsidRPr="00117425">
        <w:rPr>
          <w:rFonts w:cs="Times New Roman"/>
          <w:iCs/>
          <w:szCs w:val="24"/>
          <w:lang w:val="en-US"/>
        </w:rPr>
        <w:t>screen and quantitatively compare</w:t>
      </w:r>
      <w:r w:rsidRPr="00117425">
        <w:rPr>
          <w:rFonts w:cs="Times New Roman"/>
          <w:szCs w:val="24"/>
          <w:lang w:val="en-US"/>
        </w:rPr>
        <w:t xml:space="preserve"> several LBO targets prior building individual L</w:t>
      </w:r>
      <w:r>
        <w:rPr>
          <w:rFonts w:cs="Times New Roman"/>
          <w:szCs w:val="24"/>
          <w:lang w:val="en-US"/>
        </w:rPr>
        <w:t>BO-models. Secondly,</w:t>
      </w:r>
      <w:r w:rsidR="0004085C">
        <w:rPr>
          <w:rFonts w:cs="Times New Roman"/>
          <w:szCs w:val="24"/>
          <w:lang w:val="en-US"/>
        </w:rPr>
        <w:t xml:space="preserve"> all</w:t>
      </w:r>
      <w:r w:rsidRPr="00117425">
        <w:rPr>
          <w:rFonts w:cs="Times New Roman"/>
          <w:szCs w:val="24"/>
          <w:lang w:val="en-US"/>
        </w:rPr>
        <w:t xml:space="preserve"> publicly available LBO-models have </w:t>
      </w:r>
      <w:r w:rsidRPr="00117425">
        <w:rPr>
          <w:rFonts w:cs="Times New Roman"/>
          <w:iCs/>
          <w:szCs w:val="24"/>
          <w:lang w:val="en-US"/>
        </w:rPr>
        <w:t>flaws</w:t>
      </w:r>
      <w:r w:rsidRPr="00117425">
        <w:rPr>
          <w:rFonts w:cs="Times New Roman"/>
          <w:szCs w:val="24"/>
          <w:lang w:val="en-US"/>
        </w:rPr>
        <w:t>.</w:t>
      </w:r>
      <w:r>
        <w:rPr>
          <w:rFonts w:cs="Times New Roman"/>
          <w:szCs w:val="24"/>
          <w:lang w:val="en-US"/>
        </w:rPr>
        <w:t xml:space="preserve"> As a criteria for a flaw detection were used the best practices of LBO-modelling techniques used by leading Investment Banks. This techniques are described in the researches conducted by this companies (Credit Suisse (2007a), Credit Suisse (2007b), Deutsche Bank (2007), Goldman Sachs (2007), Morgan Stanley (2003), UBS (2007)) and presente</w:t>
      </w:r>
      <w:r w:rsidR="00A93A1E">
        <w:rPr>
          <w:rFonts w:cs="Times New Roman"/>
          <w:szCs w:val="24"/>
          <w:lang w:val="en-US"/>
        </w:rPr>
        <w:t>d in the book “Equity valuation</w:t>
      </w:r>
      <w:r>
        <w:rPr>
          <w:rFonts w:cs="Times New Roman"/>
          <w:szCs w:val="24"/>
          <w:lang w:val="en-US"/>
        </w:rPr>
        <w:t>: models from leading investment banks” by Jan Viebig, Thorsten Poddig, and Armin Varmaz.</w:t>
      </w:r>
    </w:p>
    <w:p w:rsidR="00F52F96" w:rsidRPr="00117425" w:rsidRDefault="00B26308" w:rsidP="00117425">
      <w:pPr>
        <w:pStyle w:val="a5"/>
        <w:spacing w:line="360" w:lineRule="auto"/>
        <w:ind w:firstLine="708"/>
        <w:jc w:val="both"/>
        <w:rPr>
          <w:lang w:val="en-US"/>
        </w:rPr>
      </w:pPr>
      <w:r>
        <w:rPr>
          <w:lang w:val="en-US"/>
        </w:rPr>
        <w:t>Therefore,</w:t>
      </w:r>
      <w:r w:rsidR="00A93A1E">
        <w:rPr>
          <w:lang w:val="en-US"/>
        </w:rPr>
        <w:t xml:space="preserve"> it </w:t>
      </w:r>
      <w:proofErr w:type="gramStart"/>
      <w:r w:rsidR="00A93A1E">
        <w:rPr>
          <w:lang w:val="en-US"/>
        </w:rPr>
        <w:t>was concluded</w:t>
      </w:r>
      <w:proofErr w:type="gramEnd"/>
      <w:r>
        <w:rPr>
          <w:lang w:val="en-US"/>
        </w:rPr>
        <w:t xml:space="preserve"> there is a clear gap in both academic and business literature, connected with lack of normative models related to LBO. </w:t>
      </w:r>
      <w:r w:rsidR="00A93A1E">
        <w:rPr>
          <w:lang w:val="en-US"/>
        </w:rPr>
        <w:t>C</w:t>
      </w:r>
      <w:r w:rsidR="00F52F96">
        <w:rPr>
          <w:rFonts w:cs="Times New Roman"/>
          <w:szCs w:val="24"/>
          <w:lang w:val="en-US"/>
        </w:rPr>
        <w:t>re</w:t>
      </w:r>
      <w:r w:rsidR="00A93A1E">
        <w:rPr>
          <w:rFonts w:cs="Times New Roman"/>
          <w:szCs w:val="24"/>
          <w:lang w:val="en-US"/>
        </w:rPr>
        <w:t xml:space="preserve">ation and publication of an LBO-analysis tool </w:t>
      </w:r>
      <w:r w:rsidR="00F52F96">
        <w:rPr>
          <w:rFonts w:cs="Times New Roman"/>
          <w:szCs w:val="24"/>
          <w:lang w:val="en-US"/>
        </w:rPr>
        <w:t xml:space="preserve">should be of great interest for </w:t>
      </w:r>
      <w:r w:rsidR="00FD6864">
        <w:rPr>
          <w:rFonts w:cs="Times New Roman"/>
          <w:szCs w:val="24"/>
          <w:lang w:val="en-US"/>
        </w:rPr>
        <w:t xml:space="preserve">all participants of an LBO-transaction, as well as </w:t>
      </w:r>
      <w:r w:rsidR="0004085C">
        <w:rPr>
          <w:rFonts w:cs="Times New Roman"/>
          <w:szCs w:val="24"/>
          <w:lang w:val="en-US"/>
        </w:rPr>
        <w:t xml:space="preserve">for an “outsider” </w:t>
      </w:r>
      <w:r w:rsidR="00FD6864">
        <w:rPr>
          <w:rFonts w:cs="Times New Roman"/>
          <w:szCs w:val="24"/>
          <w:lang w:val="en-US"/>
        </w:rPr>
        <w:t>willing to</w:t>
      </w:r>
      <w:r w:rsidR="0004085C">
        <w:rPr>
          <w:rFonts w:cs="Times New Roman"/>
          <w:szCs w:val="24"/>
          <w:lang w:val="en-US"/>
        </w:rPr>
        <w:t xml:space="preserve"> get a hold </w:t>
      </w:r>
      <w:proofErr w:type="gramStart"/>
      <w:r w:rsidR="0004085C">
        <w:rPr>
          <w:rFonts w:cs="Times New Roman"/>
          <w:szCs w:val="24"/>
          <w:lang w:val="en-US"/>
        </w:rPr>
        <w:t>of</w:t>
      </w:r>
      <w:r w:rsidR="00FD6864">
        <w:rPr>
          <w:rFonts w:cs="Times New Roman"/>
          <w:szCs w:val="24"/>
          <w:lang w:val="en-US"/>
        </w:rPr>
        <w:t xml:space="preserve"> an</w:t>
      </w:r>
      <w:r w:rsidR="0004085C">
        <w:rPr>
          <w:rFonts w:cs="Times New Roman"/>
          <w:szCs w:val="24"/>
          <w:lang w:val="en-US"/>
        </w:rPr>
        <w:t xml:space="preserve"> accurate LBO-analysis tools</w:t>
      </w:r>
      <w:proofErr w:type="gramEnd"/>
      <w:r w:rsidR="0004085C">
        <w:rPr>
          <w:rFonts w:cs="Times New Roman"/>
          <w:szCs w:val="24"/>
          <w:lang w:val="en-US"/>
        </w:rPr>
        <w:t xml:space="preserve"> used in the industry today.</w:t>
      </w:r>
    </w:p>
    <w:p w:rsidR="00A93A1E" w:rsidRDefault="00A93A1E">
      <w:pPr>
        <w:spacing w:line="259" w:lineRule="auto"/>
        <w:rPr>
          <w:rFonts w:eastAsiaTheme="majorEastAsia" w:cstheme="majorBidi"/>
          <w:b/>
          <w:szCs w:val="32"/>
          <w:lang w:val="en-US"/>
        </w:rPr>
      </w:pPr>
      <w:r>
        <w:rPr>
          <w:lang w:val="en-US"/>
        </w:rPr>
        <w:br w:type="page"/>
      </w:r>
    </w:p>
    <w:p w:rsidR="00F06544" w:rsidRDefault="00B26308" w:rsidP="000D7C97">
      <w:pPr>
        <w:pStyle w:val="1"/>
        <w:spacing w:line="360" w:lineRule="auto"/>
        <w:rPr>
          <w:lang w:val="en-US"/>
        </w:rPr>
      </w:pPr>
      <w:bookmarkStart w:id="15" w:name="_Toc483074645"/>
      <w:r>
        <w:rPr>
          <w:lang w:val="en-US"/>
        </w:rPr>
        <w:lastRenderedPageBreak/>
        <w:t>CHAPTER 2. LBO-ANALYSIS TOOL</w:t>
      </w:r>
      <w:bookmarkEnd w:id="15"/>
    </w:p>
    <w:p w:rsidR="002A531A" w:rsidRDefault="00F5317A" w:rsidP="008D3CCB">
      <w:pPr>
        <w:pStyle w:val="2"/>
        <w:numPr>
          <w:ilvl w:val="1"/>
          <w:numId w:val="22"/>
        </w:numPr>
        <w:spacing w:line="360" w:lineRule="auto"/>
        <w:rPr>
          <w:lang w:val="en-US"/>
        </w:rPr>
      </w:pPr>
      <w:bookmarkStart w:id="16" w:name="_Toc483074646"/>
      <w:r>
        <w:rPr>
          <w:lang w:val="en-US"/>
        </w:rPr>
        <w:t>Introduction to</w:t>
      </w:r>
      <w:r w:rsidR="00466ECB">
        <w:rPr>
          <w:lang w:val="en-US"/>
        </w:rPr>
        <w:t xml:space="preserve"> </w:t>
      </w:r>
      <w:r w:rsidR="00295824">
        <w:rPr>
          <w:lang w:val="en-US"/>
        </w:rPr>
        <w:t>LBO-analysis</w:t>
      </w:r>
      <w:bookmarkEnd w:id="16"/>
      <w:r w:rsidR="00295824">
        <w:rPr>
          <w:lang w:val="en-US"/>
        </w:rPr>
        <w:t xml:space="preserve"> </w:t>
      </w:r>
    </w:p>
    <w:p w:rsidR="00F81AEB" w:rsidRPr="00061049" w:rsidRDefault="000D7C97" w:rsidP="00F81AEB">
      <w:pPr>
        <w:pStyle w:val="a5"/>
        <w:spacing w:line="360" w:lineRule="auto"/>
        <w:ind w:firstLine="360"/>
        <w:jc w:val="both"/>
        <w:rPr>
          <w:lang w:val="en-US"/>
        </w:rPr>
      </w:pPr>
      <w:r w:rsidRPr="00F81AEB">
        <w:rPr>
          <w:lang w:val="en-US"/>
        </w:rPr>
        <w:t xml:space="preserve">LBO-analysis is a core analytical tool used by investors to assess investment opportunities in LBO. </w:t>
      </w:r>
      <w:r w:rsidR="00415659" w:rsidRPr="00061049">
        <w:rPr>
          <w:lang w:val="en-US"/>
        </w:rPr>
        <w:t xml:space="preserve">It is a complex methodology, which requires specialized knowledge of financial modeling, leveraged debt capital markets, M&amp;A, and accounting. At the center of an LBO-analysis is a financial model (the “LBO-model”), which is usually constructed with the flexibility to analyze a given targets’ performance under different assumptions, for example, multiple financing structures and operating scenarios. The structure of LBO-analysis instruments is very similar across different private equity companies and investment banks. The purpose of LBO-analysis is to analyze the attractiveness of potential LBO candidates by calculating investor rate of return.  </w:t>
      </w:r>
    </w:p>
    <w:p w:rsidR="00F81AEB" w:rsidRDefault="00F81AEB" w:rsidP="00F81AEB">
      <w:pPr>
        <w:pStyle w:val="a5"/>
        <w:spacing w:line="360" w:lineRule="auto"/>
        <w:ind w:firstLine="360"/>
        <w:jc w:val="both"/>
        <w:rPr>
          <w:lang w:val="en-US"/>
        </w:rPr>
      </w:pPr>
      <w:r>
        <w:rPr>
          <w:lang w:val="en-US"/>
        </w:rPr>
        <w:t>LBO-analysis is a part of transaction phase of the levered buy out and</w:t>
      </w:r>
      <w:r w:rsidR="00644F48">
        <w:rPr>
          <w:lang w:val="en-US"/>
        </w:rPr>
        <w:t xml:space="preserve"> it consists of two parts: t</w:t>
      </w:r>
      <w:r>
        <w:rPr>
          <w:lang w:val="en-US"/>
        </w:rPr>
        <w:t>arget identification and target evaluation process</w:t>
      </w:r>
      <w:r w:rsidR="00644F48">
        <w:rPr>
          <w:lang w:val="en-US"/>
        </w:rPr>
        <w:t>es</w:t>
      </w:r>
      <w:r>
        <w:rPr>
          <w:lang w:val="en-US"/>
        </w:rPr>
        <w:t xml:space="preserve">. Usually, investors use qualitative and quantitative assessments to achieve each of </w:t>
      </w:r>
      <w:proofErr w:type="gramStart"/>
      <w:r>
        <w:rPr>
          <w:lang w:val="en-US"/>
        </w:rPr>
        <w:t>this objectives</w:t>
      </w:r>
      <w:proofErr w:type="gramEnd"/>
      <w:r>
        <w:rPr>
          <w:lang w:val="en-US"/>
        </w:rPr>
        <w:t xml:space="preserve">. </w:t>
      </w:r>
    </w:p>
    <w:p w:rsidR="009719EF" w:rsidRPr="009719EF" w:rsidRDefault="009719EF" w:rsidP="00F81AEB">
      <w:pPr>
        <w:pStyle w:val="a5"/>
        <w:spacing w:line="360" w:lineRule="auto"/>
        <w:ind w:firstLine="360"/>
        <w:jc w:val="both"/>
        <w:rPr>
          <w:b/>
          <w:i/>
          <w:lang w:val="en-US"/>
        </w:rPr>
      </w:pPr>
      <w:r w:rsidRPr="009719EF">
        <w:rPr>
          <w:b/>
          <w:i/>
          <w:lang w:val="en-US"/>
        </w:rPr>
        <w:t xml:space="preserve">Target identification </w:t>
      </w:r>
    </w:p>
    <w:p w:rsidR="00644F48" w:rsidRPr="00644F48" w:rsidRDefault="00644F48" w:rsidP="009719EF">
      <w:pPr>
        <w:pStyle w:val="a5"/>
        <w:spacing w:line="360" w:lineRule="auto"/>
        <w:ind w:firstLine="360"/>
        <w:jc w:val="both"/>
        <w:rPr>
          <w:i/>
          <w:lang w:val="en-US"/>
        </w:rPr>
      </w:pPr>
      <w:r w:rsidRPr="00644F48">
        <w:rPr>
          <w:i/>
          <w:lang w:val="en-US"/>
        </w:rPr>
        <w:t xml:space="preserve">Qualitative analysis </w:t>
      </w:r>
    </w:p>
    <w:p w:rsidR="009719EF" w:rsidRPr="009719EF" w:rsidRDefault="00F81AEB" w:rsidP="009719EF">
      <w:pPr>
        <w:pStyle w:val="a5"/>
        <w:spacing w:line="360" w:lineRule="auto"/>
        <w:ind w:firstLine="360"/>
        <w:jc w:val="both"/>
        <w:rPr>
          <w:lang w:val="en-US"/>
        </w:rPr>
      </w:pPr>
      <w:r>
        <w:rPr>
          <w:lang w:val="en-US"/>
        </w:rPr>
        <w:t>As for qualitative analysis</w:t>
      </w:r>
      <w:r w:rsidR="009719EF">
        <w:rPr>
          <w:lang w:val="en-US"/>
        </w:rPr>
        <w:t xml:space="preserve"> of target identification, t</w:t>
      </w:r>
      <w:r w:rsidR="009719EF" w:rsidRPr="009719EF">
        <w:rPr>
          <w:lang w:val="en-US"/>
        </w:rPr>
        <w:t xml:space="preserve">he very process of finding a target company involves screening sources of information, as well as performing a preliminary analysis of the most attractive, from the financial sponsor's point of view, companies. The purpose of the screening is to identify a potential target. The screening process </w:t>
      </w:r>
      <w:proofErr w:type="gramStart"/>
      <w:r w:rsidR="009719EF" w:rsidRPr="009719EF">
        <w:rPr>
          <w:lang w:val="en-US"/>
        </w:rPr>
        <w:t>is usually followed</w:t>
      </w:r>
      <w:proofErr w:type="gramEnd"/>
      <w:r w:rsidR="009719EF" w:rsidRPr="009719EF">
        <w:rPr>
          <w:lang w:val="en-US"/>
        </w:rPr>
        <w:t xml:space="preserve"> by an indicative bid</w:t>
      </w:r>
      <w:r w:rsidR="00FE0D62">
        <w:rPr>
          <w:lang w:val="en-US"/>
        </w:rPr>
        <w:t xml:space="preserve"> on the target by the LBO firm, in order </w:t>
      </w:r>
      <w:r w:rsidR="009719EF" w:rsidRPr="009719EF">
        <w:rPr>
          <w:lang w:val="en-US"/>
        </w:rPr>
        <w:t>to demonstrate for the seller that the LBO firm is interested enough to get a closer look at the target.</w:t>
      </w:r>
      <w:r w:rsidR="009719EF">
        <w:rPr>
          <w:lang w:val="en-US"/>
        </w:rPr>
        <w:t xml:space="preserve"> </w:t>
      </w:r>
      <w:r w:rsidR="009719EF">
        <w:rPr>
          <w:rFonts w:cs="Times New Roman"/>
          <w:szCs w:val="24"/>
          <w:lang w:val="en-US"/>
        </w:rPr>
        <w:t>The primary sources of information for target identification are:</w:t>
      </w:r>
    </w:p>
    <w:p w:rsidR="009719EF" w:rsidRPr="00FE0D62" w:rsidRDefault="009719EF" w:rsidP="00FE0D62">
      <w:pPr>
        <w:pStyle w:val="a5"/>
        <w:numPr>
          <w:ilvl w:val="0"/>
          <w:numId w:val="25"/>
        </w:numPr>
        <w:spacing w:line="360" w:lineRule="auto"/>
        <w:jc w:val="both"/>
        <w:rPr>
          <w:rFonts w:cs="Times New Roman"/>
          <w:szCs w:val="24"/>
          <w:lang w:val="en-US"/>
        </w:rPr>
      </w:pPr>
      <w:r>
        <w:rPr>
          <w:rFonts w:cs="Times New Roman"/>
          <w:szCs w:val="24"/>
          <w:lang w:val="en-US"/>
        </w:rPr>
        <w:t xml:space="preserve">Public transactions </w:t>
      </w:r>
      <w:r w:rsidR="00FE0D62">
        <w:rPr>
          <w:rFonts w:cs="Times New Roman"/>
          <w:szCs w:val="24"/>
          <w:lang w:val="en-US"/>
        </w:rPr>
        <w:t>–</w:t>
      </w:r>
      <w:r w:rsidRPr="00FE0D62">
        <w:rPr>
          <w:rFonts w:cs="Times New Roman"/>
          <w:szCs w:val="24"/>
          <w:lang w:val="en-US"/>
        </w:rPr>
        <w:t xml:space="preserve"> transactions that </w:t>
      </w:r>
      <w:proofErr w:type="gramStart"/>
      <w:r w:rsidRPr="00FE0D62">
        <w:rPr>
          <w:rFonts w:cs="Times New Roman"/>
          <w:szCs w:val="24"/>
          <w:lang w:val="en-US"/>
        </w:rPr>
        <w:t>are known</w:t>
      </w:r>
      <w:proofErr w:type="gramEnd"/>
      <w:r w:rsidRPr="00FE0D62">
        <w:rPr>
          <w:rFonts w:cs="Times New Roman"/>
          <w:szCs w:val="24"/>
          <w:lang w:val="en-US"/>
        </w:rPr>
        <w:t xml:space="preserve"> to the entire industry. Due to market efficiency, rumors about planned transactions and candidates are rapidly spreading. This is the most important and capacious source of information;</w:t>
      </w:r>
    </w:p>
    <w:p w:rsidR="009719EF" w:rsidRDefault="009719EF" w:rsidP="008D3CCB">
      <w:pPr>
        <w:pStyle w:val="a5"/>
        <w:numPr>
          <w:ilvl w:val="0"/>
          <w:numId w:val="25"/>
        </w:numPr>
        <w:spacing w:line="360" w:lineRule="auto"/>
        <w:jc w:val="both"/>
        <w:rPr>
          <w:rFonts w:cs="Times New Roman"/>
          <w:szCs w:val="24"/>
          <w:lang w:val="en-US"/>
        </w:rPr>
      </w:pPr>
      <w:r>
        <w:rPr>
          <w:rFonts w:cs="Times New Roman"/>
          <w:szCs w:val="24"/>
          <w:lang w:val="en-US"/>
        </w:rPr>
        <w:t>Proposals from third parties – targets offered by the third par</w:t>
      </w:r>
      <w:r w:rsidR="007829D2">
        <w:rPr>
          <w:rFonts w:cs="Times New Roman"/>
          <w:szCs w:val="24"/>
          <w:lang w:val="en-US"/>
        </w:rPr>
        <w:t xml:space="preserve">ty intermediaries, often by </w:t>
      </w:r>
      <w:r>
        <w:rPr>
          <w:rFonts w:cs="Times New Roman"/>
          <w:szCs w:val="24"/>
          <w:lang w:val="en-US"/>
        </w:rPr>
        <w:t>investment bank</w:t>
      </w:r>
      <w:r w:rsidR="007829D2">
        <w:rPr>
          <w:rFonts w:cs="Times New Roman"/>
          <w:szCs w:val="24"/>
          <w:lang w:val="en-US"/>
        </w:rPr>
        <w:t>s</w:t>
      </w:r>
      <w:r>
        <w:rPr>
          <w:rFonts w:cs="Times New Roman"/>
          <w:szCs w:val="24"/>
          <w:lang w:val="en-US"/>
        </w:rPr>
        <w:t>;</w:t>
      </w:r>
    </w:p>
    <w:p w:rsidR="009719EF" w:rsidRPr="007829D2" w:rsidRDefault="009719EF" w:rsidP="007829D2">
      <w:pPr>
        <w:pStyle w:val="a5"/>
        <w:numPr>
          <w:ilvl w:val="0"/>
          <w:numId w:val="25"/>
        </w:numPr>
        <w:spacing w:line="360" w:lineRule="auto"/>
        <w:jc w:val="both"/>
        <w:rPr>
          <w:rFonts w:cs="Times New Roman"/>
          <w:szCs w:val="24"/>
          <w:lang w:val="en-US"/>
        </w:rPr>
      </w:pPr>
      <w:r>
        <w:rPr>
          <w:rFonts w:cs="Times New Roman"/>
          <w:szCs w:val="24"/>
          <w:lang w:val="en-US"/>
        </w:rPr>
        <w:t>Networ</w:t>
      </w:r>
      <w:r w:rsidR="007829D2">
        <w:rPr>
          <w:rFonts w:cs="Times New Roman"/>
          <w:szCs w:val="24"/>
          <w:lang w:val="en-US"/>
        </w:rPr>
        <w:t>k deals –</w:t>
      </w:r>
      <w:r w:rsidR="007829D2" w:rsidRPr="007829D2">
        <w:rPr>
          <w:rFonts w:cs="Times New Roman"/>
          <w:szCs w:val="24"/>
          <w:lang w:val="en-US"/>
        </w:rPr>
        <w:t xml:space="preserve"> offers available to </w:t>
      </w:r>
      <w:r w:rsidRPr="007829D2">
        <w:rPr>
          <w:rFonts w:cs="Times New Roman"/>
          <w:szCs w:val="24"/>
          <w:lang w:val="en-US"/>
        </w:rPr>
        <w:t>financial investor</w:t>
      </w:r>
      <w:r w:rsidR="007829D2" w:rsidRPr="007829D2">
        <w:rPr>
          <w:rFonts w:cs="Times New Roman"/>
          <w:szCs w:val="24"/>
          <w:lang w:val="en-US"/>
        </w:rPr>
        <w:t>s</w:t>
      </w:r>
      <w:r w:rsidRPr="007829D2">
        <w:rPr>
          <w:rFonts w:cs="Times New Roman"/>
          <w:szCs w:val="24"/>
          <w:lang w:val="en-US"/>
        </w:rPr>
        <w:t xml:space="preserve"> through existing network, personal contacts or organizational relationships;</w:t>
      </w:r>
    </w:p>
    <w:p w:rsidR="009719EF" w:rsidRDefault="009719EF" w:rsidP="008D3CCB">
      <w:pPr>
        <w:pStyle w:val="a5"/>
        <w:numPr>
          <w:ilvl w:val="0"/>
          <w:numId w:val="25"/>
        </w:numPr>
        <w:spacing w:line="360" w:lineRule="auto"/>
        <w:jc w:val="both"/>
        <w:rPr>
          <w:rFonts w:cs="Times New Roman"/>
          <w:szCs w:val="24"/>
          <w:lang w:val="en-US"/>
        </w:rPr>
      </w:pPr>
      <w:r>
        <w:rPr>
          <w:rFonts w:cs="Times New Roman"/>
          <w:szCs w:val="24"/>
          <w:lang w:val="en-US"/>
        </w:rPr>
        <w:t>Accumulated knowledge and proactive deal</w:t>
      </w:r>
      <w:r w:rsidR="007829D2">
        <w:rPr>
          <w:rFonts w:cs="Times New Roman"/>
          <w:szCs w:val="24"/>
          <w:lang w:val="en-US"/>
        </w:rPr>
        <w:t>s - information available to LBO-company</w:t>
      </w:r>
      <w:r>
        <w:rPr>
          <w:rFonts w:cs="Times New Roman"/>
          <w:szCs w:val="24"/>
          <w:lang w:val="en-US"/>
        </w:rPr>
        <w:t>, due to its narrow specialization in certain secto</w:t>
      </w:r>
      <w:r w:rsidR="007829D2">
        <w:rPr>
          <w:rFonts w:cs="Times New Roman"/>
          <w:szCs w:val="24"/>
          <w:lang w:val="en-US"/>
        </w:rPr>
        <w:t xml:space="preserve">rs of the economy or industries. They usually </w:t>
      </w:r>
      <w:r>
        <w:rPr>
          <w:rFonts w:cs="Times New Roman"/>
          <w:szCs w:val="24"/>
          <w:lang w:val="en-US"/>
        </w:rPr>
        <w:t>initiate</w:t>
      </w:r>
      <w:r w:rsidR="007829D2">
        <w:rPr>
          <w:rFonts w:cs="Times New Roman"/>
          <w:szCs w:val="24"/>
          <w:lang w:val="en-US"/>
        </w:rPr>
        <w:t xml:space="preserve"> the deals</w:t>
      </w:r>
      <w:r>
        <w:rPr>
          <w:rFonts w:cs="Times New Roman"/>
          <w:szCs w:val="24"/>
          <w:lang w:val="en-US"/>
        </w:rPr>
        <w:t xml:space="preserve"> in a proactive manner by approaching potentials </w:t>
      </w:r>
      <w:r w:rsidR="007829D2">
        <w:rPr>
          <w:rFonts w:cs="Times New Roman"/>
          <w:szCs w:val="24"/>
          <w:lang w:val="en-US"/>
        </w:rPr>
        <w:t xml:space="preserve">target </w:t>
      </w:r>
      <w:r>
        <w:rPr>
          <w:rFonts w:cs="Times New Roman"/>
          <w:szCs w:val="24"/>
          <w:lang w:val="en-US"/>
        </w:rPr>
        <w:t xml:space="preserve">companies. </w:t>
      </w:r>
    </w:p>
    <w:p w:rsidR="00644F48" w:rsidRDefault="00644F48" w:rsidP="00644F48">
      <w:pPr>
        <w:pStyle w:val="a5"/>
        <w:spacing w:line="360" w:lineRule="auto"/>
        <w:jc w:val="both"/>
        <w:rPr>
          <w:rFonts w:cs="Times New Roman"/>
          <w:szCs w:val="24"/>
          <w:lang w:val="en-US"/>
        </w:rPr>
      </w:pPr>
    </w:p>
    <w:p w:rsidR="00644F48" w:rsidRDefault="00644F48" w:rsidP="00644F48">
      <w:pPr>
        <w:pStyle w:val="a5"/>
        <w:spacing w:line="360" w:lineRule="auto"/>
        <w:jc w:val="both"/>
        <w:rPr>
          <w:rFonts w:cs="Times New Roman"/>
          <w:szCs w:val="24"/>
          <w:lang w:val="en-US"/>
        </w:rPr>
      </w:pPr>
    </w:p>
    <w:p w:rsidR="00644F48" w:rsidRPr="00644F48" w:rsidRDefault="00644F48" w:rsidP="009719EF">
      <w:pPr>
        <w:pStyle w:val="a5"/>
        <w:spacing w:line="360" w:lineRule="auto"/>
        <w:ind w:firstLine="360"/>
        <w:jc w:val="both"/>
        <w:rPr>
          <w:rFonts w:cs="Times New Roman"/>
          <w:i/>
          <w:szCs w:val="24"/>
          <w:lang w:val="en-US"/>
        </w:rPr>
      </w:pPr>
      <w:r w:rsidRPr="00644F48">
        <w:rPr>
          <w:rFonts w:cs="Times New Roman"/>
          <w:i/>
          <w:szCs w:val="24"/>
          <w:lang w:val="en-US"/>
        </w:rPr>
        <w:lastRenderedPageBreak/>
        <w:t xml:space="preserve">Quantitative analysis </w:t>
      </w:r>
    </w:p>
    <w:p w:rsidR="009719EF" w:rsidRDefault="009719EF" w:rsidP="009719EF">
      <w:pPr>
        <w:pStyle w:val="a5"/>
        <w:spacing w:line="360" w:lineRule="auto"/>
        <w:ind w:firstLine="360"/>
        <w:jc w:val="both"/>
        <w:rPr>
          <w:rFonts w:cs="Times New Roman"/>
          <w:szCs w:val="24"/>
          <w:lang w:val="en-US"/>
        </w:rPr>
      </w:pPr>
      <w:r>
        <w:rPr>
          <w:rFonts w:cs="Times New Roman"/>
          <w:szCs w:val="24"/>
          <w:lang w:val="en-US"/>
        </w:rPr>
        <w:t xml:space="preserve">For qualitative analysis in target identification, investors usually run </w:t>
      </w:r>
      <w:r w:rsidR="00C16B02">
        <w:rPr>
          <w:rFonts w:cs="Times New Roman"/>
          <w:szCs w:val="24"/>
          <w:lang w:val="en-US"/>
        </w:rPr>
        <w:t>large quantitative screens</w:t>
      </w:r>
      <w:r>
        <w:rPr>
          <w:rFonts w:cs="Times New Roman"/>
          <w:szCs w:val="24"/>
          <w:lang w:val="en-US"/>
        </w:rPr>
        <w:t xml:space="preserve"> for a list of companies, </w:t>
      </w:r>
      <w:proofErr w:type="gramStart"/>
      <w:r>
        <w:rPr>
          <w:rFonts w:cs="Times New Roman"/>
          <w:szCs w:val="24"/>
          <w:lang w:val="en-US"/>
        </w:rPr>
        <w:t>in order to quantitatively compare</w:t>
      </w:r>
      <w:proofErr w:type="gramEnd"/>
      <w:r>
        <w:rPr>
          <w:rFonts w:cs="Times New Roman"/>
          <w:szCs w:val="24"/>
          <w:lang w:val="en-US"/>
        </w:rPr>
        <w:t xml:space="preserve"> the possible outcome from multiple potential LBO-targets. </w:t>
      </w:r>
    </w:p>
    <w:p w:rsidR="009719EF" w:rsidRDefault="009719EF" w:rsidP="009719EF">
      <w:pPr>
        <w:pStyle w:val="a5"/>
        <w:spacing w:line="360" w:lineRule="auto"/>
        <w:ind w:firstLine="360"/>
        <w:jc w:val="both"/>
        <w:rPr>
          <w:rFonts w:cs="Times New Roman"/>
          <w:b/>
          <w:i/>
          <w:szCs w:val="24"/>
          <w:lang w:val="en-US"/>
        </w:rPr>
      </w:pPr>
      <w:r w:rsidRPr="009719EF">
        <w:rPr>
          <w:rFonts w:cs="Times New Roman"/>
          <w:b/>
          <w:i/>
          <w:szCs w:val="24"/>
          <w:lang w:val="en-US"/>
        </w:rPr>
        <w:t xml:space="preserve">Target evaluation </w:t>
      </w:r>
    </w:p>
    <w:p w:rsidR="004B6610" w:rsidRPr="004B6610" w:rsidRDefault="004B6610" w:rsidP="00472FBB">
      <w:pPr>
        <w:pStyle w:val="a5"/>
        <w:spacing w:line="360" w:lineRule="auto"/>
        <w:ind w:firstLine="360"/>
        <w:jc w:val="both"/>
        <w:rPr>
          <w:rFonts w:cs="Times New Roman"/>
          <w:i/>
          <w:szCs w:val="24"/>
          <w:lang w:val="en-US"/>
        </w:rPr>
      </w:pPr>
      <w:r w:rsidRPr="004B6610">
        <w:rPr>
          <w:rFonts w:cs="Times New Roman"/>
          <w:i/>
          <w:szCs w:val="24"/>
          <w:lang w:val="en-US"/>
        </w:rPr>
        <w:t xml:space="preserve">Qualitative analysis </w:t>
      </w:r>
    </w:p>
    <w:p w:rsidR="00DB0DC2" w:rsidRPr="00DB0DC2" w:rsidRDefault="0073086C" w:rsidP="00472FBB">
      <w:pPr>
        <w:pStyle w:val="a5"/>
        <w:spacing w:line="360" w:lineRule="auto"/>
        <w:ind w:firstLine="360"/>
        <w:jc w:val="both"/>
        <w:rPr>
          <w:rFonts w:cs="Times New Roman"/>
          <w:szCs w:val="24"/>
          <w:lang w:val="en-US"/>
        </w:rPr>
      </w:pPr>
      <w:r>
        <w:rPr>
          <w:rFonts w:cs="Times New Roman"/>
          <w:szCs w:val="24"/>
          <w:lang w:val="en-US"/>
        </w:rPr>
        <w:t xml:space="preserve">As soon as the target </w:t>
      </w:r>
      <w:proofErr w:type="gramStart"/>
      <w:r>
        <w:rPr>
          <w:rFonts w:cs="Times New Roman"/>
          <w:szCs w:val="24"/>
          <w:lang w:val="en-US"/>
        </w:rPr>
        <w:t>is identified</w:t>
      </w:r>
      <w:proofErr w:type="gramEnd"/>
      <w:r>
        <w:rPr>
          <w:rFonts w:cs="Times New Roman"/>
          <w:szCs w:val="24"/>
          <w:lang w:val="en-US"/>
        </w:rPr>
        <w:t xml:space="preserve">, we move to target evaluation. </w:t>
      </w:r>
      <w:r w:rsidR="00472FBB">
        <w:rPr>
          <w:rFonts w:cs="Times New Roman"/>
          <w:szCs w:val="24"/>
          <w:lang w:val="en-US"/>
        </w:rPr>
        <w:t xml:space="preserve">As for target </w:t>
      </w:r>
      <w:proofErr w:type="gramStart"/>
      <w:r w:rsidR="00472FBB">
        <w:rPr>
          <w:rFonts w:cs="Times New Roman"/>
          <w:szCs w:val="24"/>
          <w:lang w:val="en-US"/>
        </w:rPr>
        <w:t>evaluation</w:t>
      </w:r>
      <w:proofErr w:type="gramEnd"/>
      <w:r w:rsidR="00472FBB">
        <w:rPr>
          <w:rFonts w:cs="Times New Roman"/>
          <w:szCs w:val="24"/>
          <w:lang w:val="en-US"/>
        </w:rPr>
        <w:t xml:space="preserve"> it also starts with a qualitative analysis.  </w:t>
      </w:r>
      <w:r w:rsidR="00DB0DC2" w:rsidRPr="00DB0DC2">
        <w:rPr>
          <w:rFonts w:cs="Times New Roman"/>
          <w:szCs w:val="24"/>
          <w:lang w:val="en-US"/>
        </w:rPr>
        <w:t xml:space="preserve">Market characteristics and the targets form of ownership (public or private) as well as the situation on </w:t>
      </w:r>
      <w:r w:rsidR="007829D2" w:rsidRPr="00DB0DC2">
        <w:rPr>
          <w:rFonts w:cs="Times New Roman"/>
          <w:szCs w:val="24"/>
          <w:lang w:val="en-US"/>
        </w:rPr>
        <w:t xml:space="preserve">the </w:t>
      </w:r>
      <w:r w:rsidR="007829D2">
        <w:rPr>
          <w:rFonts w:cs="Times New Roman"/>
          <w:szCs w:val="24"/>
          <w:lang w:val="en-US"/>
        </w:rPr>
        <w:t xml:space="preserve">market </w:t>
      </w:r>
      <w:r w:rsidR="007829D2" w:rsidRPr="00DB0DC2">
        <w:rPr>
          <w:rFonts w:cs="Times New Roman"/>
          <w:szCs w:val="24"/>
          <w:lang w:val="en-US"/>
        </w:rPr>
        <w:t>determine</w:t>
      </w:r>
      <w:r w:rsidR="00DB0DC2" w:rsidRPr="00DB0DC2">
        <w:rPr>
          <w:rFonts w:cs="Times New Roman"/>
          <w:szCs w:val="24"/>
          <w:lang w:val="en-US"/>
        </w:rPr>
        <w:t xml:space="preserve"> the availability of the information to </w:t>
      </w:r>
      <w:r w:rsidR="007829D2">
        <w:rPr>
          <w:rFonts w:cs="Times New Roman"/>
          <w:szCs w:val="24"/>
          <w:lang w:val="en-US"/>
        </w:rPr>
        <w:t>the sponsors. Typically,</w:t>
      </w:r>
      <w:r w:rsidR="00472FBB">
        <w:rPr>
          <w:rFonts w:cs="Times New Roman"/>
          <w:szCs w:val="24"/>
          <w:lang w:val="en-US"/>
        </w:rPr>
        <w:t xml:space="preserve"> LBO-</w:t>
      </w:r>
      <w:r w:rsidR="00DB0DC2" w:rsidRPr="00DB0DC2">
        <w:rPr>
          <w:rFonts w:cs="Times New Roman"/>
          <w:szCs w:val="24"/>
          <w:lang w:val="en-US"/>
        </w:rPr>
        <w:t>firm</w:t>
      </w:r>
      <w:r w:rsidR="007829D2">
        <w:rPr>
          <w:rFonts w:cs="Times New Roman"/>
          <w:szCs w:val="24"/>
          <w:lang w:val="en-US"/>
        </w:rPr>
        <w:t>s</w:t>
      </w:r>
      <w:r w:rsidR="00DB0DC2" w:rsidRPr="00DB0DC2">
        <w:rPr>
          <w:rFonts w:cs="Times New Roman"/>
          <w:szCs w:val="24"/>
          <w:lang w:val="en-US"/>
        </w:rPr>
        <w:t xml:space="preserve"> perform a two-step</w:t>
      </w:r>
      <w:r w:rsidR="00472FBB">
        <w:rPr>
          <w:rFonts w:cs="Times New Roman"/>
          <w:szCs w:val="24"/>
          <w:lang w:val="en-US"/>
        </w:rPr>
        <w:t xml:space="preserve"> qualitative</w:t>
      </w:r>
      <w:r w:rsidR="00DB0DC2" w:rsidRPr="00DB0DC2">
        <w:rPr>
          <w:rFonts w:cs="Times New Roman"/>
          <w:szCs w:val="24"/>
          <w:lang w:val="en-US"/>
        </w:rPr>
        <w:t xml:space="preserve"> analysis of the candidate: internal analysis and due diligence.</w:t>
      </w:r>
    </w:p>
    <w:p w:rsidR="00472FBB" w:rsidRDefault="007829D2" w:rsidP="008D3CCB">
      <w:pPr>
        <w:pStyle w:val="a5"/>
        <w:numPr>
          <w:ilvl w:val="0"/>
          <w:numId w:val="26"/>
        </w:numPr>
        <w:spacing w:line="360" w:lineRule="auto"/>
        <w:jc w:val="both"/>
        <w:rPr>
          <w:rFonts w:cs="Times New Roman"/>
          <w:szCs w:val="24"/>
          <w:lang w:val="en-US"/>
        </w:rPr>
      </w:pPr>
      <w:r>
        <w:rPr>
          <w:rFonts w:cs="Times New Roman"/>
          <w:szCs w:val="24"/>
          <w:lang w:val="en-US"/>
        </w:rPr>
        <w:t xml:space="preserve">Internal analysis </w:t>
      </w:r>
      <w:r w:rsidR="00644F48">
        <w:rPr>
          <w:rFonts w:cs="Times New Roman"/>
          <w:szCs w:val="24"/>
          <w:lang w:val="en-US"/>
        </w:rPr>
        <w:t xml:space="preserve">– </w:t>
      </w:r>
      <w:r w:rsidR="00644F48" w:rsidRPr="00DB0DC2">
        <w:rPr>
          <w:rFonts w:cs="Times New Roman"/>
          <w:szCs w:val="24"/>
          <w:lang w:val="en-US"/>
        </w:rPr>
        <w:t>is</w:t>
      </w:r>
      <w:r w:rsidR="00DB0DC2" w:rsidRPr="00DB0DC2">
        <w:rPr>
          <w:rFonts w:cs="Times New Roman"/>
          <w:szCs w:val="24"/>
          <w:lang w:val="en-US"/>
        </w:rPr>
        <w:t xml:space="preserve"> an in-house research conducted by investors with a purpose to create a better understanding about the company, industry. The information is gathered through phone calls, databases</w:t>
      </w:r>
      <w:r w:rsidR="00472FBB" w:rsidRPr="00DB0DC2">
        <w:rPr>
          <w:rFonts w:cs="Times New Roman"/>
          <w:szCs w:val="24"/>
          <w:lang w:val="en-US"/>
        </w:rPr>
        <w:t>, articles</w:t>
      </w:r>
      <w:r w:rsidR="00DB0DC2" w:rsidRPr="00DB0DC2">
        <w:rPr>
          <w:rFonts w:cs="Times New Roman"/>
          <w:szCs w:val="24"/>
          <w:lang w:val="en-US"/>
        </w:rPr>
        <w:t xml:space="preserve">, media, </w:t>
      </w:r>
      <w:r w:rsidR="00472FBB" w:rsidRPr="00DB0DC2">
        <w:rPr>
          <w:rFonts w:cs="Times New Roman"/>
          <w:szCs w:val="24"/>
          <w:lang w:val="en-US"/>
        </w:rPr>
        <w:t>and personal</w:t>
      </w:r>
      <w:r w:rsidR="0073086C">
        <w:rPr>
          <w:rFonts w:cs="Times New Roman"/>
          <w:szCs w:val="24"/>
          <w:lang w:val="en-US"/>
        </w:rPr>
        <w:t xml:space="preserve"> contacts;</w:t>
      </w:r>
    </w:p>
    <w:p w:rsidR="00DB0DC2" w:rsidRPr="00472FBB" w:rsidRDefault="00DB0DC2" w:rsidP="008D3CCB">
      <w:pPr>
        <w:pStyle w:val="a5"/>
        <w:numPr>
          <w:ilvl w:val="0"/>
          <w:numId w:val="26"/>
        </w:numPr>
        <w:spacing w:line="360" w:lineRule="auto"/>
        <w:jc w:val="both"/>
        <w:rPr>
          <w:rFonts w:cs="Times New Roman"/>
          <w:szCs w:val="24"/>
          <w:lang w:val="en-US"/>
        </w:rPr>
      </w:pPr>
      <w:r w:rsidRPr="00472FBB">
        <w:rPr>
          <w:rFonts w:cs="Times New Roman"/>
          <w:szCs w:val="24"/>
          <w:lang w:val="en-US"/>
        </w:rPr>
        <w:t xml:space="preserve">Due diligence </w:t>
      </w:r>
      <w:r w:rsidR="00472FBB">
        <w:rPr>
          <w:rFonts w:cs="Times New Roman"/>
          <w:szCs w:val="24"/>
          <w:lang w:val="en-US"/>
        </w:rPr>
        <w:t>–</w:t>
      </w:r>
      <w:r w:rsidRPr="00472FBB">
        <w:rPr>
          <w:rFonts w:cs="Times New Roman"/>
          <w:szCs w:val="24"/>
          <w:lang w:val="en-US"/>
        </w:rPr>
        <w:t xml:space="preserve"> is an analysis aimed at forming an objec</w:t>
      </w:r>
      <w:r w:rsidR="0073086C">
        <w:rPr>
          <w:rFonts w:cs="Times New Roman"/>
          <w:szCs w:val="24"/>
          <w:lang w:val="en-US"/>
        </w:rPr>
        <w:t>tive view about the candidate. Includes</w:t>
      </w:r>
      <w:r w:rsidRPr="00472FBB">
        <w:rPr>
          <w:rFonts w:cs="Times New Roman"/>
          <w:szCs w:val="24"/>
          <w:lang w:val="en-US"/>
        </w:rPr>
        <w:t xml:space="preserve"> an assessment of investment risks, in-depth study of the company's activities, a comprehensive check of its financial condition and</w:t>
      </w:r>
      <w:r w:rsidR="007829D2">
        <w:rPr>
          <w:rFonts w:cs="Times New Roman"/>
          <w:szCs w:val="24"/>
          <w:lang w:val="en-US"/>
        </w:rPr>
        <w:t xml:space="preserve"> competitive</w:t>
      </w:r>
      <w:r w:rsidRPr="00472FBB">
        <w:rPr>
          <w:rFonts w:cs="Times New Roman"/>
          <w:szCs w:val="24"/>
          <w:lang w:val="en-US"/>
        </w:rPr>
        <w:t xml:space="preserve"> position on the market. </w:t>
      </w:r>
    </w:p>
    <w:p w:rsidR="00DB0DC2" w:rsidRPr="00DB0DC2" w:rsidRDefault="00DB0DC2" w:rsidP="00DB0DC2">
      <w:pPr>
        <w:pStyle w:val="a5"/>
        <w:spacing w:line="360" w:lineRule="auto"/>
        <w:ind w:firstLine="360"/>
        <w:jc w:val="both"/>
        <w:rPr>
          <w:rFonts w:cs="Times New Roman"/>
          <w:szCs w:val="24"/>
          <w:lang w:val="en-US"/>
        </w:rPr>
      </w:pPr>
      <w:r w:rsidRPr="00DB0DC2">
        <w:rPr>
          <w:rFonts w:cs="Times New Roman"/>
          <w:szCs w:val="24"/>
          <w:lang w:val="en-US"/>
        </w:rPr>
        <w:t xml:space="preserve">Such an analysis </w:t>
      </w:r>
      <w:proofErr w:type="gramStart"/>
      <w:r w:rsidRPr="00DB0DC2">
        <w:rPr>
          <w:rFonts w:cs="Times New Roman"/>
          <w:szCs w:val="24"/>
          <w:lang w:val="en-US"/>
        </w:rPr>
        <w:t>can be carried out</w:t>
      </w:r>
      <w:proofErr w:type="gramEnd"/>
      <w:r w:rsidRPr="00DB0DC2">
        <w:rPr>
          <w:rFonts w:cs="Times New Roman"/>
          <w:szCs w:val="24"/>
          <w:lang w:val="en-US"/>
        </w:rPr>
        <w:t xml:space="preserve"> not only </w:t>
      </w:r>
      <w:r w:rsidR="007829D2">
        <w:rPr>
          <w:rFonts w:cs="Times New Roman"/>
          <w:szCs w:val="24"/>
          <w:lang w:val="en-US"/>
        </w:rPr>
        <w:t>for</w:t>
      </w:r>
      <w:r w:rsidRPr="00DB0DC2">
        <w:rPr>
          <w:rFonts w:cs="Times New Roman"/>
          <w:szCs w:val="24"/>
          <w:lang w:val="en-US"/>
        </w:rPr>
        <w:t xml:space="preserve"> mergers and acquisitions, but also before starting any kind of </w:t>
      </w:r>
      <w:r w:rsidR="007829D2" w:rsidRPr="00DB0DC2">
        <w:rPr>
          <w:rFonts w:cs="Times New Roman"/>
          <w:szCs w:val="24"/>
          <w:lang w:val="en-US"/>
        </w:rPr>
        <w:t>cooperation</w:t>
      </w:r>
      <w:r w:rsidRPr="00DB0DC2">
        <w:rPr>
          <w:rFonts w:cs="Times New Roman"/>
          <w:szCs w:val="24"/>
          <w:lang w:val="en-US"/>
        </w:rPr>
        <w:t xml:space="preserve"> with </w:t>
      </w:r>
      <w:r w:rsidR="007829D2">
        <w:rPr>
          <w:rFonts w:cs="Times New Roman"/>
          <w:szCs w:val="24"/>
          <w:lang w:val="en-US"/>
        </w:rPr>
        <w:t xml:space="preserve">potential </w:t>
      </w:r>
      <w:r w:rsidR="00644F48">
        <w:rPr>
          <w:rFonts w:cs="Times New Roman"/>
          <w:szCs w:val="24"/>
          <w:lang w:val="en-US"/>
        </w:rPr>
        <w:t>partners</w:t>
      </w:r>
      <w:r w:rsidRPr="00DB0DC2">
        <w:rPr>
          <w:rFonts w:cs="Times New Roman"/>
          <w:szCs w:val="24"/>
          <w:lang w:val="en-US"/>
        </w:rPr>
        <w:t>. Often external consultants</w:t>
      </w:r>
      <w:r w:rsidR="0073086C">
        <w:rPr>
          <w:rFonts w:cs="Times New Roman"/>
          <w:szCs w:val="24"/>
          <w:lang w:val="en-US"/>
        </w:rPr>
        <w:t xml:space="preserve"> are involved in conducting due-</w:t>
      </w:r>
      <w:r w:rsidRPr="00DB0DC2">
        <w:rPr>
          <w:rFonts w:cs="Times New Roman"/>
          <w:szCs w:val="24"/>
          <w:lang w:val="en-US"/>
        </w:rPr>
        <w:t xml:space="preserve">diligence. In order to ensure the integrity and comprehensiveness of the research, the entire process </w:t>
      </w:r>
      <w:proofErr w:type="gramStart"/>
      <w:r w:rsidRPr="00DB0DC2">
        <w:rPr>
          <w:rFonts w:cs="Times New Roman"/>
          <w:szCs w:val="24"/>
          <w:lang w:val="en-US"/>
        </w:rPr>
        <w:t>is divided</w:t>
      </w:r>
      <w:proofErr w:type="gramEnd"/>
      <w:r w:rsidRPr="00DB0DC2">
        <w:rPr>
          <w:rFonts w:cs="Times New Roman"/>
          <w:szCs w:val="24"/>
          <w:lang w:val="en-US"/>
        </w:rPr>
        <w:t xml:space="preserve"> into several different blocks: financial analysis, strategic analysis, legal analysis of commercial activities, operational analysis, analysis of the environmental impact, market analysis. It is important to note that the information used for research </w:t>
      </w:r>
      <w:proofErr w:type="gramStart"/>
      <w:r w:rsidRPr="00DB0DC2">
        <w:rPr>
          <w:rFonts w:cs="Times New Roman"/>
          <w:szCs w:val="24"/>
          <w:lang w:val="en-US"/>
        </w:rPr>
        <w:t>should be collected</w:t>
      </w:r>
      <w:proofErr w:type="gramEnd"/>
      <w:r w:rsidRPr="00DB0DC2">
        <w:rPr>
          <w:rFonts w:cs="Times New Roman"/>
          <w:szCs w:val="24"/>
          <w:lang w:val="en-US"/>
        </w:rPr>
        <w:t xml:space="preserve"> from very diverse and independent sources, as information providers often distort it. For example, it often turns out that the seller is not interested in providing full information in the provision, since some actual data may adversely affect the price of the transaction towards its decrease. In this regard, </w:t>
      </w:r>
      <w:proofErr w:type="gramStart"/>
      <w:r w:rsidRPr="00DB0DC2">
        <w:rPr>
          <w:rFonts w:cs="Times New Roman"/>
          <w:szCs w:val="24"/>
          <w:lang w:val="en-US"/>
        </w:rPr>
        <w:t>almost always</w:t>
      </w:r>
      <w:proofErr w:type="gramEnd"/>
      <w:r w:rsidRPr="00DB0DC2">
        <w:rPr>
          <w:rFonts w:cs="Times New Roman"/>
          <w:szCs w:val="24"/>
          <w:lang w:val="en-US"/>
        </w:rPr>
        <w:t xml:space="preserve">, all relevant data must be extracted independently, or continuously verified on reliability. </w:t>
      </w:r>
    </w:p>
    <w:p w:rsidR="009719EF" w:rsidRDefault="00DB0DC2" w:rsidP="00DB0DC2">
      <w:pPr>
        <w:pStyle w:val="a5"/>
        <w:spacing w:line="360" w:lineRule="auto"/>
        <w:ind w:firstLine="360"/>
        <w:jc w:val="both"/>
        <w:rPr>
          <w:rFonts w:cs="Times New Roman"/>
          <w:szCs w:val="24"/>
          <w:lang w:val="en-US"/>
        </w:rPr>
      </w:pPr>
      <w:r w:rsidRPr="00DB0DC2">
        <w:rPr>
          <w:rFonts w:cs="Times New Roman"/>
          <w:szCs w:val="24"/>
          <w:lang w:val="en-US"/>
        </w:rPr>
        <w:t>The result of the assessment of the attractiveness of the target company becomes an investment memorandum, in which the proposal from the financial sp</w:t>
      </w:r>
      <w:r w:rsidR="0073086C">
        <w:rPr>
          <w:rFonts w:cs="Times New Roman"/>
          <w:szCs w:val="24"/>
          <w:lang w:val="en-US"/>
        </w:rPr>
        <w:t xml:space="preserve">onsor </w:t>
      </w:r>
      <w:proofErr w:type="gramStart"/>
      <w:r w:rsidR="0073086C">
        <w:rPr>
          <w:rFonts w:cs="Times New Roman"/>
          <w:szCs w:val="24"/>
          <w:lang w:val="en-US"/>
        </w:rPr>
        <w:t>is formulated</w:t>
      </w:r>
      <w:proofErr w:type="gramEnd"/>
      <w:r w:rsidR="0073086C">
        <w:rPr>
          <w:rFonts w:cs="Times New Roman"/>
          <w:szCs w:val="24"/>
          <w:lang w:val="en-US"/>
        </w:rPr>
        <w:t>. The draft</w:t>
      </w:r>
      <w:r w:rsidRPr="00DB0DC2">
        <w:rPr>
          <w:rFonts w:cs="Times New Roman"/>
          <w:szCs w:val="24"/>
          <w:lang w:val="en-US"/>
        </w:rPr>
        <w:t xml:space="preserve"> of a memorandum, as a rule, practically means the final decision on the purchase of a business.</w:t>
      </w:r>
    </w:p>
    <w:p w:rsidR="00BA4CBD" w:rsidRDefault="0073086C" w:rsidP="00BA4CBD">
      <w:pPr>
        <w:pStyle w:val="a5"/>
        <w:spacing w:line="360" w:lineRule="auto"/>
        <w:jc w:val="both"/>
        <w:rPr>
          <w:rFonts w:cs="Times New Roman"/>
          <w:szCs w:val="24"/>
          <w:lang w:val="en-US"/>
        </w:rPr>
      </w:pPr>
      <w:r>
        <w:rPr>
          <w:rFonts w:cs="Times New Roman"/>
          <w:szCs w:val="24"/>
          <w:lang w:val="en-US"/>
        </w:rPr>
        <w:t xml:space="preserve">The main purpose of qualitative analysis is to understand, whether the target company corresponds to the main characteristics of a strong LBO-candidate, mentioned in Chapter 1. </w:t>
      </w:r>
    </w:p>
    <w:p w:rsidR="004B6610" w:rsidRDefault="004B6610" w:rsidP="00BA4CBD">
      <w:pPr>
        <w:pStyle w:val="a5"/>
        <w:spacing w:line="360" w:lineRule="auto"/>
        <w:jc w:val="both"/>
        <w:rPr>
          <w:rFonts w:cs="Times New Roman"/>
          <w:szCs w:val="24"/>
          <w:lang w:val="en-US"/>
        </w:rPr>
      </w:pPr>
    </w:p>
    <w:p w:rsidR="004B6610" w:rsidRDefault="004B6610" w:rsidP="00BA4CBD">
      <w:pPr>
        <w:pStyle w:val="a5"/>
        <w:spacing w:line="360" w:lineRule="auto"/>
        <w:jc w:val="both"/>
        <w:rPr>
          <w:rFonts w:cs="Times New Roman"/>
          <w:szCs w:val="24"/>
          <w:lang w:val="en-US"/>
        </w:rPr>
      </w:pPr>
    </w:p>
    <w:p w:rsidR="004B6610" w:rsidRPr="004B6610" w:rsidRDefault="004B6610" w:rsidP="00BA4CBD">
      <w:pPr>
        <w:pStyle w:val="a5"/>
        <w:spacing w:line="360" w:lineRule="auto"/>
        <w:ind w:firstLine="567"/>
        <w:jc w:val="both"/>
        <w:rPr>
          <w:rFonts w:cs="Times New Roman"/>
          <w:i/>
          <w:szCs w:val="24"/>
          <w:lang w:val="en-US"/>
        </w:rPr>
      </w:pPr>
      <w:r w:rsidRPr="004B6610">
        <w:rPr>
          <w:rFonts w:cs="Times New Roman"/>
          <w:i/>
          <w:szCs w:val="24"/>
          <w:lang w:val="en-US"/>
        </w:rPr>
        <w:lastRenderedPageBreak/>
        <w:t xml:space="preserve">Quantitative analysis </w:t>
      </w:r>
    </w:p>
    <w:p w:rsidR="0073086C" w:rsidRPr="0073086C" w:rsidRDefault="0073086C" w:rsidP="00BA4CBD">
      <w:pPr>
        <w:pStyle w:val="a5"/>
        <w:spacing w:line="360" w:lineRule="auto"/>
        <w:ind w:firstLine="567"/>
        <w:jc w:val="both"/>
        <w:rPr>
          <w:rFonts w:cs="Times New Roman"/>
          <w:szCs w:val="24"/>
          <w:lang w:val="en-US"/>
        </w:rPr>
      </w:pPr>
      <w:r>
        <w:rPr>
          <w:rFonts w:cs="Times New Roman"/>
          <w:szCs w:val="24"/>
          <w:lang w:val="en-US"/>
        </w:rPr>
        <w:t xml:space="preserve">Final step of LBO-analysis is quantitative analysis of the target company. </w:t>
      </w:r>
      <w:r w:rsidR="00294338">
        <w:rPr>
          <w:rFonts w:cs="Times New Roman"/>
          <w:szCs w:val="24"/>
          <w:lang w:val="en-US"/>
        </w:rPr>
        <w:t xml:space="preserve">Its </w:t>
      </w:r>
      <w:r w:rsidRPr="0073086C">
        <w:rPr>
          <w:rFonts w:cs="Times New Roman"/>
          <w:szCs w:val="24"/>
          <w:lang w:val="en-US"/>
        </w:rPr>
        <w:t xml:space="preserve">primary goal is to form a </w:t>
      </w:r>
      <w:proofErr w:type="gramStart"/>
      <w:r w:rsidRPr="0073086C">
        <w:rPr>
          <w:rFonts w:cs="Times New Roman"/>
          <w:szCs w:val="24"/>
          <w:lang w:val="en-US"/>
        </w:rPr>
        <w:t>decision making</w:t>
      </w:r>
      <w:proofErr w:type="gramEnd"/>
      <w:r w:rsidRPr="0073086C">
        <w:rPr>
          <w:rFonts w:cs="Times New Roman"/>
          <w:szCs w:val="24"/>
          <w:lang w:val="en-US"/>
        </w:rPr>
        <w:t xml:space="preserve"> ground for</w:t>
      </w:r>
      <w:r w:rsidR="00644F48">
        <w:rPr>
          <w:rFonts w:cs="Times New Roman"/>
          <w:szCs w:val="24"/>
          <w:lang w:val="en-US"/>
        </w:rPr>
        <w:t xml:space="preserve"> main</w:t>
      </w:r>
      <w:r w:rsidRPr="0073086C">
        <w:rPr>
          <w:rFonts w:cs="Times New Roman"/>
          <w:szCs w:val="24"/>
          <w:lang w:val="en-US"/>
        </w:rPr>
        <w:t xml:space="preserve"> bidding process and determine the highest price that can be offered without causing any economic loss for the investor. Alongside with the target valuation also the deal price is being valued, which may include not only the price of target, but also deal additional costs: cost of raising capital, consultant’s fees, investments banks’ fees, etc. Another purpose of valuation is to get a deep understanding about the mechanis</w:t>
      </w:r>
      <w:r w:rsidR="00294338">
        <w:rPr>
          <w:rFonts w:cs="Times New Roman"/>
          <w:szCs w:val="24"/>
          <w:lang w:val="en-US"/>
        </w:rPr>
        <w:t xml:space="preserve">ms that drive the target value and the potential return on investment. </w:t>
      </w:r>
    </w:p>
    <w:p w:rsidR="009719EF" w:rsidRDefault="0073086C" w:rsidP="00F81AEB">
      <w:pPr>
        <w:pStyle w:val="a5"/>
        <w:spacing w:line="360" w:lineRule="auto"/>
        <w:ind w:firstLine="360"/>
        <w:jc w:val="both"/>
        <w:rPr>
          <w:lang w:val="en-US"/>
        </w:rPr>
      </w:pPr>
      <w:r w:rsidRPr="0073086C">
        <w:rPr>
          <w:rFonts w:cs="Times New Roman"/>
          <w:szCs w:val="24"/>
          <w:lang w:val="en-US"/>
        </w:rPr>
        <w:t xml:space="preserve">Investors have different </w:t>
      </w:r>
      <w:r w:rsidR="00294338">
        <w:rPr>
          <w:rFonts w:cs="Times New Roman"/>
          <w:szCs w:val="24"/>
          <w:lang w:val="en-US"/>
        </w:rPr>
        <w:t xml:space="preserve">LBO-analysis </w:t>
      </w:r>
      <w:r w:rsidRPr="0073086C">
        <w:rPr>
          <w:rFonts w:cs="Times New Roman"/>
          <w:szCs w:val="24"/>
          <w:lang w:val="en-US"/>
        </w:rPr>
        <w:t xml:space="preserve">approaches. While strategic buyers mostly use the discounted cash flow model as the main valuation technique, </w:t>
      </w:r>
      <w:r w:rsidR="00BA4CBD">
        <w:rPr>
          <w:rFonts w:cs="Times New Roman"/>
          <w:szCs w:val="24"/>
          <w:lang w:val="en-US"/>
        </w:rPr>
        <w:t xml:space="preserve">LBO firms use an LBO model. </w:t>
      </w:r>
      <w:r w:rsidRPr="0073086C">
        <w:rPr>
          <w:rFonts w:cs="Times New Roman"/>
          <w:szCs w:val="24"/>
          <w:lang w:val="en-US"/>
        </w:rPr>
        <w:t>This is where actually the LBO-modelling takes place in LBO process.</w:t>
      </w:r>
      <w:r w:rsidR="00294338">
        <w:rPr>
          <w:rFonts w:cs="Times New Roman"/>
          <w:szCs w:val="24"/>
          <w:lang w:val="en-US"/>
        </w:rPr>
        <w:t xml:space="preserve"> </w:t>
      </w:r>
      <w:r w:rsidRPr="0073086C">
        <w:rPr>
          <w:rFonts w:cs="Times New Roman"/>
          <w:szCs w:val="24"/>
          <w:lang w:val="en-US"/>
        </w:rPr>
        <w:t xml:space="preserve">The difference in the methods used </w:t>
      </w:r>
      <w:proofErr w:type="gramStart"/>
      <w:r w:rsidRPr="0073086C">
        <w:rPr>
          <w:rFonts w:cs="Times New Roman"/>
          <w:szCs w:val="24"/>
          <w:lang w:val="en-US"/>
        </w:rPr>
        <w:t>is determined</w:t>
      </w:r>
      <w:proofErr w:type="gramEnd"/>
      <w:r w:rsidRPr="0073086C">
        <w:rPr>
          <w:rFonts w:cs="Times New Roman"/>
          <w:szCs w:val="24"/>
          <w:lang w:val="en-US"/>
        </w:rPr>
        <w:t xml:space="preserve"> by goals pursued by the sponsors. In the first case, the priority is given </w:t>
      </w:r>
      <w:proofErr w:type="gramStart"/>
      <w:r w:rsidRPr="0073086C">
        <w:rPr>
          <w:rFonts w:cs="Times New Roman"/>
          <w:szCs w:val="24"/>
          <w:lang w:val="en-US"/>
        </w:rPr>
        <w:t>to  estimating</w:t>
      </w:r>
      <w:proofErr w:type="gramEnd"/>
      <w:r w:rsidRPr="0073086C">
        <w:rPr>
          <w:rFonts w:cs="Times New Roman"/>
          <w:szCs w:val="24"/>
          <w:lang w:val="en-US"/>
        </w:rPr>
        <w:t xml:space="preserve"> the fundamental company value and the synergy from acquisitions. In the second case, investors are interested in economic returns coming from subsequent resale, and as both purchase and resale </w:t>
      </w:r>
      <w:proofErr w:type="gramStart"/>
      <w:r w:rsidRPr="0073086C">
        <w:rPr>
          <w:rFonts w:cs="Times New Roman"/>
          <w:szCs w:val="24"/>
          <w:lang w:val="en-US"/>
        </w:rPr>
        <w:t>are carried out</w:t>
      </w:r>
      <w:proofErr w:type="gramEnd"/>
      <w:r w:rsidRPr="0073086C">
        <w:rPr>
          <w:rFonts w:cs="Times New Roman"/>
          <w:szCs w:val="24"/>
          <w:lang w:val="en-US"/>
        </w:rPr>
        <w:t xml:space="preserve"> at market value, the fundamental value of the company does not play a leading role here.</w:t>
      </w:r>
    </w:p>
    <w:p w:rsidR="00F81AEB" w:rsidRDefault="00F81AEB" w:rsidP="00F81AEB">
      <w:pPr>
        <w:pStyle w:val="a5"/>
        <w:spacing w:line="360" w:lineRule="auto"/>
        <w:ind w:firstLine="360"/>
        <w:jc w:val="right"/>
        <w:rPr>
          <w:lang w:val="en-US"/>
        </w:rPr>
      </w:pPr>
      <w:r w:rsidRPr="00F81AEB">
        <w:rPr>
          <w:i/>
          <w:lang w:val="en-US"/>
        </w:rPr>
        <w:t>Table 2.</w:t>
      </w:r>
      <w:r>
        <w:rPr>
          <w:lang w:val="en-US"/>
        </w:rPr>
        <w:t xml:space="preserve"> LBO-analysis matrix </w:t>
      </w:r>
      <w:r w:rsidR="004B6610">
        <w:rPr>
          <w:lang w:val="en-US"/>
        </w:rPr>
        <w:t>for an LBO-firm</w:t>
      </w:r>
    </w:p>
    <w:tbl>
      <w:tblPr>
        <w:tblStyle w:val="af1"/>
        <w:tblW w:w="0" w:type="auto"/>
        <w:tblLook w:val="04A0" w:firstRow="1" w:lastRow="0" w:firstColumn="1" w:lastColumn="0" w:noHBand="0" w:noVBand="1"/>
      </w:tblPr>
      <w:tblGrid>
        <w:gridCol w:w="3114"/>
        <w:gridCol w:w="3115"/>
        <w:gridCol w:w="3115"/>
      </w:tblGrid>
      <w:tr w:rsidR="00F81AEB" w:rsidTr="00C16B02">
        <w:tc>
          <w:tcPr>
            <w:tcW w:w="3114" w:type="dxa"/>
          </w:tcPr>
          <w:p w:rsidR="00F81AEB" w:rsidRDefault="00F81AEB" w:rsidP="00F81AEB">
            <w:pPr>
              <w:pStyle w:val="a5"/>
              <w:spacing w:line="360" w:lineRule="auto"/>
              <w:jc w:val="both"/>
              <w:rPr>
                <w:lang w:val="en-US"/>
              </w:rPr>
            </w:pPr>
          </w:p>
        </w:tc>
        <w:tc>
          <w:tcPr>
            <w:tcW w:w="3115" w:type="dxa"/>
          </w:tcPr>
          <w:p w:rsidR="00F81AEB" w:rsidRDefault="00F81AEB" w:rsidP="00F81AEB">
            <w:pPr>
              <w:pStyle w:val="a5"/>
              <w:spacing w:line="360" w:lineRule="auto"/>
              <w:jc w:val="both"/>
              <w:rPr>
                <w:lang w:val="en-US"/>
              </w:rPr>
            </w:pPr>
            <w:r>
              <w:rPr>
                <w:lang w:val="en-US"/>
              </w:rPr>
              <w:t>Target identification</w:t>
            </w:r>
          </w:p>
        </w:tc>
        <w:tc>
          <w:tcPr>
            <w:tcW w:w="3115" w:type="dxa"/>
          </w:tcPr>
          <w:p w:rsidR="00F81AEB" w:rsidRDefault="00F81AEB" w:rsidP="00F81AEB">
            <w:pPr>
              <w:pStyle w:val="a5"/>
              <w:spacing w:line="360" w:lineRule="auto"/>
              <w:jc w:val="both"/>
              <w:rPr>
                <w:lang w:val="en-US"/>
              </w:rPr>
            </w:pPr>
            <w:r>
              <w:rPr>
                <w:lang w:val="en-US"/>
              </w:rPr>
              <w:t>Target evaluation</w:t>
            </w:r>
          </w:p>
        </w:tc>
      </w:tr>
      <w:tr w:rsidR="00F81AEB" w:rsidTr="00C16B02">
        <w:tc>
          <w:tcPr>
            <w:tcW w:w="3114" w:type="dxa"/>
          </w:tcPr>
          <w:p w:rsidR="00F81AEB" w:rsidRDefault="00F81AEB" w:rsidP="00F81AEB">
            <w:pPr>
              <w:pStyle w:val="a5"/>
              <w:spacing w:line="360" w:lineRule="auto"/>
              <w:jc w:val="both"/>
              <w:rPr>
                <w:lang w:val="en-US"/>
              </w:rPr>
            </w:pPr>
            <w:r>
              <w:rPr>
                <w:lang w:val="en-US"/>
              </w:rPr>
              <w:t>Qualitative</w:t>
            </w:r>
          </w:p>
        </w:tc>
        <w:tc>
          <w:tcPr>
            <w:tcW w:w="3115" w:type="dxa"/>
          </w:tcPr>
          <w:p w:rsidR="00DB0DC2" w:rsidRPr="00DB0DC2" w:rsidRDefault="00DB0DC2" w:rsidP="00DB0DC2">
            <w:pPr>
              <w:pStyle w:val="a5"/>
              <w:spacing w:line="360" w:lineRule="auto"/>
              <w:jc w:val="both"/>
              <w:rPr>
                <w:lang w:val="en-US"/>
              </w:rPr>
            </w:pPr>
            <w:r>
              <w:rPr>
                <w:lang w:val="en-US"/>
              </w:rPr>
              <w:t>Analysis of primary sources of information: public deals, p</w:t>
            </w:r>
            <w:r w:rsidRPr="00DB0DC2">
              <w:rPr>
                <w:lang w:val="en-US"/>
              </w:rPr>
              <w:t>roposals from third parties</w:t>
            </w:r>
            <w:r>
              <w:rPr>
                <w:lang w:val="en-US"/>
              </w:rPr>
              <w:t xml:space="preserve">, </w:t>
            </w:r>
            <w:r w:rsidRPr="00DB0DC2">
              <w:rPr>
                <w:lang w:val="en-US"/>
              </w:rPr>
              <w:t xml:space="preserve"> </w:t>
            </w:r>
          </w:p>
          <w:p w:rsidR="00F81AEB" w:rsidRDefault="00DB0DC2" w:rsidP="00DB0DC2">
            <w:pPr>
              <w:pStyle w:val="a5"/>
              <w:spacing w:line="360" w:lineRule="auto"/>
              <w:jc w:val="both"/>
              <w:rPr>
                <w:lang w:val="en-US"/>
              </w:rPr>
            </w:pPr>
            <w:r>
              <w:rPr>
                <w:lang w:val="en-US"/>
              </w:rPr>
              <w:t>n</w:t>
            </w:r>
            <w:r w:rsidRPr="00DB0DC2">
              <w:rPr>
                <w:lang w:val="en-US"/>
              </w:rPr>
              <w:t>etwork deal</w:t>
            </w:r>
            <w:r>
              <w:rPr>
                <w:lang w:val="en-US"/>
              </w:rPr>
              <w:t>s, a</w:t>
            </w:r>
            <w:r w:rsidRPr="00DB0DC2">
              <w:rPr>
                <w:lang w:val="en-US"/>
              </w:rPr>
              <w:t xml:space="preserve">ccumulated knowledge </w:t>
            </w:r>
          </w:p>
        </w:tc>
        <w:tc>
          <w:tcPr>
            <w:tcW w:w="3115" w:type="dxa"/>
          </w:tcPr>
          <w:p w:rsidR="00F81AEB" w:rsidRDefault="0073086C" w:rsidP="00F81AEB">
            <w:pPr>
              <w:pStyle w:val="a5"/>
              <w:spacing w:line="360" w:lineRule="auto"/>
              <w:jc w:val="both"/>
              <w:rPr>
                <w:lang w:val="en-US"/>
              </w:rPr>
            </w:pPr>
            <w:r>
              <w:rPr>
                <w:lang w:val="en-US"/>
              </w:rPr>
              <w:t xml:space="preserve">Internal analysis </w:t>
            </w:r>
          </w:p>
          <w:p w:rsidR="0073086C" w:rsidRDefault="0073086C" w:rsidP="00F81AEB">
            <w:pPr>
              <w:pStyle w:val="a5"/>
              <w:spacing w:line="360" w:lineRule="auto"/>
              <w:jc w:val="both"/>
              <w:rPr>
                <w:lang w:val="en-US"/>
              </w:rPr>
            </w:pPr>
            <w:r>
              <w:rPr>
                <w:lang w:val="en-US"/>
              </w:rPr>
              <w:t>Due-diligence</w:t>
            </w:r>
          </w:p>
        </w:tc>
      </w:tr>
      <w:tr w:rsidR="00F81AEB" w:rsidTr="00C16B02">
        <w:tc>
          <w:tcPr>
            <w:tcW w:w="3114" w:type="dxa"/>
          </w:tcPr>
          <w:p w:rsidR="00F81AEB" w:rsidRDefault="00F81AEB" w:rsidP="00F81AEB">
            <w:pPr>
              <w:pStyle w:val="a5"/>
              <w:spacing w:line="360" w:lineRule="auto"/>
              <w:jc w:val="both"/>
              <w:rPr>
                <w:lang w:val="en-US"/>
              </w:rPr>
            </w:pPr>
            <w:r>
              <w:rPr>
                <w:lang w:val="en-US"/>
              </w:rPr>
              <w:t>Quantitative</w:t>
            </w:r>
          </w:p>
        </w:tc>
        <w:tc>
          <w:tcPr>
            <w:tcW w:w="3115" w:type="dxa"/>
          </w:tcPr>
          <w:p w:rsidR="00F81AEB" w:rsidRDefault="00DB0DC2" w:rsidP="00F81AEB">
            <w:pPr>
              <w:pStyle w:val="a5"/>
              <w:spacing w:line="360" w:lineRule="auto"/>
              <w:jc w:val="both"/>
              <w:rPr>
                <w:lang w:val="en-US"/>
              </w:rPr>
            </w:pPr>
            <w:r>
              <w:rPr>
                <w:lang w:val="en-US"/>
              </w:rPr>
              <w:t xml:space="preserve">Models for quantitative comparison of large screens of LBO-targets </w:t>
            </w:r>
          </w:p>
        </w:tc>
        <w:tc>
          <w:tcPr>
            <w:tcW w:w="3115" w:type="dxa"/>
          </w:tcPr>
          <w:p w:rsidR="00F81AEB" w:rsidRDefault="00141625" w:rsidP="00F81AEB">
            <w:pPr>
              <w:pStyle w:val="a5"/>
              <w:spacing w:line="360" w:lineRule="auto"/>
              <w:jc w:val="both"/>
              <w:rPr>
                <w:lang w:val="en-US"/>
              </w:rPr>
            </w:pPr>
            <w:r>
              <w:rPr>
                <w:lang w:val="en-US"/>
              </w:rPr>
              <w:t>LBO-model</w:t>
            </w:r>
          </w:p>
        </w:tc>
      </w:tr>
    </w:tbl>
    <w:p w:rsidR="00F81AEB" w:rsidRDefault="00F81AEB" w:rsidP="00F81AEB">
      <w:pPr>
        <w:pStyle w:val="a5"/>
        <w:spacing w:line="360" w:lineRule="auto"/>
        <w:ind w:firstLine="360"/>
        <w:jc w:val="both"/>
        <w:rPr>
          <w:lang w:val="en-US"/>
        </w:rPr>
      </w:pPr>
    </w:p>
    <w:p w:rsidR="00636895" w:rsidRDefault="00636895" w:rsidP="00636895">
      <w:pPr>
        <w:pStyle w:val="a5"/>
        <w:spacing w:line="360" w:lineRule="auto"/>
        <w:ind w:firstLine="360"/>
        <w:jc w:val="both"/>
        <w:rPr>
          <w:rFonts w:cs="Times New Roman"/>
          <w:szCs w:val="24"/>
          <w:lang w:val="en-US"/>
        </w:rPr>
      </w:pPr>
      <w:r>
        <w:rPr>
          <w:rFonts w:cs="Times New Roman"/>
          <w:szCs w:val="24"/>
          <w:lang w:val="en-US"/>
        </w:rPr>
        <w:t xml:space="preserve">In real life, professional investors use their own and internally developed LBO-analysis schemes and models. In the world of finance, these models </w:t>
      </w:r>
      <w:proofErr w:type="gramStart"/>
      <w:r>
        <w:rPr>
          <w:rFonts w:cs="Times New Roman"/>
          <w:szCs w:val="24"/>
          <w:lang w:val="en-US"/>
        </w:rPr>
        <w:t>are often referred</w:t>
      </w:r>
      <w:proofErr w:type="gramEnd"/>
      <w:r>
        <w:rPr>
          <w:rFonts w:cs="Times New Roman"/>
          <w:szCs w:val="24"/>
          <w:lang w:val="en-US"/>
        </w:rPr>
        <w:t xml:space="preserve"> to as “hard currency”, since they reflect the core competence of the investment company.</w:t>
      </w:r>
      <w:r>
        <w:rPr>
          <w:rStyle w:val="a9"/>
          <w:rFonts w:cs="Times New Roman"/>
          <w:szCs w:val="24"/>
          <w:lang w:val="en-US"/>
        </w:rPr>
        <w:footnoteReference w:id="33"/>
      </w:r>
      <w:r>
        <w:rPr>
          <w:rFonts w:cs="Times New Roman"/>
          <w:szCs w:val="24"/>
          <w:lang w:val="en-US"/>
        </w:rPr>
        <w:t xml:space="preserve"> Frequently the differences in models explain why some investors are more successful than </w:t>
      </w:r>
      <w:proofErr w:type="gramStart"/>
      <w:r>
        <w:rPr>
          <w:rFonts w:cs="Times New Roman"/>
          <w:szCs w:val="24"/>
          <w:lang w:val="en-US"/>
        </w:rPr>
        <w:t>others</w:t>
      </w:r>
      <w:proofErr w:type="gramEnd"/>
      <w:r>
        <w:rPr>
          <w:rFonts w:cs="Times New Roman"/>
          <w:szCs w:val="24"/>
          <w:lang w:val="en-US"/>
        </w:rPr>
        <w:t xml:space="preserve">, hence the practical parts of </w:t>
      </w:r>
      <w:r w:rsidR="004B6610">
        <w:rPr>
          <w:rFonts w:cs="Times New Roman"/>
          <w:szCs w:val="24"/>
          <w:lang w:val="en-US"/>
        </w:rPr>
        <w:t>this models</w:t>
      </w:r>
      <w:r>
        <w:rPr>
          <w:rFonts w:cs="Times New Roman"/>
          <w:szCs w:val="24"/>
          <w:lang w:val="en-US"/>
        </w:rPr>
        <w:t xml:space="preserve"> are highly confidential, they are treated as corporate secrets and are not revealed to </w:t>
      </w:r>
      <w:r>
        <w:rPr>
          <w:rFonts w:cs="Times New Roman"/>
          <w:szCs w:val="24"/>
          <w:lang w:val="en-US"/>
        </w:rPr>
        <w:lastRenderedPageBreak/>
        <w:t xml:space="preserve">public. That is why it is hard for an “outsider” to get a hold of accurate financial models used in the industry today. </w:t>
      </w:r>
    </w:p>
    <w:p w:rsidR="00636895" w:rsidRDefault="004B6610" w:rsidP="00636895">
      <w:pPr>
        <w:pStyle w:val="a5"/>
        <w:spacing w:line="360" w:lineRule="auto"/>
        <w:ind w:firstLine="708"/>
        <w:jc w:val="both"/>
        <w:rPr>
          <w:rFonts w:cs="Times New Roman"/>
          <w:szCs w:val="24"/>
          <w:lang w:val="en-US"/>
        </w:rPr>
      </w:pPr>
      <w:r>
        <w:rPr>
          <w:rFonts w:cs="Times New Roman"/>
          <w:szCs w:val="24"/>
          <w:lang w:val="en-US"/>
        </w:rPr>
        <w:t>Above we discussed LBO-analysis from the point of financial investor. Yet, it should be mentioned, that t</w:t>
      </w:r>
      <w:r w:rsidR="00636895">
        <w:rPr>
          <w:rFonts w:cs="Times New Roman"/>
          <w:szCs w:val="24"/>
          <w:lang w:val="en-US"/>
        </w:rPr>
        <w:t xml:space="preserve">he main idea of LBO-analysis and main purpose of its usage </w:t>
      </w:r>
      <w:proofErr w:type="gramStart"/>
      <w:r w:rsidR="00636895">
        <w:rPr>
          <w:rFonts w:cs="Times New Roman"/>
          <w:szCs w:val="24"/>
          <w:lang w:val="en-US"/>
        </w:rPr>
        <w:t>may</w:t>
      </w:r>
      <w:proofErr w:type="gramEnd"/>
      <w:r w:rsidR="00636895">
        <w:rPr>
          <w:rFonts w:cs="Times New Roman"/>
          <w:szCs w:val="24"/>
          <w:lang w:val="en-US"/>
        </w:rPr>
        <w:t xml:space="preserve"> vary depending on a specific side performing it. Possible objectives could be:</w:t>
      </w:r>
    </w:p>
    <w:p w:rsidR="00636895" w:rsidRDefault="00636895" w:rsidP="008D3CCB">
      <w:pPr>
        <w:pStyle w:val="a5"/>
        <w:numPr>
          <w:ilvl w:val="0"/>
          <w:numId w:val="27"/>
        </w:numPr>
        <w:spacing w:line="360" w:lineRule="auto"/>
        <w:rPr>
          <w:rFonts w:cs="Times New Roman"/>
          <w:i/>
          <w:szCs w:val="24"/>
          <w:lang w:val="en-US"/>
        </w:rPr>
      </w:pPr>
      <w:r>
        <w:rPr>
          <w:rFonts w:cs="Times New Roman"/>
          <w:i/>
          <w:szCs w:val="24"/>
          <w:lang w:val="en-US"/>
        </w:rPr>
        <w:t>Determining a fair valuation for a company (including an ability-to-pay analysis);</w:t>
      </w:r>
    </w:p>
    <w:p w:rsidR="00636895" w:rsidRDefault="00636895" w:rsidP="00636895">
      <w:pPr>
        <w:pStyle w:val="a5"/>
        <w:spacing w:line="360" w:lineRule="auto"/>
        <w:ind w:left="720"/>
        <w:jc w:val="both"/>
        <w:rPr>
          <w:rFonts w:cs="Times New Roman"/>
          <w:szCs w:val="24"/>
          <w:lang w:val="en-US"/>
        </w:rPr>
      </w:pPr>
      <w:r>
        <w:rPr>
          <w:rFonts w:cs="Times New Roman"/>
          <w:szCs w:val="24"/>
          <w:lang w:val="en-US"/>
        </w:rPr>
        <w:t xml:space="preserve">LBO-analysis </w:t>
      </w:r>
      <w:proofErr w:type="gramStart"/>
      <w:r>
        <w:rPr>
          <w:rFonts w:cs="Times New Roman"/>
          <w:szCs w:val="24"/>
          <w:lang w:val="en-US"/>
        </w:rPr>
        <w:t>is used</w:t>
      </w:r>
      <w:proofErr w:type="gramEnd"/>
      <w:r>
        <w:rPr>
          <w:rFonts w:cs="Times New Roman"/>
          <w:szCs w:val="24"/>
          <w:lang w:val="en-US"/>
        </w:rPr>
        <w:t xml:space="preserve"> in order to determine the valuation range for the target. This provides an ability to set price expectations for the seller, as well as buyer </w:t>
      </w:r>
      <w:proofErr w:type="gramStart"/>
      <w:r>
        <w:rPr>
          <w:rFonts w:cs="Times New Roman"/>
          <w:szCs w:val="24"/>
          <w:lang w:val="en-US"/>
        </w:rPr>
        <w:t>in order to further use</w:t>
      </w:r>
      <w:proofErr w:type="gramEnd"/>
      <w:r>
        <w:rPr>
          <w:rFonts w:cs="Times New Roman"/>
          <w:szCs w:val="24"/>
          <w:lang w:val="en-US"/>
        </w:rPr>
        <w:t xml:space="preserve"> it in subsequent negotiations. </w:t>
      </w:r>
    </w:p>
    <w:p w:rsidR="004B6610" w:rsidRDefault="004B6610" w:rsidP="004B6610">
      <w:pPr>
        <w:pStyle w:val="a5"/>
        <w:numPr>
          <w:ilvl w:val="0"/>
          <w:numId w:val="27"/>
        </w:numPr>
        <w:spacing w:line="360" w:lineRule="auto"/>
        <w:rPr>
          <w:rFonts w:cs="Times New Roman"/>
          <w:szCs w:val="24"/>
          <w:lang w:val="en-US"/>
        </w:rPr>
      </w:pPr>
      <w:r>
        <w:rPr>
          <w:rFonts w:cs="Times New Roman"/>
          <w:i/>
          <w:szCs w:val="24"/>
          <w:lang w:val="en-US"/>
        </w:rPr>
        <w:t xml:space="preserve">Determining the equity returns </w:t>
      </w:r>
    </w:p>
    <w:p w:rsidR="004B6610" w:rsidRDefault="004B6610" w:rsidP="004B6610">
      <w:pPr>
        <w:pStyle w:val="a5"/>
        <w:spacing w:line="360" w:lineRule="auto"/>
        <w:ind w:left="720"/>
        <w:jc w:val="both"/>
        <w:rPr>
          <w:rFonts w:cs="Times New Roman"/>
          <w:szCs w:val="24"/>
          <w:lang w:val="en-US"/>
        </w:rPr>
      </w:pPr>
      <w:r>
        <w:rPr>
          <w:rFonts w:cs="Times New Roman"/>
          <w:szCs w:val="24"/>
          <w:lang w:val="en-US"/>
        </w:rPr>
        <w:t xml:space="preserve">LBO-analysis is also used to calculate IRR for the </w:t>
      </w:r>
      <w:proofErr w:type="gramStart"/>
      <w:r>
        <w:rPr>
          <w:rFonts w:cs="Times New Roman"/>
          <w:szCs w:val="24"/>
          <w:lang w:val="en-US"/>
        </w:rPr>
        <w:t>investor, that</w:t>
      </w:r>
      <w:proofErr w:type="gramEnd"/>
      <w:r>
        <w:rPr>
          <w:rFonts w:cs="Times New Roman"/>
          <w:szCs w:val="24"/>
          <w:lang w:val="en-US"/>
        </w:rPr>
        <w:t xml:space="preserve"> can be achieved if a company is taken private, grown, and ultimately sold or taken public.</w:t>
      </w:r>
    </w:p>
    <w:p w:rsidR="00636895" w:rsidRDefault="00636895" w:rsidP="008D3CCB">
      <w:pPr>
        <w:pStyle w:val="a5"/>
        <w:numPr>
          <w:ilvl w:val="0"/>
          <w:numId w:val="27"/>
        </w:numPr>
        <w:spacing w:line="360" w:lineRule="auto"/>
        <w:rPr>
          <w:rFonts w:cs="Times New Roman"/>
          <w:i/>
          <w:szCs w:val="24"/>
          <w:lang w:val="en-US"/>
        </w:rPr>
      </w:pPr>
      <w:r>
        <w:rPr>
          <w:rFonts w:cs="Times New Roman"/>
          <w:i/>
          <w:szCs w:val="24"/>
          <w:lang w:val="en-US"/>
        </w:rPr>
        <w:t xml:space="preserve">Determining the financing structure of the transaction </w:t>
      </w:r>
    </w:p>
    <w:p w:rsidR="00636895" w:rsidRDefault="00636895" w:rsidP="00636895">
      <w:pPr>
        <w:pStyle w:val="a5"/>
        <w:spacing w:line="360" w:lineRule="auto"/>
        <w:ind w:left="720"/>
        <w:jc w:val="both"/>
        <w:rPr>
          <w:rFonts w:cs="Times New Roman"/>
          <w:szCs w:val="24"/>
          <w:lang w:val="en-US"/>
        </w:rPr>
      </w:pPr>
      <w:r>
        <w:rPr>
          <w:rFonts w:cs="Times New Roman"/>
          <w:szCs w:val="24"/>
          <w:lang w:val="en-US"/>
        </w:rPr>
        <w:t xml:space="preserve">On the financing </w:t>
      </w:r>
      <w:r w:rsidR="004B6610">
        <w:rPr>
          <w:rFonts w:cs="Times New Roman"/>
          <w:szCs w:val="24"/>
          <w:lang w:val="en-US"/>
        </w:rPr>
        <w:t>side,</w:t>
      </w:r>
      <w:r>
        <w:rPr>
          <w:rFonts w:cs="Times New Roman"/>
          <w:szCs w:val="24"/>
          <w:lang w:val="en-US"/>
        </w:rPr>
        <w:t xml:space="preserve"> the bankers use this model in order to propose, analyze and choose the most viable financing structure, including the portion of debt and equity contribution as well as specific structure of debt resources. The model output enables the bankers to analyze a given financing structure </w:t>
      </w:r>
      <w:proofErr w:type="gramStart"/>
      <w:r>
        <w:rPr>
          <w:rFonts w:cs="Times New Roman"/>
          <w:szCs w:val="24"/>
          <w:lang w:val="en-US"/>
        </w:rPr>
        <w:t>on the basis of</w:t>
      </w:r>
      <w:proofErr w:type="gramEnd"/>
      <w:r>
        <w:rPr>
          <w:rFonts w:cs="Times New Roman"/>
          <w:szCs w:val="24"/>
          <w:lang w:val="en-US"/>
        </w:rPr>
        <w:t xml:space="preserve"> cash flow generation, debt repayment, credit statistics, and investment returns over a projection period. </w:t>
      </w:r>
    </w:p>
    <w:p w:rsidR="00636895" w:rsidRDefault="00636895" w:rsidP="004B6610">
      <w:pPr>
        <w:pStyle w:val="a5"/>
        <w:spacing w:line="360" w:lineRule="auto"/>
        <w:ind w:left="720"/>
        <w:rPr>
          <w:rFonts w:cs="Times New Roman"/>
          <w:szCs w:val="24"/>
          <w:lang w:val="en-US"/>
        </w:rPr>
      </w:pPr>
      <w:r>
        <w:rPr>
          <w:rFonts w:cs="Times New Roman"/>
          <w:szCs w:val="24"/>
          <w:lang w:val="en-US"/>
        </w:rPr>
        <w:t xml:space="preserve"> </w:t>
      </w:r>
      <w:r>
        <w:rPr>
          <w:rFonts w:cs="Times New Roman"/>
          <w:i/>
          <w:szCs w:val="24"/>
          <w:lang w:val="en-US"/>
        </w:rPr>
        <w:t>Determining the effect of recapitalizing the company</w:t>
      </w:r>
      <w:r>
        <w:rPr>
          <w:rFonts w:cs="Times New Roman"/>
          <w:szCs w:val="24"/>
          <w:lang w:val="en-US"/>
        </w:rPr>
        <w:t xml:space="preserve"> through issuance of debt to replace equity</w:t>
      </w:r>
      <w:proofErr w:type="gramStart"/>
      <w:r>
        <w:rPr>
          <w:rFonts w:cs="Times New Roman"/>
          <w:szCs w:val="24"/>
          <w:lang w:val="en-US"/>
        </w:rPr>
        <w:t>;</w:t>
      </w:r>
      <w:proofErr w:type="gramEnd"/>
    </w:p>
    <w:p w:rsidR="00636895" w:rsidRDefault="00636895" w:rsidP="008D3CCB">
      <w:pPr>
        <w:pStyle w:val="a5"/>
        <w:numPr>
          <w:ilvl w:val="0"/>
          <w:numId w:val="27"/>
        </w:numPr>
        <w:spacing w:line="360" w:lineRule="auto"/>
        <w:rPr>
          <w:rFonts w:cs="Times New Roman"/>
          <w:szCs w:val="24"/>
          <w:lang w:val="en-US"/>
        </w:rPr>
      </w:pPr>
      <w:r>
        <w:rPr>
          <w:rFonts w:cs="Times New Roman"/>
          <w:i/>
          <w:szCs w:val="24"/>
          <w:lang w:val="en-US"/>
        </w:rPr>
        <w:t>Determining the debt service limitations</w:t>
      </w:r>
      <w:r>
        <w:rPr>
          <w:rFonts w:cs="Times New Roman"/>
          <w:szCs w:val="24"/>
          <w:lang w:val="en-US"/>
        </w:rPr>
        <w:t xml:space="preserve"> of a company from its cash flows.</w:t>
      </w:r>
    </w:p>
    <w:p w:rsidR="00636895" w:rsidRDefault="00636895" w:rsidP="00636895">
      <w:pPr>
        <w:pStyle w:val="a5"/>
        <w:spacing w:line="360" w:lineRule="auto"/>
        <w:ind w:firstLine="720"/>
        <w:jc w:val="both"/>
        <w:rPr>
          <w:rFonts w:cs="Times New Roman"/>
          <w:szCs w:val="24"/>
          <w:lang w:val="en-US"/>
        </w:rPr>
      </w:pPr>
      <w:r>
        <w:rPr>
          <w:rFonts w:cs="Times New Roman"/>
          <w:szCs w:val="24"/>
          <w:lang w:val="en-US"/>
        </w:rPr>
        <w:t>The structure of LBO-</w:t>
      </w:r>
      <w:r w:rsidR="004B6610">
        <w:rPr>
          <w:rFonts w:cs="Times New Roman"/>
          <w:szCs w:val="24"/>
          <w:lang w:val="en-US"/>
        </w:rPr>
        <w:t>analysis tools</w:t>
      </w:r>
      <w:r>
        <w:rPr>
          <w:rFonts w:cs="Times New Roman"/>
          <w:szCs w:val="24"/>
          <w:lang w:val="en-US"/>
        </w:rPr>
        <w:t xml:space="preserve"> is very similar across different private equity companies and investment banks. The purpose of LBO-models is to analyze the attractiveness of potential LBO candidates by calculating investor rate of return (IRR).</w:t>
      </w:r>
      <w:r>
        <w:rPr>
          <w:rStyle w:val="a9"/>
          <w:rFonts w:cs="Times New Roman"/>
          <w:szCs w:val="24"/>
          <w:lang w:val="en-US"/>
        </w:rPr>
        <w:footnoteReference w:id="34"/>
      </w:r>
      <w:r>
        <w:rPr>
          <w:rFonts w:cs="Times New Roman"/>
          <w:szCs w:val="24"/>
          <w:lang w:val="en-US"/>
        </w:rPr>
        <w:t xml:space="preserve"> The investor rate of return is the main metric on which sponsors rely when deciding to invest in a target company or not. The IRR takes into account the return on the invested capital, including all additional contributions made during the investment period. </w:t>
      </w:r>
    </w:p>
    <w:p w:rsidR="00636895" w:rsidRDefault="00636895" w:rsidP="00636895">
      <w:pPr>
        <w:pStyle w:val="a5"/>
        <w:spacing w:line="360" w:lineRule="auto"/>
        <w:ind w:firstLine="720"/>
        <w:jc w:val="both"/>
        <w:rPr>
          <w:rFonts w:cs="Times New Roman"/>
          <w:szCs w:val="24"/>
          <w:lang w:val="en-US"/>
        </w:rPr>
      </w:pPr>
      <w:r>
        <w:rPr>
          <w:rFonts w:cs="Times New Roman"/>
          <w:szCs w:val="24"/>
          <w:lang w:val="en-US"/>
        </w:rPr>
        <w:t xml:space="preserve">In calculation of </w:t>
      </w:r>
      <w:proofErr w:type="gramStart"/>
      <w:r>
        <w:rPr>
          <w:rFonts w:cs="Times New Roman"/>
          <w:szCs w:val="24"/>
          <w:lang w:val="en-US"/>
        </w:rPr>
        <w:t>IRR</w:t>
      </w:r>
      <w:proofErr w:type="gramEnd"/>
      <w:r>
        <w:rPr>
          <w:rFonts w:cs="Times New Roman"/>
          <w:szCs w:val="24"/>
          <w:lang w:val="en-US"/>
        </w:rPr>
        <w:t xml:space="preserve"> investors assume that they pay an initial investment CF</w:t>
      </w:r>
      <w:r>
        <w:rPr>
          <w:rFonts w:cs="Times New Roman"/>
          <w:szCs w:val="24"/>
          <w:vertAlign w:val="subscript"/>
          <w:lang w:val="en-US"/>
        </w:rPr>
        <w:t>0</w:t>
      </w:r>
      <w:r>
        <w:rPr>
          <w:rFonts w:cs="Times New Roman"/>
          <w:szCs w:val="24"/>
          <w:lang w:val="en-US"/>
        </w:rPr>
        <w:t>, receive possible cash flows CF</w:t>
      </w:r>
      <w:r>
        <w:rPr>
          <w:rFonts w:cs="Times New Roman"/>
          <w:szCs w:val="24"/>
          <w:vertAlign w:val="subscript"/>
          <w:lang w:val="en-US"/>
        </w:rPr>
        <w:t>t</w:t>
      </w:r>
      <w:r>
        <w:rPr>
          <w:rFonts w:cs="Times New Roman"/>
          <w:szCs w:val="24"/>
          <w:lang w:val="en-US"/>
        </w:rPr>
        <w:t xml:space="preserve"> in the form of dividends during the holding period, and then receive the final CF</w:t>
      </w:r>
      <w:r>
        <w:rPr>
          <w:rFonts w:cs="Times New Roman"/>
          <w:szCs w:val="24"/>
          <w:vertAlign w:val="subscript"/>
          <w:lang w:val="en-US"/>
        </w:rPr>
        <w:t>T</w:t>
      </w:r>
      <w:r>
        <w:rPr>
          <w:rFonts w:cs="Times New Roman"/>
          <w:szCs w:val="24"/>
          <w:lang w:val="en-US"/>
        </w:rPr>
        <w:t xml:space="preserve"> at the time of LBO exit. </w:t>
      </w:r>
      <w:proofErr w:type="gramStart"/>
      <w:r>
        <w:rPr>
          <w:rFonts w:cs="Times New Roman"/>
          <w:szCs w:val="24"/>
          <w:lang w:val="en-US"/>
        </w:rPr>
        <w:t>Taking this into consideration</w:t>
      </w:r>
      <w:proofErr w:type="gramEnd"/>
      <w:r>
        <w:rPr>
          <w:rFonts w:cs="Times New Roman"/>
          <w:szCs w:val="24"/>
          <w:lang w:val="en-US"/>
        </w:rPr>
        <w:t xml:space="preserve">, the IRR can be solved by obtaining NPV equation set as zero. </w:t>
      </w:r>
    </w:p>
    <w:p w:rsidR="00636895" w:rsidRDefault="00636895" w:rsidP="00636895">
      <w:pPr>
        <w:pStyle w:val="a5"/>
        <w:spacing w:line="360" w:lineRule="auto"/>
        <w:ind w:firstLine="720"/>
        <w:jc w:val="both"/>
        <w:rPr>
          <w:rFonts w:cs="Times New Roman"/>
          <w:szCs w:val="24"/>
          <w:lang w:val="en-US"/>
        </w:rPr>
      </w:pPr>
      <w:r>
        <w:rPr>
          <w:noProof/>
          <w:lang w:eastAsia="ru-RU"/>
        </w:rPr>
        <w:lastRenderedPageBreak/>
        <w:drawing>
          <wp:inline distT="0" distB="0" distL="0" distR="0">
            <wp:extent cx="5167630" cy="659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630" cy="659130"/>
                    </a:xfrm>
                    <a:prstGeom prst="rect">
                      <a:avLst/>
                    </a:prstGeom>
                    <a:noFill/>
                    <a:ln>
                      <a:noFill/>
                    </a:ln>
                  </pic:spPr>
                </pic:pic>
              </a:graphicData>
            </a:graphic>
          </wp:inline>
        </w:drawing>
      </w:r>
    </w:p>
    <w:p w:rsidR="003D7CBA" w:rsidRDefault="003D7CBA" w:rsidP="003D7CBA">
      <w:pPr>
        <w:pStyle w:val="a5"/>
        <w:spacing w:line="360" w:lineRule="auto"/>
        <w:ind w:firstLine="720"/>
        <w:jc w:val="center"/>
        <w:rPr>
          <w:rFonts w:cs="Times New Roman"/>
          <w:szCs w:val="24"/>
          <w:lang w:val="en-US"/>
        </w:rPr>
      </w:pPr>
      <w:r w:rsidRPr="003D7CBA">
        <w:rPr>
          <w:rFonts w:cs="Times New Roman"/>
          <w:i/>
          <w:szCs w:val="24"/>
          <w:lang w:val="en-US"/>
        </w:rPr>
        <w:t>Formula 1</w:t>
      </w:r>
      <w:r>
        <w:rPr>
          <w:rFonts w:cs="Times New Roman"/>
          <w:szCs w:val="24"/>
          <w:lang w:val="en-US"/>
        </w:rPr>
        <w:t>. IRR</w:t>
      </w:r>
    </w:p>
    <w:p w:rsidR="00636895" w:rsidRDefault="00636895" w:rsidP="00636895">
      <w:pPr>
        <w:pStyle w:val="a5"/>
        <w:spacing w:line="360" w:lineRule="auto"/>
        <w:ind w:firstLine="720"/>
        <w:jc w:val="both"/>
        <w:rPr>
          <w:rFonts w:cs="Times New Roman"/>
          <w:szCs w:val="24"/>
          <w:lang w:val="en-US"/>
        </w:rPr>
      </w:pPr>
      <w:r>
        <w:rPr>
          <w:rFonts w:cs="Times New Roman"/>
          <w:szCs w:val="24"/>
          <w:lang w:val="en-US"/>
        </w:rPr>
        <w:t>However, using IRR to estimate the attractiveness of LBO has several drawbacks.</w:t>
      </w:r>
      <w:r>
        <w:rPr>
          <w:rStyle w:val="a9"/>
          <w:rFonts w:cs="Times New Roman"/>
          <w:szCs w:val="24"/>
          <w:lang w:val="en-US"/>
        </w:rPr>
        <w:footnoteReference w:id="35"/>
      </w:r>
      <w:r>
        <w:rPr>
          <w:rFonts w:cs="Times New Roman"/>
          <w:szCs w:val="24"/>
          <w:lang w:val="en-US"/>
        </w:rPr>
        <w:t xml:space="preserve"> </w:t>
      </w:r>
    </w:p>
    <w:p w:rsidR="00636895" w:rsidRDefault="00636895" w:rsidP="008D3CCB">
      <w:pPr>
        <w:pStyle w:val="a5"/>
        <w:numPr>
          <w:ilvl w:val="0"/>
          <w:numId w:val="28"/>
        </w:numPr>
        <w:spacing w:line="360" w:lineRule="auto"/>
        <w:jc w:val="both"/>
        <w:rPr>
          <w:rFonts w:cs="Times New Roman"/>
          <w:szCs w:val="24"/>
          <w:lang w:val="en-US"/>
        </w:rPr>
      </w:pPr>
      <w:r>
        <w:rPr>
          <w:rFonts w:cs="Times New Roman"/>
          <w:szCs w:val="24"/>
          <w:lang w:val="en-US"/>
        </w:rPr>
        <w:t>IRR often overestimates the attractiveness of LBO;</w:t>
      </w:r>
    </w:p>
    <w:p w:rsidR="00636895" w:rsidRDefault="00636895" w:rsidP="008D3CCB">
      <w:pPr>
        <w:pStyle w:val="a5"/>
        <w:numPr>
          <w:ilvl w:val="0"/>
          <w:numId w:val="28"/>
        </w:numPr>
        <w:spacing w:line="360" w:lineRule="auto"/>
        <w:jc w:val="both"/>
        <w:rPr>
          <w:rFonts w:cs="Times New Roman"/>
          <w:szCs w:val="24"/>
          <w:lang w:val="en-US"/>
        </w:rPr>
      </w:pPr>
      <w:r>
        <w:rPr>
          <w:rFonts w:cs="Times New Roman"/>
          <w:szCs w:val="24"/>
          <w:lang w:val="en-US"/>
        </w:rPr>
        <w:t>Comparing IRRs of different LBOs ignores the fact that buyout companies usually do not bear the same risk;</w:t>
      </w:r>
    </w:p>
    <w:p w:rsidR="00636895" w:rsidRDefault="00636895" w:rsidP="008D3CCB">
      <w:pPr>
        <w:pStyle w:val="a5"/>
        <w:numPr>
          <w:ilvl w:val="0"/>
          <w:numId w:val="28"/>
        </w:numPr>
        <w:spacing w:line="360" w:lineRule="auto"/>
        <w:jc w:val="both"/>
        <w:rPr>
          <w:rFonts w:cs="Times New Roman"/>
          <w:szCs w:val="24"/>
          <w:lang w:val="en-US"/>
        </w:rPr>
      </w:pPr>
      <w:r>
        <w:rPr>
          <w:rFonts w:cs="Times New Roman"/>
          <w:szCs w:val="24"/>
          <w:lang w:val="en-US"/>
        </w:rPr>
        <w:t>There can be many solutions when solving the NPV equation for the IRR.</w:t>
      </w:r>
      <w:r>
        <w:rPr>
          <w:rStyle w:val="a9"/>
          <w:rFonts w:cs="Times New Roman"/>
          <w:szCs w:val="24"/>
          <w:lang w:val="en-US"/>
        </w:rPr>
        <w:footnoteReference w:id="36"/>
      </w:r>
    </w:p>
    <w:p w:rsidR="00636895" w:rsidRDefault="00636895" w:rsidP="00636895">
      <w:pPr>
        <w:pStyle w:val="a5"/>
        <w:spacing w:line="360" w:lineRule="auto"/>
        <w:ind w:firstLine="720"/>
        <w:jc w:val="both"/>
        <w:rPr>
          <w:rFonts w:cs="Times New Roman"/>
          <w:szCs w:val="24"/>
          <w:lang w:val="en-US"/>
        </w:rPr>
      </w:pPr>
      <w:r>
        <w:rPr>
          <w:rFonts w:cs="Times New Roman"/>
          <w:szCs w:val="24"/>
          <w:lang w:val="en-US"/>
        </w:rPr>
        <w:t xml:space="preserve">In order to overcome </w:t>
      </w:r>
      <w:r w:rsidR="00A8783C">
        <w:rPr>
          <w:rFonts w:cs="Times New Roman"/>
          <w:szCs w:val="24"/>
          <w:lang w:val="en-US"/>
        </w:rPr>
        <w:t>these limitations</w:t>
      </w:r>
      <w:r>
        <w:rPr>
          <w:rFonts w:cs="Times New Roman"/>
          <w:szCs w:val="24"/>
          <w:lang w:val="en-US"/>
        </w:rPr>
        <w:t xml:space="preserve">, practitioners assume, that there are only two cash flows at the beginning and the end of the interim period and that no dividends </w:t>
      </w:r>
      <w:proofErr w:type="gramStart"/>
      <w:r>
        <w:rPr>
          <w:rFonts w:cs="Times New Roman"/>
          <w:szCs w:val="24"/>
          <w:lang w:val="en-US"/>
        </w:rPr>
        <w:t>are paid</w:t>
      </w:r>
      <w:proofErr w:type="gramEnd"/>
      <w:r>
        <w:rPr>
          <w:rFonts w:cs="Times New Roman"/>
          <w:szCs w:val="24"/>
          <w:lang w:val="en-US"/>
        </w:rPr>
        <w:t xml:space="preserve"> to the new owners during it</w:t>
      </w:r>
      <w:r w:rsidR="004B6610">
        <w:rPr>
          <w:rFonts w:cs="Times New Roman"/>
          <w:szCs w:val="24"/>
          <w:lang w:val="en-US"/>
        </w:rPr>
        <w:t>, and no cash inflows take place</w:t>
      </w:r>
      <w:r>
        <w:rPr>
          <w:rFonts w:cs="Times New Roman"/>
          <w:szCs w:val="24"/>
          <w:lang w:val="en-US"/>
        </w:rPr>
        <w:t xml:space="preserve">. Thus, the following formula </w:t>
      </w:r>
      <w:proofErr w:type="gramStart"/>
      <w:r>
        <w:rPr>
          <w:rFonts w:cs="Times New Roman"/>
          <w:szCs w:val="24"/>
          <w:lang w:val="en-US"/>
        </w:rPr>
        <w:t>is used</w:t>
      </w:r>
      <w:proofErr w:type="gramEnd"/>
      <w:r>
        <w:rPr>
          <w:rFonts w:cs="Times New Roman"/>
          <w:szCs w:val="24"/>
          <w:lang w:val="en-US"/>
        </w:rPr>
        <w:t xml:space="preserve"> to calculate the </w:t>
      </w:r>
      <w:r w:rsidR="00824500">
        <w:rPr>
          <w:rFonts w:cs="Times New Roman"/>
          <w:szCs w:val="24"/>
          <w:lang w:val="en-US"/>
        </w:rPr>
        <w:t>investor rate of return</w:t>
      </w:r>
      <w:r>
        <w:rPr>
          <w:rFonts w:cs="Times New Roman"/>
          <w:szCs w:val="24"/>
          <w:lang w:val="en-US"/>
        </w:rPr>
        <w:t xml:space="preserve"> in LBO-</w:t>
      </w:r>
      <w:r w:rsidR="004B6610">
        <w:rPr>
          <w:rFonts w:cs="Times New Roman"/>
          <w:szCs w:val="24"/>
          <w:lang w:val="en-US"/>
        </w:rPr>
        <w:t>analysis</w:t>
      </w:r>
      <w:r>
        <w:rPr>
          <w:rFonts w:cs="Times New Roman"/>
          <w:szCs w:val="24"/>
          <w:lang w:val="en-US"/>
        </w:rPr>
        <w:t>:</w:t>
      </w:r>
      <w:r>
        <w:rPr>
          <w:rStyle w:val="a9"/>
          <w:rFonts w:cs="Times New Roman"/>
          <w:szCs w:val="24"/>
          <w:lang w:val="en-US"/>
        </w:rPr>
        <w:footnoteReference w:id="37"/>
      </w:r>
    </w:p>
    <w:p w:rsidR="00636895" w:rsidRPr="003D7CBA" w:rsidRDefault="00824500" w:rsidP="00636895">
      <w:pPr>
        <w:pStyle w:val="a5"/>
        <w:spacing w:line="360" w:lineRule="auto"/>
        <w:ind w:firstLine="720"/>
        <w:jc w:val="both"/>
        <w:rPr>
          <w:rFonts w:eastAsiaTheme="minorEastAsia" w:cs="Times New Roman"/>
          <w:szCs w:val="24"/>
        </w:rPr>
      </w:pPr>
      <m:oMathPara>
        <m:oMath>
          <m:r>
            <w:rPr>
              <w:rFonts w:ascii="Cambria Math" w:hAnsi="Cambria Math" w:cs="Times New Roman"/>
              <w:szCs w:val="24"/>
            </w:rPr>
            <m:t>Investor rate of return=</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Equity Value</m:t>
                          </m:r>
                        </m:e>
                        <m:sub>
                          <m:r>
                            <w:rPr>
                              <w:rFonts w:ascii="Cambria Math" w:hAnsi="Cambria Math" w:cs="Times New Roman"/>
                              <w:szCs w:val="24"/>
                            </w:rPr>
                            <m:t>exit</m:t>
                          </m:r>
                        </m:sub>
                      </m:sSub>
                    </m:num>
                    <m:den>
                      <m:r>
                        <w:rPr>
                          <w:rFonts w:ascii="Cambria Math" w:hAnsi="Cambria Math" w:cs="Times New Roman"/>
                          <w:szCs w:val="24"/>
                        </w:rPr>
                        <m:t>Equity contribution</m:t>
                      </m:r>
                    </m:den>
                  </m:f>
                </m:e>
              </m:d>
            </m:e>
            <m:sup>
              <m:r>
                <w:rPr>
                  <w:rFonts w:ascii="Cambria Math" w:hAnsi="Cambria Math" w:cs="Times New Roman"/>
                  <w:szCs w:val="24"/>
                </w:rPr>
                <m:t>1/</m:t>
              </m:r>
              <m:r>
                <w:rPr>
                  <w:rFonts w:ascii="Cambria Math" w:hAnsi="Cambria Math" w:cs="Times New Roman"/>
                  <w:szCs w:val="24"/>
                  <w:lang w:val="en-US"/>
                </w:rPr>
                <m:t>time</m:t>
              </m:r>
            </m:sup>
          </m:sSup>
          <m:r>
            <w:rPr>
              <w:rFonts w:ascii="Cambria Math" w:hAnsi="Cambria Math" w:cs="Times New Roman"/>
              <w:szCs w:val="24"/>
            </w:rPr>
            <m:t>-1</m:t>
          </m:r>
        </m:oMath>
      </m:oMathPara>
    </w:p>
    <w:p w:rsidR="003D7CBA" w:rsidRDefault="003D7CBA" w:rsidP="003D7CBA">
      <w:pPr>
        <w:pStyle w:val="a5"/>
        <w:spacing w:line="360" w:lineRule="auto"/>
        <w:ind w:firstLine="708"/>
        <w:jc w:val="center"/>
        <w:rPr>
          <w:rFonts w:cs="Times New Roman"/>
          <w:szCs w:val="24"/>
          <w:lang w:val="en-US"/>
        </w:rPr>
      </w:pPr>
      <w:r w:rsidRPr="003D7CBA">
        <w:rPr>
          <w:rFonts w:cs="Times New Roman"/>
          <w:i/>
          <w:szCs w:val="24"/>
          <w:lang w:val="en-US"/>
        </w:rPr>
        <w:t xml:space="preserve">Formula </w:t>
      </w:r>
      <w:proofErr w:type="gramStart"/>
      <w:r w:rsidRPr="003D7CBA">
        <w:rPr>
          <w:rFonts w:cs="Times New Roman"/>
          <w:i/>
          <w:szCs w:val="24"/>
          <w:lang w:val="en-US"/>
        </w:rPr>
        <w:t>2</w:t>
      </w:r>
      <w:proofErr w:type="gramEnd"/>
      <w:r>
        <w:rPr>
          <w:rFonts w:cs="Times New Roman"/>
          <w:szCs w:val="24"/>
          <w:lang w:val="en-US"/>
        </w:rPr>
        <w:t>. Investor rate of return</w:t>
      </w:r>
    </w:p>
    <w:p w:rsidR="004B6610" w:rsidRDefault="004B6610" w:rsidP="00990BF0">
      <w:pPr>
        <w:pStyle w:val="a5"/>
        <w:spacing w:line="360" w:lineRule="auto"/>
        <w:rPr>
          <w:rFonts w:cs="Times New Roman"/>
          <w:szCs w:val="24"/>
          <w:lang w:val="en-US"/>
        </w:rPr>
      </w:pPr>
      <w:r>
        <w:rPr>
          <w:rFonts w:cs="Times New Roman"/>
          <w:szCs w:val="24"/>
          <w:lang w:val="en-US"/>
        </w:rPr>
        <w:t>Where:</w:t>
      </w:r>
    </w:p>
    <w:p w:rsidR="004B6610" w:rsidRDefault="004B6610" w:rsidP="004B6610">
      <w:pPr>
        <w:pStyle w:val="a5"/>
        <w:spacing w:line="360" w:lineRule="auto"/>
        <w:rPr>
          <w:rFonts w:cs="Times New Roman"/>
          <w:szCs w:val="24"/>
          <w:lang w:val="en-US"/>
        </w:rPr>
      </w:pPr>
      <w:r w:rsidRPr="004B6610">
        <w:rPr>
          <w:rFonts w:cs="Times New Roman"/>
          <w:szCs w:val="24"/>
          <w:lang w:val="en-US"/>
        </w:rPr>
        <w:t>Equity Value</w:t>
      </w:r>
      <w:r>
        <w:rPr>
          <w:rFonts w:cs="Times New Roman"/>
          <w:szCs w:val="24"/>
          <w:lang w:val="en-US"/>
        </w:rPr>
        <w:t xml:space="preserve"> </w:t>
      </w:r>
      <w:r w:rsidRPr="004B6610">
        <w:rPr>
          <w:rFonts w:cs="Times New Roman"/>
          <w:szCs w:val="24"/>
          <w:vertAlign w:val="subscript"/>
          <w:lang w:val="en-US"/>
        </w:rPr>
        <w:t>exit</w:t>
      </w:r>
      <w:r>
        <w:rPr>
          <w:rFonts w:cs="Times New Roman"/>
          <w:szCs w:val="24"/>
          <w:vertAlign w:val="subscript"/>
          <w:lang w:val="en-US"/>
        </w:rPr>
        <w:t xml:space="preserve"> </w:t>
      </w:r>
      <w:r>
        <w:rPr>
          <w:rFonts w:cs="Times New Roman"/>
          <w:szCs w:val="24"/>
          <w:lang w:val="en-US"/>
        </w:rPr>
        <w:t>– is the equity value of the target at the exit;</w:t>
      </w:r>
    </w:p>
    <w:p w:rsidR="004B6610" w:rsidRDefault="004B6610" w:rsidP="004B6610">
      <w:pPr>
        <w:pStyle w:val="a5"/>
        <w:spacing w:line="360" w:lineRule="auto"/>
        <w:rPr>
          <w:rFonts w:cs="Times New Roman"/>
          <w:szCs w:val="24"/>
          <w:lang w:val="en-US"/>
        </w:rPr>
      </w:pPr>
      <w:r>
        <w:rPr>
          <w:rFonts w:cs="Times New Roman"/>
          <w:szCs w:val="24"/>
          <w:lang w:val="en-US"/>
        </w:rPr>
        <w:t>Equity contribution – is the equity contribution in the financing structure of the LBO deal</w:t>
      </w:r>
      <w:proofErr w:type="gramStart"/>
      <w:r>
        <w:rPr>
          <w:rFonts w:cs="Times New Roman"/>
          <w:szCs w:val="24"/>
          <w:lang w:val="en-US"/>
        </w:rPr>
        <w:t>;</w:t>
      </w:r>
      <w:proofErr w:type="gramEnd"/>
    </w:p>
    <w:p w:rsidR="004B6610" w:rsidRDefault="004B6610" w:rsidP="004B6610">
      <w:pPr>
        <w:pStyle w:val="a5"/>
        <w:spacing w:line="360" w:lineRule="auto"/>
        <w:rPr>
          <w:rFonts w:cs="Times New Roman"/>
          <w:szCs w:val="24"/>
          <w:lang w:val="en-US"/>
        </w:rPr>
      </w:pPr>
      <w:r>
        <w:rPr>
          <w:rFonts w:cs="Times New Roman"/>
          <w:szCs w:val="24"/>
          <w:lang w:val="en-US"/>
        </w:rPr>
        <w:t xml:space="preserve">T – </w:t>
      </w:r>
      <w:proofErr w:type="gramStart"/>
      <w:r>
        <w:rPr>
          <w:rFonts w:cs="Times New Roman"/>
          <w:szCs w:val="24"/>
          <w:lang w:val="en-US"/>
        </w:rPr>
        <w:t>length</w:t>
      </w:r>
      <w:proofErr w:type="gramEnd"/>
      <w:r>
        <w:rPr>
          <w:rFonts w:cs="Times New Roman"/>
          <w:szCs w:val="24"/>
          <w:lang w:val="en-US"/>
        </w:rPr>
        <w:t xml:space="preserve"> of the holding period.</w:t>
      </w:r>
    </w:p>
    <w:p w:rsidR="00636895" w:rsidRDefault="00636895" w:rsidP="00636895">
      <w:pPr>
        <w:pStyle w:val="a5"/>
        <w:spacing w:line="360" w:lineRule="auto"/>
        <w:ind w:firstLine="720"/>
        <w:jc w:val="both"/>
        <w:rPr>
          <w:rFonts w:cs="Times New Roman"/>
          <w:szCs w:val="24"/>
          <w:lang w:val="en-US"/>
        </w:rPr>
      </w:pPr>
      <w:r>
        <w:rPr>
          <w:rFonts w:cs="Times New Roman"/>
          <w:szCs w:val="24"/>
          <w:lang w:val="en-US"/>
        </w:rPr>
        <w:t>Despite the fact that in an LBO model, the attractiveness of a leveraged buyout is usually measured by a single measure, some private equity houses will also focus on an additional things, such as the money multiple, or the equity value and flows received over the lifetime of the deal.</w:t>
      </w:r>
    </w:p>
    <w:p w:rsidR="007A5867" w:rsidRDefault="00295824" w:rsidP="008D3CCB">
      <w:pPr>
        <w:pStyle w:val="2"/>
        <w:numPr>
          <w:ilvl w:val="1"/>
          <w:numId w:val="22"/>
        </w:numPr>
        <w:rPr>
          <w:lang w:val="en-US"/>
        </w:rPr>
      </w:pPr>
      <w:bookmarkStart w:id="17" w:name="_Toc483074647"/>
      <w:r>
        <w:rPr>
          <w:lang w:val="en-US"/>
        </w:rPr>
        <w:t>The logic of LBO-analysis</w:t>
      </w:r>
      <w:bookmarkEnd w:id="17"/>
    </w:p>
    <w:p w:rsidR="004F755F" w:rsidRPr="004F755F" w:rsidRDefault="00F96A04" w:rsidP="004F755F">
      <w:pPr>
        <w:pStyle w:val="a5"/>
        <w:spacing w:line="360" w:lineRule="auto"/>
        <w:ind w:firstLine="708"/>
        <w:jc w:val="both"/>
        <w:rPr>
          <w:rFonts w:cs="Times New Roman"/>
          <w:szCs w:val="24"/>
          <w:lang w:val="en-US"/>
        </w:rPr>
      </w:pPr>
      <w:r>
        <w:rPr>
          <w:rFonts w:cs="Times New Roman"/>
          <w:szCs w:val="24"/>
          <w:lang w:val="en-US"/>
        </w:rPr>
        <w:t xml:space="preserve">The proposed LBO-analysis tool is build based on publicly available information about LBO-modelling techniques. In fact, it integrates different methodologies used by leading </w:t>
      </w:r>
      <w:r w:rsidR="00990BF0">
        <w:rPr>
          <w:rFonts w:cs="Times New Roman"/>
          <w:szCs w:val="24"/>
          <w:lang w:val="en-US"/>
        </w:rPr>
        <w:t xml:space="preserve">international </w:t>
      </w:r>
      <w:r>
        <w:rPr>
          <w:rFonts w:cs="Times New Roman"/>
          <w:szCs w:val="24"/>
          <w:lang w:val="en-US"/>
        </w:rPr>
        <w:t xml:space="preserve">investment banks </w:t>
      </w:r>
      <w:r w:rsidR="004F755F" w:rsidRPr="004F755F">
        <w:rPr>
          <w:rFonts w:cs="Times New Roman"/>
          <w:szCs w:val="24"/>
          <w:lang w:val="en-US"/>
        </w:rPr>
        <w:t>(Goldman Sachs,</w:t>
      </w:r>
      <w:r w:rsidR="00990BF0">
        <w:rPr>
          <w:rFonts w:cs="Times New Roman"/>
          <w:szCs w:val="24"/>
          <w:lang w:val="en-US"/>
        </w:rPr>
        <w:t xml:space="preserve"> UBS, Morgan Stanley, Deutsche </w:t>
      </w:r>
      <w:r w:rsidR="004F755F" w:rsidRPr="004F755F">
        <w:rPr>
          <w:rFonts w:cs="Times New Roman"/>
          <w:szCs w:val="24"/>
          <w:lang w:val="en-US"/>
        </w:rPr>
        <w:t>Bank). This techniques are described in the researches conducted by this companies (Credit Suisse (2007a), Credit Suisse (2007b), Deutsche Bank (2007), Goldman Sachs (2007), Morgan Stanley (2003), UBS (2007)) and presente</w:t>
      </w:r>
      <w:r w:rsidR="00780E7D">
        <w:rPr>
          <w:rFonts w:cs="Times New Roman"/>
          <w:szCs w:val="24"/>
          <w:lang w:val="en-US"/>
        </w:rPr>
        <w:t>d in the book “Equity valuation</w:t>
      </w:r>
      <w:r w:rsidR="004F755F" w:rsidRPr="004F755F">
        <w:rPr>
          <w:rFonts w:cs="Times New Roman"/>
          <w:szCs w:val="24"/>
          <w:lang w:val="en-US"/>
        </w:rPr>
        <w:t>: models from leading investment banks” by Jan Viebig, Thorsten Poddig, and Armin Varmaz.</w:t>
      </w:r>
    </w:p>
    <w:p w:rsidR="00F96A04" w:rsidRDefault="00F96A04" w:rsidP="00F96A04">
      <w:pPr>
        <w:pStyle w:val="a5"/>
        <w:spacing w:line="360" w:lineRule="auto"/>
        <w:ind w:firstLine="708"/>
        <w:jc w:val="both"/>
        <w:rPr>
          <w:rFonts w:cs="Times New Roman"/>
          <w:szCs w:val="24"/>
          <w:lang w:val="en-US"/>
        </w:rPr>
      </w:pPr>
      <w:r>
        <w:rPr>
          <w:rFonts w:cs="Times New Roman"/>
          <w:szCs w:val="24"/>
          <w:lang w:val="en-US"/>
        </w:rPr>
        <w:lastRenderedPageBreak/>
        <w:t xml:space="preserve">The proposed analytical tool is designed in a way that the user my enter the input cells only and get the final product of LBO-analysis. Yet, each step of the model </w:t>
      </w:r>
      <w:proofErr w:type="gramStart"/>
      <w:r>
        <w:rPr>
          <w:rFonts w:cs="Times New Roman"/>
          <w:szCs w:val="24"/>
          <w:lang w:val="en-US"/>
        </w:rPr>
        <w:t>will be described</w:t>
      </w:r>
      <w:proofErr w:type="gramEnd"/>
      <w:r>
        <w:rPr>
          <w:rFonts w:cs="Times New Roman"/>
          <w:szCs w:val="24"/>
          <w:lang w:val="en-US"/>
        </w:rPr>
        <w:t xml:space="preserve"> in detail. </w:t>
      </w:r>
    </w:p>
    <w:p w:rsidR="00F96A04" w:rsidRDefault="00990BF0" w:rsidP="00990BF0">
      <w:pPr>
        <w:pStyle w:val="a5"/>
        <w:spacing w:line="360" w:lineRule="auto"/>
        <w:ind w:firstLine="708"/>
        <w:jc w:val="both"/>
        <w:rPr>
          <w:rFonts w:cs="Times New Roman"/>
          <w:szCs w:val="24"/>
          <w:lang w:val="en-US"/>
        </w:rPr>
      </w:pPr>
      <w:r>
        <w:rPr>
          <w:rFonts w:cs="Times New Roman"/>
          <w:szCs w:val="24"/>
          <w:lang w:val="en-US"/>
        </w:rPr>
        <w:t>As soon as investors have two main objectives in LBO-analysis and LBO-analysis consists of two parts</w:t>
      </w:r>
      <w:r w:rsidR="009B0CE2">
        <w:rPr>
          <w:rFonts w:cs="Times New Roman"/>
          <w:szCs w:val="24"/>
          <w:lang w:val="en-US"/>
        </w:rPr>
        <w:t xml:space="preserve"> (</w:t>
      </w:r>
      <w:r>
        <w:rPr>
          <w:rFonts w:cs="Times New Roman"/>
          <w:szCs w:val="24"/>
          <w:lang w:val="en-US"/>
        </w:rPr>
        <w:t>target identification and target evaluation</w:t>
      </w:r>
      <w:r w:rsidR="009B0CE2">
        <w:rPr>
          <w:rFonts w:cs="Times New Roman"/>
          <w:szCs w:val="24"/>
          <w:lang w:val="en-US"/>
        </w:rPr>
        <w:t>),</w:t>
      </w:r>
      <w:r>
        <w:rPr>
          <w:rFonts w:cs="Times New Roman"/>
          <w:szCs w:val="24"/>
          <w:lang w:val="en-US"/>
        </w:rPr>
        <w:t xml:space="preserve"> </w:t>
      </w:r>
      <w:r w:rsidR="00F96A04">
        <w:rPr>
          <w:rFonts w:cs="Times New Roman"/>
          <w:szCs w:val="24"/>
          <w:lang w:val="en-US"/>
        </w:rPr>
        <w:t xml:space="preserve">the proposed analytical tool is built to address </w:t>
      </w:r>
      <w:r w:rsidR="009B0CE2">
        <w:rPr>
          <w:rFonts w:cs="Times New Roman"/>
          <w:szCs w:val="24"/>
          <w:lang w:val="en-US"/>
        </w:rPr>
        <w:t xml:space="preserve">both of </w:t>
      </w:r>
      <w:proofErr w:type="gramStart"/>
      <w:r w:rsidR="009B0CE2">
        <w:rPr>
          <w:rFonts w:cs="Times New Roman"/>
          <w:szCs w:val="24"/>
          <w:lang w:val="en-US"/>
        </w:rPr>
        <w:t>this objectives</w:t>
      </w:r>
      <w:proofErr w:type="gramEnd"/>
      <w:r w:rsidR="00F96A04">
        <w:rPr>
          <w:rFonts w:cs="Times New Roman"/>
          <w:szCs w:val="24"/>
          <w:lang w:val="en-US"/>
        </w:rPr>
        <w:t xml:space="preserve"> </w:t>
      </w:r>
      <w:r w:rsidR="009B0CE2">
        <w:rPr>
          <w:rFonts w:cs="Times New Roman"/>
          <w:szCs w:val="24"/>
          <w:lang w:val="en-US"/>
        </w:rPr>
        <w:t>and</w:t>
      </w:r>
      <w:r w:rsidR="00F96A04">
        <w:rPr>
          <w:rFonts w:cs="Times New Roman"/>
          <w:szCs w:val="24"/>
          <w:lang w:val="en-US"/>
        </w:rPr>
        <w:t xml:space="preserve"> consists of two parts:</w:t>
      </w:r>
    </w:p>
    <w:p w:rsidR="00F96A04" w:rsidRDefault="00F96A04" w:rsidP="008D3CCB">
      <w:pPr>
        <w:pStyle w:val="a5"/>
        <w:numPr>
          <w:ilvl w:val="0"/>
          <w:numId w:val="29"/>
        </w:numPr>
        <w:spacing w:line="360" w:lineRule="auto"/>
        <w:jc w:val="both"/>
        <w:rPr>
          <w:rFonts w:cs="Times New Roman"/>
          <w:szCs w:val="24"/>
          <w:lang w:val="en-US"/>
        </w:rPr>
      </w:pPr>
      <w:r>
        <w:rPr>
          <w:rFonts w:cs="Times New Roman"/>
          <w:szCs w:val="24"/>
          <w:lang w:val="en-US"/>
        </w:rPr>
        <w:t xml:space="preserve">LBO-screener, designed to quantitatively compare </w:t>
      </w:r>
      <w:r w:rsidR="009B0CE2">
        <w:rPr>
          <w:rFonts w:cs="Times New Roman"/>
          <w:szCs w:val="24"/>
          <w:lang w:val="en-US"/>
        </w:rPr>
        <w:t xml:space="preserve">series of potential candidates and  choose an LBO </w:t>
      </w:r>
      <w:r>
        <w:rPr>
          <w:rFonts w:cs="Times New Roman"/>
          <w:szCs w:val="24"/>
          <w:lang w:val="en-US"/>
        </w:rPr>
        <w:t>target under certain assumptions;</w:t>
      </w:r>
    </w:p>
    <w:p w:rsidR="00F96A04" w:rsidRDefault="00F96A04" w:rsidP="008D3CCB">
      <w:pPr>
        <w:pStyle w:val="a5"/>
        <w:numPr>
          <w:ilvl w:val="0"/>
          <w:numId w:val="29"/>
        </w:numPr>
        <w:spacing w:line="360" w:lineRule="auto"/>
        <w:jc w:val="both"/>
        <w:rPr>
          <w:rFonts w:cs="Times New Roman"/>
          <w:szCs w:val="24"/>
          <w:lang w:val="en-US"/>
        </w:rPr>
      </w:pPr>
      <w:r>
        <w:rPr>
          <w:rFonts w:cs="Times New Roman"/>
          <w:szCs w:val="24"/>
          <w:lang w:val="en-US"/>
        </w:rPr>
        <w:t xml:space="preserve">LBO-model, designed to analyze the chosen target in a </w:t>
      </w:r>
      <w:proofErr w:type="gramStart"/>
      <w:r>
        <w:rPr>
          <w:rFonts w:cs="Times New Roman"/>
          <w:szCs w:val="24"/>
          <w:lang w:val="en-US"/>
        </w:rPr>
        <w:t>greater detail</w:t>
      </w:r>
      <w:proofErr w:type="gramEnd"/>
      <w:r>
        <w:rPr>
          <w:rFonts w:cs="Times New Roman"/>
          <w:szCs w:val="24"/>
          <w:lang w:val="en-US"/>
        </w:rPr>
        <w:t xml:space="preserve">. </w:t>
      </w:r>
    </w:p>
    <w:p w:rsidR="004F6E67" w:rsidRDefault="009B0CE2" w:rsidP="004F6E67">
      <w:pPr>
        <w:pStyle w:val="a5"/>
        <w:spacing w:line="360" w:lineRule="auto"/>
        <w:ind w:firstLine="720"/>
        <w:jc w:val="both"/>
        <w:rPr>
          <w:rFonts w:cs="Times New Roman"/>
          <w:szCs w:val="24"/>
          <w:lang w:val="en-US"/>
        </w:rPr>
      </w:pPr>
      <w:r>
        <w:rPr>
          <w:rFonts w:cs="Times New Roman"/>
          <w:szCs w:val="24"/>
          <w:lang w:val="en-US"/>
        </w:rPr>
        <w:t>As it is supposed to be, the</w:t>
      </w:r>
      <w:r w:rsidR="00F96A04">
        <w:rPr>
          <w:rFonts w:cs="Times New Roman"/>
          <w:szCs w:val="24"/>
          <w:lang w:val="en-US"/>
        </w:rPr>
        <w:t xml:space="preserve"> LBO</w:t>
      </w:r>
      <w:r>
        <w:rPr>
          <w:rFonts w:cs="Times New Roman"/>
          <w:szCs w:val="24"/>
          <w:lang w:val="en-US"/>
        </w:rPr>
        <w:t>-analysis</w:t>
      </w:r>
      <w:r w:rsidR="00F96A04">
        <w:rPr>
          <w:rFonts w:cs="Times New Roman"/>
          <w:szCs w:val="24"/>
          <w:lang w:val="en-US"/>
        </w:rPr>
        <w:t xml:space="preserve"> tool analyze</w:t>
      </w:r>
      <w:r>
        <w:rPr>
          <w:rFonts w:cs="Times New Roman"/>
          <w:szCs w:val="24"/>
          <w:lang w:val="en-US"/>
        </w:rPr>
        <w:t>s</w:t>
      </w:r>
      <w:r w:rsidR="00F96A04">
        <w:rPr>
          <w:rFonts w:cs="Times New Roman"/>
          <w:szCs w:val="24"/>
          <w:lang w:val="en-US"/>
        </w:rPr>
        <w:t xml:space="preserve"> the attractiveness of potential LBO candidates by calculating investor rate of return (IRR)</w:t>
      </w:r>
      <w:r>
        <w:rPr>
          <w:rFonts w:cs="Times New Roman"/>
          <w:szCs w:val="24"/>
          <w:lang w:val="en-US"/>
        </w:rPr>
        <w:t xml:space="preserve"> with the use of formula (2)</w:t>
      </w:r>
      <w:r w:rsidR="00F96A04">
        <w:rPr>
          <w:rFonts w:cs="Times New Roman"/>
          <w:szCs w:val="24"/>
          <w:lang w:val="en-US"/>
        </w:rPr>
        <w:t xml:space="preserve">. </w:t>
      </w:r>
      <w:r w:rsidR="004F6E67">
        <w:rPr>
          <w:rFonts w:cs="Times New Roman"/>
          <w:szCs w:val="24"/>
          <w:lang w:val="en-US"/>
        </w:rPr>
        <w:t xml:space="preserve">It is important to mention that in fact this formula is a matter of great uncertainty, which introduces a number of limitations into the LBO-analysis tool (are discussed in the Chapter 3). The equity value of the target company at the exit is utterly unpredictable, and the LBO-analysis tool does not deal with modeling this uncertainty. Moreover, the model is concerned only with quantitative side of the LBO-analysis, yet in real life qualitative analysis also </w:t>
      </w:r>
      <w:proofErr w:type="gramStart"/>
      <w:r w:rsidR="004F6E67">
        <w:rPr>
          <w:rFonts w:cs="Times New Roman"/>
          <w:szCs w:val="24"/>
          <w:lang w:val="en-US"/>
        </w:rPr>
        <w:t>should be done</w:t>
      </w:r>
      <w:proofErr w:type="gramEnd"/>
      <w:r w:rsidR="004F6E67">
        <w:rPr>
          <w:rFonts w:cs="Times New Roman"/>
          <w:szCs w:val="24"/>
          <w:lang w:val="en-US"/>
        </w:rPr>
        <w:t xml:space="preserve">. </w:t>
      </w:r>
    </w:p>
    <w:p w:rsidR="00F96A04" w:rsidRPr="00F96A04" w:rsidRDefault="00F96A04" w:rsidP="00F96A04">
      <w:pPr>
        <w:pStyle w:val="a5"/>
        <w:spacing w:line="360" w:lineRule="auto"/>
        <w:ind w:firstLine="708"/>
        <w:jc w:val="both"/>
        <w:rPr>
          <w:rFonts w:cs="Times New Roman"/>
          <w:szCs w:val="24"/>
          <w:lang w:val="en-US"/>
        </w:rPr>
      </w:pPr>
      <w:r w:rsidRPr="00F96A04">
        <w:rPr>
          <w:rFonts w:cs="Times New Roman"/>
          <w:szCs w:val="24"/>
          <w:lang w:val="en-US"/>
        </w:rPr>
        <w:t xml:space="preserve">The logic of the proposed LBO-analysis tool </w:t>
      </w:r>
      <w:proofErr w:type="gramStart"/>
      <w:r w:rsidRPr="00F96A04">
        <w:rPr>
          <w:rFonts w:cs="Times New Roman"/>
          <w:szCs w:val="24"/>
          <w:lang w:val="en-US"/>
        </w:rPr>
        <w:t>is presented</w:t>
      </w:r>
      <w:proofErr w:type="gramEnd"/>
      <w:r w:rsidRPr="00F96A04">
        <w:rPr>
          <w:rFonts w:cs="Times New Roman"/>
          <w:szCs w:val="24"/>
          <w:lang w:val="en-US"/>
        </w:rPr>
        <w:t xml:space="preserve"> in the block scheme below. </w:t>
      </w:r>
    </w:p>
    <w:p w:rsidR="00F96A04" w:rsidRDefault="00F96A04" w:rsidP="00F96A04">
      <w:pPr>
        <w:pStyle w:val="a5"/>
        <w:spacing w:line="360" w:lineRule="auto"/>
        <w:ind w:firstLine="708"/>
        <w:jc w:val="both"/>
        <w:rPr>
          <w:rFonts w:cs="Times New Roman"/>
          <w:szCs w:val="24"/>
          <w:lang w:val="en-US"/>
        </w:rPr>
      </w:pPr>
      <w:r>
        <w:rPr>
          <w:rFonts w:cs="Times New Roman"/>
          <w:szCs w:val="24"/>
          <w:lang w:val="en-US"/>
        </w:rPr>
        <w:t xml:space="preserve">The process starts with running the LBO-screener (0). It requires the manual inputs of company data (1) and the inputs of LBO-model assumptions (2). After </w:t>
      </w:r>
      <w:r w:rsidR="00F71F36">
        <w:rPr>
          <w:rFonts w:cs="Times New Roman"/>
          <w:szCs w:val="24"/>
          <w:lang w:val="en-US"/>
        </w:rPr>
        <w:t>that,</w:t>
      </w:r>
      <w:r>
        <w:rPr>
          <w:rFonts w:cs="Times New Roman"/>
          <w:szCs w:val="24"/>
          <w:lang w:val="en-US"/>
        </w:rPr>
        <w:t xml:space="preserve"> the LBO-screener will calculate IRRs for the companies (3) and rank them by implied IRR (4). On step (5) first </w:t>
      </w:r>
      <w:r w:rsidR="00F71F36">
        <w:rPr>
          <w:rFonts w:cs="Times New Roman"/>
          <w:szCs w:val="24"/>
          <w:lang w:val="en-US"/>
        </w:rPr>
        <w:t>decision-making</w:t>
      </w:r>
      <w:r>
        <w:rPr>
          <w:rFonts w:cs="Times New Roman"/>
          <w:szCs w:val="24"/>
          <w:lang w:val="en-US"/>
        </w:rPr>
        <w:t xml:space="preserve"> has to take place: based on the LBO-screener output the investor has to compare a number of potential LBO-targets and make a decision about for which company to make a detailed LBO-model. If the investor is not willing to proceed </w:t>
      </w:r>
      <w:proofErr w:type="gramStart"/>
      <w:r>
        <w:rPr>
          <w:rFonts w:cs="Times New Roman"/>
          <w:szCs w:val="24"/>
          <w:lang w:val="en-US"/>
        </w:rPr>
        <w:t>with more detailed analysis,</w:t>
      </w:r>
      <w:proofErr w:type="gramEnd"/>
      <w:r>
        <w:rPr>
          <w:rFonts w:cs="Times New Roman"/>
          <w:szCs w:val="24"/>
          <w:lang w:val="en-US"/>
        </w:rPr>
        <w:t xml:space="preserve"> the process ends (6). If the investor wants to perform the more detailed analysis, he runs second block of LBO-analysis tool – LBO-model (7). Again, it requires inputs of company data and model assumptions (8). After </w:t>
      </w:r>
      <w:r w:rsidR="00486967">
        <w:rPr>
          <w:rFonts w:cs="Times New Roman"/>
          <w:szCs w:val="24"/>
          <w:lang w:val="en-US"/>
        </w:rPr>
        <w:t>that,</w:t>
      </w:r>
      <w:r>
        <w:rPr>
          <w:rFonts w:cs="Times New Roman"/>
          <w:szCs w:val="24"/>
          <w:lang w:val="en-US"/>
        </w:rPr>
        <w:t xml:space="preserve"> the LBO-model will perform return analysis and calculate IRR (9). The results of return analysis have to </w:t>
      </w:r>
      <w:proofErr w:type="gramStart"/>
      <w:r>
        <w:rPr>
          <w:rFonts w:cs="Times New Roman"/>
          <w:szCs w:val="24"/>
          <w:lang w:val="en-US"/>
        </w:rPr>
        <w:t>be compared</w:t>
      </w:r>
      <w:proofErr w:type="gramEnd"/>
      <w:r>
        <w:rPr>
          <w:rFonts w:cs="Times New Roman"/>
          <w:szCs w:val="24"/>
          <w:lang w:val="en-US"/>
        </w:rPr>
        <w:t xml:space="preserve"> with investor expectations regarding the deal outcome (10). If he is satisfied with the result, he makes the decision to invest in the LBO-target and the process comes to the end (11). If the investor is not satisfied with the results of </w:t>
      </w:r>
      <w:r w:rsidR="00486967">
        <w:rPr>
          <w:rFonts w:cs="Times New Roman"/>
          <w:szCs w:val="24"/>
          <w:lang w:val="en-US"/>
        </w:rPr>
        <w:t>analysis, he may be willing to analyze</w:t>
      </w:r>
      <w:r>
        <w:rPr>
          <w:rFonts w:cs="Times New Roman"/>
          <w:szCs w:val="24"/>
          <w:lang w:val="en-US"/>
        </w:rPr>
        <w:t xml:space="preserve"> another potential LBO-target (12). In this case the process starts over with the stage (5) – choosing and LBO-target and continues until the process comes to the end (13). </w:t>
      </w:r>
    </w:p>
    <w:p w:rsidR="00F96A04" w:rsidRDefault="00F96A04" w:rsidP="00F96A04">
      <w:pPr>
        <w:pStyle w:val="a5"/>
        <w:jc w:val="center"/>
        <w:rPr>
          <w:rFonts w:cs="Times New Roman"/>
          <w:color w:val="FF0000"/>
          <w:szCs w:val="24"/>
          <w:lang w:val="en-US"/>
        </w:rPr>
      </w:pPr>
      <w:r>
        <w:rPr>
          <w:rFonts w:asciiTheme="minorHAnsi" w:hAnsiTheme="minorHAnsi"/>
          <w:noProof/>
          <w:sz w:val="22"/>
          <w:lang w:eastAsia="ru-RU"/>
        </w:rPr>
        <w:lastRenderedPageBreak/>
        <mc:AlternateContent>
          <mc:Choice Requires="wps">
            <w:drawing>
              <wp:anchor distT="0" distB="0" distL="114300" distR="114300" simplePos="0" relativeHeight="251659264" behindDoc="0" locked="0" layoutInCell="1" allowOverlap="1">
                <wp:simplePos x="0" y="0"/>
                <wp:positionH relativeFrom="page">
                  <wp:posOffset>5400675</wp:posOffset>
                </wp:positionH>
                <wp:positionV relativeFrom="paragraph">
                  <wp:posOffset>3552825</wp:posOffset>
                </wp:positionV>
                <wp:extent cx="871855" cy="28702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87185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26" type="#_x0000_t202" style="position:absolute;left:0;text-align:left;margin-left:425.25pt;margin-top:279.75pt;width:68.65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6mAIAAGkFAAAOAAAAZHJzL2Uyb0RvYy54bWysVMFuEzEQvSPxD5bvdJPQtCHqpgqtipCq&#10;tqJFPTteu1lhe4ztZDfceucX+AcOHLjxC+kfMfbuJlHgUsTFO+t5M56ZNzMnp7VWZCmcL8HktH/Q&#10;o0QYDkVpHnL68e7i1YgSH5gpmAIjcroSnp5OXr44qexYDGAOqhCOoBPjx5XN6TwEO84yz+dCM38A&#10;VhhUSnCaBfx1D1nhWIXetcoGvd5RVoErrAMuvMfb80ZJJ8m/lIKHaym9CETlFGML6XTpnMUzm5yw&#10;8YNjdl7yNgz2D1FoVhp8dOPqnAVGFq78w5UuuQMPMhxw0BlIWXKRcsBs+r29bG7nzIqUCxbH202Z&#10;/P9zy6+WN46URU4HyJRhGjlaf1t/X/9Y/1r/fHp8+kpQgVWqrB8j+NYiPNRvoUa2u3uPlzH5Wjod&#10;v5gWQT3We7WpsagD4Xg5Ou6PhkNKOKoGo+PeIHGQbY2t8+GdAE2ikFOHFKbKsuWlDxgIQjtIfMvA&#10;RalUolEZUuX06PWwlww2GrRQJmJFaojWTUyoCTxJYaVExCjzQUgsSIo/XqRWFGfKkSXDJmKcCxNS&#10;6skvoiNKYhDPMWzx26ieY9zk0b0MJmyMdWnApez3wi4+dSHLBo+F3Mk7iqGe1S3RMyhWyLODZl68&#10;5RclsnHJfLhhDgcEqcWhD9d4SAVYdWglSubgvvztPuKxb1FLSYUDl1P/ecGcoES9N9jRb/qHh3FC&#10;08/h8Bgbg7hdzWxXYxb6DJCOPq4Xy5MY8UF1onSg73E3TOOrqGKG49s5DZ14Fpo1gLuFi+k0gXAm&#10;LQuX5tby6DqyE3vtrr5nzrYNGbCTr6AbTTbe68sGGy0NTBcBZJmaNha4qWpbeJzn1Mvt7okLY/c/&#10;obYbcvIbAAD//wMAUEsDBBQABgAIAAAAIQATqame4gAAAAsBAAAPAAAAZHJzL2Rvd25yZXYueG1s&#10;TI/LTsMwEEX3SPyDNUjsqE2F2zTEqapIFRKCRUs37Caxm0T4EWK3DXw9wwp2M5qjO+cW68lZdjZj&#10;7INXcD8TwIxvgu59q+Dwtr3LgMWEXqMN3ij4MhHW5fVVgbkOF78z531qGYX4mKOCLqUh5zw2nXEY&#10;Z2Ewnm7HMDpMtI4t1yNeKNxZPhdiwR32nj50OJiqM83H/uQUPFfbV9zVc5d92+rp5bgZPg/vUqnb&#10;m2nzCCyZKf3B8KtP6lCSUx1OXkdmFWRSSEIVSLmigYhVtqQytYKFeFgCLwv+v0P5AwAA//8DAFBL&#10;AQItABQABgAIAAAAIQC2gziS/gAAAOEBAAATAAAAAAAAAAAAAAAAAAAAAABbQ29udGVudF9UeXBl&#10;c10ueG1sUEsBAi0AFAAGAAgAAAAhADj9If/WAAAAlAEAAAsAAAAAAAAAAAAAAAAALwEAAF9yZWxz&#10;Ly5yZWxzUEsBAi0AFAAGAAgAAAAhABZmMTqYAgAAaQUAAA4AAAAAAAAAAAAAAAAALgIAAGRycy9l&#10;Mm9Eb2MueG1sUEsBAi0AFAAGAAgAAAAhABOpqZ7iAAAACwEAAA8AAAAAAAAAAAAAAAAA8gQAAGRy&#10;cy9kb3ducmV2LnhtbFBLBQYAAAAABAAEAPMAAAABBg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12)</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58240" behindDoc="0" locked="0" layoutInCell="1" allowOverlap="1">
                <wp:simplePos x="0" y="0"/>
                <wp:positionH relativeFrom="page">
                  <wp:posOffset>4527550</wp:posOffset>
                </wp:positionH>
                <wp:positionV relativeFrom="paragraph">
                  <wp:posOffset>4439920</wp:posOffset>
                </wp:positionV>
                <wp:extent cx="553085" cy="28702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524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27" type="#_x0000_t202" style="position:absolute;left:0;text-align:left;margin-left:356.5pt;margin-top:349.6pt;width:43.55pt;height:2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ilwIAAG4FAAAOAAAAZHJzL2Uyb0RvYy54bWysVM1uEzEQviPxDpbvdJOQtCXqpgqtipCq&#10;tqJFPTteu1lhe4ztZDfcuPMKvAMHDtx4hfSNGHt3kxC4FHHxzs58Hs/PN3NyWmtFlsL5EkxO+wc9&#10;SoThUJTmIafv7y5eHFPiAzMFU2BETlfC09PJ82cnlR2LAcxBFcIRdGL8uLI5nYdgx1nm+Vxo5g/A&#10;CoNGCU6zgL/uISscq9C7Vtmg1zvMKnCFdcCF96g9b4x0kvxLKXi4ltKLQFROMbaQTpfOWTyzyQkb&#10;Pzhm5yVvw2D/EIVmpcFHN67OWWBk4co/XOmSO/AgwwEHnYGUJRcpB8ym39vL5nbOrEi5YHG83ZTJ&#10;/z+3/Gp540hZ5HRIiWEaW7T+uv62/r7+uf7x+PnxCxnGGlXWjxF6axEc6tdQY687vUdlTL2WTscv&#10;JkXQjtVebSos6kA4KkejwXCEFo6mwfFRb5A6kG0vW+fDGwGaRCGnDhuY6sqWlz5gIAjtIPEtAxel&#10;UqmJypAqp4cv0f1vFryhTNSIRIfWTUyoCTxJYaVExCjzTkgsR4o/KhIRxZlyZMmQQoxzYUJKPflF&#10;dERJDOIpF1v8NqqnXG7y6F4GEzaXdWnApez3wi4+dCHLBo+F3Mk7iqGe1YkHm77OoFhhux00Q+Mt&#10;vyixKZfMhxvmcEqwjzj54RoPqQCLD61EyRzcp7/pIx7Ji1ZKKpy6nPqPC+YEJeqtQVq/6g+HcUzT&#10;z3B0hPwgbtcy27WYhT4D7Eofd4zlSYz4oDpROtD3uCCm8VU0McPx7ZyGTjwLzS7ABcPFdJpAOJiW&#10;hUtza3l0HZsUKXdX3zNnW14GJPQVdPPJxnv0bLDxpoHpIoAsE3djnZuqtvXHoU6UbhdQ3Bq7/wm1&#10;XZOTXwAAAP//AwBQSwMEFAAGAAgAAAAhAMTynLvjAAAACwEAAA8AAABkcnMvZG93bnJldi54bWxM&#10;jzFPwzAUhHck/oP1kNionRBKmsapqkgVEqJDS5duL7GbRMR2iN028Ot5TDCe7nT3Xb6aTM8uevSd&#10;sxKimQCmbe1UZxsJh/fNQwrMB7QKe2e1hC/tYVXc3uSYKXe1O33Zh4ZRifUZSmhDGDLOfd1qg37m&#10;Bm3JO7nRYCA5NlyNeKVy0/NYiDk32FlaaHHQZavrj/3ZSHgtN1vcVbFJv/vy5e20Hj4Pxycp7++m&#10;9RJY0FP4C8MvPqFDQUyVO1vlWS/hOXqkL0HCfLGIgVEiFSICVpGVJAnwIuf/PxQ/AAAA//8DAFBL&#10;AQItABQABgAIAAAAIQC2gziS/gAAAOEBAAATAAAAAAAAAAAAAAAAAAAAAABbQ29udGVudF9UeXBl&#10;c10ueG1sUEsBAi0AFAAGAAgAAAAhADj9If/WAAAAlAEAAAsAAAAAAAAAAAAAAAAALwEAAF9yZWxz&#10;Ly5yZWxzUEsBAi0AFAAGAAgAAAAhAJYUt2KXAgAAbgUAAA4AAAAAAAAAAAAAAAAALgIAAGRycy9l&#10;Mm9Eb2MueG1sUEsBAi0AFAAGAAgAAAAhAMTynLvjAAAACwEAAA8AAAAAAAAAAAAAAAAA8QQAAGRy&#10;cy9kb3ducmV2LnhtbFBLBQYAAAAABAAEAPMAAAABBg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11)</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0288" behindDoc="0" locked="0" layoutInCell="1" allowOverlap="1">
                <wp:simplePos x="0" y="0"/>
                <wp:positionH relativeFrom="page">
                  <wp:posOffset>4415155</wp:posOffset>
                </wp:positionH>
                <wp:positionV relativeFrom="paragraph">
                  <wp:posOffset>3715385</wp:posOffset>
                </wp:positionV>
                <wp:extent cx="553085" cy="28702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5524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28" type="#_x0000_t202" style="position:absolute;left:0;text-align:left;margin-left:347.65pt;margin-top:292.55pt;width:43.55pt;height:2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V8mAIAAHAFAAAOAAAAZHJzL2Uyb0RvYy54bWysVM1uEzEQviPxDpbvdJOQtCXqpgqtipCq&#10;tqJFPTteu1lhe4ztZDfcuPMKvAMHDtx4hfSNGHt3kxC4FHHxzs58Hs/PN3NyWmtFlsL5EkxO+wc9&#10;SoThUJTmIafv7y5eHFPiAzMFU2BETlfC09PJ82cnlR2LAcxBFcIRdGL8uLI5nYdgx1nm+Vxo5g/A&#10;CoNGCU6zgL/uISscq9C7Vtmg1zvMKnCFdcCF96g9b4x0kvxLKXi4ltKLQFROMbaQTpfOWTyzyQkb&#10;Pzhm5yVvw2D/EIVmpcFHN67OWWBk4co/XOmSO/AgwwEHnYGUJRcpB8ym39vL5nbOrEi5YHG83ZTJ&#10;/z+3/Gp540hZ5HRwRIlhGnu0/rr+tv6+/rn+8fj58QtBA1apsn6M4FuL8FC/hhq73ek9KmPytXQ6&#10;fjEtgnas92pTY1EHwlE5Gg2GI7RwNA2Oj3qD1INse9k6H94I0CQKOXXYwlRZtrz0AQNBaAeJbxm4&#10;KJVKbVSGVDk9fInuf7PgDWWiRiRCtG5iQk3gSQorJSJGmXdCYkFS/FGRqCjOlCNLhiRinAsTUurJ&#10;L6IjSmIQT7nY4rdRPeVyk0f3MpiwuaxLAy5lvxd28aELWTZ4LORO3lEM9axumND1dQbFCtvtoBkb&#10;b/lFiU25ZD7cMIdzgn3E2Q/XeEgFWHxoJUrm4D79TR/xSF+0UlLh3OXUf1wwJyhRbw0S+1V/OIyD&#10;mn6GoyPkB3G7ltmuxSz0GWBX+rhlLE9ixAfVidKBvscVMY2vookZjm/nNHTiWWi2Aa4YLqbTBMLR&#10;tCxcmlvLo+vYpEi5u/qeOdvyMiChr6CbUDbeo2eDjTcNTBcBZJm4G+vcVLWtP451onS7guLe2P1P&#10;qO2inPwCAAD//wMAUEsDBBQABgAIAAAAIQBVVA0g4wAAAAsBAAAPAAAAZHJzL2Rvd25yZXYueG1s&#10;TI/BTsMwEETvSPyDtUjcqNOElDTEqapIFRKih5ZeenNiN4mw1yF228DXs5zguJqnmbfFarKGXfTo&#10;e4cC5rMImMbGqR5bAYf3zUMGzAeJShqHWsCX9rAqb28KmSt3xZ2+7EPLqAR9LgV0IQw5577ptJV+&#10;5gaNlJ3caGWgc2y5GuWVyq3hcRQtuJU90kInB111uvnYn62A12qzlbs6ttm3qV7eTuvh83BMhbi/&#10;m9bPwIKewh8Mv/qkDiU51e6MyjMjYLFME0IFpFk6B0bEUxY/AqspSqIEeFnw/z+UPwAAAP//AwBQ&#10;SwECLQAUAAYACAAAACEAtoM4kv4AAADhAQAAEwAAAAAAAAAAAAAAAAAAAAAAW0NvbnRlbnRfVHlw&#10;ZXNdLnhtbFBLAQItABQABgAIAAAAIQA4/SH/1gAAAJQBAAALAAAAAAAAAAAAAAAAAC8BAABfcmVs&#10;cy8ucmVsc1BLAQItABQABgAIAAAAIQAfOUV8mAIAAHAFAAAOAAAAAAAAAAAAAAAAAC4CAABkcnMv&#10;ZTJvRG9jLnhtbFBLAQItABQABgAIAAAAIQBVVA0g4wAAAAsBAAAPAAAAAAAAAAAAAAAAAPIEAABk&#10;cnMvZG93bnJldi54bWxQSwUGAAAAAAQABADzAAAAAgY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10)</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1312" behindDoc="0" locked="0" layoutInCell="1" allowOverlap="1">
                <wp:simplePos x="0" y="0"/>
                <wp:positionH relativeFrom="page">
                  <wp:posOffset>4491990</wp:posOffset>
                </wp:positionH>
                <wp:positionV relativeFrom="paragraph">
                  <wp:posOffset>1791335</wp:posOffset>
                </wp:positionV>
                <wp:extent cx="354330" cy="266065"/>
                <wp:effectExtent l="0" t="0" r="0" b="635"/>
                <wp:wrapNone/>
                <wp:docPr id="24" name="Надпись 24"/>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7</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4" o:spid="_x0000_s1029" type="#_x0000_t202" style="position:absolute;left:0;text-align:left;margin-left:353.7pt;margin-top:141.05pt;width:27.9pt;height:20.95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2DlwIAAG4FAAAOAAAAZHJzL2Uyb0RvYy54bWysVM1uEzEQviPxDpbvdPPXFKJuqtCqCKlq&#10;K1LUs+O1kxW2x7Ld7IYbd16Bd+DAgRuvkL4RY+9uGgUuRVx2x55vxvPzzZye1VqRtXC+BJPT/lGP&#10;EmE4FKVZ5vTj3eWr15T4wEzBFBiR043w9Gz68sVpZSdiACtQhXAEnRg/qWxOVyHYSZZ5vhKa+SOw&#10;wqBSgtMs4NEts8KxCr1rlQ16vXFWgSusAy68x9uLRkmnyb+UgocbKb0IROUUYwvp69J3Eb/Z9JRN&#10;lo7ZVcnbMNg/RKFZafDRnasLFhh5cOUfrnTJHXiQ4YiDzkDKkouUA2bT7x1kM18xK1IuWBxvd2Xy&#10;/88tv17fOlIWOR2MKDFMY4+237bftz+2v7Y/H788fiWowCpV1k8QPLcID/VbqLHb3b3Hy5h8LZ2O&#10;f0yLoB7rvdnVWNSBcLwcjk96Q9RwVA3GxyOU0Xv2ZGydD+8EaBKFnDpsYaosW1/50EA7SHzLwGWp&#10;VGqjMqTK6Xh43EsGOw06VyZiRSJE6yYm1ASepLBRImKU+SAkFiTFHy8SFcW5cmTNkESMc2FCSj35&#10;RXRESQziOYYt/imq5xg3eXQvgwk7Y10acCn7g7CLT13IssFjzffyjmKoF3ViwrDr6wKKDbbbQTM2&#10;3vLLEptyxXy4ZQ7nBPuIsx9u8CMVYPGhlShZgfv8t/uIR/qilpIK5y6nBhcDJeq9QVq/6Y9GcUzT&#10;YXR8MsCD29cs9jXmQZ8D9qSPO8byJEZ8UJ0oHeh7XBCz+CaqmOH4ck5DJ56HZhfgguFiNksgHEzL&#10;wpWZWx5dxxZFwt3V98zZlpUB6XwN3XyyyQE5G2y0NDB7CCDLxNxY5aambfVxqBP32wUUt8b+OaGe&#10;1uT0NwAAAP//AwBQSwMEFAAGAAgAAAAhABJLRJ7kAAAACwEAAA8AAABkcnMvZG93bnJldi54bWxM&#10;j11LwzAUhu8F/0M4gjfikmWjHbWnQwVFxA/2gewya2JT1iQlSbfu3xuv9PLwPrzvc8rlaDpyVD60&#10;ziJMJwyIsrWTrW0Qtpun2wWQEIWVonNWIZxVgGV1eVGKQrqTXanjOjYkldhQCAQdY19QGmqtjAgT&#10;1yubsm/njYjp9A2VXpxSuekoZyyjRrQ2LWjRq0et6sN6MAgH/XrzyZ7fH76yl7P/2Axu5992iNdX&#10;4/0dkKjG+AfDr35Shyo57d1gZSAdQs7yeUIR+IJPgSQiz2YcyB5hxucMaFXS/z9UPwAAAP//AwBQ&#10;SwECLQAUAAYACAAAACEAtoM4kv4AAADhAQAAEwAAAAAAAAAAAAAAAAAAAAAAW0NvbnRlbnRfVHlw&#10;ZXNdLnhtbFBLAQItABQABgAIAAAAIQA4/SH/1gAAAJQBAAALAAAAAAAAAAAAAAAAAC8BAABfcmVs&#10;cy8ucmVsc1BLAQItABQABgAIAAAAIQBgV62DlwIAAG4FAAAOAAAAAAAAAAAAAAAAAC4CAABkcnMv&#10;ZTJvRG9jLnhtbFBLAQItABQABgAIAAAAIQASS0Se5AAAAAsBAAAPAAAAAAAAAAAAAAAAAPEEAABk&#10;cnMvZG93bnJldi54bWxQSwUGAAAAAAQABADzAAAAAgY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7</w:t>
                      </w:r>
                      <w:r>
                        <w:rPr>
                          <w:rFonts w:cs="Times New Roman"/>
                          <w:szCs w:val="24"/>
                        </w:rPr>
                        <w:t>)</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2336" behindDoc="0" locked="0" layoutInCell="1" allowOverlap="1">
                <wp:simplePos x="0" y="0"/>
                <wp:positionH relativeFrom="page">
                  <wp:posOffset>3658235</wp:posOffset>
                </wp:positionH>
                <wp:positionV relativeFrom="paragraph">
                  <wp:posOffset>589915</wp:posOffset>
                </wp:positionV>
                <wp:extent cx="354330" cy="266065"/>
                <wp:effectExtent l="0" t="0" r="0" b="635"/>
                <wp:wrapNone/>
                <wp:docPr id="22" name="Надпись 22"/>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5</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2" o:spid="_x0000_s1030" type="#_x0000_t202" style="position:absolute;left:0;text-align:left;margin-left:288.05pt;margin-top:46.45pt;width:27.9pt;height:20.9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EhlwIAAG4FAAAOAAAAZHJzL2Uyb0RvYy54bWysVM1uEzEQviPxDpbvZJM0TSHqpgqpipCq&#10;tqJFPTteu1lheyzbzW64cecVeAcOHLjxCukbMfbuJlHgUsRld+z5Zjw/38zpWa0VWQnnSzA5HfT6&#10;lAjDoSjNQ04/3l28ek2JD8wUTIEROV0LT8+mL1+cVnYihrAEVQhH0Inxk8rmdBmCnWSZ50uhme+B&#10;FQaVEpxmAY/uISscq9C7Vtmw3x9nFbjCOuDCe7w9b5R0mvxLKXi4ltKLQFROMbaQvi59F/GbTU/Z&#10;5MExuyx5Gwb7hyg0Kw0+unV1zgIjj678w5UuuQMPMvQ46AykLLlIOWA2g/5BNrdLZkXKBYvj7bZM&#10;/v+55VerG0fKIqfDISWGaezR5tvm++bH5tfm59OXp68EFVilyvoJgm8twkP9Fmrsdnfv8TImX0un&#10;4x/TIqjHeq+3NRZ1IBwvj8Yn/SPUcFQNx8cjlNF7tjO2zod3AjSJQk4dtjBVlq0ufWigHSS+ZeCi&#10;VCq1URlS5XR8dNxPBlsNOlcmYkUiROsmJtQEnqSwViJilPkgJBYkxR8vEhXFXDmyYkgixrkwIaWe&#10;/CI6oiQG8RzDFr+L6jnGTR7dy2DC1liXBlzK/iDs4lMXsmzwWPO9vKMY6kWdmDDq+rqAYo3tdtCM&#10;jbf8osSmXDIfbpjDOcE+4uyHa/xIBVh8aCVKluA+/+0+4pG+qKWkwrnLqcHFQIl6b5DWbwajURzT&#10;dBgdnwzx4PY1i32NedRzwJ4McMdYnsSID6oTpQN9jwtiFt9EFTMcX85p6MR5aHYBLhguZrMEwsG0&#10;LFyaW8uj69iiSLi7+p4527IyIJ2voJtPNjkgZ4ONlgZmjwFkmZgbq9zUtK0+DnXifruA4tbYPyfU&#10;bk1OfwMAAP//AwBQSwMEFAAGAAgAAAAhAKLkrLPjAAAACgEAAA8AAABkcnMvZG93bnJldi54bWxM&#10;j1FLwzAQx98Fv0M4wRfZ0m5at9p0qKAMcYqbyB6zJjZlzaUk6dZ9e88nfbvjfvzv9y8Wg23ZQfvQ&#10;OBSQjhNgGiunGqwFfG6eRjNgIUpUsnWoBZx0gEV5flbIXLkjfujDOtaMQjDkUoCJscs5D5XRVoax&#10;6zTS7dt5KyOtvubKyyOF25ZPkiTjVjZIH4zs9KPR1X7dWwF783L1njyvHr6y5cm/bXq39a9bIS4v&#10;hvs7YFEP8Q+GX31Sh5Kcdq5HFVgr4OY2SwkVMJ/MgRGQTVMadkROr2fAy4L/r1D+AAAA//8DAFBL&#10;AQItABQABgAIAAAAIQC2gziS/gAAAOEBAAATAAAAAAAAAAAAAAAAAAAAAABbQ29udGVudF9UeXBl&#10;c10ueG1sUEsBAi0AFAAGAAgAAAAhADj9If/WAAAAlAEAAAsAAAAAAAAAAAAAAAAALwEAAF9yZWxz&#10;Ly5yZWxzUEsBAi0AFAAGAAgAAAAhAN+m8SGXAgAAbgUAAA4AAAAAAAAAAAAAAAAALgIAAGRycy9l&#10;Mm9Eb2MueG1sUEsBAi0AFAAGAAgAAAAhAKLkrLPjAAAACgEAAA8AAAAAAAAAAAAAAAAA8QQAAGRy&#10;cy9kb3ducmV2LnhtbFBLBQYAAAAABAAEAPMAAAABBg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5</w:t>
                      </w:r>
                      <w:r>
                        <w:rPr>
                          <w:rFonts w:cs="Times New Roman"/>
                          <w:szCs w:val="24"/>
                        </w:rPr>
                        <w:t>)</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3360" behindDoc="0" locked="0" layoutInCell="1" allowOverlap="1">
                <wp:simplePos x="0" y="0"/>
                <wp:positionH relativeFrom="page">
                  <wp:posOffset>4483735</wp:posOffset>
                </wp:positionH>
                <wp:positionV relativeFrom="paragraph">
                  <wp:posOffset>3004185</wp:posOffset>
                </wp:positionV>
                <wp:extent cx="553085" cy="28702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5524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1" type="#_x0000_t202" style="position:absolute;left:0;text-align:left;margin-left:353.05pt;margin-top:236.55pt;width:43.55pt;height:2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v7mQIAAHAFAAAOAAAAZHJzL2Uyb0RvYy54bWysVM1uEzEQviPxDpbvdJOQtCXqpgqtipCq&#10;tqJFPTteu1lhe4ztZDfcuPMKvAMHDtx4hfSNGHt3kxC4FHHxzs58Hs/PN3NyWmtFlsL5EkxO+wc9&#10;SoThUJTmIafv7y5eHFPiAzMFU2BETlfC09PJ82cnlR2LAcxBFcIRdGL8uLI5nYdgx1nm+Vxo5g/A&#10;CoNGCU6zgL/uISscq9C7Vtmg1zvMKnCFdcCF96g9b4x0kvxLKXi4ltKLQFROMbaQTpfOWTyzyQkb&#10;Pzhm5yVvw2D/EIVmpcFHN67OWWBk4co/XOmSO/AgwwEHnYGUJRcpB8ym39vL5nbOrEi5YHG83ZTJ&#10;/z+3/Gp540hZ5HRwSIlhGnu0/rr+tv6+/rn+8fj58QtBA1apsn6M4FuL8FC/hhq73ek9KmPytXQ6&#10;fjEtgnas92pTY1EHwlE5Gg2GI7RwNA2Oj3qD1INse9k6H94I0CQKOXXYwlRZtrz0AQNBaAeJbxm4&#10;KJVKbVSGVDk9fInuf7PgDWWiRiRCtG5iQk3gSQorJSJGmXdCYkFS/FGRqCjOlCNLhiRinAsTUurJ&#10;L6IjSmIQT7nY4rdRPeVyk0f3MpiwuaxLAy5lvxd28aELWTZ4LORO3lEM9axOTBh1fZ1BscJ2O2jG&#10;xlt+UWJTLpkPN8zhnGAfcfbDNR5SARYfWomSObhPf9NHPNIXrZRUOHc59R8XzAlK1FuDxH7VHw7j&#10;oKaf4egI+UHcrmW2azELfQbYlT5uGcuTGPFBdaJ0oO9xRUzjq2hihuPbOQ2deBaabYArhovpNIFw&#10;NC0Ll+bW8ug6NilS7q6+Z862vAxI6CvoJpSN9+jZYONNA9NFAFkm7sY6N1Vt649jnSjdrqC4N3b/&#10;E2q7KCe/AAAA//8DAFBLAwQUAAYACAAAACEAQ2I/5eMAAAALAQAADwAAAGRycy9kb3ducmV2Lnht&#10;bEyPy07DMBBF90j8gzVI7KjzoE0IcaoqUoWEYNHSDTsnniYRfoTYbQNfz7CC3Yzm6M655Xo2mp1x&#10;8oOzAuJFBAxt69RgOwGHt+1dDswHaZXUzqKAL/Swrq6vSlkod7E7PO9DxyjE+kIK6EMYC85926OR&#10;fuFGtHQ7usnIQOvUcTXJC4UbzZMoWnEjB0sfejli3WP7sT8ZAc/19lXumsTk37p+ejluxs/D+1KI&#10;25t58wgs4Bz+YPjVJ3WoyKlxJ6s80wKyaBUTKuA+S2kgIntIE2CNgGWcp8Crkv/vUP0AAAD//wMA&#10;UEsBAi0AFAAGAAgAAAAhALaDOJL+AAAA4QEAABMAAAAAAAAAAAAAAAAAAAAAAFtDb250ZW50X1R5&#10;cGVzXS54bWxQSwECLQAUAAYACAAAACEAOP0h/9YAAACUAQAACwAAAAAAAAAAAAAAAAAvAQAAX3Jl&#10;bHMvLnJlbHNQSwECLQAUAAYACAAAACEA+467+5kCAABwBQAADgAAAAAAAAAAAAAAAAAuAgAAZHJz&#10;L2Uyb0RvYy54bWxQSwECLQAUAAYACAAAACEAQ2I/5eMAAAALAQAADwAAAAAAAAAAAAAAAADzBAAA&#10;ZHJzL2Rvd25yZXYueG1sUEsFBgAAAAAEAAQA8wAAAAMGA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9)</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4384" behindDoc="0" locked="0" layoutInCell="1" allowOverlap="1">
                <wp:simplePos x="0" y="0"/>
                <wp:positionH relativeFrom="page">
                  <wp:posOffset>4645660</wp:posOffset>
                </wp:positionH>
                <wp:positionV relativeFrom="paragraph">
                  <wp:posOffset>2437130</wp:posOffset>
                </wp:positionV>
                <wp:extent cx="553085" cy="28702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5524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2" type="#_x0000_t202" style="position:absolute;left:0;text-align:left;margin-left:365.8pt;margin-top:191.9pt;width:43.55pt;height:22.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FmQIAAHAFAAAOAAAAZHJzL2Uyb0RvYy54bWysVM1uEzEQviPxDpbvdJOQtCXqpgqtipCq&#10;tqJFPTteu1lhe4ztZDfcuPMKvAMHDtx4hfSNGHt3kxC4FHHxzs58Hs/PN3NyWmtFlsL5EkxO+wc9&#10;SoThUJTmIafv7y5eHFPiAzMFU2BETlfC09PJ82cnlR2LAcxBFcIRdGL8uLI5nYdgx1nm+Vxo5g/A&#10;CoNGCU6zgL/uISscq9C7Vtmg1zvMKnCFdcCF96g9b4x0kvxLKXi4ltKLQFROMbaQTpfOWTyzyQkb&#10;Pzhm5yVvw2D/EIVmpcFHN67OWWBk4co/XOmSO/AgwwEHnYGUJRcpB8ym39vL5nbOrEi5YHG83ZTJ&#10;/z+3/Gp540hZ5HQwosQwjT1af11/W39f/1z/ePz8+IWgAatUWT9G8K1FeKhfQ43d7vQelTH5Wjod&#10;v5gWQTvWe7WpsagD4agcjQbDEVo4mgbHR71B6kG2vWydD28EaBKFnDpsYaosW176gIEgtIPEtwxc&#10;lEqlNipDqpwevkT3v1nwhjJRIxIhWjcxoSbwJIWVEhGjzDshsSAp/qhIVBRnypElQxIxzoUJKfXk&#10;F9ERJTGIp1xs8duonnK5yaN7GUzYXNalAZey3wu7+NCFLBs8FnIn7yiGelYnJhx2fZ1BscJ2O2jG&#10;xlt+UWJTLpkPN8zhnGAfcfbDNR5SARYfWomSObhPf9NHPNIXrZRUOHc59R8XzAlK1FuDxH7VHw7j&#10;oKaf4egI+UHcrmW2azELfQbYlT5uGcuTGPFBdaJ0oO9xRUzjq2hihuPbOQ2deBaabYArhovpNIFw&#10;NC0Ll+bW8ug6NilS7q6+Z862vAxI6CvoJpSN9+jZYONNA9NFAFkm7sY6N1Vt649jnSjdrqC4N3b/&#10;E2q7KCe/AAAA//8DAFBLAwQUAAYACAAAACEAk7HPjuMAAAALAQAADwAAAGRycy9kb3ducmV2Lnht&#10;bEyPy07DMBBF90j8gzVI7KjzgDZNM6mqSBUSoouWbthNYjeJ8CPEbhv4eswKlqM5uvfcYj1pxS5y&#10;dL01CPEsAiZNY0VvWoTj2/YhA+Y8GUHKGonwJR2sy9ubgnJhr2YvLwffshBiXE4InfdDzrlrOqnJ&#10;zewgTfid7KjJh3NsuRjpGsK14kkUzbmm3oSGjgZZdbL5OJw1wku13dG+TnT2rarn19Nm+Dy+PyHe&#10;302bFTAvJ/8Hw69+UIcyONX2bIRjCmGRxvOAIqRZGjYEIouzBbAa4TFZRsDLgv/fUP4AAAD//wMA&#10;UEsBAi0AFAAGAAgAAAAhALaDOJL+AAAA4QEAABMAAAAAAAAAAAAAAAAAAAAAAFtDb250ZW50X1R5&#10;cGVzXS54bWxQSwECLQAUAAYACAAAACEAOP0h/9YAAACUAQAACwAAAAAAAAAAAAAAAAAvAQAAX3Jl&#10;bHMvLnJlbHNQSwECLQAUAAYACAAAACEAlL7vxZkCAABwBQAADgAAAAAAAAAAAAAAAAAuAgAAZHJz&#10;L2Uyb0RvYy54bWxQSwECLQAUAAYACAAAACEAk7HPjuMAAAALAQAADwAAAAAAAAAAAAAAAADzBAAA&#10;ZHJzL2Rvd25yZXYueG1sUEsFBgAAAAAEAAQA8wAAAAMGA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8)</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388620</wp:posOffset>
                </wp:positionV>
                <wp:extent cx="354330" cy="266065"/>
                <wp:effectExtent l="0" t="0" r="0" b="635"/>
                <wp:wrapNone/>
                <wp:docPr id="21" name="Надпись 21"/>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4</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1" o:spid="_x0000_s1033" type="#_x0000_t202" style="position:absolute;left:0;text-align:left;margin-left:-23.3pt;margin-top:30.6pt;width:27.9pt;height:20.95pt;z-index:2516654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TlwIAAG4FAAAOAAAAZHJzL2Uyb0RvYy54bWysVM1uEzEQviPxDpbvdJM0TSHqpgqtipCq&#10;tqJFPTteu1nhtS3bzW64cecVeAcOHLjxCukb8dm7m0aFSxGX3bHnm/H8fDNHx02lyEo4Xxqd0+He&#10;gBKhuSlKfZfTjzdnr15T4gPTBVNGi5yuhafHs5cvjmo7FSOzNKoQjsCJ9tPa5nQZgp1mmedLUTG/&#10;Z6zQUErjKhZwdHdZ4VgN75XKRoPBJKuNK6wzXHiP29NWSWfJv5SCh0spvQhE5RSxhfR16buI32x2&#10;xKZ3jtllybsw2D9EUbFS49Gtq1MWGLl35R+uqpI7440Me9xUmZGy5CLlgGyGgyfZXC+ZFSkXFMfb&#10;bZn8/3PLL1ZXjpRFTkdDSjSr0KPNt833zY/Nr83Phy8PXwkUqFJt/RTgawt4aN6aBt3u7z0uY/KN&#10;dFX8Iy0CPeq93tZYNIFwXO5PDgf70HCoRpODMWR4zx6NrfPhnTAViUJOHVqYKstW5z600B4S39Lm&#10;rFQqtVFpUud0sn8wSAZbDZwrHbEiEaJzExNqA09SWCsRMUp/EBIFSfHHi0RFcaIcWTGQiHEudEip&#10;J79AR5REEM8x7PCPUT3HuM2jf9nosDWuSm1cyv5J2MWnPmTZ4lHznbyjGJpFk5hw2Pd1YYo12u1M&#10;Ozbe8rMSTTlnPlwxhzlBHzH74RIfqQyKbzqJkqVxn/92H/GgL7SU1Ji7nGosBkrUew1avxmOx3FM&#10;02F8cDjCwe1qFrsafV+dGPQEzEVsSYz4oHpROlPdYkHM45tQMc3xck5DL56EdhdgwXAxnycQBtOy&#10;cK6vLY+uY4si4W6aW+Zsx8oAOl+Yfj7Z9Ak5W2y01GZ+H4wsE3NjlduadtXHUCfudwsobo3dc0I9&#10;rsnZbwAAAP//AwBQSwMEFAAGAAgAAAAhAMS9/y7eAAAABgEAAA8AAABkcnMvZG93bnJldi54bWxM&#10;j09Lw0AUxO+C32F5ghexu6k0SMymqKCI+AdbkR632WcSmn0bdjdt+u19nvQ4zDDzm3I5uV7sMcTO&#10;k4ZspkAg1d521Gj4XD9cXoOIyZA1vSfUcMQIy+r0pDSF9Qf6wP0qNYJLKBZGQ5vSUEgZ6xadiTM/&#10;ILH37YMziWVopA3mwOWul3OlculMR7zQmgHvW6x3q9Fp2LXPF+/q8fXuK386hrf16DfhZaP1+dl0&#10;ewMi4ZT+wvCLz+hQMdPWj2Sj6DXwkaQhz+Yg2F0s+MeWU+oqA1mV8j9+9QMAAP//AwBQSwECLQAU&#10;AAYACAAAACEAtoM4kv4AAADhAQAAEwAAAAAAAAAAAAAAAAAAAAAAW0NvbnRlbnRfVHlwZXNdLnht&#10;bFBLAQItABQABgAIAAAAIQA4/SH/1gAAAJQBAAALAAAAAAAAAAAAAAAAAC8BAABfcmVscy8ucmVs&#10;c1BLAQItABQABgAIAAAAIQC+jxTTlwIAAG4FAAAOAAAAAAAAAAAAAAAAAC4CAABkcnMvZTJvRG9j&#10;LnhtbFBLAQItABQABgAIAAAAIQDEvf8u3gAAAAYBAAAPAAAAAAAAAAAAAAAAAPEEAABkcnMvZG93&#10;bnJldi54bWxQSwUGAAAAAAQABADzAAAA/AU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4</w:t>
                      </w:r>
                      <w:r>
                        <w:rPr>
                          <w:rFonts w:cs="Times New Roman"/>
                          <w:szCs w:val="24"/>
                        </w:rPr>
                        <w:t>)</w:t>
                      </w:r>
                    </w:p>
                  </w:txbxContent>
                </v:textbox>
                <w10:wrap anchorx="margin"/>
              </v:shape>
            </w:pict>
          </mc:Fallback>
        </mc:AlternateContent>
      </w:r>
      <w:r>
        <w:rPr>
          <w:rFonts w:asciiTheme="minorHAnsi" w:hAnsiTheme="minorHAnsi"/>
          <w:noProof/>
          <w:sz w:val="22"/>
          <w:lang w:eastAsia="ru-RU"/>
        </w:rPr>
        <mc:AlternateContent>
          <mc:Choice Requires="wps">
            <w:drawing>
              <wp:anchor distT="0" distB="0" distL="114300" distR="114300" simplePos="0" relativeHeight="251666432" behindDoc="0" locked="0" layoutInCell="1" allowOverlap="1">
                <wp:simplePos x="0" y="0"/>
                <wp:positionH relativeFrom="page">
                  <wp:posOffset>5401310</wp:posOffset>
                </wp:positionH>
                <wp:positionV relativeFrom="paragraph">
                  <wp:posOffset>321310</wp:posOffset>
                </wp:positionV>
                <wp:extent cx="354330" cy="265430"/>
                <wp:effectExtent l="0" t="0" r="0" b="1270"/>
                <wp:wrapNone/>
                <wp:docPr id="20" name="Надпись 20"/>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3</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0" o:spid="_x0000_s1034" type="#_x0000_t202" style="position:absolute;left:0;text-align:left;margin-left:425.3pt;margin-top:25.3pt;width:27.9pt;height:20.9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9ClwIAAG4FAAAOAAAAZHJzL2Uyb0RvYy54bWysVM1uEzEQviPxDpbvdJM0TUvUTRVaFSFV&#10;tKJFPTteu1nh9Vj2NLvhxp1X4B04cODGK6RvxNi7m0aFSxEX76znm/H8fDPHJ01l2Er5UILN+XBv&#10;wJmyEorS3uX84835qyPOAgpbCANW5XytAj+ZvXxxXLupGsESTKE8Iyc2TGuX8yWim2ZZkEtVibAH&#10;TllSavCVQPr1d1nhRU3eK5ONBoNJVoMvnAepQqDbs1bJZ8m/1kripdZBITM5p9gwnT6di3hms2Mx&#10;vfPCLUvZhSH+IYpKlJYe3bo6EyjYvS//cFWV0kMAjXsSqgy0LqVKOVA2w8GTbK6XwqmUCxUnuG2Z&#10;wv9zK9+vrjwri5yPqDxWVNSjzbfN982Pza/Nz4cvD18ZKahKtQtTAl87gmPzBhrqdn8f6DIm32hf&#10;xS+lxUhPDtfbGqsGmaTL/cnhYJ80klSjycGYZPKePRo7H/CtgopFIeeeWpgqK1YXAVtoD4lvWTgv&#10;jUltNJbVOZ/sHwySwVZDzo2NWJUI0bmJCbWBJwnXRkWMsR+UpoKk+ONFoqI6NZ6tBJFISKksptST&#10;X0JHlKYgnmPY4R+jeo5xm0f/MljcGlelBZ+yfxJ28akPWbd4qvlO3lHEZtEkJhz1fV1AsaZ2e2jH&#10;Jjh5XlJTLkTAK+FpTqiPNPt4SYc2QMWHTuJsCf7z3+4jnuhLWs5qmrucW1oMnJl3lmj9ejgek1NM&#10;P+ODw0hKv6tZ7GrsfXUK1JMh7RgnkxjxaHpRe6huaUHM45ukElbSyznHXjzFdhfQgpFqPk8gGkwn&#10;8MJeOxldxxZFwt00t8K7jpVIdH4P/XyK6RNytthoaWF+j6DLxNxY5bamXfVpqBP3uwUUt8buf0I9&#10;rsnZbwAAAP//AwBQSwMEFAAGAAgAAAAhAEbFvjLhAAAACQEAAA8AAABkcnMvZG93bnJldi54bWxM&#10;j01PwzAMhu9I/IfISFwQS5hGNUrTCZBACPEhNoR2zBrTVmucKkm37t9juMDJtvzo9eNiMbpO7DDE&#10;1pOGi4kCgVR521Kt4WN1fz4HEZMhazpPqOGAERbl8VFhcuv39I67ZaoFh1DMjYYmpT6XMlYNOhMn&#10;vkfi3ZcPziQeQy1tMHsOd52cKpVJZ1riC43p8a7BarscnIZt83T2ph5ebj+zx0N4XQ1+HZ7XWp+e&#10;jDfXIBKO6Q+GH31Wh5KdNn4gG0WnYX6pMkY1/FYGrlQ2A7HhZjoDWRby/wflNwAAAP//AwBQSwEC&#10;LQAUAAYACAAAACEAtoM4kv4AAADhAQAAEwAAAAAAAAAAAAAAAAAAAAAAW0NvbnRlbnRfVHlwZXNd&#10;LnhtbFBLAQItABQABgAIAAAAIQA4/SH/1gAAAJQBAAALAAAAAAAAAAAAAAAAAC8BAABfcmVscy8u&#10;cmVsc1BLAQItABQABgAIAAAAIQANeR9ClwIAAG4FAAAOAAAAAAAAAAAAAAAAAC4CAABkcnMvZTJv&#10;RG9jLnhtbFBLAQItABQABgAIAAAAIQBGxb4y4QAAAAkBAAAPAAAAAAAAAAAAAAAAAPEEAABkcnMv&#10;ZG93bnJldi54bWxQSwUGAAAAAAQABADzAAAA/wU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3</w:t>
                      </w:r>
                      <w:r>
                        <w:rPr>
                          <w:rFonts w:cs="Times New Roman"/>
                          <w:szCs w:val="24"/>
                        </w:rPr>
                        <w:t>)</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7456" behindDoc="0" locked="0" layoutInCell="1" allowOverlap="1">
                <wp:simplePos x="0" y="0"/>
                <wp:positionH relativeFrom="page">
                  <wp:posOffset>4159885</wp:posOffset>
                </wp:positionH>
                <wp:positionV relativeFrom="paragraph">
                  <wp:posOffset>321945</wp:posOffset>
                </wp:positionV>
                <wp:extent cx="354330" cy="266065"/>
                <wp:effectExtent l="0" t="0" r="0" b="635"/>
                <wp:wrapNone/>
                <wp:docPr id="18" name="Надпись 18"/>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2</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8" o:spid="_x0000_s1035" type="#_x0000_t202" style="position:absolute;left:0;text-align:left;margin-left:327.55pt;margin-top:25.35pt;width:27.9pt;height:20.9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tIlgIAAG4FAAAOAAAAZHJzL2Uyb0RvYy54bWysVM1uEzEQviPxDpbvdJM0TWnUTRVaFSFV&#10;tKJFPTteu1nhtS3bzW64cecVeAcOHLjxCukb8dm7m0aFSxGX3bHnm/H8fDPHJ02lyEo4Xxqd0+He&#10;gBKhuSlKfZfTjzfnr15T4gPTBVNGi5yuhacns5cvjms7FSOzNKoQjsCJ9tPa5nQZgp1mmedLUTG/&#10;Z6zQUErjKhZwdHdZ4VgN75XKRoPBJKuNK6wzXHiP27NWSWfJv5SCh0spvQhE5RSxhfR16buI32x2&#10;zKZ3jtllybsw2D9EUbFS49GtqzMWGLl35R+uqpI7440Me9xUmZGy5CLlgGyGgyfZXC+ZFSkXFMfb&#10;bZn8/3PL36+uHCkL9A6d0qxCjzbfNt83Pza/Nj8fvjx8JVCgSrX1U4CvLeCheWMaWPT3Hpcx+Ua6&#10;Kv6RFoEe9V5vayyaQDgu9yeHg31oOFSjycEYMrxnj8bW+fBWmIpEIacOLUyVZasLH1poD4lvaXNe&#10;KpXaqDSpczrZPxgkg60GzpWOWJEI0bmJCbWBJymslYgYpT8IiYKk+ONFoqI4VY6sGEjEOBc6pNST&#10;X6AjSiKI5xh2+MeonmPc5tG/bHTYGlelNi5l/yTs4lMfsmzxqPlO3lEMzaJJTDjq+7owxRrtdqYd&#10;G2/5eYmmXDAfrpjDnKCPmP1wiY9UBsU3nUTJ0rjPf7uPeNAXWkpqzF1ONRYDJeqdBq2PhuNxHNN0&#10;GB8cjnBwu5rFrkbfV6cGPRlix1iexIgPqhelM9UtFsQ8vgkV0xwv5zT04mlodwEWDBfzeQJhMC0L&#10;F/ra8ug6tigS7qa5Zc52rAyg83vTzyebPiFni42W2szvg5FlYm6sclvTrvoY6sT9bgHFrbF7TqjH&#10;NTn7DQAA//8DAFBLAwQUAAYACAAAACEA03JyDuIAAAAJAQAADwAAAGRycy9kb3ducmV2LnhtbEyP&#10;UUvDMBSF3wX/Q7iCL7IlHbTbam+HCorIVNxE9pg117asSUqSbt2/Nz7p4+V8nPPdYjXqjh3J+dYa&#10;hGQqgJGprGpNjfC5fZwsgPkgjZKdNYRwJg+r8vKikLmyJ/NBx02oWSwxPpcITQh9zrmvGtLST21P&#10;Jmbf1mkZ4ulqrpw8xXLd8ZkQGdeyNXGhkT09NFQdNoNGODQvN+/i6fX+K3s+u7ftYHduvUO8vhrv&#10;boEFGsMfDL/6UR3K6LS3g1GedQhZmiYRRUjFHFgE5olYAtsjLGcZ8LLg/z8ofwAAAP//AwBQSwEC&#10;LQAUAAYACAAAACEAtoM4kv4AAADhAQAAEwAAAAAAAAAAAAAAAAAAAAAAW0NvbnRlbnRfVHlwZXNd&#10;LnhtbFBLAQItABQABgAIAAAAIQA4/SH/1gAAAJQBAAALAAAAAAAAAAAAAAAAAC8BAABfcmVscy8u&#10;cmVsc1BLAQItABQABgAIAAAAIQDtNTtIlgIAAG4FAAAOAAAAAAAAAAAAAAAAAC4CAABkcnMvZTJv&#10;RG9jLnhtbFBLAQItABQABgAIAAAAIQDTcnIO4gAAAAkBAAAPAAAAAAAAAAAAAAAAAPAEAABkcnMv&#10;ZG93bnJldi54bWxQSwUGAAAAAAQABADzAAAA/wU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2</w:t>
                      </w:r>
                      <w:r>
                        <w:rPr>
                          <w:rFonts w:cs="Times New Roman"/>
                          <w:szCs w:val="24"/>
                        </w:rPr>
                        <w:t>)</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8480" behindDoc="0" locked="0" layoutInCell="1" allowOverlap="1">
                <wp:simplePos x="0" y="0"/>
                <wp:positionH relativeFrom="page">
                  <wp:posOffset>2129790</wp:posOffset>
                </wp:positionH>
                <wp:positionV relativeFrom="paragraph">
                  <wp:posOffset>325120</wp:posOffset>
                </wp:positionV>
                <wp:extent cx="871855" cy="28702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87185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lang w:val="en-US"/>
                              </w:rPr>
                              <w:t xml:space="preserve"> </w:t>
                            </w:r>
                            <w:r>
                              <w:rPr>
                                <w:rFonts w:cs="Times New Roman"/>
                                <w:szCs w:val="24"/>
                              </w:rPr>
                              <w:t>(</w:t>
                            </w:r>
                            <w:r>
                              <w:rPr>
                                <w:rFonts w:cs="Times New Roman"/>
                                <w:szCs w:val="24"/>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6" type="#_x0000_t202" style="position:absolute;left:0;text-align:left;margin-left:167.7pt;margin-top:25.6pt;width:68.65pt;height:2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NbmwIAAHEFAAAOAAAAZHJzL2Uyb0RvYy54bWysVM1uEzEQviPxDpbvdJPQtGnUTRVaFSFV&#10;bUWKena8drPC9hjbyW64cecVeAcOHLjxCukbMfbuJlHhUsTF6535Zjw/38zpWa0VWQnnSzA57R/0&#10;KBGGQ1Gah5x+uLt8NaLEB2YKpsCInK6Fp2eTly9OKzsWA1iAKoQj6MT4cWVzugjBjrPM84XQzB+A&#10;FQaVEpxmAX/dQ1Y4VqF3rbJBr3eUVeAK64AL71F60SjpJPmXUvBwI6UXgaicYmwhnS6d83hmk1M2&#10;fnDMLkrehsH+IQrNSoOPbl1dsMDI0pV/uNIld+BBhgMOOgMpSy5SDphNv/ckm9mCWZFyweJ4uy2T&#10;/39u+fXq1pGyyOnghBLDNPZo823zffNj82vz8/HL41eCCqxSZf0YwTOL8FC/gRq73ck9CmPytXQ6&#10;fjEtgnqs93pbY1EHwlE4Ou6PhkNKOKoGo+PeIPUg2xlb58NbAZrES04dtjBVlq2ufMBAENpB4lsG&#10;LkulUhuVIVVOj14Pe8lgq0ELZSJWJEK0bmJCTeDpFtZKRIwy74XEgqT4oyBRUZwrR1YMScQ4Fyak&#10;1JNfREeUxCCeY9jid1E9x7jJo3sZTNga69KAS9k/Cbv42IUsGzwWci/veA31vE5M6KeWRNEcijX2&#10;20EzN97yyxK7csV8uGUOBwVbjMMfbvCQCrD60N4oWYD7/Dd5xCN/UUtJhYOXU/9pyZygRL0zyOyT&#10;/uFhnNT0czg8RoIQt6+Z72vMUp8DtqWPa8bydI34oLqrdKDvcUdM46uoYobj2zkN3fU8NOsAdwwX&#10;02kC4WxaFq7MzPLoOnYpcu6uvmfOtsQMyOhr6EaUjZ/ws8FGSwPTZQBZJvLuqto2AOc6cbrdQXFx&#10;7P8n1G5TTn4DAAD//wMAUEsDBBQABgAIAAAAIQAFpYzh4gAAAAkBAAAPAAAAZHJzL2Rvd25yZXYu&#10;eG1sTI/LTsMwEEX3SPyDNUjsqNM06SONU1WRKiREFy3dsHPiaRJhj0PstoGvx6xgObpH957JN6PR&#10;7IqD6ywJmE4iYEi1VR01Ak5vu6clMOclKaktoYAvdLAp7u9ymSl7owNej75hoYRcJgW03vcZ565u&#10;0Ug3sT1SyM52MNKHc2i4GuQtlBvN4yiacyM7Cgut7LFssf44XoyAl3K3l4cqNstvXT6/nrf95+k9&#10;FeLxYdyugXkc/R8Mv/pBHYrgVNkLKce0gNksTQIqIJ3GwAKQLOIFsErAap4AL3L+/4PiBwAA//8D&#10;AFBLAQItABQABgAIAAAAIQC2gziS/gAAAOEBAAATAAAAAAAAAAAAAAAAAAAAAABbQ29udGVudF9U&#10;eXBlc10ueG1sUEsBAi0AFAAGAAgAAAAhADj9If/WAAAAlAEAAAsAAAAAAAAAAAAAAAAALwEAAF9y&#10;ZWxzLy5yZWxzUEsBAi0AFAAGAAgAAAAhAFZAk1ubAgAAcQUAAA4AAAAAAAAAAAAAAAAALgIAAGRy&#10;cy9lMm9Eb2MueG1sUEsBAi0AFAAGAAgAAAAhAAWljOHiAAAACQEAAA8AAAAAAAAAAAAAAAAA9QQA&#10;AGRycy9kb3ducmV2LnhtbFBLBQYAAAAABAAEAPMAAAAEBgAAAAA=&#10;" filled="f" stroked="f" strokeweight=".5pt">
                <v:textbox>
                  <w:txbxContent>
                    <w:p w:rsidR="00C16B02" w:rsidRDefault="00C16B02" w:rsidP="00F96A04">
                      <w:pPr>
                        <w:pStyle w:val="a5"/>
                        <w:rPr>
                          <w:rFonts w:cs="Times New Roman"/>
                          <w:szCs w:val="24"/>
                        </w:rPr>
                      </w:pPr>
                      <w:r>
                        <w:rPr>
                          <w:rFonts w:cs="Times New Roman"/>
                          <w:szCs w:val="24"/>
                          <w:lang w:val="en-US"/>
                        </w:rPr>
                        <w:t xml:space="preserve"> </w:t>
                      </w:r>
                      <w:r>
                        <w:rPr>
                          <w:rFonts w:cs="Times New Roman"/>
                          <w:szCs w:val="24"/>
                        </w:rPr>
                        <w:t>(</w:t>
                      </w:r>
                      <w:r>
                        <w:rPr>
                          <w:rFonts w:cs="Times New Roman"/>
                          <w:szCs w:val="24"/>
                          <w:lang w:val="en-US"/>
                        </w:rPr>
                        <w:t>0)</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69504" behindDoc="0" locked="0" layoutInCell="1" allowOverlap="1">
                <wp:simplePos x="0" y="0"/>
                <wp:positionH relativeFrom="column">
                  <wp:posOffset>2077720</wp:posOffset>
                </wp:positionH>
                <wp:positionV relativeFrom="paragraph">
                  <wp:posOffset>385445</wp:posOffset>
                </wp:positionV>
                <wp:extent cx="354330" cy="382905"/>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36703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6" o:spid="_x0000_s1037" type="#_x0000_t202" style="position:absolute;left:0;text-align:left;margin-left:163.6pt;margin-top:30.35pt;width:27.9pt;height:30.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AqlwIAAG8FAAAOAAAAZHJzL2Uyb0RvYy54bWysVM1u1DAQviPxDpbvNPvTbsuq2WppVYRU&#10;0YoW9ex17G6EY1u2u8ly484r8A4cOHDjFbZvxGcn2a4KlyIuydjzzXjmm5/jk6ZSZCWcL43O6XBv&#10;QInQ3BSlvsvpx5vzV0eU+MB0wZTRIqdr4enJ7OWL49pOxcgsjSqEI3Ci/bS2OV2GYKdZ5vlSVMzv&#10;GSs0lNK4igUc3V1WOFbDe6Wy0WAwyWrjCusMF97j9qxV0lnyL6Xg4VJKLwJROUVsIX1d+i7iN5sd&#10;s+mdY3ZZ8i4M9g9RVKzUeHTr6owFRu5d+YerquTOeCPDHjdVZqQsuUg5IJvh4Ek210tmRcoF5Hi7&#10;pcn/P7f8/erKkbJA7SaUaFahRptvm++bH5tfm58PXx6+EijAUm39FOBrC3ho3pgGFv29x2VMvpGu&#10;in+kRaAH3+stx6IJhONyPDkcjKHhUI2PRqPDVIPs0dg6H94KU5Eo5NShhIlZtrrwAYEA2kPiW9qc&#10;l0qlMipN6pxOxgeDZLDVwELpiBWpITo3MaE28CSFtRIRo/QHIUFIij9epFYUp8qRFUMTMc6FDin1&#10;5BfoiJII4jmGHf4xqucYt3n0LxsdtsZVqY1L2T8Ju/jUhyxbPIjcyTuKoVk0bSdsC7swxRr1dqad&#10;G2/5eYmqXDAfrpjDoKCQGP5wiY9UBuybTqJkadznv91HPPoXWkpqDF5ONTYDJeqdRl+/Hu7vxzlN&#10;h/2DwxEOblez2NXo++rUoChDLBnLkxjxQfWidKa6xYaYxzehYprj5ZyGXjwN7TLAhuFiPk8gTKZl&#10;4UJfWx5dxxrFjrtpbpmzXVsG9PN70w8omz7pzhYbLbWZ3wcjy9S6keaW045+THXq6G4DxbWxe06o&#10;xz05+w0AAP//AwBQSwMEFAAGAAgAAAAhAEefvNTiAAAACgEAAA8AAABkcnMvZG93bnJldi54bWxM&#10;j11LwzAUhu8F/0M4gjfikrXQjdp0qKCI+IGbyC6z5tiUNUlJ0q379x6v9PJwHt73eavVZHt2wBA7&#10;7yTMZwIYusbrzrUSPjcP10tgMSmnVe8dSjhhhFV9flapUvuj+8DDOrWMQlwslQST0lByHhuDVsWZ&#10;H9DR79sHqxKdoeU6qCOF255nQhTcqs5Rg1ED3hts9uvRStib56t38fh691U8ncLbZvTb8LKV8vJi&#10;ur0BlnBKfzD86pM61OS086PTkfUS8myRESqhEAtgBOTLnMbtiMzmAnhd8f8T6h8AAAD//wMAUEsB&#10;Ai0AFAAGAAgAAAAhALaDOJL+AAAA4QEAABMAAAAAAAAAAAAAAAAAAAAAAFtDb250ZW50X1R5cGVz&#10;XS54bWxQSwECLQAUAAYACAAAACEAOP0h/9YAAACUAQAACwAAAAAAAAAAAAAAAAAvAQAAX3JlbHMv&#10;LnJlbHNQSwECLQAUAAYACAAAACEAt9QAKpcCAABvBQAADgAAAAAAAAAAAAAAAAAuAgAAZHJzL2Uy&#10;b0RvYy54bWxQSwECLQAUAAYACAAAACEAR5+81OIAAAAKAQAADwAAAAAAAAAAAAAAAADxBAAAZHJz&#10;L2Rvd25yZXYueG1sUEsFBgAAAAAEAAQA8wAAAAAGAAAAAA==&#10;" filled="f" stroked="f" strokeweight=".5pt">
                <v:textbox>
                  <w:txbxContent>
                    <w:p w:rsidR="00C16B02" w:rsidRDefault="00C16B02" w:rsidP="00F96A04">
                      <w:pPr>
                        <w:pStyle w:val="a5"/>
                        <w:rPr>
                          <w:rFonts w:cs="Times New Roman"/>
                          <w:szCs w:val="24"/>
                        </w:rPr>
                      </w:pPr>
                      <w:r>
                        <w:rPr>
                          <w:rFonts w:cs="Times New Roman"/>
                          <w:szCs w:val="24"/>
                        </w:rPr>
                        <w:t>(1)</w:t>
                      </w:r>
                    </w:p>
                  </w:txbxContent>
                </v:textbox>
              </v:shape>
            </w:pict>
          </mc:Fallback>
        </mc:AlternateContent>
      </w:r>
      <w:r>
        <w:rPr>
          <w:rFonts w:asciiTheme="minorHAnsi" w:hAnsiTheme="minorHAnsi"/>
          <w:noProof/>
          <w:sz w:val="22"/>
          <w:lang w:eastAsia="ru-RU"/>
        </w:rPr>
        <mc:AlternateContent>
          <mc:Choice Requires="wps">
            <w:drawing>
              <wp:anchor distT="0" distB="0" distL="114300" distR="114300" simplePos="0" relativeHeight="251670528" behindDoc="0" locked="0" layoutInCell="1" allowOverlap="1">
                <wp:simplePos x="0" y="0"/>
                <wp:positionH relativeFrom="page">
                  <wp:posOffset>5872480</wp:posOffset>
                </wp:positionH>
                <wp:positionV relativeFrom="paragraph">
                  <wp:posOffset>1351915</wp:posOffset>
                </wp:positionV>
                <wp:extent cx="871855" cy="28702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87185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38" type="#_x0000_t202" style="position:absolute;left:0;text-align:left;margin-left:462.4pt;margin-top:106.45pt;width:68.65pt;height:22.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bSnAIAAHEFAAAOAAAAZHJzL2Uyb0RvYy54bWysVM1uEzEQviPxDpbvdJO0aUPUTRVaFSFV&#10;bUWLena8drPC9hjbyW64cecVeAcOHLjxCukbMfbuJlHgUsTFO+v5Zjw/38zpWa0VWQrnSzA57R/0&#10;KBGGQ1Gax5x+uL98NaLEB2YKpsCInK6Ep2eTly9OKzsWA5iDKoQj6MT4cWVzOg/BjrPM87nQzB+A&#10;FQaVEpxmAX/dY1Y4VqF3rbJBr3ecVeAK64AL7/H2olHSSfIvpeDhRkovAlE5xdhCOl06Z/HMJqds&#10;/OiYnZe8DYP9QxSalQYf3bi6YIGRhSv/cKVL7sCDDAccdAZSllykHDCbfm8vm7s5syLlgsXxdlMm&#10;///c8uvlrSNlkdPDPiWGaezR+tv6+/rH+tf659OXp68EFVilyvoxgu8swkP9Bmrsdnfv8TImX0un&#10;4xfTIqjHeq82NRZ1IBwvRyf90XBICUfVYHTSG6QeZFtj63x4K0CTKOTUYQtTZdnyygcMBKEdJL5l&#10;4LJUKrVRGVLl9Phw2EsGGw1aKBOxIhGidRMTagJPUlgpETHKvBcSC5LijxeJiuJcObJkSCLGuTAh&#10;pZ78IjqiJAbxHMMWv43qOcZNHt3LYMLGWJcGXMp+L+ziYxeybPBYyJ28oxjqWZ2Y0B90jZ1BscJ+&#10;O2jmxlt+WWJXrpgPt8zhoGCLcfjDDR5SAVYfWomSObjPf7uPeOQvaimpcPBy6j8tmBOUqHcGmf26&#10;f3QUJzX9HA1PkCDE7Wpmuxqz0OeAbUHyYnRJjPigOlE60A+4I6bxVVQxw/HtnIZOPA/NOsAdw8V0&#10;mkA4m5aFK3NneXQduxQ5d18/MGdbYgZk9DV0I8rGe/xssNHSwHQRQJaJvLHQTVXbBuBcJ063Oygu&#10;jt3/hNpuyslvAAAA//8DAFBLAwQUAAYACAAAACEAgOCXTuMAAAAMAQAADwAAAGRycy9kb3ducmV2&#10;LnhtbEyPwU7DMBBE70j8g7WVuFEnFq3SEKeqIlVICA4tvXDbxG4S1V6H2G0DX497guPOjmbeFOvJ&#10;GnbRo+8dSUjnCTBNjVM9tRIOH9vHDJgPSAqNIy3hW3tYl/d3BebKXWmnL/vQshhCPkcJXQhDzrlv&#10;Om3Rz92gKf6ObrQY4jm2XI14jeHWcJEkS26xp9jQ4aCrTjen/dlKeK2277irhc1+TPXydtwMX4fP&#10;hZQPs2nzDCzoKfyZ4YYf0aGMTLU7k/LMSFiJp4geJIhUrIDdHMlSpMDqKC2yFHhZ8P8jyl8AAAD/&#10;/wMAUEsBAi0AFAAGAAgAAAAhALaDOJL+AAAA4QEAABMAAAAAAAAAAAAAAAAAAAAAAFtDb250ZW50&#10;X1R5cGVzXS54bWxQSwECLQAUAAYACAAAACEAOP0h/9YAAACUAQAACwAAAAAAAAAAAAAAAAAvAQAA&#10;X3JlbHMvLnJlbHNQSwECLQAUAAYACAAAACEAtlom0pwCAABxBQAADgAAAAAAAAAAAAAAAAAuAgAA&#10;ZHJzL2Uyb0RvYy54bWxQSwECLQAUAAYACAAAACEAgOCXTuMAAAAMAQAADwAAAAAAAAAAAAAAAAD2&#10;BAAAZHJzL2Rvd25yZXYueG1sUEsFBgAAAAAEAAQA8wAAAAYGA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13)</w:t>
                      </w:r>
                    </w:p>
                  </w:txbxContent>
                </v:textbox>
                <w10:wrap anchorx="page"/>
              </v:shape>
            </w:pict>
          </mc:Fallback>
        </mc:AlternateContent>
      </w:r>
      <w:r>
        <w:rPr>
          <w:rFonts w:asciiTheme="minorHAnsi" w:hAnsiTheme="minorHAnsi"/>
          <w:noProof/>
          <w:sz w:val="22"/>
          <w:lang w:eastAsia="ru-RU"/>
        </w:rPr>
        <mc:AlternateContent>
          <mc:Choice Requires="wps">
            <w:drawing>
              <wp:anchor distT="0" distB="0" distL="114300" distR="114300" simplePos="0" relativeHeight="251671552" behindDoc="0" locked="0" layoutInCell="1" allowOverlap="1">
                <wp:simplePos x="0" y="0"/>
                <wp:positionH relativeFrom="page">
                  <wp:posOffset>2249170</wp:posOffset>
                </wp:positionH>
                <wp:positionV relativeFrom="paragraph">
                  <wp:posOffset>2355215</wp:posOffset>
                </wp:positionV>
                <wp:extent cx="354330" cy="266065"/>
                <wp:effectExtent l="0" t="0" r="0" b="635"/>
                <wp:wrapNone/>
                <wp:docPr id="23" name="Надпись 23"/>
                <wp:cNvGraphicFramePr/>
                <a:graphic xmlns:a="http://schemas.openxmlformats.org/drawingml/2006/main">
                  <a:graphicData uri="http://schemas.microsoft.com/office/word/2010/wordprocessingShape">
                    <wps:wsp>
                      <wps:cNvSpPr txBox="1"/>
                      <wps:spPr>
                        <a:xfrm>
                          <a:off x="0" y="0"/>
                          <a:ext cx="3670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F96A04">
                            <w:pPr>
                              <w:pStyle w:val="a5"/>
                              <w:rPr>
                                <w:rFonts w:cs="Times New Roman"/>
                                <w:szCs w:val="24"/>
                              </w:rPr>
                            </w:pPr>
                            <w:r>
                              <w:rPr>
                                <w:rFonts w:cs="Times New Roman"/>
                                <w:szCs w:val="24"/>
                              </w:rPr>
                              <w:t>(</w:t>
                            </w:r>
                            <w:r>
                              <w:rPr>
                                <w:rFonts w:cs="Times New Roman"/>
                                <w:szCs w:val="24"/>
                                <w:lang w:val="en-US"/>
                              </w:rPr>
                              <w:t>6</w:t>
                            </w:r>
                            <w:r>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3" o:spid="_x0000_s1039" type="#_x0000_t202" style="position:absolute;left:0;text-align:left;margin-left:177.1pt;margin-top:185.45pt;width:27.9pt;height:20.9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DlwIAAG8FAAAOAAAAZHJzL2Uyb0RvYy54bWysVM1uEzEQviPxDpbvdPPXFKJuqtCqCKlq&#10;K1LUs+O1kxW2x7Ld7IYbd16Bd+DAgRuvkL4RY+9uGgUuRVx2x55vxvPzzZye1VqRtXC+BJPT/lGP&#10;EmE4FKVZ5vTj3eWr15T4wEzBFBiR043w9Gz68sVpZSdiACtQhXAEnRg/qWxOVyHYSZZ5vhKa+SOw&#10;wqBSgtMs4NEts8KxCr1rlQ16vXFWgSusAy68x9uLRkmnyb+UgocbKb0IROUUYwvp69J3Eb/Z9JRN&#10;lo7ZVcnbMNg/RKFZafDRnasLFhh5cOUfrnTJHXiQ4YiDzkDKkouUA2bT7x1kM18xK1IuWBxvd2Xy&#10;/88tv17fOlIWOR0MKTFMY4+237bftz+2v7Y/H788fiWowCpV1k8QPLcID/VbqLHb3b3Hy5h8LZ2O&#10;f0yLoB7rvdnVWNSBcLwcjk96Q9RwVA3GxyOU0Xv2ZGydD+8EaBKFnDpsYaosW1/50EA7SHzLwGWp&#10;VGqjMqTK6Xh43EsGOw06VyZiRSJE6yYm1ASepLBRImKU+SAkFiTFHy8SFcW5cmTNkESMc2FCSj35&#10;RXRESQziOYYt/imq5xg3eXQvgwk7Y10acCn7g7CLT13IssFjzffyjmKoF3ViQn/X8AUUG+y3g2Zu&#10;vOWXJXblivlwyxwOCjYShz/c4EcqwOpDK1GyAvf5b/cRj/xFLSUVDl5ODW4GStR7g7x+0x+N4pym&#10;w+j4ZIAHt69Z7GvMgz4HbEofl4zlSYz4oDpROtD3uCFm8U1UMcPx5ZyGTjwPzTLADcPFbJZAOJmW&#10;hSsztzy6jj2KjLur75mzLS0D8vkaugFlkwN2NthoaWD2EECWibqxzE1N2/LjVCfytxsoro39c0I9&#10;7cnpbwAAAP//AwBQSwMEFAAGAAgAAAAhAHJ8NW7jAAAACwEAAA8AAABkcnMvZG93bnJldi54bWxM&#10;j81OwzAQhO9IvIO1SFwQtRtKKSFOBUigCvEjWoR6dGMTR43Xke206duzPcFtRvtpdqaYD65lOxNi&#10;41HCeCSAGay8brCW8LV6upwBi0mhVq1HI+FgIszL05NC5drv8dPslqlmFIIxVxJsSl3OeayscSqO&#10;fGeQbj8+OJXIhprroPYU7lqeCTHlTjVIH6zqzKM11XbZOwlb+3LxIZ7fHr6ni0N4X/V+HV7XUp6f&#10;Dfd3wJIZ0h8Mx/pUHUrqtPE96shaCVfXk4xQEjfiFhgRk7GgdZujyGbAy4L/31D+AgAA//8DAFBL&#10;AQItABQABgAIAAAAIQC2gziS/gAAAOEBAAATAAAAAAAAAAAAAAAAAAAAAABbQ29udGVudF9UeXBl&#10;c10ueG1sUEsBAi0AFAAGAAgAAAAhADj9If/WAAAAlAEAAAsAAAAAAAAAAAAAAAAALwEAAF9yZWxz&#10;Ly5yZWxzUEsBAi0AFAAGAAgAAAAhAGr+PQOXAgAAbwUAAA4AAAAAAAAAAAAAAAAALgIAAGRycy9l&#10;Mm9Eb2MueG1sUEsBAi0AFAAGAAgAAAAhAHJ8NW7jAAAACwEAAA8AAAAAAAAAAAAAAAAA8QQAAGRy&#10;cy9kb3ducmV2LnhtbFBLBQYAAAAABAAEAPMAAAABBgAAAAA=&#10;" filled="f" stroked="f" strokeweight=".5pt">
                <v:textbox>
                  <w:txbxContent>
                    <w:p w:rsidR="00C16B02" w:rsidRDefault="00C16B02" w:rsidP="00F96A04">
                      <w:pPr>
                        <w:pStyle w:val="a5"/>
                        <w:rPr>
                          <w:rFonts w:cs="Times New Roman"/>
                          <w:szCs w:val="24"/>
                        </w:rPr>
                      </w:pPr>
                      <w:r>
                        <w:rPr>
                          <w:rFonts w:cs="Times New Roman"/>
                          <w:szCs w:val="24"/>
                        </w:rPr>
                        <w:t>(</w:t>
                      </w:r>
                      <w:r>
                        <w:rPr>
                          <w:rFonts w:cs="Times New Roman"/>
                          <w:szCs w:val="24"/>
                          <w:lang w:val="en-US"/>
                        </w:rPr>
                        <w:t>6</w:t>
                      </w:r>
                      <w:r>
                        <w:rPr>
                          <w:rFonts w:cs="Times New Roman"/>
                          <w:szCs w:val="24"/>
                        </w:rPr>
                        <w:t>)</w:t>
                      </w:r>
                    </w:p>
                  </w:txbxContent>
                </v:textbox>
                <w10:wrap anchorx="page"/>
              </v:shape>
            </w:pict>
          </mc:Fallback>
        </mc:AlternateContent>
      </w:r>
      <w:r>
        <w:rPr>
          <w:rFonts w:cs="Times New Roman"/>
          <w:noProof/>
          <w:color w:val="FF0000"/>
          <w:szCs w:val="24"/>
          <w:lang w:eastAsia="ru-RU"/>
        </w:rPr>
        <w:drawing>
          <wp:inline distT="0" distB="0" distL="0" distR="0">
            <wp:extent cx="5943600" cy="54013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01310"/>
                    </a:xfrm>
                    <a:prstGeom prst="rect">
                      <a:avLst/>
                    </a:prstGeom>
                    <a:noFill/>
                    <a:ln>
                      <a:noFill/>
                    </a:ln>
                  </pic:spPr>
                </pic:pic>
              </a:graphicData>
            </a:graphic>
          </wp:inline>
        </w:drawing>
      </w:r>
    </w:p>
    <w:p w:rsidR="00F96A04" w:rsidRDefault="00F96A04" w:rsidP="003D7CBA">
      <w:pPr>
        <w:pStyle w:val="a5"/>
        <w:spacing w:line="360" w:lineRule="auto"/>
        <w:jc w:val="center"/>
        <w:rPr>
          <w:rFonts w:cs="Times New Roman"/>
          <w:szCs w:val="24"/>
          <w:lang w:val="en-US"/>
        </w:rPr>
      </w:pPr>
      <w:r w:rsidRPr="003D7CBA">
        <w:rPr>
          <w:rFonts w:cs="Times New Roman"/>
          <w:i/>
          <w:szCs w:val="24"/>
          <w:lang w:val="en-US"/>
        </w:rPr>
        <w:t>Pic</w:t>
      </w:r>
      <w:r w:rsidR="007572E2">
        <w:rPr>
          <w:rFonts w:cs="Times New Roman"/>
          <w:i/>
          <w:szCs w:val="24"/>
          <w:lang w:val="en-US"/>
        </w:rPr>
        <w:t xml:space="preserve"> 3</w:t>
      </w:r>
      <w:r w:rsidRPr="003D7CBA">
        <w:rPr>
          <w:rFonts w:cs="Times New Roman"/>
          <w:i/>
          <w:szCs w:val="24"/>
          <w:lang w:val="en-US"/>
        </w:rPr>
        <w:t>.</w:t>
      </w:r>
      <w:r>
        <w:rPr>
          <w:rFonts w:cs="Times New Roman"/>
          <w:szCs w:val="24"/>
          <w:lang w:val="en-US"/>
        </w:rPr>
        <w:t xml:space="preserve"> The logic of LBO-analysis </w:t>
      </w:r>
    </w:p>
    <w:p w:rsidR="00F96A04" w:rsidRPr="00F96A04" w:rsidRDefault="00780E7D" w:rsidP="003D7CBA">
      <w:pPr>
        <w:spacing w:line="360" w:lineRule="auto"/>
        <w:ind w:firstLine="360"/>
        <w:jc w:val="both"/>
        <w:rPr>
          <w:lang w:val="en-US"/>
        </w:rPr>
      </w:pPr>
      <w:r>
        <w:rPr>
          <w:lang w:val="en-US"/>
        </w:rPr>
        <w:t xml:space="preserve">As outlined in the previous section of this chapter, before running the LBO-screener a preliminary qualitative assessment of the range of companies should take place. Accordingly, before running the LBO-model a deep analysis of the target company </w:t>
      </w:r>
      <w:proofErr w:type="gramStart"/>
      <w:r>
        <w:rPr>
          <w:lang w:val="en-US"/>
        </w:rPr>
        <w:t>should be done</w:t>
      </w:r>
      <w:proofErr w:type="gramEnd"/>
      <w:r>
        <w:rPr>
          <w:lang w:val="en-US"/>
        </w:rPr>
        <w:t xml:space="preserve"> (internal analysis, due-diligence). </w:t>
      </w:r>
    </w:p>
    <w:p w:rsidR="007A5867" w:rsidRDefault="007A5867" w:rsidP="008D3CCB">
      <w:pPr>
        <w:pStyle w:val="2"/>
        <w:numPr>
          <w:ilvl w:val="1"/>
          <w:numId w:val="22"/>
        </w:numPr>
        <w:rPr>
          <w:lang w:val="en-US"/>
        </w:rPr>
      </w:pPr>
      <w:bookmarkStart w:id="18" w:name="_Toc483074648"/>
      <w:r w:rsidRPr="007A5867">
        <w:rPr>
          <w:lang w:val="en-US"/>
        </w:rPr>
        <w:t>LBO-screener</w:t>
      </w:r>
      <w:bookmarkEnd w:id="18"/>
      <w:r w:rsidRPr="007A5867">
        <w:rPr>
          <w:lang w:val="en-US"/>
        </w:rPr>
        <w:t xml:space="preserve"> </w:t>
      </w:r>
    </w:p>
    <w:p w:rsidR="00D33494" w:rsidRDefault="00D33494" w:rsidP="00D33494">
      <w:pPr>
        <w:pStyle w:val="a5"/>
        <w:spacing w:line="360" w:lineRule="auto"/>
        <w:ind w:firstLine="360"/>
        <w:jc w:val="both"/>
        <w:rPr>
          <w:rFonts w:cs="Times New Roman"/>
          <w:szCs w:val="24"/>
          <w:lang w:val="en-US"/>
        </w:rPr>
      </w:pPr>
      <w:r>
        <w:rPr>
          <w:rFonts w:cs="Times New Roman"/>
          <w:szCs w:val="24"/>
          <w:lang w:val="en-US"/>
        </w:rPr>
        <w:t>The LBO-screener is an analytical tool giving the investors an opportunity to quantitatively compare series of LBO targets under certain assumptions</w:t>
      </w:r>
      <w:r w:rsidR="00486967">
        <w:rPr>
          <w:rFonts w:cs="Times New Roman"/>
          <w:szCs w:val="24"/>
          <w:lang w:val="en-US"/>
        </w:rPr>
        <w:t xml:space="preserve"> and then choose an LBO-target based on IRR</w:t>
      </w:r>
      <w:r>
        <w:rPr>
          <w:rFonts w:cs="Times New Roman"/>
          <w:szCs w:val="24"/>
          <w:lang w:val="en-US"/>
        </w:rPr>
        <w:t xml:space="preserve">. Investors usually run LBO screens on a large universe of potential LBO candidates, however as mentioned before, no information about such screeners is available to public. </w:t>
      </w:r>
    </w:p>
    <w:p w:rsidR="00486967" w:rsidRDefault="00D61DA3" w:rsidP="00D33494">
      <w:pPr>
        <w:pStyle w:val="a5"/>
        <w:spacing w:line="360" w:lineRule="auto"/>
        <w:ind w:firstLine="360"/>
        <w:jc w:val="both"/>
        <w:rPr>
          <w:rFonts w:cs="Times New Roman"/>
          <w:szCs w:val="24"/>
          <w:lang w:val="en-US"/>
        </w:rPr>
      </w:pPr>
      <w:r>
        <w:rPr>
          <w:rFonts w:cs="Times New Roman"/>
          <w:szCs w:val="24"/>
          <w:lang w:val="en-US"/>
        </w:rPr>
        <w:t xml:space="preserve">The LBO-screener </w:t>
      </w:r>
      <w:proofErr w:type="gramStart"/>
      <w:r>
        <w:rPr>
          <w:rFonts w:cs="Times New Roman"/>
          <w:szCs w:val="24"/>
          <w:lang w:val="en-US"/>
        </w:rPr>
        <w:t xml:space="preserve">is </w:t>
      </w:r>
      <w:r w:rsidR="00671ACF">
        <w:rPr>
          <w:rFonts w:cs="Times New Roman"/>
          <w:szCs w:val="24"/>
          <w:lang w:val="en-US"/>
        </w:rPr>
        <w:t>built</w:t>
      </w:r>
      <w:proofErr w:type="gramEnd"/>
      <w:r>
        <w:rPr>
          <w:rFonts w:cs="Times New Roman"/>
          <w:szCs w:val="24"/>
          <w:lang w:val="en-US"/>
        </w:rPr>
        <w:t xml:space="preserve"> in Excel with the use of VBA programming tools. </w:t>
      </w:r>
      <w:r w:rsidR="00671ACF">
        <w:rPr>
          <w:rFonts w:cs="Times New Roman"/>
          <w:szCs w:val="24"/>
          <w:lang w:val="en-US"/>
        </w:rPr>
        <w:t xml:space="preserve">As soon as the algorithm of the model is very complex, it </w:t>
      </w:r>
      <w:proofErr w:type="gramStart"/>
      <w:r w:rsidR="00671ACF">
        <w:rPr>
          <w:rFonts w:cs="Times New Roman"/>
          <w:szCs w:val="24"/>
          <w:lang w:val="en-US"/>
        </w:rPr>
        <w:t>was presented</w:t>
      </w:r>
      <w:proofErr w:type="gramEnd"/>
      <w:r w:rsidR="00671ACF">
        <w:rPr>
          <w:rFonts w:cs="Times New Roman"/>
          <w:szCs w:val="24"/>
          <w:lang w:val="en-US"/>
        </w:rPr>
        <w:t xml:space="preserve"> in the block scheme below. </w:t>
      </w:r>
    </w:p>
    <w:p w:rsidR="00486967" w:rsidRDefault="00486967" w:rsidP="00486967">
      <w:pPr>
        <w:pStyle w:val="a5"/>
        <w:spacing w:line="360" w:lineRule="auto"/>
        <w:ind w:hanging="142"/>
        <w:jc w:val="both"/>
        <w:rPr>
          <w:rFonts w:cs="Times New Roman"/>
          <w:szCs w:val="24"/>
          <w:lang w:val="en-US"/>
        </w:rPr>
      </w:pPr>
    </w:p>
    <w:p w:rsidR="00486967" w:rsidRPr="008E53E9" w:rsidRDefault="00486967" w:rsidP="00486967">
      <w:pPr>
        <w:rPr>
          <w:rFonts w:cs="Times New Roman"/>
        </w:rPr>
      </w:pPr>
      <w:r w:rsidRPr="008E53E9">
        <w:rPr>
          <w:rFonts w:cs="Times New Roman"/>
          <w:noProof/>
          <w:szCs w:val="24"/>
          <w:lang w:eastAsia="ru-RU"/>
        </w:rPr>
        <w:lastRenderedPageBreak/>
        <mc:AlternateContent>
          <mc:Choice Requires="wps">
            <w:drawing>
              <wp:anchor distT="0" distB="0" distL="114300" distR="114300" simplePos="0" relativeHeight="251773952" behindDoc="0" locked="0" layoutInCell="1" allowOverlap="1" wp14:anchorId="48F694BF" wp14:editId="36B53F1A">
                <wp:simplePos x="0" y="0"/>
                <wp:positionH relativeFrom="column">
                  <wp:posOffset>3242339</wp:posOffset>
                </wp:positionH>
                <wp:positionV relativeFrom="paragraph">
                  <wp:posOffset>4528451</wp:posOffset>
                </wp:positionV>
                <wp:extent cx="446567" cy="361507"/>
                <wp:effectExtent l="0" t="0" r="0" b="635"/>
                <wp:wrapNone/>
                <wp:docPr id="17" name="Надпись 17"/>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20</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94BF" id="Надпись 17" o:spid="_x0000_s1040" type="#_x0000_t202" style="position:absolute;margin-left:255.3pt;margin-top:356.55pt;width:35.15pt;height:2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rdmAIAAHEFAAAOAAAAZHJzL2Uyb0RvYy54bWysVM1uEzEQviPxDpbvdJM2SSHqpgqtipCq&#10;tqJFPTteu1lhe4ztZDfceucVeAcOHLjxCukbMfbuJlHgUsRldzzzzf/PyWmtFVkK50swOe0f9CgR&#10;hkNRmoecfry7ePWaEh+YKZgCI3K6Ep6eTl6+OKnsWBzCHFQhHEEjxo8rm9N5CHacZZ7PhWb+AKww&#10;KJTgNAv4dA9Z4ViF1rXKDnu9UVaBK6wDLrxH7nkjpJNkX0rBw7WUXgSicoqxhfR16TuL32xywsYP&#10;jtl5ydsw2D9EoVlp0OnG1DkLjCxc+YcpXXIHHmQ44KAzkLLkIuWA2fR7e9nczpkVKRcsjrebMvn/&#10;Z5ZfLW8cKQvs3TElhmns0frb+vv6x/rX+ufT49NXggKsUmX9GMG3FuGhfgs1anR8j8yYfC2djn9M&#10;i6Ac673a1FjUgXBkDgaj4QhdcRQdjfrDXrKebZWt8+GdAE0ikVOHLUyVZctLHzAQhHaQ6MvARalU&#10;aqMypMrp6GjYSwobCWooE7EiDURrJibUBJ6osFIiYpT5ICQWJMUfGWkUxZlyZMlwiBjnwoSUerKL&#10;6IiSGMRzFFv8NqrnKDd5dJ7BhI2yLg24lP1e2MWnLmTZ4LGQO3lHMtSzupmEQdfYGRQr7LeDZm+8&#10;5RclduWS+XDDHC4KthiXP1zjRyrA6kNLUTIH9+Vv/IjH+UUpJRUuXk795wVzghL13uBkv+kPBnFT&#10;02MwPD7Eh9uVzHYlZqHPANvSxzNjeSIjPqiOlA70Pd6IafSKImY4+s5p6Miz0JwDvDFcTKcJhLtp&#10;Wbg0t5ZH07FLcebu6nvmbDuYASf6CroVZeO9+WywUdPAdBFAlml4Y6GbqrYNwL1OM93eoHg4dt8J&#10;tb2Uk98AAAD//wMAUEsDBBQABgAIAAAAIQA0iugu4gAAAAsBAAAPAAAAZHJzL2Rvd25yZXYueG1s&#10;TI/LTsMwEEX3SPyDNUjsqJ2itGkap6oiVUgIFi3dsJvE0yTCjxC7beDrMStYzszRnXOLzWQ0u9Do&#10;e2clJDMBjGzjVG9bCce33UMGzAe0CrWzJOGLPGzK25sCc+Wudk+XQ2hZDLE+RwldCEPOuW86Muhn&#10;biAbbyc3GgxxHFuuRrzGcKP5XIgFN9jb+KHDgaqOmo/D2Uh4rnavuK/nJvvW1dPLaTt8Ht9TKe/v&#10;pu0aWKAp/MHwqx/VoYxOtTtb5ZmWkCZiEVEJy+QxARaJNBMrYHXcLIUAXhb8f4fyBwAA//8DAFBL&#10;AQItABQABgAIAAAAIQC2gziS/gAAAOEBAAATAAAAAAAAAAAAAAAAAAAAAABbQ29udGVudF9UeXBl&#10;c10ueG1sUEsBAi0AFAAGAAgAAAAhADj9If/WAAAAlAEAAAsAAAAAAAAAAAAAAAAALwEAAF9yZWxz&#10;Ly5yZWxzUEsBAi0AFAAGAAgAAAAhALoQGt2YAgAAcQUAAA4AAAAAAAAAAAAAAAAALgIAAGRycy9l&#10;Mm9Eb2MueG1sUEsBAi0AFAAGAAgAAAAhADSK6C7iAAAACwEAAA8AAAAAAAAAAAAAAAAA8gQAAGRy&#10;cy9kb3ducmV2LnhtbFBLBQYAAAAABAAEAPMAAAAB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20</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7024" behindDoc="0" locked="0" layoutInCell="1" allowOverlap="1" wp14:anchorId="62428882" wp14:editId="2D7BC8AE">
                <wp:simplePos x="0" y="0"/>
                <wp:positionH relativeFrom="column">
                  <wp:posOffset>3299194</wp:posOffset>
                </wp:positionH>
                <wp:positionV relativeFrom="paragraph">
                  <wp:posOffset>6424221</wp:posOffset>
                </wp:positionV>
                <wp:extent cx="446567" cy="361507"/>
                <wp:effectExtent l="0" t="0" r="0" b="635"/>
                <wp:wrapNone/>
                <wp:docPr id="14" name="Надпись 14"/>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23</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8882" id="Надпись 14" o:spid="_x0000_s1041" type="#_x0000_t202" style="position:absolute;margin-left:259.8pt;margin-top:505.85pt;width:35.15pt;height:2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ZOmgIAAHEFAAAOAAAAZHJzL2Uyb0RvYy54bWysVM1uEzEQviPxDpbvdJM2SSHqpgqtipCq&#10;tqJFPTteu1lhe4ztZDfceucVeAcOHLjxCukbMfbuJlHgUsRld+z5Zjw/38zJaa0VWQrnSzA57R/0&#10;KBGGQ1Gah5x+vLt49ZoSH5gpmAIjcroSnp5OXr44qexYHMIcVCEcQSfGjyub03kIdpxlns+FZv4A&#10;rDColOA0C3h0D1nhWIXetcoOe71RVoErrAMuvMfb80ZJJ8m/lIKHaym9CETlFGML6evSdxa/2eSE&#10;jR8cs/OSt2Gwf4hCs9LgoxtX5ywwsnDlH650yR14kOGAg85AypKLlANm0+/tZXM7Z1akXLA43m7K&#10;5P+fW361vHGkLLB3A0oM09ij9bf19/WP9a/1z6fHp68EFVilyvoxgm8twkP9Fmq06O49Xsbka+l0&#10;/GNaBPVY79WmxqIOhOPlYDAajo4p4ag6GvWHvePoJdsaW+fDOwGaRCGnDluYKsuWlz400A4S3zJw&#10;USqV2qgMqXI6Ohr2ksFGg86ViViRCNG6iQk1gScprJSIGGU+CIkFSfHHi0RFcaYcWTIkEeNcmJBS&#10;T34RHVESg3iOYYvfRvUc4yaP7mUwYWOsSwMuZb8XdvGpC1k2eKz5Tt5RDPWsbpgw7Bo7g2KF/XbQ&#10;zI23/KLErlwyH26Yw0HBFuPwh2v8SAVYfWglSubgvvztPuKRv6ilpMLBy6n/vGBOUKLeG2T2m/5g&#10;ECc1HQbD40M8uF3NbFdjFvoMsC19XDOWJzHig+pE6UDf446YxldRxQzHt3MaOvEsNOsAdwwX02kC&#10;4WxaFi7NreXRdexS5Nxdfc+cbYkZkNFX0I0oG+/xs8FGSwPTRQBZJvLGQjdVbRuAc53o3+6guDh2&#10;zwm13ZST3wAAAP//AwBQSwMEFAAGAAgAAAAhAByjRWXjAAAADQEAAA8AAABkcnMvZG93bnJldi54&#10;bWxMj01Pg0AQhu8m/ofNNPFmF5qAgCxNQ9KYGD209uJtYKdAuh/Iblv017s96XHmffLOM+V61opd&#10;aHKDNQLiZQSMTGvlYDoBh4/tYwbMeTQSlTUk4JscrKv7uxILaa9mR5e971goMa5AAb33Y8G5a3vS&#10;6JZ2JBOyo500+jBOHZcTXkO5VnwVRSnXOJhwoceR6p7a0/6sBbzW23fcNSud/aj65e24Gb8On4kQ&#10;D4t58wzM0+z/YLjpB3WoglNjz0Y6pgQkcZ4GNARRHD8BC0iS5Tmw5rZKsxR4VfL/X1S/AAAA//8D&#10;AFBLAQItABQABgAIAAAAIQC2gziS/gAAAOEBAAATAAAAAAAAAAAAAAAAAAAAAABbQ29udGVudF9U&#10;eXBlc10ueG1sUEsBAi0AFAAGAAgAAAAhADj9If/WAAAAlAEAAAsAAAAAAAAAAAAAAAAALwEAAF9y&#10;ZWxzLy5yZWxzUEsBAi0AFAAGAAgAAAAhAFzppk6aAgAAcQUAAA4AAAAAAAAAAAAAAAAALgIAAGRy&#10;cy9lMm9Eb2MueG1sUEsBAi0AFAAGAAgAAAAhAByjRWXjAAAADQEAAA8AAAAAAAAAAAAAAAAA9A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23</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6000" behindDoc="0" locked="0" layoutInCell="1" allowOverlap="1" wp14:anchorId="00CE92CE" wp14:editId="0FE2A947">
                <wp:simplePos x="0" y="0"/>
                <wp:positionH relativeFrom="column">
                  <wp:posOffset>3303506</wp:posOffset>
                </wp:positionH>
                <wp:positionV relativeFrom="paragraph">
                  <wp:posOffset>5768310</wp:posOffset>
                </wp:positionV>
                <wp:extent cx="446567" cy="361507"/>
                <wp:effectExtent l="0" t="0" r="0" b="635"/>
                <wp:wrapNone/>
                <wp:docPr id="13" name="Надпись 13"/>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22</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E92CE" id="Надпись 13" o:spid="_x0000_s1042" type="#_x0000_t202" style="position:absolute;margin-left:260.1pt;margin-top:454.2pt;width:35.15pt;height:2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smgIAAHEFAAAOAAAAZHJzL2Uyb0RvYy54bWysVM1uEzEQviPxDpbvdJM2SSHqpgqtipCq&#10;tqJFPTteu1lhe4ztZDfceucVeAcOHLjxCukbMfbuJlHgUsRld+z5Zjw/38zJaa0VWQrnSzA57R/0&#10;KBGGQ1Gah5x+vLt49ZoSH5gpmAIjcroSnp5OXr44qexYHMIcVCEcQSfGjyub03kIdpxlns+FZv4A&#10;rDColOA0C3h0D1nhWIXetcoOe71RVoErrAMuvMfb80ZJJ8m/lIKHaym9CETlFGML6evSdxa/2eSE&#10;jR8cs/OSt2Gwf4hCs9LgoxtX5ywwsnDlH650yR14kOGAg85AypKLlANm0+/tZXM7Z1akXLA43m7K&#10;5P+fW361vHGkLLB3R5QYprFH62/r7+sf61/rn0+PT18JKrBKlfVjBN9ahIf6LdRo0d17vIzJ19Lp&#10;+Me0COqx3qtNjUUdCMfLwWA0HB1TwlF1NOoPe8fRS7Y1ts6HdwI0iUJOHbYwVZYtL31ooB0kvmXg&#10;olQqtVEZUuV0dDTsJYONBp0rE7EiEaJ1ExNqAk9SWCkRMcp8EBILkuKPF4mK4kw5smRIIsa5MCGl&#10;nvwiOqIkBvEcwxa/jeo5xk0e3ctgwsZYlwZcyn4v7OJTF7Js8FjznbyjGOpZ3TBh1DV2BsUK++2g&#10;mRtv+UWJXblkPtwwh4OCLcbhD9f4kQqw+tBKlMzBffnbfcQjf1FLSYWDl1P/ecGcoES9N8jsN/3B&#10;IE5qOgyGx4d4cLua2a7GLPQZYFv6uGYsT2LEB9WJ0oG+xx0xja+iihmOb+c0dOJZaNYB7hguptME&#10;wtm0LFyaW8uj69ilyLm7+p452xIzIKOvoBtRNt7jZ4ONlgamiwCyTOSNhW6q2jYA5zrRv91BcXHs&#10;nhNquyknvwEAAP//AwBQSwMEFAAGAAgAAAAhAHbRaNLiAAAACwEAAA8AAABkcnMvZG93bnJldi54&#10;bWxMj8FOwzAMhu9IvENkJG4sWaFTV5pOU6UJCcFhYxduaZO11RKnNNlWeHrMaRxtf/r9/cVqcpad&#10;zRh6jxLmMwHMYON1j62E/cfmIQMWokKtrEcj4dsEWJW3N4XKtb/g1px3sWUUgiFXEroYh5zz0HTG&#10;qTDzg0G6HfzoVKRxbLke1YXCneWJEAvuVI/0oVODqTrTHHcnJ+G12ryrbZ247MdWL2+H9fC1/0yl&#10;vL+b1s/AopniFYY/fVKHkpxqf0IdmJWQJiIhVMJSZE/AiEiXIgVW02aRPgIvC/6/Q/kLAAD//wMA&#10;UEsBAi0AFAAGAAgAAAAhALaDOJL+AAAA4QEAABMAAAAAAAAAAAAAAAAAAAAAAFtDb250ZW50X1R5&#10;cGVzXS54bWxQSwECLQAUAAYACAAAACEAOP0h/9YAAACUAQAACwAAAAAAAAAAAAAAAAAvAQAAX3Jl&#10;bHMvLnJlbHNQSwECLQAUAAYACAAAACEA5pWf7JoCAABxBQAADgAAAAAAAAAAAAAAAAAuAgAAZHJz&#10;L2Uyb0RvYy54bWxQSwECLQAUAAYACAAAACEAdtFo0uIAAAALAQAADwAAAAAAAAAAAAAAAAD0BAAA&#10;ZHJzL2Rvd25yZXYueG1sUEsFBgAAAAAEAAQA8wAAAAM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22</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4976" behindDoc="0" locked="0" layoutInCell="1" allowOverlap="1" wp14:anchorId="0584C45E" wp14:editId="516DF246">
                <wp:simplePos x="0" y="0"/>
                <wp:positionH relativeFrom="column">
                  <wp:posOffset>3303742</wp:posOffset>
                </wp:positionH>
                <wp:positionV relativeFrom="paragraph">
                  <wp:posOffset>5194418</wp:posOffset>
                </wp:positionV>
                <wp:extent cx="446567" cy="361507"/>
                <wp:effectExtent l="0" t="0" r="0" b="635"/>
                <wp:wrapNone/>
                <wp:docPr id="15" name="Надпись 15"/>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21</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C45E" id="Надпись 15" o:spid="_x0000_s1043" type="#_x0000_t202" style="position:absolute;margin-left:260.15pt;margin-top:409pt;width:35.15pt;height:2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a0lwIAAHEFAAAOAAAAZHJzL2Uyb0RvYy54bWysVM1uEzEQviPxDpbvdJM2SSHqpgqtipCq&#10;tiJFPTteu1lhe4ztZDfceucVeAcOHLjxCukbMfbuJlHhUsTFHs98M57/k9NaK7ISzpdgcto/6FEi&#10;DIeiNPc5/Xh78eo1JT4wUzAFRuR0LTw9nbx8cVLZsTiEBahCOIJGjB9XNqeLEOw4yzxfCM38AVhh&#10;UCjBaRbw6e6zwrEKrWuVHfZ6o6wCV1gHXHiP3PNGSCfJvpSCh2spvQhE5RR9C+l06ZzHM5ucsPG9&#10;Y3ZR8tYN9g9eaFYa/HRr6pwFRpau/MOULrkDDzIccNAZSFlykWLAaPq9J9HMFsyKFAsmx9ttmvz/&#10;M8uvVjeOlAXWbkiJYRprtPm2+b75sfm1+fn48PiVoACzVFk/RvDMIjzUb6FGjY7vkRmDr6XT8caw&#10;CMox3+ttjkUdCEfmYDAajo4p4Sg6GvWHveNoJdspW+fDOwGaRCKnDkuYMstWlz400A4S/zJwUSqV&#10;yqgMqXI6Ohr2ksJWgsaViViRGqI1EwNqHE9UWCsRMcp8EBITkvyPjNSK4kw5smLYRIxzYUIKPdlF&#10;dERJdOI5ii1+59VzlJs4up/BhK2yLg24FP0Tt4tPncuywWPO9+KOZKjnddMJqSSRNYdijfV20MyN&#10;t/yixKpcMh9umMNBwRLj8IdrPKQCzD60FCULcF/+xo947F+UUlLh4OXUf14yJyhR7w129pv+YBAn&#10;NT0Gw+NDfLh9yXxfYpb6DLAsfVwzlicy4oPqSOlA3+GOmMZfUcQMx79zGjryLDTrAHcMF9NpAuFs&#10;WhYuzczyaDpWKfbcbX3HnG0bM2BHX0E3omz8pD8bbNQ0MF0GkGVq3l1W2wLgXKf2b3dQXBz774Ta&#10;bcrJbwAAAP//AwBQSwMEFAAGAAgAAAAhAP9FYbDiAAAACwEAAA8AAABkcnMvZG93bnJldi54bWxM&#10;j8FOwzAMhu9IvENkJG4sWaGjK02nqdKEhNhhYxduaZO1FYlTmmwrPD3mBEfbn35/f7GanGVnM4be&#10;o4T5TAAz2HjdYyvh8La5y4CFqFAr69FI+DIBVuX1VaFy7S+4M+d9bBmFYMiVhC7GIec8NJ1xKsz8&#10;YJBuRz86FWkcW65HdaFwZ3kixII71SN96NRgqs40H/uTk/BSbbZqVycu+7bV8+txPXwe3lMpb2+m&#10;9ROwaKb4B8OvPqlDSU61P6EOzEpIE3FPqIRsnlEpItKlWACrafP4sAReFvx/h/IHAAD//wMAUEsB&#10;Ai0AFAAGAAgAAAAhALaDOJL+AAAA4QEAABMAAAAAAAAAAAAAAAAAAAAAAFtDb250ZW50X1R5cGVz&#10;XS54bWxQSwECLQAUAAYACAAAACEAOP0h/9YAAACUAQAACwAAAAAAAAAAAAAAAAAvAQAAX3JlbHMv&#10;LnJlbHNQSwECLQAUAAYACAAAACEAq7A2tJcCAABxBQAADgAAAAAAAAAAAAAAAAAuAgAAZHJzL2Uy&#10;b0RvYy54bWxQSwECLQAUAAYACAAAACEA/0VhsOIAAAALAQAADwAAAAAAAAAAAAAAAADxBAAAZHJz&#10;L2Rvd25yZXYueG1sUEsFBgAAAAAEAAQA8wAAAAA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21</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2928" behindDoc="0" locked="0" layoutInCell="1" allowOverlap="1" wp14:anchorId="01F43865" wp14:editId="1124251B">
                <wp:simplePos x="0" y="0"/>
                <wp:positionH relativeFrom="column">
                  <wp:posOffset>4543913</wp:posOffset>
                </wp:positionH>
                <wp:positionV relativeFrom="paragraph">
                  <wp:posOffset>3575079</wp:posOffset>
                </wp:positionV>
                <wp:extent cx="446567" cy="361507"/>
                <wp:effectExtent l="0" t="0" r="0" b="635"/>
                <wp:wrapNone/>
                <wp:docPr id="19" name="Надпись 19"/>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19</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3865" id="Надпись 19" o:spid="_x0000_s1044" type="#_x0000_t202" style="position:absolute;margin-left:357.8pt;margin-top:281.5pt;width:35.15pt;height:2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8vmgIAAHEFAAAOAAAAZHJzL2Uyb0RvYy54bWysVM1OGzEQvlfqO1i+l00gCRCxQSmIqhIC&#10;1FBxdrw2WdX2uLaT3fTGva/Qd+ihh976CuGNOvbuhoj2QtXL7tjzzXh+vpmT01orshLOl2By2t/r&#10;USIMh6I09zn9eHvx5ogSH5gpmAIjcroWnp5OXr86qexY7MMCVCEcQSfGjyub00UIdpxlni+EZn4P&#10;rDColOA0C3h091nhWIXetcr2e71RVoErrAMuvMfb80ZJJ8m/lIKHaym9CETlFGML6evSdx6/2eSE&#10;je8ds4uSt2Gwf4hCs9Lgo1tX5ywwsnTlH650yR14kGGPg85AypKLlANm0+89y2a2YFakXLA43m7L&#10;5P+fW361unGkLLB3x5QYprFHm2+b75sfm1+bn48Pj18JKrBKlfVjBM8swkP9Fmq06O49Xsbka+l0&#10;/GNaBPVY7/W2xqIOhOPlYDAajg4p4ag6GPWHvcPoJXsyts6HdwI0iUJOHbYwVZatLn1ooB0kvmXg&#10;olQqtVEZUuV0dDDsJYOtBp0rE7EiEaJ1ExNqAk9SWCsRMcp8EBILkuKPF4mK4kw5smJIIsa5MCGl&#10;nvwiOqIkBvESwxb/FNVLjJs8upfBhK2xLg24lP2zsItPXciywWPNd/KOYqjndcOEo66xcyjW2G8H&#10;zdx4yy9K7Mol8+GGORwUbDEOf7jGj1SA1YdWomQB7svf7iMe+YtaSiocvJz6z0vmBCXqvUFmH/cH&#10;gzip6TAYHu7jwe1q5rsas9RngG3p45qxPIkRH1QnSgf6DnfENL6KKmY4vp3T0IlnoVkHuGO4mE4T&#10;CGfTsnBpZpZH17FLkXO39R1ztiVmQEZfQTeibPyMnw02WhqYLgPIMpE3FrqpatsAnOtE/3YHxcWx&#10;e06op005+Q0AAP//AwBQSwMEFAAGAAgAAAAhAFWITyXjAAAACwEAAA8AAABkcnMvZG93bnJldi54&#10;bWxMj01Pg0AURfcm/ofJM3FnB2qggAxNQ9KYGF20duPuwbwCcT6Qmbbor3dc1eXLO7n33HI9a8XO&#10;NLnBGgHxIgJGprVyMJ2Aw/v2IQPmPBqJyhoS8E0O1tXtTYmFtBezo/PedyyEGFeggN77seDctT1p&#10;dAs7kgm/o500+nBOHZcTXkK4VnwZRSnXOJjQ0ONIdU/t5/6kBbzU2zfcNUud/aj6+fW4Gb8OH4kQ&#10;93fz5gmYp9lfYfjTD+pQBafGnox0TAlYxUkaUAFJ+hhGBWKVJTmwRkAa5znwquT/N1S/AAAA//8D&#10;AFBLAQItABQABgAIAAAAIQC2gziS/gAAAOEBAAATAAAAAAAAAAAAAAAAAAAAAABbQ29udGVudF9U&#10;eXBlc10ueG1sUEsBAi0AFAAGAAgAAAAhADj9If/WAAAAlAEAAAsAAAAAAAAAAAAAAAAALwEAAF9y&#10;ZWxzLy5yZWxzUEsBAi0AFAAGAAgAAAAhAI0BPy+aAgAAcQUAAA4AAAAAAAAAAAAAAAAALgIAAGRy&#10;cy9lMm9Eb2MueG1sUEsBAi0AFAAGAAgAAAAhAFWITyXjAAAACwEAAA8AAAAAAAAAAAAAAAAA9A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19</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1904" behindDoc="0" locked="0" layoutInCell="1" allowOverlap="1" wp14:anchorId="32B028F2" wp14:editId="2B1F95DF">
                <wp:simplePos x="0" y="0"/>
                <wp:positionH relativeFrom="column">
                  <wp:posOffset>1711561</wp:posOffset>
                </wp:positionH>
                <wp:positionV relativeFrom="paragraph">
                  <wp:posOffset>3539475</wp:posOffset>
                </wp:positionV>
                <wp:extent cx="446567" cy="361507"/>
                <wp:effectExtent l="0" t="0" r="0" b="635"/>
                <wp:wrapNone/>
                <wp:docPr id="30" name="Надпись 30"/>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18</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28F2" id="Надпись 30" o:spid="_x0000_s1045" type="#_x0000_t202" style="position:absolute;margin-left:134.75pt;margin-top:278.7pt;width:35.15pt;height:2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AAmwIAAHEFAAAOAAAAZHJzL2Uyb0RvYy54bWysVM1uEzEQviPxDpbvdJM2SWnUTRVaFSFV&#10;bUWLena8drPC9hjbyW64cecVeAcOHLjxCukbMfbuJlHgUsRld+z5Zjw/38zpWa0VWQrnSzA57R/0&#10;KBGGQ1Gax5x+uL989ZoSH5gpmAIjcroSnp5NXr44rexYHMIcVCEcQSfGjyub03kIdpxlns+FZv4A&#10;rDColOA0C3h0j1nhWIXetcoOe71RVoErrAMuvMfbi0ZJJ8m/lIKHGym9CETlFGML6evSdxa/2eSU&#10;jR8ds/OSt2Gwf4hCs9LgoxtXFywwsnDlH650yR14kOGAg85AypKLlANm0+/tZXM3Z1akXLA43m7K&#10;5P+fW369vHWkLHJ6hOUxTGOP1t/W39c/1r/WP5++PH0lqMAqVdaPEXxnER7qN1Bjt7t7j5cx+Vo6&#10;Hf+YFkE9OlxtaizqQDheDgaj4eiYEo6qo1F/2DuOXrKtsXU+vBWgSRRy6rCFqbJseeVDA+0g8S0D&#10;l6VSqY3KkCqno6NhLxlsNOhcmYgViRCtm5hQE3iSwkqJiFHmvZBYkBR/vEhUFOfKkSVDEjHOhQkp&#10;9eQX0RElMYjnGLb4bVTPMW7y6F4GEzbGujTgUvZ7YRcfu5Blg8ea7+QdxVDP6sSE/knX2BkUK+y3&#10;g2ZuvOWXJXblivlwyxwOCrYYhz/c4EcqwOpDK1EyB/f5b/cRj/xFLSUVDl5O/acFc4IS9c4gs0/6&#10;g0Gc1HQYDI8P8eB2NbNdjVnoc8C29HHNWJ7EiA+qE6UD/YA7YhpfRRUzHN/OaejE89CsA9wxXEyn&#10;CYSzaVm4MneWR9exS5Fz9/UDc7YlZkBGX0M3omy8x88GGy0NTBcBZJnIGwvdVLVtAM51on+7g+Li&#10;2D0n1HZTTn4DAAD//wMAUEsDBBQABgAIAAAAIQDyL2fb4wAAAAsBAAAPAAAAZHJzL2Rvd25yZXYu&#10;eG1sTI9NT4NAFEX3Jv6HyTNxZ4dCwRYZmoakMTF20dqNuwczBeJ8IDNt0V/vc6XLl3dy77nFejKa&#10;XdToe2cFzGcRMGUbJ3vbCji+bR+WwHxAK1E7qwR8KQ/r8vamwFy6q92ryyG0jEKsz1FAF8KQc+6b&#10;Thn0MzcoS7+TGw0GOseWyxGvFG40j6Mo4wZ7Sw0dDqrqVPNxOBsBL9V2h/s6NstvXT2/njbD5/E9&#10;FeL+bto8AQtqCn8w/OqTOpTkVLuzlZ5pAXG2SgkVkKaPC2BEJMmKxtQCsvkiAV4W/P+G8gcAAP//&#10;AwBQSwECLQAUAAYACAAAACEAtoM4kv4AAADhAQAAEwAAAAAAAAAAAAAAAAAAAAAAW0NvbnRlbnRf&#10;VHlwZXNdLnhtbFBLAQItABQABgAIAAAAIQA4/SH/1gAAAJQBAAALAAAAAAAAAAAAAAAAAC8BAABf&#10;cmVscy8ucmVsc1BLAQItABQABgAIAAAAIQBOKMAAmwIAAHEFAAAOAAAAAAAAAAAAAAAAAC4CAABk&#10;cnMvZTJvRG9jLnhtbFBLAQItABQABgAIAAAAIQDyL2fb4wAAAAsBAAAPAAAAAAAAAAAAAAAAAPUE&#10;AABkcnMvZG93bnJldi54bWxQSwUGAAAAAAQABADzAAAABQ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18</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70880" behindDoc="0" locked="0" layoutInCell="1" allowOverlap="1" wp14:anchorId="75C54A33" wp14:editId="2CBC7D97">
                <wp:simplePos x="0" y="0"/>
                <wp:positionH relativeFrom="column">
                  <wp:posOffset>3009014</wp:posOffset>
                </wp:positionH>
                <wp:positionV relativeFrom="paragraph">
                  <wp:posOffset>2614974</wp:posOffset>
                </wp:positionV>
                <wp:extent cx="446567" cy="361507"/>
                <wp:effectExtent l="0" t="0" r="0" b="635"/>
                <wp:wrapNone/>
                <wp:docPr id="96" name="Надпись 96"/>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18</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4A33" id="Надпись 96" o:spid="_x0000_s1046" type="#_x0000_t202" style="position:absolute;margin-left:236.95pt;margin-top:205.9pt;width:35.15pt;height:2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9cmgIAAHEFAAAOAAAAZHJzL2Uyb0RvYy54bWysVM1uEzEQviPxDpbvdJM2SWnUTRVaFSFV&#10;bUWKena8drPC9hjbyW64cecVeAcOHLjxCukbMfbuJlHhUsTFOzvzeTw/38zpWa0VWQnnSzA57R/0&#10;KBGGQ1Gah5x+uLt89ZoSH5gpmAIjcroWnp5NXr44rexYHMICVCEcQSfGjyub00UIdpxlni+EZv4A&#10;rDBolOA0C/jrHrLCsQq9a5Ud9nqjrAJXWAdceI/ai8ZIJ8m/lIKHGym9CETlFGML6XTpnMczm5yy&#10;8YNjdlHyNgz2D1FoVhp8dOvqggVGlq78w5UuuQMPMhxw0BlIWXKRcsBs+r0n2cwWzIqUCxbH222Z&#10;/P9zy69Xt46URU5PRpQYprFHm2+b75sfm1+bn49fHr8SNGCVKuvHCJ5ZhIf6DdTY7U7vURmTr6XT&#10;8YtpEbRjvdfbGos6EI7KwWA0HB1TwtF0NOoPe8fRS7a7bJ0PbwVoEoWcOmxhqixbXfnQQDtIfMvA&#10;ZalUaqMypMrp6GjYSxe2FnSuTMSKRIjWTUyoCTxJYa1ExCjzXkgsSIo/KhIVxblyZMWQRIxzYUJK&#10;PflFdERJDOI5F1v8LqrnXG7y6F4GE7aXdWnApeyfhF187EKWDR5rvpd3FEM9rxMTDtNYRNUcijX2&#10;20EzN97yyxK7csV8uGUOBwVbjMMfbvCQCrD60EqULMB9/ps+4pG/aKWkwsHLqf+0ZE5Qot4ZZPZJ&#10;fzCIk5p+BsNjjIa4fct832KW+hywLX1cM5YnMeKD6kTpQN/jjpjGV9HEDMe3cxo68Tw06wB3DBfT&#10;aQLhbFoWrszM8ug6dily7q6+Z862xAzI6GvoRpSNn/CzwcabBqbLALJM5N1VtW0AznWif7uD4uLY&#10;/0+o3aac/AYAAP//AwBQSwMEFAAGAAgAAAAhAJZdGy3jAAAACwEAAA8AAABkcnMvZG93bnJldi54&#10;bWxMj09Pg0AQxe8mfofNmHizC0hbpCxNQ9KYGD209uJtYLdAun+Q3bbop3c86W1m3sub3yvWk9Hs&#10;okbfOysgnkXAlG2c7G0r4PC+fciA+YBWonZWCfhSHtbl7U2BuXRXu1OXfWgZhVifo4AuhCHn3Ded&#10;MuhnblCWtKMbDQZax5bLEa8UbjRPomjBDfaWPnQ4qKpTzWl/NgJequ0b7urEZN+6en49bobPw8dc&#10;iPu7abMCFtQU/szwi0/oUBJT7c5WeqYFpMvHJ7LSEMfUgRzzNE2A1XRZZEvgZcH/dyh/AAAA//8D&#10;AFBLAQItABQABgAIAAAAIQC2gziS/gAAAOEBAAATAAAAAAAAAAAAAAAAAAAAAABbQ29udGVudF9U&#10;eXBlc10ueG1sUEsBAi0AFAAGAAgAAAAhADj9If/WAAAAlAEAAAsAAAAAAAAAAAAAAAAALwEAAF9y&#10;ZWxzLy5yZWxzUEsBAi0AFAAGAAgAAAAhAKY9/1yaAgAAcQUAAA4AAAAAAAAAAAAAAAAALgIAAGRy&#10;cy9lMm9Eb2MueG1sUEsBAi0AFAAGAAgAAAAhAJZdGy3jAAAACwEAAA8AAAAAAAAAAAAAAAAA9A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18</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9856" behindDoc="0" locked="0" layoutInCell="1" allowOverlap="1" wp14:anchorId="562AD575" wp14:editId="444BCDE8">
                <wp:simplePos x="0" y="0"/>
                <wp:positionH relativeFrom="column">
                  <wp:posOffset>5358810</wp:posOffset>
                </wp:positionH>
                <wp:positionV relativeFrom="paragraph">
                  <wp:posOffset>2678770</wp:posOffset>
                </wp:positionV>
                <wp:extent cx="446567" cy="361507"/>
                <wp:effectExtent l="0" t="0" r="0" b="635"/>
                <wp:wrapNone/>
                <wp:docPr id="97" name="Надпись 97"/>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17</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AD575" id="Надпись 97" o:spid="_x0000_s1047" type="#_x0000_t202" style="position:absolute;margin-left:421.95pt;margin-top:210.95pt;width:35.15pt;height:2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4CmQIAAHEFAAAOAAAAZHJzL2Uyb0RvYy54bWysVM1uEzEQviPxDpbvdJM0SWnUTRVaFSFV&#10;bUWKena8drPC9hjbyW64cecVeAcOHLjxCukbMfbuplHhUsRldzzzzf/PyWmtFVkL50swOe0f9CgR&#10;hkNRmvucfri9ePWaEh+YKZgCI3K6EZ6eTl++OKnsRAxgCaoQjqAR4yeVzekyBDvJMs+XQjN/AFYY&#10;FEpwmgV8uvuscKxC61plg15vnFXgCuuAC++Re94I6TTZl1LwcC2lF4GonGJsIX1d+i7iN5uesMm9&#10;Y3ZZ8jYM9g9RaFYadLozdc4CIytX/mFKl9yBBxkOOOgMpCy5SDlgNv3ek2zmS2ZFygWL4+2uTP7/&#10;meVX6xtHyiKnx0eUGKaxR9tv2+/bH9tf258PXx6+EhRglSrrJwieW4SH+g3U2O2O75EZk6+l0/GP&#10;aRGUY703uxqLOhCOzOFwPBqjK46iw3F/1EvWs0dl63x4K0CTSOTUYQtTZdn60gcMBKEdJPoycFEq&#10;ldqoDKlyOj4c9ZLCToIaykSsSAPRmokJNYEnKmyUiBhl3guJBUnxR0YaRXGmHFkzHCLGuTAhpZ7s&#10;IjqiJAbxHMUW/xjVc5SbPDrPYMJOWZcGXMr+SdjFxy5k2eCxkHt5RzLUizpNwmDX2AUUG+y3g2Zv&#10;vOUXJXblkvlwwxwuCrYYlz9c40cqwOpDS1GyBPf5b/yIx/lFKSUVLl5O/acVc4IS9c7gZB/3h8O4&#10;qekxHB0N8OH2JYt9iVnpM8C29PHMWJ7IiA+qI6UDfYc3Yha9oogZjr5zGjryLDTnAG8MF7NZAuFu&#10;WhYuzdzyaDp2Kc7cbX3HnG0HM+BEX0G3omzyZD4bbNQ0MFsFkGUa3ljopqptA3Cv00y3Nygejv13&#10;Qj1eyulvAAAA//8DAFBLAwQUAAYACAAAACEAMyewlOIAAAALAQAADwAAAGRycy9kb3ducmV2Lnht&#10;bEyPy07DMBBF90j8gzVI7KiTEMANcaoqUoWEYNHSDTsnniYRfoTYbQNfz7CC3TyO7pwpV7M17IRT&#10;GLyTkC4SYOharwfXSdi/bW4EsBCV08p4hxK+MMCqurwoVaH92W3xtIsdoxAXCiWhj3EsOA9tj1aF&#10;hR/R0e7gJ6sitVPH9aTOFG4Nz5Lknls1OLrQqxHrHtuP3dFKeK43r2rbZFZ8m/rp5bAeP/fvd1Je&#10;X83rR2AR5/gHw68+qUNFTo0/Oh2YkSDy2yWhEvIspYKIZZpnwBqaPAgBvCr5/x+qHwAAAP//AwBQ&#10;SwECLQAUAAYACAAAACEAtoM4kv4AAADhAQAAEwAAAAAAAAAAAAAAAAAAAAAAW0NvbnRlbnRfVHlw&#10;ZXNdLnhtbFBLAQItABQABgAIAAAAIQA4/SH/1gAAAJQBAAALAAAAAAAAAAAAAAAAAC8BAABfcmVs&#10;cy8ucmVsc1BLAQItABQABgAIAAAAIQCRtM4CmQIAAHEFAAAOAAAAAAAAAAAAAAAAAC4CAABkcnMv&#10;ZTJvRG9jLnhtbFBLAQItABQABgAIAAAAIQAzJ7CU4gAAAAsBAAAPAAAAAAAAAAAAAAAAAPMEAABk&#10;cnMvZG93bnJldi54bWxQSwUGAAAAAAQABADzAAAAAg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17</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8832" behindDoc="0" locked="0" layoutInCell="1" allowOverlap="1" wp14:anchorId="2B272668" wp14:editId="17F9378E">
                <wp:simplePos x="0" y="0"/>
                <wp:positionH relativeFrom="column">
                  <wp:posOffset>4561367</wp:posOffset>
                </wp:positionH>
                <wp:positionV relativeFrom="paragraph">
                  <wp:posOffset>2646872</wp:posOffset>
                </wp:positionV>
                <wp:extent cx="446567" cy="361507"/>
                <wp:effectExtent l="0" t="0" r="0" b="635"/>
                <wp:wrapNone/>
                <wp:docPr id="98" name="Надпись 98"/>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16</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2668" id="Надпись 98" o:spid="_x0000_s1048" type="#_x0000_t202" style="position:absolute;margin-left:359.15pt;margin-top:208.4pt;width:35.15pt;height:2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AgmwIAAHEFAAAOAAAAZHJzL2Uyb0RvYy54bWysVMFuEzEQvSPxD5bvdJM0SWnUTRVaFSFV&#10;bUWKena8drPC9hjbyW64cecX+AcOHLjxC+kfMfbuplHhUsRld+x5M56ZNzMnp7VWZC2cL8HktH/Q&#10;o0QYDkVp7nP64fbi1WtKfGCmYAqMyOlGeHo6ffnipLITMYAlqEI4gk6Mn1Q2p8sQ7CTLPF8KzfwB&#10;WGFQKcFpFvDo7rPCsQq9a5UNer1xVoErrAMuvMfb80ZJp8m/lIKHaym9CETlFGML6evSdxG/2fSE&#10;Te4ds8uSt2Gwf4hCs9LgoztX5ywwsnLlH650yR14kOGAg85AypKLlANm0+89yWa+ZFakXLA43u7K&#10;5P+fW361vnGkLHJ6jEwZppGj7bft9+2P7a/tz4cvD18JKrBKlfUTBM8twkP9Bmpku7v3eBmTr6XT&#10;8Y9pEdRjvTe7Gos6EI6Xw+F4ND6ihKPqcNwf9Y6il+zR2Dof3grQJAo5dUhhqixbX/rQQDtIfMvA&#10;RalUolEZUuV0fDjqJYOdBp0rE7EiNUTrJibUBJ6ksFEiYpR5LyQWJMUfL1IrijPlyJphEzHOhQkp&#10;9eQX0RElMYjnGLb4x6ieY9zk0b0MJuyMdWnApeyfhF187EKWDR5rvpd3FEO9qFMnDAYdsQsoNsi3&#10;g2ZuvOUXJbJyyXy4YQ4HBSnG4Q/X+JEKsPrQSpQswX3+233EY/+ilpIKBy+n/tOKOUGJemews4/7&#10;w2Gc1HQYjo4GeHD7msW+xqz0GSAtfVwzlicx4oPqROlA3+GOmMVXUcUMx7dzGjrxLDTrAHcMF7NZ&#10;AuFsWhYuzdzy6DqyFHvutr5jzraNGbCjr6AbUTZ50p8NNloamK0CyDI1byx0U9WWAJzr1P7tDoqL&#10;Y/+cUI+bcvobAAD//wMAUEsDBBQABgAIAAAAIQBdGBWL4gAAAAsBAAAPAAAAZHJzL2Rvd25yZXYu&#10;eG1sTI/BTsMwDIbvSLxDZCRuLO0GbVSaTlOlCQnBYWMXbmmTtRWJU5psKzw95gRH259+f3+5np1l&#10;ZzOFwaOEdJEAM9h6PWAn4fC2vRPAQlSolfVoJHyZAOvq+qpUhfYX3JnzPnaMQjAUSkIf41hwHtre&#10;OBUWfjRIt6OfnIo0Th3Xk7pQuLN8mSQZd2pA+tCr0dS9aT/2Jyfhud6+ql2zdOLb1k8vx834eXh/&#10;kPL2Zt48Aotmjn8w/OqTOlTk1PgT6sCshDwVK0Il3KcZdSAiFyID1tAmX+XAq5L/71D9AAAA//8D&#10;AFBLAQItABQABgAIAAAAIQC2gziS/gAAAOEBAAATAAAAAAAAAAAAAAAAAAAAAABbQ29udGVudF9U&#10;eXBlc10ueG1sUEsBAi0AFAAGAAgAAAAhADj9If/WAAAAlAEAAAsAAAAAAAAAAAAAAAAALwEAAF9y&#10;ZWxzLy5yZWxzUEsBAi0AFAAGAAgAAAAhAO0HICCbAgAAcQUAAA4AAAAAAAAAAAAAAAAALgIAAGRy&#10;cy9lMm9Eb2MueG1sUEsBAi0AFAAGAAgAAAAhAF0YFYviAAAACwEAAA8AAAAAAAAAAAAAAAAA9Q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16</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7808" behindDoc="0" locked="0" layoutInCell="1" allowOverlap="1" wp14:anchorId="4ED4F8E9" wp14:editId="5B5DD092">
                <wp:simplePos x="0" y="0"/>
                <wp:positionH relativeFrom="column">
                  <wp:posOffset>3750650</wp:posOffset>
                </wp:positionH>
                <wp:positionV relativeFrom="paragraph">
                  <wp:posOffset>2653414</wp:posOffset>
                </wp:positionV>
                <wp:extent cx="446567" cy="361507"/>
                <wp:effectExtent l="0" t="0" r="0" b="635"/>
                <wp:wrapNone/>
                <wp:docPr id="99" name="Надпись 99"/>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15</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F8E9" id="Надпись 99" o:spid="_x0000_s1049" type="#_x0000_t202" style="position:absolute;margin-left:295.35pt;margin-top:208.95pt;width:35.15pt;height:2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F+nAIAAHEFAAAOAAAAZHJzL2Uyb0RvYy54bWysVM1uEzEQviPxDpbvdJM0SWnUTRVaFSFV&#10;bUWKena8drPC9hjbyW64cecVeAcOHLjxCukbMfbuplHhUsRld+z5Zjw/38zJaa0VWQvnSzA57R/0&#10;KBGGQ1Ga+5x+uL149ZoSH5gpmAIjcroRnp5OX744qexEDGAJqhCOoBPjJ5XN6TIEO8kyz5dCM38A&#10;VhhUSnCaBTy6+6xwrELvWmWDXm+cVeAK64AL7/H2vFHSafIvpeDhWkovAlE5xdhC+rr0XcRvNj1h&#10;k3vH7LLkbRjsH6LQrDT46M7VOQuMrFz5hytdcgceZDjgoDOQsuQi5YDZ9HtPspkvmRUpFyyOt7sy&#10;+f/nll+tbxwpi5weH1NimMYebb9tv29/bH9tfz58efhKUIFVqqyfIHhuER7qN1Bjt7t7j5cx+Vo6&#10;Hf+YFkE91nuzq7GoA+F4ORyOR+MjSjiqDsf9Ue8oeskeja3z4a0ATaKQU4ctTJVl60sfGmgHiW8Z&#10;uCiVSm1UhlQ5HR+Oeslgp0HnykSsSIRo3cSEmsCTFDZKRIwy74XEgqT440WiojhTjqwZkohxLkxI&#10;qSe/iI4oiUE8x7DFP0b1HOMmj+5lMGFnrEsDLmX/JOziYxeybPBY8728oxjqRZ2YMDjsGruAYoP9&#10;dtDMjbf8osSuXDIfbpjDQcEW4/CHa/xIBVh9aCVKluA+/+0+4pG/qKWkwsHLqf+0Yk5Qot4ZZPZx&#10;fziMk5oOw9HRAA9uX7PY15iVPgNsSx/XjOVJjPigOlE60He4I2bxVVQxw/HtnIZOPAvNOsAdw8Vs&#10;lkA4m5aFSzO3PLqOXYqcu63vmLMtMQMy+gq6EWWTJ/xssNHSwGwVQJaJvLHQTVXbBuBcJ/q3Oygu&#10;jv1zQj1uyulvAAAA//8DAFBLAwQUAAYACAAAACEAtGtAeeMAAAALAQAADwAAAGRycy9kb3ducmV2&#10;LnhtbEyPTU+DQBCG7yb+h82YeLMLTQuUsjQNSWNi9NDai7eFnQLpfiC7bdFf73jS48w8eed5i81k&#10;NLvi6HtnBcSzCBjaxqnetgKO77unDJgP0iqpnUUBX+hhU97fFTJX7mb3eD2EllGI9bkU0IUw5Jz7&#10;pkMj/cwNaOl2cqORgcax5WqUNwo3ms+jKOFG9pY+dHLAqsPmfLgYAS/V7k3u67nJvnX1/HraDp/H&#10;j6UQjw/Tdg0s4BT+YPjVJ3Uoyal2F6s80wKWqyglVMAiTlfAiEiSmNrVtEkXGfCy4P87lD8AAAD/&#10;/wMAUEsBAi0AFAAGAAgAAAAhALaDOJL+AAAA4QEAABMAAAAAAAAAAAAAAAAAAAAAAFtDb250ZW50&#10;X1R5cGVzXS54bWxQSwECLQAUAAYACAAAACEAOP0h/9YAAACUAQAACwAAAAAAAAAAAAAAAAAvAQAA&#10;X3JlbHMvLnJlbHNQSwECLQAUAAYACAAAACEA2o4RfpwCAABxBQAADgAAAAAAAAAAAAAAAAAuAgAA&#10;ZHJzL2Uyb0RvYy54bWxQSwECLQAUAAYACAAAACEAtGtAeeMAAAALAQAADwAAAAAAAAAAAAAAAAD2&#10;BAAAZHJzL2Rvd25yZXYueG1sUEsFBgAAAAAEAAQA8wAAAAY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15</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6784" behindDoc="0" locked="0" layoutInCell="1" allowOverlap="1" wp14:anchorId="39174748" wp14:editId="4D16719E">
                <wp:simplePos x="0" y="0"/>
                <wp:positionH relativeFrom="column">
                  <wp:posOffset>4568795</wp:posOffset>
                </wp:positionH>
                <wp:positionV relativeFrom="paragraph">
                  <wp:posOffset>2234004</wp:posOffset>
                </wp:positionV>
                <wp:extent cx="446567" cy="361507"/>
                <wp:effectExtent l="0" t="0" r="0" b="635"/>
                <wp:wrapNone/>
                <wp:docPr id="100" name="Надпись 100"/>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14</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4748" id="Надпись 100" o:spid="_x0000_s1050" type="#_x0000_t202" style="position:absolute;margin-left:359.75pt;margin-top:175.9pt;width:35.15pt;height:2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RmwIAAHMFAAAOAAAAZHJzL2Uyb0RvYy54bWysVM1uEzEQviPxDpbvdDdpkkLUTRVaFSFV&#10;tKJFPTteu1lhe4ztZDfcuPMKvAMHDtx4hfSNGHt306hwKeKyO/Z8M56fb+b4pNGKrIXzFZiCDg5y&#10;SoThUFbmrqAfbs5fvKTEB2ZKpsCIgm6Epyez58+OazsVQ1iCKoUj6MT4aW0LugzBTrPM86XQzB+A&#10;FQaVEpxmAY/uLisdq9G7VtkwzydZDa60DrjwHm/PWiWdJf9SCh4upfQiEFVQjC2kr0vfRfxms2M2&#10;vXPMLivehcH+IQrNKoOP7lydscDIylV/uNIVd+BBhgMOOgMpKy5SDpjNIH+UzfWSWZFyweJ4uyuT&#10;/39u+bv1lSNVib3LsT6GaWzS9tv2+/bH9tf25/2X+68karBOtfVThF9bNAjNa2jQpr/3eBnTb6TT&#10;8Y+JEdSjx82uyqIJhOPlaDQZT44o4ag6nAzG+VH0kj0YW+fDGwGaRKGgDpuYasvWFz600B4S3zJw&#10;XimVGqkMqQs6ORznyWCnQefKRKxIlOjcxITawJMUNkpEjDLvhcSSpPjjRSKjOFWOrBnSiHEuTEip&#10;J7+IjiiJQTzFsMM/RPUU4zaP/mUwYWesKwMuZf8o7PJjH7Js8VjzvbyjGJpFk7gwHPWNXUC5wX47&#10;aCfHW35eYVcumA9XzOGoYItx/MMlfqQCrD50EiVLcJ//dh/xyGDUUlLj6BXUf1oxJyhRbw1y+9Vg&#10;NIqzmg6j8dEQD25fs9jXmJU+BWzLABeN5UmM+KB6UTrQt7gl5vFVVDHD8e2Chl48De1CwC3DxXye&#10;QDidloULc215dB27FDl309wyZztiBmT0O+iHlE0f8bPFRksD81UAWSXyxkK3Ve0agJOd6N9tobg6&#10;9s8J9bArZ78BAAD//wMAUEsDBBQABgAIAAAAIQAvSBkE4wAAAAsBAAAPAAAAZHJzL2Rvd25yZXYu&#10;eG1sTI9NT4NAEIbvJv6HzZh4swtVhFKWpiFpTIw9tPbibWGnQLofyG5b9Nc7nvQ2k3nyzvMWq8lo&#10;dsHR984KiGcRMLSNU71tBRzeNw8ZMB+kVVI7iwK+0MOqvL0pZK7c1e7wsg8toxDrcymgC2HIOfdN&#10;h0b6mRvQ0u3oRiMDrWPL1SivFG40n0fRMzeyt/ShkwNWHTan/dkIeK02W7mr5yb71tXL23E9fB4+&#10;EiHu76b1EljAKfzB8KtP6lCSU+3OVnmmBaTxIiFUwGMSUwci0mxBQy3gKcpS4GXB/3cofwAAAP//&#10;AwBQSwECLQAUAAYACAAAACEAtoM4kv4AAADhAQAAEwAAAAAAAAAAAAAAAAAAAAAAW0NvbnRlbnRf&#10;VHlwZXNdLnhtbFBLAQItABQABgAIAAAAIQA4/SH/1gAAAJQBAAALAAAAAAAAAAAAAAAAAC8BAABf&#10;cmVscy8ucmVsc1BLAQItABQABgAIAAAAIQAvociRmwIAAHMFAAAOAAAAAAAAAAAAAAAAAC4CAABk&#10;cnMvZTJvRG9jLnhtbFBLAQItABQABgAIAAAAIQAvSBkE4wAAAAsBAAAPAAAAAAAAAAAAAAAAAPUE&#10;AABkcnMvZG93bnJldi54bWxQSwUGAAAAAAQABADzAAAABQ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14</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5760" behindDoc="0" locked="0" layoutInCell="1" allowOverlap="1" wp14:anchorId="711199C8" wp14:editId="4B457043">
                <wp:simplePos x="0" y="0"/>
                <wp:positionH relativeFrom="column">
                  <wp:posOffset>5241851</wp:posOffset>
                </wp:positionH>
                <wp:positionV relativeFrom="paragraph">
                  <wp:posOffset>1626146</wp:posOffset>
                </wp:positionV>
                <wp:extent cx="446567" cy="361507"/>
                <wp:effectExtent l="0" t="0" r="0" b="635"/>
                <wp:wrapNone/>
                <wp:docPr id="101" name="Надпись 101"/>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13</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99C8" id="Надпись 101" o:spid="_x0000_s1051" type="#_x0000_t202" style="position:absolute;margin-left:412.75pt;margin-top:128.05pt;width:35.15pt;height:28.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8mwIAAHMFAAAOAAAAZHJzL2Uyb0RvYy54bWysVM1uEzEQviPxDpbvdDdpkkLUTRVaFSFV&#10;tKJFPTteu1lhe4ztZDfcuPMKvAMHDtx4hfSNGHt306hwKeKyO/Z8M56fb+b4pNGKrIXzFZiCDg5y&#10;SoThUFbmrqAfbs5fvKTEB2ZKpsCIgm6Epyez58+OazsVQ1iCKoUj6MT4aW0LugzBTrPM86XQzB+A&#10;FQaVEpxmAY/uLisdq9G7VtkwzydZDa60DrjwHm/PWiWdJf9SCh4upfQiEFVQjC2kr0vfRfxms2M2&#10;vXPMLivehcH+IQrNKoOP7lydscDIylV/uNIVd+BBhgMOOgMpKy5SDpjNIH+UzfWSWZFyweJ4uyuT&#10;/39u+bv1lSNVib3LB5QYprFJ22/b79sf21/bn/df7r+SqME61dZPEX5t0SA0r6FBm/7e42VMv5FO&#10;xz8mRlCPFd/sqiyaQDhejkaT8eSIEo6qw8lgnB9FL9mDsXU+vBGgSRQK6rCJqbZsfeFDC+0h8S0D&#10;55VSqZHKkLqgk8Nxngx2GnSuTMSKRInOTUyoDTxJYaNExCjzXkgsSYo/XiQyilPlyJohjRjnwoSU&#10;evKL6IiSGMRTDDv8Q1RPMW7z6F8GE3bGujLgUvaPwi4/9iHLFo8138s7iqFZNIkLw3Hf2AWUG+y3&#10;g3ZyvOXnFXblgvlwxRyOCrYYxz9c4kcqwOpDJ1GyBPf5b/cRjwxGLSU1jl5B/acVc4IS9dYgt18N&#10;RqM4q+kwGh8N8eD2NYt9jVnpU8C2IHsxuiRGfFC9KB3oW9wS8/gqqpjh+HZBQy+ehnYh4JbhYj5P&#10;IJxOy8KFubY8uo5dipy7aW6Zsx0xAzL6HfRDyqaP+Nlio6WB+SqArBJ5Y6HbqnYNwMlO9O+2UFwd&#10;++eEetiVs98AAAD//wMAUEsDBBQABgAIAAAAIQDyTaaH4gAAAAsBAAAPAAAAZHJzL2Rvd25yZXYu&#10;eG1sTI9NS8NAFEX3gv9heII7O0nKlBjzUkqgCKKL1m7cvWSmSXA+YmbaRn+948ouH+9w77nlejaa&#10;ndXkB2cR0kUCTNnWycF2CIf37UMOzAeykrSzCuFbeVhXtzclFdJd7E6d96FjMcT6ghD6EMaCc9/2&#10;ypBfuFHZ+Du6yVCI59RxOdElhhvNsyRZcUODjQ09jaruVfu5PxmEl3r7RrsmM/mPrp9fj5vx6/Ah&#10;EO/v5s0TsKDm8A/Dn35Uhyo6Ne5kpWcaIc+EiChCJlYpsEjkjyKOaRCW6TIBXpX8ekP1CwAA//8D&#10;AFBLAQItABQABgAIAAAAIQC2gziS/gAAAOEBAAATAAAAAAAAAAAAAAAAAAAAAABbQ29udGVudF9U&#10;eXBlc10ueG1sUEsBAi0AFAAGAAgAAAAhADj9If/WAAAAlAEAAAsAAAAAAAAAAAAAAAAALwEAAF9y&#10;ZWxzLy5yZWxzUEsBAi0AFAAGAAgAAAAhAJ0hj/ybAgAAcwUAAA4AAAAAAAAAAAAAAAAALgIAAGRy&#10;cy9lMm9Eb2MueG1sUEsBAi0AFAAGAAgAAAAhAPJNpofiAAAACwEAAA8AAAAAAAAAAAAAAAAA9Q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13</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4736" behindDoc="0" locked="0" layoutInCell="1" allowOverlap="1" wp14:anchorId="41F095AD" wp14:editId="45AAF7CC">
                <wp:simplePos x="0" y="0"/>
                <wp:positionH relativeFrom="column">
                  <wp:posOffset>4196981</wp:posOffset>
                </wp:positionH>
                <wp:positionV relativeFrom="paragraph">
                  <wp:posOffset>1622322</wp:posOffset>
                </wp:positionV>
                <wp:extent cx="446567" cy="361507"/>
                <wp:effectExtent l="0" t="0" r="0" b="635"/>
                <wp:wrapNone/>
                <wp:docPr id="102" name="Надпись 102"/>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12</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95AD" id="Надпись 102" o:spid="_x0000_s1052" type="#_x0000_t202" style="position:absolute;margin-left:330.45pt;margin-top:127.75pt;width:35.15pt;height:28.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dLmwIAAHMFAAAOAAAAZHJzL2Uyb0RvYy54bWysVM1uEzEQviPxDpbvdDdpkkLUTRVaFSFV&#10;tKJFPTteu1lhe4ztZDfcuPMKvAMHDtx4hfSNGHt306hwKeKyO/Z8M56fb+b4pNGKrIXzFZiCDg5y&#10;SoThUFbmrqAfbs5fvKTEB2ZKpsCIgm6Epyez58+OazsVQ1iCKoUj6MT4aW0LugzBTrPM86XQzB+A&#10;FQaVEpxmAY/uLisdq9G7VtkwzydZDa60DrjwHm/PWiWdJf9SCh4upfQiEFVQjC2kr0vfRfxms2M2&#10;vXPMLivehcH+IQrNKoOP7lydscDIylV/uNIVd+BBhgMOOgMpKy5SDpjNIH+UzfWSWZFyweJ4uyuT&#10;/39u+bv1lSNVib3Lh5QYprFJ22/b79sf21/bn/df7r+SqME61dZPEX5t0SA0r6FBm/7e42VMv5FO&#10;xz8mRlCPFd/sqiyaQDhejkaT8eSIEo6qw8lgnB9FL9mDsXU+vBGgSRQK6rCJqbZsfeFDC+0h8S0D&#10;55VSqZHKkLqgk8Nxngx2GnSuTMSKRInOTUyoDTxJYaNExCjzXkgsSYo/XiQyilPlyJohjRjnwoSU&#10;evKL6IiSGMRTDDv8Q1RPMW7z6F8GE3bGujLgUvaPwi4/9iHLFo8138s7iqFZNIkLw0nf2AWUG+y3&#10;g3ZyvOXnFXblgvlwxRyOCrYYxz9c4kcqwOpDJ1GyBPf5b/cRjwxGLSU1jl5B/acVc4IS9dYgt18N&#10;RqM4q+kwGh8N8eD2NYt9jVnpU8C2DHDRWJ7EiA+qF6UDfYtbYh5fRRUzHN8uaOjF09AuBNwyXMzn&#10;CYTTaVm4MNeWR9exS5FzN80tc7YjZkBGv4N+SNn0ET9bbLQ0MF8FkFUibyx0W9WuATjZif7dFoqr&#10;Y/+cUA+7cvYbAAD//wMAUEsDBBQABgAIAAAAIQAC8YDX4wAAAAsBAAAPAAAAZHJzL2Rvd25yZXYu&#10;eG1sTI/BTsMwDIbvSLxDZCRuLF2hZevqTlOlCQnBYWMXbm7jtRVNUppsKzw94QQny/Kn39+fryfd&#10;izOPrrMGYT6LQLCprepMg3B4294tQDhPRlFvDSN8sYN1cX2VU6bsxez4vPeNCCHGZYTQej9kUrq6&#10;ZU1uZgc24Xa0oyYf1rGRaqRLCNe9jKMolZo6Ez60NHDZcv2xP2mE53L7Srsq1ovvvnx6OW6Gz8N7&#10;gnh7M21WIDxP/g+GX/2gDkVwquzJKCd6hDSNlgFFiJMkARGIx/t5DKJCCPMBZJHL/x2KHwAAAP//&#10;AwBQSwECLQAUAAYACAAAACEAtoM4kv4AAADhAQAAEwAAAAAAAAAAAAAAAAAAAAAAW0NvbnRlbnRf&#10;VHlwZXNdLnhtbFBLAQItABQABgAIAAAAIQA4/SH/1gAAAJQBAAALAAAAAAAAAAAAAAAAAC8BAABf&#10;cmVscy8ucmVsc1BLAQItABQABgAIAAAAIQBLoEdLmwIAAHMFAAAOAAAAAAAAAAAAAAAAAC4CAABk&#10;cnMvZTJvRG9jLnhtbFBLAQItABQABgAIAAAAIQAC8YDX4wAAAAsBAAAPAAAAAAAAAAAAAAAAAPUE&#10;AABkcnMvZG93bnJldi54bWxQSwUGAAAAAAQABADzAAAABQ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12</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3712" behindDoc="0" locked="0" layoutInCell="1" allowOverlap="1" wp14:anchorId="4AF120CE" wp14:editId="1F84548E">
                <wp:simplePos x="0" y="0"/>
                <wp:positionH relativeFrom="column">
                  <wp:posOffset>3442039</wp:posOffset>
                </wp:positionH>
                <wp:positionV relativeFrom="paragraph">
                  <wp:posOffset>1632703</wp:posOffset>
                </wp:positionV>
                <wp:extent cx="446567" cy="361507"/>
                <wp:effectExtent l="0" t="0" r="0" b="635"/>
                <wp:wrapNone/>
                <wp:docPr id="103" name="Надпись 103"/>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11</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20CE" id="Надпись 103" o:spid="_x0000_s1053" type="#_x0000_t202" style="position:absolute;margin-left:271.05pt;margin-top:128.55pt;width:35.15pt;height:2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AmmAIAAHMFAAAOAAAAZHJzL2Uyb0RvYy54bWysVM1uEzEQviPxDpbvdDe/haibKrQqQqra&#10;ihb17HjtZoXXY2wnu+HWO6/AO3DgwI1XSN+IsXc3iQKXIi72eOab8fyfnNalIithXQE6o72jlBKh&#10;OeSFfsjox7uLV68pcZ7pnCnQIqNr4ejp9OWLk8pMRB8WoHJhCRrRblKZjC68N5MkcXwhSuaOwAiN&#10;Qgm2ZB6f9iHJLavQeqmSfpqOkwpsbixw4RxyzxshnUb7Ugrur6V0whOVUfTNx9PGcx7OZHrCJg+W&#10;mUXBWzfYP3hRskLjp1tT58wzsrTFH6bKgltwIP0RhzIBKQsuYgwYTS89iOZ2wYyIsWBynNmmyf0/&#10;s/xqdWNJkWPt0gElmpVYpM23zffNj82vzc+nx6evJEgwT5VxE4TfGlTw9VuoUafjO2SG8Gtpy3Bj&#10;YATlmPH1Nsui9oQjczgcj8bHlHAUDca9UXocrCQ7ZWOdfyegJIHIqMUixtyy1aXzDbSDhL80XBRK&#10;xUIqTaqMjgejNCpsJWhc6YAVsSVaMyGgxvFI+bUSAaP0ByExJdH/wIjNKM6UJSuGbcQ4F9rH0KNd&#10;RAeURCeeo9jid149R7mJo/sZtN8ql4UGG6M/cDv/1LksGzzmfC/uQPp6Xsde6MeSBNYc8jXW20Iz&#10;Oc7wiwKrcsmcv2EWRwVLjOPvr/GQCjD70FKULMB++Rs/4LGDUUpJhaOXUfd5yaygRL3X2NtvesNh&#10;mNX4GI6O+/iw+5L5vkQvyzPAsvRw0RgeyYD3qiOlhfIet8Qs/Ioipjn+nVHfkWe+WQi4ZbiYzSII&#10;p9Mwf6lvDQ+mQ5VCz93V98yatjE9dvQVdEPKJgf92WCDpobZ0oMsYvPustoWACc7tn+7hcLq2H9H&#10;1G5XTn8DAAD//wMAUEsDBBQABgAIAAAAIQDw6cxp4wAAAAsBAAAPAAAAZHJzL2Rvd25yZXYueG1s&#10;TI9NS8NAEIbvgv9hGcGb3WRNaomZlBIoguihtRdvk+w2Ce5HzG7b6K93Pelthnl453nL9Ww0O6vJ&#10;D84ipIsEmLKtk4PtEA5v27sVMB/IStLOKoQv5WFdXV+VVEh3sTt13oeOxRDrC0LoQxgLzn3bK0N+&#10;4UZl4+3oJkMhrlPH5USXGG40F0my5IYGGz/0NKq6V+3H/mQQnuvtK+0aYVbfun56OW7Gz8N7jnh7&#10;M28egQU1hz8YfvWjOlTRqXEnKz3TCHkm0ogiiPwhDpFYpiID1iDcp1kCvCr5/w7VDwAAAP//AwBQ&#10;SwECLQAUAAYACAAAACEAtoM4kv4AAADhAQAAEwAAAAAAAAAAAAAAAAAAAAAAW0NvbnRlbnRfVHlw&#10;ZXNdLnhtbFBLAQItABQABgAIAAAAIQA4/SH/1gAAAJQBAAALAAAAAAAAAAAAAAAAAC8BAABfcmVs&#10;cy8ucmVsc1BLAQItABQABgAIAAAAIQD5IAAmmAIAAHMFAAAOAAAAAAAAAAAAAAAAAC4CAABkcnMv&#10;ZTJvRG9jLnhtbFBLAQItABQABgAIAAAAIQDw6cxp4wAAAAsBAAAPAAAAAAAAAAAAAAAAAPIEAABk&#10;cnMvZG93bnJldi54bWxQSwUGAAAAAAQABADzAAAAAg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11</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62688" behindDoc="0" locked="0" layoutInCell="1" allowOverlap="1" wp14:anchorId="32AC9DA2" wp14:editId="232825B9">
                <wp:simplePos x="0" y="0"/>
                <wp:positionH relativeFrom="margin">
                  <wp:posOffset>1602238</wp:posOffset>
                </wp:positionH>
                <wp:positionV relativeFrom="paragraph">
                  <wp:posOffset>2728019</wp:posOffset>
                </wp:positionV>
                <wp:extent cx="446567" cy="361507"/>
                <wp:effectExtent l="0" t="0" r="0" b="635"/>
                <wp:wrapNone/>
                <wp:docPr id="12" name="Надпись 12"/>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10</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9DA2" id="Надпись 12" o:spid="_x0000_s1054" type="#_x0000_t202" style="position:absolute;margin-left:126.15pt;margin-top:214.8pt;width:35.15pt;height:28.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tymwIAAHEFAAAOAAAAZHJzL2Uyb0RvYy54bWysVM1uEzEQviPxDpbvdJM0SUvUTRVaFSFV&#10;bUWKena8drPC9hjbyW64cecVeAcOHLjxCukbMfbuplHhUsRld+z5Zjw/38zJaa0VWQvnSzA57R/0&#10;KBGGQ1Ga+5x+uL14dUyJD8wUTIEROd0IT0+nL1+cVHYiBrAEVQhH0Inxk8rmdBmCnWSZ50uhmT8A&#10;KwwqJTjNAh7dfVY4VqF3rbJBrzfOKnCFdcCF93h73ijpNPmXUvBwLaUXgaicYmwhfV36LuI3m56w&#10;yb1jdlnyNgz2D1FoVhp8dOfqnAVGVq78w5UuuQMPMhxw0BlIWXKRcsBs+r0n2cyXzIqUCxbH212Z&#10;/P9zy6/WN46UBfZuQIlhGnu0/bb9vv2x/bX9+fDl4StBBVapsn6C4LlFeKjfQI0W3b3Hy5h8LZ2O&#10;f0yLoB7rvdnVWNSBcLwcDsej8RElHFWH4/6odxS9ZI/G1vnwVoAmUcipwxamyrL1pQ8NtIPEtwxc&#10;lEqlNipDqpyOD0e9ZLDToHNlIlYkQrRuYkJN4EkKGyUiRpn3QmJBUvzxIlFRnClH1gxJxDgXJqTU&#10;k19ER5TEIJ5j2OIfo3qOcZNH9zKYsDPWpQGXsn8SdvGxC1k2eKz5Xt5RDPWiTkwYHHeNXUCxwX47&#10;aObGW35RYlcumQ83zOGgYItx+MM1fqQCrD60EiVLcJ//dh/xyF/UUlLh4OXUf1oxJyhR7wwy+3V/&#10;OIyTmg7D0dEAD25fs9jXmJU+A2xLH9eM5UmM+KA6UTrQd7gjZvFVVDHD8e2chk48C806wB3DxWyW&#10;QDibloVLM7c8uo5dipy7re+Ysy0xAzL6CroRZZMn/Gyw0dLAbBVAlom8sdBNVdsG4Fwn+rc7KC6O&#10;/XNCPW7K6W8AAAD//wMAUEsDBBQABgAIAAAAIQBR7reX4QAAAAsBAAAPAAAAZHJzL2Rvd25yZXYu&#10;eG1sTI/LTsMwEEX3SPyDNUjsqINLohDiVFWkCgnBoqUbdpPYTSL8CLHbBr6eYVV28zi6c6Zczdaw&#10;k57C4J2E+0UCTLvWq8F1Evbvm7scWIjoFBrvtIRvHWBVXV+VWCh/dlt92sWOUYgLBUroYxwLzkPb&#10;a4th4UftaHfwk8VI7dRxNeGZwq3hIkkybnFwdKHHUde9bj93Ryvhpd684bYRNv8x9fPrYT1+7T9S&#10;KW9v5vUTsKjneIHhT5/UoSKnxh+dCsxIEKlYEirhQTxmwIhYCkFFQ5M8S4FXJf//Q/ULAAD//wMA&#10;UEsBAi0AFAAGAAgAAAAhALaDOJL+AAAA4QEAABMAAAAAAAAAAAAAAAAAAAAAAFtDb250ZW50X1R5&#10;cGVzXS54bWxQSwECLQAUAAYACAAAACEAOP0h/9YAAACUAQAACwAAAAAAAAAAAAAAAAAvAQAAX3Jl&#10;bHMvLnJlbHNQSwECLQAUAAYACAAAACEAsubbcpsCAABxBQAADgAAAAAAAAAAAAAAAAAuAgAAZHJz&#10;L2Uyb0RvYy54bWxQSwECLQAUAAYACAAAACEAUe63l+EAAAALAQAADwAAAAAAAAAAAAAAAAD1BAAA&#10;ZHJzL2Rvd25yZXYueG1sUEsFBgAAAAAEAAQA8wAAAAM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10</w:t>
                      </w:r>
                      <w:r w:rsidRPr="00AF6695">
                        <w:rPr>
                          <w:color w:val="000000" w:themeColor="text1"/>
                          <w:lang w:val="en-US"/>
                        </w:rPr>
                        <w:t>)</w:t>
                      </w:r>
                    </w:p>
                  </w:txbxContent>
                </v:textbox>
                <w10:wrap anchorx="margin"/>
              </v:shape>
            </w:pict>
          </mc:Fallback>
        </mc:AlternateContent>
      </w:r>
      <w:r w:rsidRPr="008E53E9">
        <w:rPr>
          <w:rFonts w:cs="Times New Roman"/>
          <w:noProof/>
          <w:szCs w:val="24"/>
          <w:lang w:eastAsia="ru-RU"/>
        </w:rPr>
        <mc:AlternateContent>
          <mc:Choice Requires="wps">
            <w:drawing>
              <wp:anchor distT="0" distB="0" distL="114300" distR="114300" simplePos="0" relativeHeight="251761664" behindDoc="0" locked="0" layoutInCell="1" allowOverlap="1" wp14:anchorId="563BE3D3" wp14:editId="52A009A4">
                <wp:simplePos x="0" y="0"/>
                <wp:positionH relativeFrom="margin">
                  <wp:align>center</wp:align>
                </wp:positionH>
                <wp:positionV relativeFrom="paragraph">
                  <wp:posOffset>1831340</wp:posOffset>
                </wp:positionV>
                <wp:extent cx="446567" cy="361507"/>
                <wp:effectExtent l="0" t="0" r="0" b="635"/>
                <wp:wrapNone/>
                <wp:docPr id="104" name="Надпись 104"/>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9</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E3D3" id="Надпись 104" o:spid="_x0000_s1055" type="#_x0000_t202" style="position:absolute;margin-left:0;margin-top:144.2pt;width:35.15pt;height:28.4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A2nAIAAHMFAAAOAAAAZHJzL2Uyb0RvYy54bWysVM1uEzEQviPxDpbvdDdpktKomyq0KkKq&#10;2ooU9ex47WSF12NsJ7vhxp1X4B04cODGK6RvxNi7m0aBSxGX3bHnm/H8fDNn53WpyFpYV4DOaO8o&#10;pURoDnmhFxn9cH/16jUlzjOdMwVaZHQjHD2fvHxxVpmx6MMSVC4sQSfajSuT0aX3Zpwkji9FydwR&#10;GKFRKcGWzOPRLpLcsgq9lyrpp+koqcDmxgIXzuHtZaOkk+hfSsH9rZROeKIyirH5+LXxOw/fZHLG&#10;xgvLzLLgbRjsH6IoWaHx0Z2rS+YZWdniD1dlwS04kP6IQ5mAlAUXMQfMppceZDNbMiNiLlgcZ3Zl&#10;cv/PLb9Z31lS5Ni7dECJZiU2aftt+337Y/tr+/Pxy+NXEjRYp8q4McJnBg18/QZqtOnuHV6G9Gtp&#10;y/DHxAjqseKbXZVF7QnHy8FgNBydUMJRdTzqDdOT4CV5MjbW+bcCShKEjFpsYqwtW18730A7SHhL&#10;w1WhVGyk0qTK6Oh4mEaDnQadKx2wIlKidRMSagKPkt8oETBKvxcSSxLjDxeRjOJCWbJmSCPGudA+&#10;ph79IjqgJAbxHMMW/xTVc4ybPLqXQfudcVlosDH7g7Dzj13IssFjzffyDqKv53XkQv+0a+wc8g32&#10;20IzOc7wqwK7cs2cv2MWRwVbjOPvb/EjFWD1oZUoWYL9/Lf7gEcGo5aSCkcvo+7TillBiXqnkdun&#10;vcEgzGo8DIYnfTzYfc18X6NX5QVgW3q4aAyPYsB71YnSQvmAW2IaXkUV0xzfzqjvxAvfLATcMlxM&#10;pxGE02mYv9Yzw4Pr0KXAufv6gVnTEtMjo2+gG1I2PuBngw2WGqYrD7KI5A2FbqraNgAnO9K/3UJh&#10;deyfI+ppV05+AwAA//8DAFBLAwQUAAYACAAAACEAgHC6KN8AAAAHAQAADwAAAGRycy9kb3ducmV2&#10;LnhtbEyPT0+DQBTE7yZ+h80z8WYXoVVCeTQNSWNi9NDaS28PeAXi/kF226Kf3vVUj5OZzPwmX01a&#10;iTOPrrcG4XEWgWBT26Y3LcL+Y/OQgnCeTEPKGkb4Zger4vYmp6yxF7Pl8863IpQYlxFC5/2QSenq&#10;jjW5mR3YBO9oR00+yLGVzUiXUK6VjKPoSWrqTVjoaOCy4/pzd9IIr+XmnbZVrNMfVb68HdfD1/6w&#10;QLy/m9ZLEJ4nfw3DH35AhyIwVfZkGicUQjjiEeI0nYMI9nOUgKgQkvkiAVnk8j9/8QsAAP//AwBQ&#10;SwECLQAUAAYACAAAACEAtoM4kv4AAADhAQAAEwAAAAAAAAAAAAAAAAAAAAAAW0NvbnRlbnRfVHlw&#10;ZXNdLnhtbFBLAQItABQABgAIAAAAIQA4/SH/1gAAAJQBAAALAAAAAAAAAAAAAAAAAC8BAABfcmVs&#10;cy8ucmVsc1BLAQItABQABgAIAAAAIQBkmyA2nAIAAHMFAAAOAAAAAAAAAAAAAAAAAC4CAABkcnMv&#10;ZTJvRG9jLnhtbFBLAQItABQABgAIAAAAIQCAcLoo3wAAAAcBAAAPAAAAAAAAAAAAAAAAAPYEAABk&#10;cnMvZG93bnJldi54bWxQSwUGAAAAAAQABADzAAAAAg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9</w:t>
                      </w:r>
                      <w:r w:rsidRPr="00AF6695">
                        <w:rPr>
                          <w:color w:val="000000" w:themeColor="text1"/>
                          <w:lang w:val="en-US"/>
                        </w:rPr>
                        <w:t>)</w:t>
                      </w:r>
                    </w:p>
                  </w:txbxContent>
                </v:textbox>
                <w10:wrap anchorx="margin"/>
              </v:shape>
            </w:pict>
          </mc:Fallback>
        </mc:AlternateContent>
      </w:r>
      <w:r w:rsidRPr="008E53E9">
        <w:rPr>
          <w:rFonts w:cs="Times New Roman"/>
          <w:noProof/>
          <w:szCs w:val="24"/>
          <w:lang w:eastAsia="ru-RU"/>
        </w:rPr>
        <mc:AlternateContent>
          <mc:Choice Requires="wps">
            <w:drawing>
              <wp:anchor distT="0" distB="0" distL="114300" distR="114300" simplePos="0" relativeHeight="251760640" behindDoc="0" locked="0" layoutInCell="1" allowOverlap="1" wp14:anchorId="609EB94F" wp14:editId="4437F8A5">
                <wp:simplePos x="0" y="0"/>
                <wp:positionH relativeFrom="column">
                  <wp:posOffset>1917670</wp:posOffset>
                </wp:positionH>
                <wp:positionV relativeFrom="paragraph">
                  <wp:posOffset>1831340</wp:posOffset>
                </wp:positionV>
                <wp:extent cx="446567" cy="361507"/>
                <wp:effectExtent l="0" t="0" r="0" b="635"/>
                <wp:wrapNone/>
                <wp:docPr id="10" name="Надпись 10"/>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8</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B94F" id="Надпись 10" o:spid="_x0000_s1056" type="#_x0000_t202" style="position:absolute;margin-left:151pt;margin-top:144.2pt;width:35.15pt;height:28.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FjmQIAAHEFAAAOAAAAZHJzL2Uyb0RvYy54bWysVM1uEzEQviPxDpbvdJM2SSHqpgqtipCq&#10;tqJFPTteu1lhe4ztZDfceucVeAcOHLjxCukbMfbuJlHgUsRld+z5Zjw/38zJaa0VWQrnSzA57R/0&#10;KBGGQ1Gah5x+vLt49ZoSH5gpmAIjcroSnp5OXr44qexYHMIcVCEcQSfGjyub03kIdpxlns+FZv4A&#10;rDColOA0C3h0D1nhWIXetcoOe71RVoErrAMuvMfb80ZJJ8m/lIKHaym9CETlFGML6evSdxa/2eSE&#10;jR8cs/OSt2Gwf4hCs9LgoxtX5ywwsnDlH650yR14kOGAg85AypKLlANm0+/tZXM7Z1akXLA43m7K&#10;5P+fW361vHGkLLB3WB7DNPZo/W39ff1j/Wv98+nx6StBBVapsn6M4FuL8FC/hRotunuPlzH5Wjod&#10;/5gWQT06XG1qLOpAOF4OBqPh6JgSjqqjUX/YO45esq2xdT68E6BJFHLqsIWpsmx56UMD7SDxLQMX&#10;pVKpjcqQKqejo2EvGWw06FyZiBWJEK2bmFATeJLCSomIUeaDkFiQFH+8SFQUZ8qRJUMSMc6FCSn1&#10;5BfRESUxiOcYtvhtVM8xbvLoXgYTNsa6NOBS9nthF5+6kGWDx5rv5B3FUM/qxISjTcNnUKyw3w6a&#10;ufGWX5TYlUvmww1zOCjYYhz+cI0fqQCrD61EyRzcl7/dRzzyF7WUVDh4OfWfF8wJStR7g8x+0x8M&#10;4qSmw2B4fIgHt6uZ7WrMQp8BtqWPa8byJEZ8UJ0oHeh73BHT+CqqmOH4dk5DJ56FZh3gjuFiOk0g&#10;nE3LwqW5tTy6jl2KnLur75mzLTEDMvoKuhFl4z1+NthoaWC6CCDLRN5Y6KaqbQNwrhP92x0UF8fu&#10;OaG2m3LyGwAA//8DAFBLAwQUAAYACAAAACEAGtVMf+MAAAALAQAADwAAAGRycy9kb3ducmV2Lnht&#10;bEyPzU7DMBCE70i8g7VI3KiD00KUxqmqSBUSgkNLL71t4m0S4Z8Qu23g6TGncpvVjGa/KVaT0exM&#10;o++dlfA4S4CRbZzqbSth/7F5yID5gFahdpYkfJOHVXl7U2Cu3MVu6bwLLYsl1ucooQthyDn3TUcG&#10;/cwNZKN3dKPBEM+x5WrESyw3moskeeIGexs/dDhQ1VHzuTsZCa/V5h23tTDZj65e3o7r4Wt/WEh5&#10;fzetl8ACTeEahj/8iA5lZKrdySrPtIQ0EXFLkCCybA4sJtJnkQKro5gvUuBlwf9vKH8BAAD//wMA&#10;UEsBAi0AFAAGAAgAAAAhALaDOJL+AAAA4QEAABMAAAAAAAAAAAAAAAAAAAAAAFtDb250ZW50X1R5&#10;cGVzXS54bWxQSwECLQAUAAYACAAAACEAOP0h/9YAAACUAQAACwAAAAAAAAAAAAAAAAAvAQAAX3Jl&#10;bHMvLnJlbHNQSwECLQAUAAYACAAAACEAwTnxY5kCAABxBQAADgAAAAAAAAAAAAAAAAAuAgAAZHJz&#10;L2Uyb0RvYy54bWxQSwECLQAUAAYACAAAACEAGtVMf+MAAAALAQAADwAAAAAAAAAAAAAAAADzBAAA&#10;ZHJzL2Rvd25yZXYueG1sUEsFBgAAAAAEAAQA8wAAAAM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8</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9616" behindDoc="0" locked="0" layoutInCell="1" allowOverlap="1" wp14:anchorId="324AAFD4" wp14:editId="76482257">
                <wp:simplePos x="0" y="0"/>
                <wp:positionH relativeFrom="column">
                  <wp:posOffset>1343512</wp:posOffset>
                </wp:positionH>
                <wp:positionV relativeFrom="paragraph">
                  <wp:posOffset>1810075</wp:posOffset>
                </wp:positionV>
                <wp:extent cx="446567" cy="361507"/>
                <wp:effectExtent l="0" t="0" r="0" b="635"/>
                <wp:wrapNone/>
                <wp:docPr id="8" name="Надпись 8"/>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7</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AFD4" id="Надпись 8" o:spid="_x0000_s1057" type="#_x0000_t202" style="position:absolute;margin-left:105.8pt;margin-top:142.55pt;width:35.15pt;height:28.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nmgIAAG8FAAAOAAAAZHJzL2Uyb0RvYy54bWysVMFuEzEQvSPxD5bvdJM2SUvUTRVaFSFV&#10;bUWLena8drPC9hjbyW64cecX+AcOHLjxC+kfMfbuJlHgUsRld+x5M56ZNzOnZ7VWZCmcL8HktH/Q&#10;o0QYDkVpHnP64f7y1QklPjBTMAVG5HQlPD2bvHxxWtmxOIQ5qEI4gk6MH1c2p/MQ7DjLPJ8LzfwB&#10;WGFQKcFpFvDoHrPCsQq9a5Ud9nqjrAJXWAdceI+3F42STpJ/KQUPN1J6EYjKKcYW0tel7yx+s8kp&#10;Gz86Zuclb8Ng/xCFZqXBRzeuLlhgZOHKP1zpkjvwIMMBB52BlCUXKQfMpt/by+ZuzqxIuWBxvN2U&#10;yf8/t/x6eetIWeQUiTJMI0Xrb+vv6x/rX+ufT1+evpKTWKPK+jFC7yyCQ/0GauS6u/d4GVOvpdPx&#10;j0kR1GO1V5sKizoQjpeDwWg4OqaEo+po1B/2jqOXbGtsnQ9vBWgShZw6JDDVlS2vfGigHSS+ZeCy&#10;VCqRqAypcjo6GvaSwUaDzpWJWJHaoXUTE2oCT1JYKRExyrwXEsuR4o8XqRHFuXJkybCFGOfChJR6&#10;8ovoiJIYxHMMW/w2qucYN3l0L4MJG2NdGnAp+72wi49dyLLBY8138o5iqGd16oOjDbEzKFbIt4Nm&#10;arzllyWycsV8uGUOxwQpxtEPN/iRCrD60EqUzMF9/tt9xGP3opaSCscup/7TgjlBiXpnsK9f9weD&#10;OKfpMBgeH+LB7Wpmuxqz0OeAtPRxyViexIgPqhOlA/2AG2IaX0UVMxzfzmnoxPPQLAPcMFxMpwmE&#10;k2lZuDJ3lkfXkaXYc/f1A3O2bcyAHX0N3YCy8V5/NthoaWC6CCDL1Lyx0E1VWwJwqlP7txsoro3d&#10;c0Jt9+TkNwAAAP//AwBQSwMEFAAGAAgAAAAhAKLpfUjjAAAACwEAAA8AAABkcnMvZG93bnJldi54&#10;bWxMj8FOwzAMhu9IvENkJG4sbWBT6ZpOU6UJCcFhYxdubpO11RKnNNlWeHrCadxs+dPv7y9WkzXs&#10;rEffO5KQzhJgmhqnemol7D82DxkwH5AUGkdawrf2sCpvbwrMlbvQVp93oWUxhHyOEroQhpxz33Ta&#10;op+5QVO8HdxoMcR1bLka8RLDreEiSRbcYk/xQ4eDrjrdHHcnK+G12rzjthY2+zHVy9thPXztP+dS&#10;3t9N6yWwoKdwheFPP6pDGZ1qdyLlmZEg0nQR0Thk8xRYJESWPgOrJTw+iQR4WfD/HcpfAAAA//8D&#10;AFBLAQItABQABgAIAAAAIQC2gziS/gAAAOEBAAATAAAAAAAAAAAAAAAAAAAAAABbQ29udGVudF9U&#10;eXBlc10ueG1sUEsBAi0AFAAGAAgAAAAhADj9If/WAAAAlAEAAAsAAAAAAAAAAAAAAAAALwEAAF9y&#10;ZWxzLy5yZWxzUEsBAi0AFAAGAAgAAAAhAJz11OeaAgAAbwUAAA4AAAAAAAAAAAAAAAAALgIAAGRy&#10;cy9lMm9Eb2MueG1sUEsBAi0AFAAGAAgAAAAhAKLpfUjjAAAACwEAAA8AAAAAAAAAAAAAAAAA9A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7</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8592" behindDoc="0" locked="0" layoutInCell="1" allowOverlap="1" wp14:anchorId="485A6B00" wp14:editId="4FC7C188">
                <wp:simplePos x="0" y="0"/>
                <wp:positionH relativeFrom="column">
                  <wp:posOffset>691116</wp:posOffset>
                </wp:positionH>
                <wp:positionV relativeFrom="paragraph">
                  <wp:posOffset>1806900</wp:posOffset>
                </wp:positionV>
                <wp:extent cx="446567" cy="361507"/>
                <wp:effectExtent l="0" t="0" r="0" b="635"/>
                <wp:wrapNone/>
                <wp:docPr id="105" name="Надпись 105"/>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6</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6B00" id="Надпись 105" o:spid="_x0000_s1058" type="#_x0000_t202" style="position:absolute;margin-left:54.4pt;margin-top:142.3pt;width:35.15pt;height:28.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72nAIAAHMFAAAOAAAAZHJzL2Uyb0RvYy54bWysVM1uEzEQviPxDpbvdDdpkkLUTRVaFSFV&#10;tKJFPTteu1lhe4ztZDfcuPMKvAMHDtx4hfSNGHt306hwKeKyO/Z8M56fb+b4pNGKrIXzFZiCDg5y&#10;SoThUFbmrqAfbs5fvKTEB2ZKpsCIgm6Epyez58+OazsVQ1iCKoUj6MT4aW0LugzBTrPM86XQzB+A&#10;FQaVEpxmAY/uLisdq9G7VtkwzydZDa60DrjwHm/PWiWdJf9SCh4upfQiEFVQjC2kr0vfRfxms2M2&#10;vXPMLivehcH+IQrNKoOP7lydscDIylV/uNIVd+BBhgMOOgMpKy5SDpjNIH+UzfWSWZFyweJ4uyuT&#10;/39u+bv1lSNVib3Lx5QYprFJ22/b79sf21/bn/df7r+SqME61dZPEX5t0SA0r6FBm/7e42VMv5FO&#10;xz8mRlCPFd/sqiyaQDhejkaT8eSIEo6qw8lgnB9FL9mDsXU+vBGgSRQK6rCJqbZsfeFDC+0h8S0D&#10;55VSqZHKkLqgk8Nxngx2GnSuTMSKRInOTUyoDTxJYaNExCjzXkgsSYo/XiQyilPlyJohjRjnwoSU&#10;evKL6IiSGMRTDDv8Q1RPMW7z6F8GE3bGujLgUvaPwi4/9iHLFo8138s7iqFZNIkLh8O+sQsoN9hv&#10;B+3keMvPK+zKBfPhijkcFWwxjn+4xI9UgNWHTqJkCe7z3+4jHhmMWkpqHL2C+k8r5gQl6q1Bbr8a&#10;jEZxVtNhND4a4sHtaxb7GrPSp4BtGeCisTyJER9UL0oH+ha3xDy+iipmOL5d0NCLp6FdCLhluJjP&#10;Ewin07JwYa4tj65jlyLnbppb5mxHzICMfgf9kLLpI3622GhpYL4KIKtE3ljotqpdA3CyE/27LRRX&#10;x/45oR525ew3AAAA//8DAFBLAwQUAAYACAAAACEAuVb6LeIAAAALAQAADwAAAGRycy9kb3ducmV2&#10;LnhtbEyPQU+DQBSE7yb+h80z8WYXsK2ILE1D0pgYPbT24u3BvgKRfYvstkV/vduTHiczmfkmX02m&#10;FycaXWdZQTyLQBDXVnfcKNi/b+5SEM4ja+wtk4JvcrAqrq9yzLQ985ZOO9+IUMIuQwWt90Mmpatb&#10;MuhmdiAO3sGOBn2QYyP1iOdQbnqZRNFSGuw4LLQ4UNlS/bk7GgUv5eYNt1Vi0p++fH49rIev/cdC&#10;qdubaf0EwtPk/8JwwQ/oUASmyh5ZO9EHHaUB3StI0vkSxCXx8BiDqBTcz+MFyCKX/z8UvwAAAP//&#10;AwBQSwECLQAUAAYACAAAACEAtoM4kv4AAADhAQAAEwAAAAAAAAAAAAAAAAAAAAAAW0NvbnRlbnRf&#10;VHlwZXNdLnhtbFBLAQItABQABgAIAAAAIQA4/SH/1gAAAJQBAAALAAAAAAAAAAAAAAAAAC8BAABf&#10;cmVscy8ucmVsc1BLAQItABQABgAIAAAAIQDL1i72nAIAAHMFAAAOAAAAAAAAAAAAAAAAAC4CAABk&#10;cnMvZTJvRG9jLnhtbFBLAQItABQABgAIAAAAIQC5Vvot4gAAAAsBAAAPAAAAAAAAAAAAAAAAAPYE&#10;AABkcnMvZG93bnJldi54bWxQSwUGAAAAAAQABADzAAAABQY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6</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7568" behindDoc="0" locked="0" layoutInCell="1" allowOverlap="1" wp14:anchorId="3D5852C7" wp14:editId="006C6401">
                <wp:simplePos x="0" y="0"/>
                <wp:positionH relativeFrom="margin">
                  <wp:align>left</wp:align>
                </wp:positionH>
                <wp:positionV relativeFrom="paragraph">
                  <wp:posOffset>1792339</wp:posOffset>
                </wp:positionV>
                <wp:extent cx="446567" cy="361507"/>
                <wp:effectExtent l="0" t="0" r="0" b="635"/>
                <wp:wrapNone/>
                <wp:docPr id="106" name="Надпись 106"/>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5)</w:t>
                            </w:r>
                            <w:r w:rsidRPr="00856CD7">
                              <w:rPr>
                                <w:noProof/>
                                <w:color w:val="000000" w:themeColor="text1"/>
                                <w:lang w:eastAsia="ru-RU"/>
                              </w:rPr>
                              <w:drawing>
                                <wp:inline distT="0" distB="0" distL="0" distR="0" wp14:anchorId="5A84EFEC" wp14:editId="38F5173D">
                                  <wp:extent cx="257175" cy="2081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08154"/>
                                          </a:xfrm>
                                          <a:prstGeom prst="rect">
                                            <a:avLst/>
                                          </a:prstGeom>
                                          <a:noFill/>
                                          <a:ln>
                                            <a:noFill/>
                                          </a:ln>
                                        </pic:spPr>
                                      </pic:pic>
                                    </a:graphicData>
                                  </a:graphic>
                                </wp:inline>
                              </w:drawing>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52C7" id="Надпись 106" o:spid="_x0000_s1059" type="#_x0000_t202" style="position:absolute;margin-left:0;margin-top:141.15pt;width:35.15pt;height:28.4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gwmwIAAHMFAAAOAAAAZHJzL2Uyb0RvYy54bWysVM1uEzEQviPxDpbvdDfNTyHqpgqtipAq&#10;WtGinh2v3aywPcZ2shtu3HkF3oEDB268QvpGjL27aVS4FHHZHXu+Gc/PN3N80mhF1sL5CkxBBwc5&#10;JcJwKCtzV9APN+cvXlLiAzMlU2BEQTfC05PZ82fHtZ2KQ1iCKoUj6MT4aW0LugzBTrPM86XQzB+A&#10;FQaVEpxmAY/uLisdq9G7Vtlhnk+yGlxpHXDhPd6etUo6S/6lFDxcSulFIKqgGFtIX5e+i/jNZsds&#10;eueYXVa8C4P9QxSaVQYf3bk6Y4GRlav+cKUr7sCDDAccdAZSVlykHDCbQf4om+slsyLlgsXxdlcm&#10;///c8nfrK0eqEnuXTygxTGOTtt+237c/tr+2P++/3H8lUYN1qq2fIvzaokFoXkODNv29x8uYfiOd&#10;jn9MjKAeK77ZVVk0gXC8HI0m48kRJRxVw8lgnB9FL9mDsXU+vBGgSRQK6rCJqbZsfeFDC+0h8S0D&#10;55VSqZHKkLqgk+E4TwY7DTpXJmJFokTnJibUBp6ksFEiYpR5LySWJMUfLxIZxalyZM2QRoxzYUJK&#10;PflFdERJDOIphh3+IaqnGLd59C+DCTtjXRlwKftHYZcf+5Bli8ea7+UdxdAsmsSF4bBv7ALKDfbb&#10;QTs53vLzCrtywXy4Yg5HBVuM4x8u8SMVYPWhkyhZgvv8t/uIRwajlpIaR6+g/tOKOUGJemuQ268G&#10;o1Gc1XQYjY8O8eD2NYt9jVnpU8C2DHDRWJ7EiA+qF6UDfYtbYh5fRRUzHN8uaOjF09AuBNwyXMzn&#10;CYTTaVm4MNeWR9exS5FzN80tc7YjZkBGv4N+SNn0ET9bbLQ0MF8FkFUibyx0W9WuATjZif7dFoqr&#10;Y/+cUA+7cvYbAAD//wMAUEsDBBQABgAIAAAAIQAD7Q4f3wAAAAcBAAAPAAAAZHJzL2Rvd25yZXYu&#10;eG1sTI/BTsMwEETvSPyDtUjcqEMiIIRsqipShYTg0NILNyd2kwh7HWK3DXw9y6mcVqMZzbwtl7Oz&#10;4mimMHhCuF0kIAy1Xg/UIeze1zc5iBAVaWU9GYRvE2BZXV6UqtD+RBtz3MZOcAmFQiH0MY6FlKHt&#10;jVNh4UdD7O395FRkOXVST+rE5c7KNEnupVMD8UKvRlP3pv3cHhzCS71+U5smdfmPrZ9f96vxa/dx&#10;h3h9Na+eQEQzx3MY/vAZHSpmavyBdBAWgR+JCGmeZiDYfkj4NghZ9piCrEr5n7/6BQAA//8DAFBL&#10;AQItABQABgAIAAAAIQC2gziS/gAAAOEBAAATAAAAAAAAAAAAAAAAAAAAAABbQ29udGVudF9UeXBl&#10;c10ueG1sUEsBAi0AFAAGAAgAAAAhADj9If/WAAAAlAEAAAsAAAAAAAAAAAAAAAAALwEAAF9yZWxz&#10;Ly5yZWxzUEsBAi0AFAAGAAgAAAAhAKI1CDCbAgAAcwUAAA4AAAAAAAAAAAAAAAAALgIAAGRycy9l&#10;Mm9Eb2MueG1sUEsBAi0AFAAGAAgAAAAhAAPtDh/fAAAABwEAAA8AAAAAAAAAAAAAAAAA9QQAAGRy&#10;cy9kb3ducmV2LnhtbFBLBQYAAAAABAAEAPMAAAAB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5)</w:t>
                      </w:r>
                      <w:r w:rsidRPr="00856CD7">
                        <w:rPr>
                          <w:noProof/>
                          <w:color w:val="000000" w:themeColor="text1"/>
                          <w:lang w:eastAsia="ru-RU"/>
                        </w:rPr>
                        <w:drawing>
                          <wp:inline distT="0" distB="0" distL="0" distR="0" wp14:anchorId="5A84EFEC" wp14:editId="38F5173D">
                            <wp:extent cx="257175" cy="2081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08154"/>
                                    </a:xfrm>
                                    <a:prstGeom prst="rect">
                                      <a:avLst/>
                                    </a:prstGeom>
                                    <a:noFill/>
                                    <a:ln>
                                      <a:noFill/>
                                    </a:ln>
                                  </pic:spPr>
                                </pic:pic>
                              </a:graphicData>
                            </a:graphic>
                          </wp:inline>
                        </w:drawing>
                      </w:r>
                      <w:r w:rsidRPr="00AF6695">
                        <w:rPr>
                          <w:color w:val="000000" w:themeColor="text1"/>
                          <w:lang w:val="en-US"/>
                        </w:rPr>
                        <w:t>)</w:t>
                      </w:r>
                    </w:p>
                  </w:txbxContent>
                </v:textbox>
                <w10:wrap anchorx="margin"/>
              </v:shape>
            </w:pict>
          </mc:Fallback>
        </mc:AlternateContent>
      </w:r>
      <w:r w:rsidRPr="008E53E9">
        <w:rPr>
          <w:rFonts w:cs="Times New Roman"/>
          <w:noProof/>
          <w:szCs w:val="24"/>
          <w:lang w:eastAsia="ru-RU"/>
        </w:rPr>
        <mc:AlternateContent>
          <mc:Choice Requires="wps">
            <w:drawing>
              <wp:anchor distT="0" distB="0" distL="114300" distR="114300" simplePos="0" relativeHeight="251756544" behindDoc="0" locked="0" layoutInCell="1" allowOverlap="1" wp14:anchorId="59452752" wp14:editId="4D024E08">
                <wp:simplePos x="0" y="0"/>
                <wp:positionH relativeFrom="column">
                  <wp:posOffset>4728225</wp:posOffset>
                </wp:positionH>
                <wp:positionV relativeFrom="paragraph">
                  <wp:posOffset>1367036</wp:posOffset>
                </wp:positionV>
                <wp:extent cx="446567" cy="361507"/>
                <wp:effectExtent l="0" t="0" r="0" b="635"/>
                <wp:wrapNone/>
                <wp:docPr id="107" name="Надпись 107"/>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4</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2752" id="Надпись 107" o:spid="_x0000_s1060" type="#_x0000_t202" style="position:absolute;margin-left:372.3pt;margin-top:107.65pt;width:35.15pt;height:2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3PmQIAAHMFAAAOAAAAZHJzL2Uyb0RvYy54bWysVM1uEzEQviPxDpbvdJM2SSHqpgqtipCq&#10;tqJFPTteu1lhe4ztZDfceucVeAcOHLjxCukbMfbuJlHgUsRldzzzzf/PyWmtFVkK50swOe0f9CgR&#10;hkNRmoecfry7ePWaEh+YKZgCI3K6Ep6eTl6+OKnsWBzCHFQhHEEjxo8rm9N5CHacZZ7PhWb+AKww&#10;KJTgNAv4dA9Z4ViF1rXKDnu9UVaBK6wDLrxH7nkjpJNkX0rBw7WUXgSicoqxhfR16TuL32xywsYP&#10;jtl5ydsw2D9EoVlp0OnG1DkLjCxc+YcpXXIHHmQ44KAzkLLkIuWA2fR7e9nczpkVKRcsjrebMvn/&#10;Z5ZfLW8cKQvsXe+YEsM0Nmn9bf19/WP9a/3z6fHpK4kSrFNl/RjhtxYVQv0WatTp+B6ZMf1aOh3/&#10;mBhBOVZ8tamyqAPhyBwMRsMR+uIoOhr1h431bKtsnQ/vBGgSiZw6bGKqLVte+oCBILSDRF8GLkql&#10;UiOVIVVOR0fDXlLYSFBDmYgVaSRaMzGhJvBEhZUSEaPMByGxJCn+yEjDKM6UI0uGY8Q4Fyak1JNd&#10;REeUxCCeo9jit1E9R7nJo/MMJmyUdWnApez3wi4+dSHLBo+F3Mk7kqGe1WkWjgZdY2dQrLDfDprN&#10;8ZZflNiVS+bDDXO4KthiXP9wjR+pAKsPLUXJHNyXv/EjHicYpZRUuHo59Z8XzAlK1HuDs/2mPxjE&#10;XU2PwfD4EB9uVzLblZiFPgNsSx8PjeWJjPigOlI60Pd4JabRK4qY4eg7p6Ejz0JzEPDKcDGdJhBu&#10;p2Xh0txaHk3HLsWZu6vvmbPtYAac6CvolpSN9+azwUZNA9NFAFmm4Y2FbqraNgA3O810e4Xi6dh9&#10;J9T2Vk5+AwAA//8DAFBLAwQUAAYACAAAACEAe0qChOMAAAALAQAADwAAAGRycy9kb3ducmV2Lnht&#10;bEyPwU7DMAyG70i8Q2Qkbixt6LbSNZ2mShMSgsPGLtzSxmurNUlpsq3w9JgTHG1/+v39+XoyPbvg&#10;6DtnJcSzCBja2unONhIO79uHFJgPymrVO4sSvtDDuri9yVWm3dXu8LIPDaMQ6zMloQ1hyDj3dYtG&#10;+Zkb0NLt6EajAo1jw/WorhRuei6iaMGN6ix9aNWAZYv1aX82El7K7ZvaVcKk3335/HrcDJ+Hj7mU&#10;93fTZgUs4BT+YPjVJ3UoyKlyZ6s96yUsk2RBqAQRzx+BEZHGyROwijZLIYAXOf/fofgBAAD//wMA&#10;UEsBAi0AFAAGAAgAAAAhALaDOJL+AAAA4QEAABMAAAAAAAAAAAAAAAAAAAAAAFtDb250ZW50X1R5&#10;cGVzXS54bWxQSwECLQAUAAYACAAAACEAOP0h/9YAAACUAQAACwAAAAAAAAAAAAAAAAAvAQAAX3Jl&#10;bHMvLnJlbHNQSwECLQAUAAYACAAAACEA0RJ9z5kCAABzBQAADgAAAAAAAAAAAAAAAAAuAgAAZHJz&#10;L2Uyb0RvYy54bWxQSwECLQAUAAYACAAAACEAe0qChOMAAAALAQAADwAAAAAAAAAAAAAAAADzBAAA&#10;ZHJzL2Rvd25yZXYueG1sUEsFBgAAAAAEAAQA8wAAAAM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4</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5520" behindDoc="0" locked="0" layoutInCell="1" allowOverlap="1" wp14:anchorId="6C7854A8" wp14:editId="5F54A35F">
                <wp:simplePos x="0" y="0"/>
                <wp:positionH relativeFrom="column">
                  <wp:posOffset>1421455</wp:posOffset>
                </wp:positionH>
                <wp:positionV relativeFrom="paragraph">
                  <wp:posOffset>1334947</wp:posOffset>
                </wp:positionV>
                <wp:extent cx="446567" cy="361507"/>
                <wp:effectExtent l="0" t="0" r="0" b="635"/>
                <wp:wrapNone/>
                <wp:docPr id="108" name="Надпись 108"/>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3</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54A8" id="Надпись 108" o:spid="_x0000_s1061" type="#_x0000_t202" style="position:absolute;margin-left:111.95pt;margin-top:105.1pt;width:35.15pt;height:2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5EnAIAAHMFAAAOAAAAZHJzL2Uyb0RvYy54bWysVM1uEzEQviPxDpbvdDdtkkLUTRVaFSFV&#10;bUWLena8drPC9hjbyW649c4r8A4cOHDjFdI3YuzdTaPCpYjL7tjzzXh+vpmj40YrshLOV2AKOtjL&#10;KRGGQ1mZu4J+vDl79ZoSH5gpmQIjCroWnh5PX744qu1E7MMCVCkcQSfGT2pb0EUIdpJlni+EZn4P&#10;rDColOA0C3h0d1npWI3etcr283yc1eBK64AL7/H2tFXSafIvpeDhUkovAlEFxdhC+rr0ncdvNj1i&#10;kzvH7KLiXRjsH6LQrDL46NbVKQuMLF31hytdcQceZNjjoDOQsuIi5YDZDPIn2VwvmBUpFyyOt9sy&#10;+f/nll+srhypSuxdjq0yTGOTNt823zc/Nr82Px/uH76SqME61dZPEH5t0SA0b6FBm/7e42VMv5FO&#10;xz8mRlCPFV9vqyyaQDheDofj0fiQEo6qg/FglB9GL9mjsXU+vBOgSRQK6rCJqbZsde5DC+0h8S0D&#10;Z5VSqZHKkLqg44NRngy2GnSuTMSKRInOTUyoDTxJYa1ExCjzQUgsSYo/XiQyihPlyIohjRjnwoSU&#10;evKL6IiSGMRzDDv8Y1TPMW7z6F8GE7bGujLgUvZPwi4/9SHLFo8138k7iqGZN4kLB6O+sXMo19hv&#10;B+3keMvPKuzKOfPhijkcFWwxjn+4xI9UgNWHTqJkAe7L3+4jHhmMWkpqHL2C+s9L5gQl6r1Bbr8Z&#10;DIdxVtNhODrcx4Pb1cx3NWapTwDbMsBFY3kSIz6oXpQO9C1uiVl8FVXMcHy7oKEXT0K7EHDLcDGb&#10;JRBOp2Xh3FxbHl3HLkXO3TS3zNmOmAEZfQH9kLLJE3622GhpYLYMIKtE3ljotqpdA3CyE/27LRRX&#10;x+45oR535fQ3AAAA//8DAFBLAwQUAAYACAAAACEAjT8J4+EAAAALAQAADwAAAGRycy9kb3ducmV2&#10;LnhtbEyPwU7DMAyG70i8Q2QkbixtgLGVptNUaUJCcNjYhVvaeG1F45Qm2wpPjznB7bP86/fnfDW5&#10;XpxwDJ0nDeksAYFUe9tRo2H/trlZgAjRkDW9J9TwhQFWxeVFbjLrz7TF0y42gksoZEZDG+OQSRnq&#10;Fp0JMz8g8e7gR2cij2Mj7WjOXO56qZJkLp3piC+0ZsCyxfpjd3QansvNq9lWyi2++/Lp5bAePvfv&#10;91pfX03rRxARp/gXhl99VoeCnSp/JBtEr0Gp2yVHGdJEgeCEWt4xVAzzhxRkkcv/PxQ/AAAA//8D&#10;AFBLAQItABQABgAIAAAAIQC2gziS/gAAAOEBAAATAAAAAAAAAAAAAAAAAAAAAABbQ29udGVudF9U&#10;eXBlc10ueG1sUEsBAi0AFAAGAAgAAAAhADj9If/WAAAAlAEAAAsAAAAAAAAAAAAAAAAALwEAAF9y&#10;ZWxzLy5yZWxzUEsBAi0AFAAGAAgAAAAhAOC1/kScAgAAcwUAAA4AAAAAAAAAAAAAAAAALgIAAGRy&#10;cy9lMm9Eb2MueG1sUEsBAi0AFAAGAAgAAAAhAI0/CePhAAAACwEAAA8AAAAAAAAAAAAAAAAA9gQA&#10;AGRycy9kb3ducmV2LnhtbFBLBQYAAAAABAAEAPMAAAAEBg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3</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4496" behindDoc="0" locked="0" layoutInCell="1" allowOverlap="1" wp14:anchorId="4D0C548B" wp14:editId="6D143AF3">
                <wp:simplePos x="0" y="0"/>
                <wp:positionH relativeFrom="column">
                  <wp:posOffset>3580396</wp:posOffset>
                </wp:positionH>
                <wp:positionV relativeFrom="paragraph">
                  <wp:posOffset>782054</wp:posOffset>
                </wp:positionV>
                <wp:extent cx="446567" cy="361507"/>
                <wp:effectExtent l="0" t="0" r="0" b="635"/>
                <wp:wrapNone/>
                <wp:docPr id="2" name="Надпись 2"/>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w:t>
                            </w:r>
                            <w:r w:rsidRPr="00AF6695">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C548B" id="Надпись 2" o:spid="_x0000_s1062" type="#_x0000_t202" style="position:absolute;margin-left:281.9pt;margin-top:61.6pt;width:35.15pt;height:28.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oZmgIAAG8FAAAOAAAAZHJzL2Uyb0RvYy54bWysVM1uEzEQviPxDpbvdJM0SSHqpgqtipCq&#10;tiJFPTteu1lhe4ztZDfceucVeAcOHLjxCukbMfbuplHhUsRld+z5Zjw/38zxSa0VWQvnSzA57R/0&#10;KBGGQ1Gau5x+vDl/9ZoSH5gpmAIjcroRnp5MX744ruxEDGAJqhCOoBPjJ5XN6TIEO8kyz5dCM38A&#10;VhhUSnCaBTy6u6xwrELvWmWDXm+cVeAK64AL7/H2rFHSafIvpeDhSkovAlE5xdhC+rr0XcRvNj1m&#10;kzvH7LLkbRjsH6LQrDT46M7VGQuMrFz5hytdcgceZDjgoDOQsuQi5YDZ9HtPspkvmRUpFyyOt7sy&#10;+f/nll+urx0pi5wOKDFMY4u237bftz+2v7Y/H+4fvpJBrFFl/QShc4vgUL+FGnvd3Xu8jKnX0un4&#10;x6QI6rHam12FRR0Ix8vhcDwaH1HCUXU47o96R9FL9mhsnQ/vBGgShZw6bGCqK1tf+NBAO0h8y8B5&#10;qVRqojKkyun4cNRLBjsNOlcmYkWiQ+smJtQEnqSwUSJilPkgJJYjxR8vEhHFqXJkzZBCjHNhQko9&#10;+UV0REkM4jmGLf4xqucYN3l0L4MJO2NdGnAp+ydhF5+6kGWDx5rv5R3FUC/qxIPDcdfYBRQb7LeD&#10;Zmq85eclduWC+XDNHI4JthhHP1zhRyrA6kMrUbIE9+Vv9xGP7EUtJRWOXU795xVzghL13iCv3/SH&#10;wzin6TAcHQ3w4PY1i32NWelTwLb0cclYnsSID6oTpQN9ixtiFl9FFTMc385p6MTT0CwD3DBczGYJ&#10;hJNpWbgwc8uj69ilyLmb+pY52xIzIKMvoRtQNnnCzwYbLQ3MVgFkmcgbC91UtW0ATnWif7uB4trY&#10;PyfU456c/gYAAP//AwBQSwMEFAAGAAgAAAAhAJABp7biAAAACwEAAA8AAABkcnMvZG93bnJldi54&#10;bWxMj0tPwzAQhO9I/Q/WVuJGnQeNohCnqiJVSAgOLb1wc+JtEuFHiN028OtZTvQ4O6OZb8vNbDS7&#10;4OQHZwXEqwgY2tapwXYCju+7hxyYD9IqqZ1FAd/oYVMt7kpZKHe1e7wcQseoxPpCCuhDGAvOfduj&#10;kX7lRrTkndxkZCA5dVxN8krlRvMkijJu5GBpoZcj1j22n4ezEfBS797kvklM/qPr59fTdvw6fqyF&#10;uF/O2ydgAefwH4Y/fEKHipgad7bKMy1gnaWEHshI0gQYJbL0MQbW0CWPYuBVyW9/qH4BAAD//wMA&#10;UEsBAi0AFAAGAAgAAAAhALaDOJL+AAAA4QEAABMAAAAAAAAAAAAAAAAAAAAAAFtDb250ZW50X1R5&#10;cGVzXS54bWxQSwECLQAUAAYACAAAACEAOP0h/9YAAACUAQAACwAAAAAAAAAAAAAAAAAvAQAAX3Jl&#10;bHMvLnJlbHNQSwECLQAUAAYACAAAACEABZCaGZoCAABvBQAADgAAAAAAAAAAAAAAAAAuAgAAZHJz&#10;L2Uyb0RvYy54bWxQSwECLQAUAAYACAAAACEAkAGntuIAAAALAQAADwAAAAAAAAAAAAAAAAD0BAAA&#10;ZHJzL2Rvd25yZXYueG1sUEsFBgAAAAAEAAQA8wAAAAM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w:t>
                      </w:r>
                      <w:r>
                        <w:rPr>
                          <w:color w:val="000000" w:themeColor="text1"/>
                          <w:lang w:val="en-US"/>
                        </w:rPr>
                        <w:t>2</w:t>
                      </w:r>
                      <w:r w:rsidRPr="00AF6695">
                        <w:rPr>
                          <w:color w:val="000000" w:themeColor="text1"/>
                          <w:lang w:val="en-US"/>
                        </w:rPr>
                        <w:t>)</w:t>
                      </w:r>
                    </w:p>
                  </w:txbxContent>
                </v:textbox>
              </v:shape>
            </w:pict>
          </mc:Fallback>
        </mc:AlternateContent>
      </w:r>
      <w:r w:rsidRPr="008E53E9">
        <w:rPr>
          <w:rFonts w:cs="Times New Roman"/>
          <w:noProof/>
          <w:szCs w:val="24"/>
          <w:lang w:eastAsia="ru-RU"/>
        </w:rPr>
        <mc:AlternateContent>
          <mc:Choice Requires="wps">
            <w:drawing>
              <wp:anchor distT="0" distB="0" distL="114300" distR="114300" simplePos="0" relativeHeight="251753472" behindDoc="0" locked="0" layoutInCell="1" allowOverlap="1" wp14:anchorId="3C26700B" wp14:editId="29A521E6">
                <wp:simplePos x="0" y="0"/>
                <wp:positionH relativeFrom="column">
                  <wp:posOffset>993007</wp:posOffset>
                </wp:positionH>
                <wp:positionV relativeFrom="paragraph">
                  <wp:posOffset>778687</wp:posOffset>
                </wp:positionV>
                <wp:extent cx="446567" cy="361507"/>
                <wp:effectExtent l="0" t="0" r="0" b="635"/>
                <wp:wrapNone/>
                <wp:docPr id="109" name="Надпись 109"/>
                <wp:cNvGraphicFramePr/>
                <a:graphic xmlns:a="http://schemas.openxmlformats.org/drawingml/2006/main">
                  <a:graphicData uri="http://schemas.microsoft.com/office/word/2010/wordprocessingShape">
                    <wps:wsp>
                      <wps:cNvSpPr txBox="1"/>
                      <wps:spPr>
                        <a:xfrm>
                          <a:off x="0" y="0"/>
                          <a:ext cx="446567"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F6695" w:rsidRDefault="00C16B02" w:rsidP="00486967">
                            <w:pPr>
                              <w:rPr>
                                <w:color w:val="000000" w:themeColor="text1"/>
                                <w:lang w:val="en-US"/>
                              </w:rPr>
                            </w:pPr>
                            <w:r w:rsidRPr="00AF6695">
                              <w:rPr>
                                <w:color w:val="000000" w:themeColor="text1"/>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700B" id="Надпись 109" o:spid="_x0000_s1063" type="#_x0000_t202" style="position:absolute;margin-left:78.2pt;margin-top:61.3pt;width:35.15pt;height:2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iNmAIAAHMFAAAOAAAAZHJzL2Uyb0RvYy54bWysVM1uEzEQviPxDpbvdDe/pVE3VWhVhFS1&#10;FSnq2fHazQqvx9hOdsONO6/AO3DgwI1XSN+IsXc3iQqXIi72eOab8fyfntWlImthXQE6o72jlBKh&#10;OeSFfsjoh7vLV68pcZ7pnCnQIqMb4ejZ9OWL08pMRB+WoHJhCRrRblKZjC69N5MkcXwpSuaOwAiN&#10;Qgm2ZB6f9iHJLavQeqmSfpqOkwpsbixw4RxyLxohnUb7Ugrub6R0whOVUfTNx9PGcxHOZHrKJg+W&#10;mWXBWzfYP3hRskLjpztTF8wzsrLFH6bKgltwIP0RhzIBKQsuYgwYTS99Es18yYyIsWBynNmlyf0/&#10;s/x6fWtJkWPt0hNKNCuxSNtv2+/bH9tf25+PXx6/kiDBPFXGTRA+N6jg6zdQo07Hd8gM4dfSluHG&#10;wAjKMeObXZZF7QlH5nA4Ho2PKeEoGox7o/Q4WEn2ysY6/1ZASQKRUYtFjLll6yvnG2gHCX9puCyU&#10;ioVUmlQZHQ9GaVTYSdC40gErYku0ZkJAjeOR8hslAkbp90JiSqL/gRGbUZwrS9YM24hxLrSPoUe7&#10;iA4oiU48R7HF7716jnITR/czaL9TLgsNNkb/xO38Y+eybPCY84O4A+nrRR17YRBLElgLyDdYbwvN&#10;5DjDLwusyhVz/pZZHBUsMY6/v8FDKsDsQ0tRsgT7+W/8gMcORiklFY5eRt2nFbOCEvVOY2+f9IbD&#10;MKvxMRwd9/FhDyWLQ4leleeAZenhojE8kgHvVUdKC+U9bolZ+BVFTHP8O6O+I899sxBwy3Axm0UQ&#10;Tqdh/krPDQ+mQ5VCz93V98yatjE9dvQ1dEPKJk/6s8EGTQ2zlQdZxObdZ7UtAE52bP92C4XVcfiO&#10;qP2unP4GAAD//wMAUEsDBBQABgAIAAAAIQDzIsWh4QAAAAsBAAAPAAAAZHJzL2Rvd25yZXYueG1s&#10;TI9BT8MwDIXvSPyHyEjcWEpFu9E1naZKExKCw8Yu3NLGa6s1TmmyrfDrMadxsp/99Pw5X022F2cc&#10;fedIweMsAoFUO9NRo2D/sXlYgPBBk9G9I1TwjR5Wxe1NrjPjLrTF8y40gkPIZ1pBG8KQSenrFq32&#10;Mzcg8e7gRqsDy7GRZtQXDre9jKMolVZ3xBdaPWDZYn3cnayC13LzrrdVbBc/ffnydlgPX/vPRKn7&#10;u2m9BBFwClcz/OEzOhTMVLkTGS961kn6xFZu4jgFwQ6ucxAVT+bPCcgil/9/KH4BAAD//wMAUEsB&#10;Ai0AFAAGAAgAAAAhALaDOJL+AAAA4QEAABMAAAAAAAAAAAAAAAAAAAAAAFtDb250ZW50X1R5cGVz&#10;XS54bWxQSwECLQAUAAYACAAAACEAOP0h/9YAAACUAQAACwAAAAAAAAAAAAAAAAAvAQAAX3JlbHMv&#10;LnJlbHNQSwECLQAUAAYACAAAACEAkuUYjZgCAABzBQAADgAAAAAAAAAAAAAAAAAuAgAAZHJzL2Uy&#10;b0RvYy54bWxQSwECLQAUAAYACAAAACEA8yLFoeEAAAALAQAADwAAAAAAAAAAAAAAAADyBAAAZHJz&#10;L2Rvd25yZXYueG1sUEsFBgAAAAAEAAQA8wAAAAAGAAAAAA==&#10;" filled="f" stroked="f" strokeweight=".5pt">
                <v:textbox>
                  <w:txbxContent>
                    <w:p w:rsidR="00C16B02" w:rsidRPr="00AF6695" w:rsidRDefault="00C16B02" w:rsidP="00486967">
                      <w:pPr>
                        <w:rPr>
                          <w:color w:val="000000" w:themeColor="text1"/>
                          <w:lang w:val="en-US"/>
                        </w:rPr>
                      </w:pPr>
                      <w:r w:rsidRPr="00AF6695">
                        <w:rPr>
                          <w:color w:val="000000" w:themeColor="text1"/>
                          <w:lang w:val="en-US"/>
                        </w:rPr>
                        <w:t>(1)</w:t>
                      </w:r>
                    </w:p>
                  </w:txbxContent>
                </v:textbox>
              </v:shape>
            </w:pict>
          </mc:Fallback>
        </mc:AlternateContent>
      </w:r>
      <w:r w:rsidRPr="008E53E9">
        <w:rPr>
          <w:rFonts w:cs="Times New Roman"/>
          <w:noProof/>
          <w:szCs w:val="24"/>
          <w:lang w:eastAsia="ru-RU"/>
        </w:rPr>
        <w:drawing>
          <wp:inline distT="0" distB="0" distL="0" distR="0" wp14:anchorId="3F124E78" wp14:editId="3C592A3C">
            <wp:extent cx="5939790" cy="7195185"/>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BO-screener block scheme.jpg"/>
                    <pic:cNvPicPr/>
                  </pic:nvPicPr>
                  <pic:blipFill>
                    <a:blip r:embed="rId21">
                      <a:extLst>
                        <a:ext uri="{28A0092B-C50C-407E-A947-70E740481C1C}">
                          <a14:useLocalDpi xmlns:a14="http://schemas.microsoft.com/office/drawing/2010/main" val="0"/>
                        </a:ext>
                      </a:extLst>
                    </a:blip>
                    <a:stretch>
                      <a:fillRect/>
                    </a:stretch>
                  </pic:blipFill>
                  <pic:spPr>
                    <a:xfrm>
                      <a:off x="0" y="0"/>
                      <a:ext cx="5939790" cy="7195185"/>
                    </a:xfrm>
                    <a:prstGeom prst="rect">
                      <a:avLst/>
                    </a:prstGeom>
                  </pic:spPr>
                </pic:pic>
              </a:graphicData>
            </a:graphic>
          </wp:inline>
        </w:drawing>
      </w:r>
    </w:p>
    <w:p w:rsidR="00486967" w:rsidRDefault="00486967" w:rsidP="00486967">
      <w:pPr>
        <w:pStyle w:val="a5"/>
        <w:spacing w:line="360" w:lineRule="auto"/>
        <w:ind w:firstLine="360"/>
        <w:jc w:val="center"/>
        <w:rPr>
          <w:rFonts w:cs="Times New Roman"/>
          <w:szCs w:val="24"/>
          <w:lang w:val="en-US"/>
        </w:rPr>
      </w:pPr>
      <w:r w:rsidRPr="00084BE9">
        <w:rPr>
          <w:rFonts w:cs="Times New Roman"/>
          <w:i/>
          <w:szCs w:val="24"/>
          <w:lang w:val="en-US"/>
        </w:rPr>
        <w:t>Pic</w:t>
      </w:r>
      <w:r w:rsidR="007572E2">
        <w:rPr>
          <w:rFonts w:cs="Times New Roman"/>
          <w:i/>
          <w:szCs w:val="24"/>
          <w:lang w:val="en-US"/>
        </w:rPr>
        <w:t xml:space="preserve"> 4</w:t>
      </w:r>
      <w:r w:rsidRPr="00084BE9">
        <w:rPr>
          <w:rFonts w:cs="Times New Roman"/>
          <w:i/>
          <w:szCs w:val="24"/>
          <w:lang w:val="en-US"/>
        </w:rPr>
        <w:t>.</w:t>
      </w:r>
      <w:r>
        <w:rPr>
          <w:rFonts w:cs="Times New Roman"/>
          <w:szCs w:val="24"/>
          <w:lang w:val="en-US"/>
        </w:rPr>
        <w:t xml:space="preserve"> The LBO-screener algorithm</w:t>
      </w:r>
    </w:p>
    <w:p w:rsidR="00486967" w:rsidRDefault="00486967" w:rsidP="00D33494">
      <w:pPr>
        <w:pStyle w:val="a5"/>
        <w:spacing w:line="360" w:lineRule="auto"/>
        <w:ind w:firstLine="360"/>
        <w:jc w:val="both"/>
        <w:rPr>
          <w:rFonts w:cs="Times New Roman"/>
          <w:szCs w:val="24"/>
          <w:lang w:val="en-US"/>
        </w:rPr>
      </w:pPr>
    </w:p>
    <w:p w:rsidR="00486967" w:rsidRDefault="00486967" w:rsidP="00D33494">
      <w:pPr>
        <w:pStyle w:val="a5"/>
        <w:spacing w:line="360" w:lineRule="auto"/>
        <w:ind w:firstLine="360"/>
        <w:jc w:val="both"/>
        <w:rPr>
          <w:rFonts w:cs="Times New Roman"/>
          <w:szCs w:val="24"/>
          <w:lang w:val="en-US"/>
        </w:rPr>
      </w:pPr>
    </w:p>
    <w:p w:rsidR="00486967" w:rsidRDefault="00486967" w:rsidP="00D33494">
      <w:pPr>
        <w:pStyle w:val="a5"/>
        <w:spacing w:line="360" w:lineRule="auto"/>
        <w:ind w:firstLine="360"/>
        <w:jc w:val="both"/>
        <w:rPr>
          <w:rFonts w:cs="Times New Roman"/>
          <w:szCs w:val="24"/>
          <w:lang w:val="en-US"/>
        </w:rPr>
      </w:pPr>
    </w:p>
    <w:p w:rsidR="00486967" w:rsidRDefault="00486967" w:rsidP="00D33494">
      <w:pPr>
        <w:pStyle w:val="a5"/>
        <w:spacing w:line="360" w:lineRule="auto"/>
        <w:ind w:firstLine="360"/>
        <w:jc w:val="both"/>
        <w:rPr>
          <w:rFonts w:cs="Times New Roman"/>
          <w:szCs w:val="24"/>
          <w:lang w:val="en-US"/>
        </w:rPr>
      </w:pPr>
    </w:p>
    <w:p w:rsidR="00486967" w:rsidRDefault="00486967" w:rsidP="00D33494">
      <w:pPr>
        <w:pStyle w:val="a5"/>
        <w:spacing w:line="360" w:lineRule="auto"/>
        <w:ind w:firstLine="360"/>
        <w:jc w:val="both"/>
        <w:rPr>
          <w:rFonts w:cs="Times New Roman"/>
          <w:szCs w:val="24"/>
          <w:lang w:val="en-US"/>
        </w:rPr>
      </w:pPr>
    </w:p>
    <w:p w:rsidR="00D61DA3" w:rsidRDefault="00671ACF" w:rsidP="00D33494">
      <w:pPr>
        <w:pStyle w:val="a5"/>
        <w:spacing w:line="360" w:lineRule="auto"/>
        <w:ind w:firstLine="360"/>
        <w:jc w:val="both"/>
        <w:rPr>
          <w:rFonts w:cs="Times New Roman"/>
          <w:szCs w:val="24"/>
          <w:lang w:val="en-US"/>
        </w:rPr>
      </w:pPr>
      <w:r>
        <w:rPr>
          <w:rFonts w:cs="Times New Roman"/>
          <w:szCs w:val="24"/>
          <w:lang w:val="en-US"/>
        </w:rPr>
        <w:lastRenderedPageBreak/>
        <w:t xml:space="preserve">It is important to mention, that some operations are aggregated into bigger blocks, </w:t>
      </w:r>
      <w:proofErr w:type="gramStart"/>
      <w:r>
        <w:rPr>
          <w:rFonts w:cs="Times New Roman"/>
          <w:szCs w:val="24"/>
          <w:lang w:val="en-US"/>
        </w:rPr>
        <w:t>so as to</w:t>
      </w:r>
      <w:proofErr w:type="gramEnd"/>
      <w:r>
        <w:rPr>
          <w:rFonts w:cs="Times New Roman"/>
          <w:szCs w:val="24"/>
          <w:lang w:val="en-US"/>
        </w:rPr>
        <w:t xml:space="preserve"> be readable. More precise scheme of LBO-screen</w:t>
      </w:r>
      <w:r w:rsidR="009B7B03">
        <w:rPr>
          <w:rFonts w:cs="Times New Roman"/>
          <w:szCs w:val="24"/>
          <w:lang w:val="en-US"/>
        </w:rPr>
        <w:t>er in provided in the Appendix 3</w:t>
      </w:r>
      <w:r>
        <w:rPr>
          <w:rFonts w:cs="Times New Roman"/>
          <w:szCs w:val="24"/>
          <w:lang w:val="en-US"/>
        </w:rPr>
        <w:t xml:space="preserve">. </w:t>
      </w:r>
    </w:p>
    <w:p w:rsidR="00F5317A" w:rsidRDefault="00F5317A" w:rsidP="00D33494">
      <w:pPr>
        <w:pStyle w:val="a5"/>
        <w:spacing w:line="360" w:lineRule="auto"/>
        <w:ind w:firstLine="360"/>
        <w:jc w:val="both"/>
        <w:rPr>
          <w:rFonts w:cs="Times New Roman"/>
          <w:szCs w:val="24"/>
          <w:lang w:val="en-US"/>
        </w:rPr>
      </w:pPr>
      <w:r>
        <w:rPr>
          <w:rFonts w:cs="Times New Roman"/>
          <w:szCs w:val="24"/>
          <w:lang w:val="en-US"/>
        </w:rPr>
        <w:t xml:space="preserve">The algorithm starts with inputs of data, which </w:t>
      </w:r>
      <w:proofErr w:type="gramStart"/>
      <w:r>
        <w:rPr>
          <w:rFonts w:cs="Times New Roman"/>
          <w:szCs w:val="24"/>
          <w:lang w:val="en-US"/>
        </w:rPr>
        <w:t>are divided</w:t>
      </w:r>
      <w:proofErr w:type="gramEnd"/>
      <w:r>
        <w:rPr>
          <w:rFonts w:cs="Times New Roman"/>
          <w:szCs w:val="24"/>
          <w:lang w:val="en-US"/>
        </w:rPr>
        <w:t xml:space="preserve"> into two main parts: company data </w:t>
      </w:r>
      <w:r w:rsidR="00BB5250">
        <w:rPr>
          <w:rFonts w:cs="Times New Roman"/>
          <w:szCs w:val="24"/>
          <w:lang w:val="en-US"/>
        </w:rPr>
        <w:t xml:space="preserve">(1) </w:t>
      </w:r>
      <w:r>
        <w:rPr>
          <w:rFonts w:cs="Times New Roman"/>
          <w:szCs w:val="24"/>
          <w:lang w:val="en-US"/>
        </w:rPr>
        <w:t>and transaction assumptions</w:t>
      </w:r>
      <w:r w:rsidR="00BB5250">
        <w:rPr>
          <w:rFonts w:cs="Times New Roman"/>
          <w:szCs w:val="24"/>
          <w:lang w:val="en-US"/>
        </w:rPr>
        <w:t xml:space="preserve"> (2)</w:t>
      </w:r>
      <w:r>
        <w:rPr>
          <w:rFonts w:cs="Times New Roman"/>
          <w:szCs w:val="24"/>
          <w:lang w:val="en-US"/>
        </w:rPr>
        <w:t xml:space="preserve">. </w:t>
      </w:r>
    </w:p>
    <w:p w:rsidR="00486967" w:rsidRDefault="00486967" w:rsidP="00486967">
      <w:pPr>
        <w:pStyle w:val="a5"/>
        <w:spacing w:line="360" w:lineRule="auto"/>
        <w:ind w:firstLine="360"/>
        <w:jc w:val="center"/>
        <w:rPr>
          <w:rFonts w:cs="Times New Roman"/>
          <w:szCs w:val="24"/>
          <w:lang w:val="en-US"/>
        </w:rPr>
      </w:pPr>
      <w:r>
        <w:rPr>
          <w:noProof/>
          <w:lang w:eastAsia="ru-RU"/>
        </w:rPr>
        <w:drawing>
          <wp:inline distT="0" distB="0" distL="0" distR="0" wp14:anchorId="7991C985" wp14:editId="0D7399A3">
            <wp:extent cx="3057525" cy="1098604"/>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9476" cy="1106491"/>
                    </a:xfrm>
                    <a:prstGeom prst="rect">
                      <a:avLst/>
                    </a:prstGeom>
                  </pic:spPr>
                </pic:pic>
              </a:graphicData>
            </a:graphic>
          </wp:inline>
        </w:drawing>
      </w:r>
    </w:p>
    <w:p w:rsidR="00486967" w:rsidRDefault="00486967" w:rsidP="00486967">
      <w:pPr>
        <w:pStyle w:val="a5"/>
        <w:spacing w:line="360" w:lineRule="auto"/>
        <w:ind w:firstLine="360"/>
        <w:jc w:val="center"/>
        <w:rPr>
          <w:rFonts w:cs="Times New Roman"/>
          <w:szCs w:val="24"/>
          <w:lang w:val="en-US"/>
        </w:rPr>
      </w:pPr>
      <w:r>
        <w:rPr>
          <w:rFonts w:cs="Times New Roman"/>
          <w:szCs w:val="24"/>
          <w:lang w:val="en-US"/>
        </w:rPr>
        <w:t>Pic</w:t>
      </w:r>
      <w:r w:rsidR="007572E2">
        <w:rPr>
          <w:rFonts w:cs="Times New Roman"/>
          <w:szCs w:val="24"/>
          <w:lang w:val="en-US"/>
        </w:rPr>
        <w:t xml:space="preserve"> 5</w:t>
      </w:r>
      <w:r>
        <w:rPr>
          <w:rFonts w:cs="Times New Roman"/>
          <w:szCs w:val="24"/>
          <w:lang w:val="en-US"/>
        </w:rPr>
        <w:t>. Main inputs of LBO-screener algorithm</w:t>
      </w:r>
    </w:p>
    <w:p w:rsidR="00BB5250" w:rsidRDefault="00BB5250" w:rsidP="00D33494">
      <w:pPr>
        <w:pStyle w:val="a5"/>
        <w:spacing w:line="360" w:lineRule="auto"/>
        <w:ind w:firstLine="360"/>
        <w:jc w:val="both"/>
        <w:rPr>
          <w:rFonts w:cs="Times New Roman"/>
          <w:szCs w:val="24"/>
          <w:lang w:val="en-US"/>
        </w:rPr>
      </w:pPr>
      <w:r>
        <w:rPr>
          <w:rFonts w:cs="Times New Roman"/>
          <w:szCs w:val="24"/>
          <w:lang w:val="en-US"/>
        </w:rPr>
        <w:t xml:space="preserve">The company data consist of the basic information </w:t>
      </w:r>
      <w:r w:rsidR="00486967">
        <w:rPr>
          <w:rFonts w:cs="Times New Roman"/>
          <w:szCs w:val="24"/>
          <w:lang w:val="en-US"/>
        </w:rPr>
        <w:t xml:space="preserve">about the companies </w:t>
      </w:r>
      <w:r>
        <w:rPr>
          <w:rFonts w:cs="Times New Roman"/>
          <w:szCs w:val="24"/>
          <w:lang w:val="en-US"/>
        </w:rPr>
        <w:t xml:space="preserve">that are going to </w:t>
      </w:r>
      <w:proofErr w:type="gramStart"/>
      <w:r>
        <w:rPr>
          <w:rFonts w:cs="Times New Roman"/>
          <w:szCs w:val="24"/>
          <w:lang w:val="en-US"/>
        </w:rPr>
        <w:t>be screened</w:t>
      </w:r>
      <w:proofErr w:type="gramEnd"/>
      <w:r>
        <w:rPr>
          <w:rFonts w:cs="Times New Roman"/>
          <w:szCs w:val="24"/>
          <w:lang w:val="en-US"/>
        </w:rPr>
        <w:t xml:space="preserve"> with the use of proposed instrument. In order to input the company data one has to make a database from potential LBO-targets and company characteristics: industry, current rating, share price, number of shares outstanding; and collect data on three main financial statements – balance sheet, income statement, cash flow statement. The information needed for the financial statements is limited to key financial statement items, which are necessary in order to calculate the target internal rate of return. These key drivers </w:t>
      </w:r>
      <w:proofErr w:type="gramStart"/>
      <w:r>
        <w:rPr>
          <w:rFonts w:cs="Times New Roman"/>
          <w:szCs w:val="24"/>
          <w:lang w:val="en-US"/>
        </w:rPr>
        <w:t>are presented</w:t>
      </w:r>
      <w:proofErr w:type="gramEnd"/>
      <w:r>
        <w:rPr>
          <w:rFonts w:cs="Times New Roman"/>
          <w:szCs w:val="24"/>
          <w:lang w:val="en-US"/>
        </w:rPr>
        <w:t xml:space="preserve"> in the table below: </w:t>
      </w:r>
    </w:p>
    <w:p w:rsidR="00084BE9" w:rsidRDefault="00084BE9" w:rsidP="00084BE9">
      <w:pPr>
        <w:pStyle w:val="a5"/>
        <w:spacing w:line="360" w:lineRule="auto"/>
        <w:ind w:firstLine="360"/>
        <w:jc w:val="right"/>
        <w:rPr>
          <w:rFonts w:cs="Times New Roman"/>
          <w:szCs w:val="24"/>
          <w:lang w:val="en-US"/>
        </w:rPr>
      </w:pPr>
      <w:r w:rsidRPr="00084BE9">
        <w:rPr>
          <w:rFonts w:cs="Times New Roman"/>
          <w:i/>
          <w:szCs w:val="24"/>
          <w:lang w:val="en-US"/>
        </w:rPr>
        <w:t>Table 3.</w:t>
      </w:r>
      <w:r>
        <w:rPr>
          <w:rFonts w:cs="Times New Roman"/>
          <w:szCs w:val="24"/>
          <w:lang w:val="en-US"/>
        </w:rPr>
        <w:t xml:space="preserve"> Key drivers of financial statements </w:t>
      </w:r>
    </w:p>
    <w:tbl>
      <w:tblPr>
        <w:tblStyle w:val="af1"/>
        <w:tblW w:w="0" w:type="auto"/>
        <w:tblLook w:val="04A0" w:firstRow="1" w:lastRow="0" w:firstColumn="1" w:lastColumn="0" w:noHBand="0" w:noVBand="1"/>
      </w:tblPr>
      <w:tblGrid>
        <w:gridCol w:w="1980"/>
        <w:gridCol w:w="2410"/>
        <w:gridCol w:w="2126"/>
        <w:gridCol w:w="2828"/>
      </w:tblGrid>
      <w:tr w:rsidR="00951FCF" w:rsidTr="00C16B02">
        <w:tc>
          <w:tcPr>
            <w:tcW w:w="1980" w:type="dxa"/>
          </w:tcPr>
          <w:p w:rsidR="00951FCF" w:rsidRDefault="00951FCF" w:rsidP="00F5317A">
            <w:pPr>
              <w:pStyle w:val="a5"/>
              <w:spacing w:line="360" w:lineRule="auto"/>
              <w:jc w:val="both"/>
              <w:rPr>
                <w:szCs w:val="24"/>
                <w:lang w:val="en-US"/>
              </w:rPr>
            </w:pPr>
            <w:r>
              <w:rPr>
                <w:szCs w:val="24"/>
                <w:lang w:val="en-US"/>
              </w:rPr>
              <w:t xml:space="preserve">Income statement  </w:t>
            </w:r>
          </w:p>
        </w:tc>
        <w:tc>
          <w:tcPr>
            <w:tcW w:w="2410" w:type="dxa"/>
          </w:tcPr>
          <w:p w:rsidR="00951FCF" w:rsidRDefault="00951FCF" w:rsidP="00F5317A">
            <w:pPr>
              <w:pStyle w:val="a5"/>
              <w:spacing w:line="360" w:lineRule="auto"/>
              <w:jc w:val="both"/>
              <w:rPr>
                <w:szCs w:val="24"/>
                <w:lang w:val="en-US"/>
              </w:rPr>
            </w:pPr>
            <w:r>
              <w:rPr>
                <w:szCs w:val="24"/>
                <w:lang w:val="en-US"/>
              </w:rPr>
              <w:t xml:space="preserve">Balance sheet </w:t>
            </w:r>
          </w:p>
        </w:tc>
        <w:tc>
          <w:tcPr>
            <w:tcW w:w="2126" w:type="dxa"/>
          </w:tcPr>
          <w:p w:rsidR="00951FCF" w:rsidRDefault="00951FCF" w:rsidP="00F5317A">
            <w:pPr>
              <w:pStyle w:val="a5"/>
              <w:spacing w:line="360" w:lineRule="auto"/>
              <w:jc w:val="both"/>
              <w:rPr>
                <w:szCs w:val="24"/>
                <w:lang w:val="en-US"/>
              </w:rPr>
            </w:pPr>
            <w:r>
              <w:rPr>
                <w:szCs w:val="24"/>
                <w:lang w:val="en-US"/>
              </w:rPr>
              <w:t xml:space="preserve">Cash flow statement </w:t>
            </w:r>
          </w:p>
        </w:tc>
        <w:tc>
          <w:tcPr>
            <w:tcW w:w="2828" w:type="dxa"/>
          </w:tcPr>
          <w:p w:rsidR="00951FCF" w:rsidRDefault="00951FCF" w:rsidP="00F5317A">
            <w:pPr>
              <w:pStyle w:val="a5"/>
              <w:spacing w:line="360" w:lineRule="auto"/>
              <w:jc w:val="both"/>
              <w:rPr>
                <w:szCs w:val="24"/>
                <w:lang w:val="en-US"/>
              </w:rPr>
            </w:pPr>
            <w:r>
              <w:rPr>
                <w:szCs w:val="24"/>
                <w:lang w:val="en-US"/>
              </w:rPr>
              <w:t>General information</w:t>
            </w:r>
          </w:p>
        </w:tc>
      </w:tr>
      <w:tr w:rsidR="00951FCF" w:rsidTr="00C16B02">
        <w:tc>
          <w:tcPr>
            <w:tcW w:w="1980" w:type="dxa"/>
          </w:tcPr>
          <w:p w:rsidR="00951FCF" w:rsidRDefault="00951FCF" w:rsidP="00F5317A">
            <w:pPr>
              <w:pStyle w:val="a5"/>
              <w:spacing w:line="360" w:lineRule="auto"/>
              <w:jc w:val="both"/>
              <w:rPr>
                <w:szCs w:val="24"/>
                <w:lang w:val="en-US"/>
              </w:rPr>
            </w:pPr>
            <w:r>
              <w:rPr>
                <w:szCs w:val="24"/>
                <w:lang w:val="en-US"/>
              </w:rPr>
              <w:t xml:space="preserve">Revenues </w:t>
            </w:r>
          </w:p>
          <w:p w:rsidR="00951FCF" w:rsidRDefault="00951FCF" w:rsidP="00F5317A">
            <w:pPr>
              <w:pStyle w:val="a5"/>
              <w:spacing w:line="360" w:lineRule="auto"/>
              <w:jc w:val="both"/>
              <w:rPr>
                <w:szCs w:val="24"/>
                <w:lang w:val="en-US"/>
              </w:rPr>
            </w:pPr>
            <w:r>
              <w:rPr>
                <w:szCs w:val="24"/>
                <w:lang w:val="en-US"/>
              </w:rPr>
              <w:t xml:space="preserve">EBITDA </w:t>
            </w:r>
          </w:p>
          <w:p w:rsidR="00951FCF" w:rsidRDefault="00951FCF" w:rsidP="00F5317A">
            <w:pPr>
              <w:pStyle w:val="a5"/>
              <w:spacing w:line="360" w:lineRule="auto"/>
              <w:jc w:val="both"/>
              <w:rPr>
                <w:szCs w:val="24"/>
                <w:lang w:val="en-US"/>
              </w:rPr>
            </w:pPr>
            <w:r>
              <w:rPr>
                <w:szCs w:val="24"/>
                <w:lang w:val="en-US"/>
              </w:rPr>
              <w:t xml:space="preserve">Depreciation and amortization </w:t>
            </w:r>
          </w:p>
          <w:p w:rsidR="00951FCF" w:rsidRDefault="00951FCF" w:rsidP="00F5317A">
            <w:pPr>
              <w:pStyle w:val="a5"/>
              <w:spacing w:line="360" w:lineRule="auto"/>
              <w:jc w:val="both"/>
              <w:rPr>
                <w:szCs w:val="24"/>
                <w:lang w:val="en-US"/>
              </w:rPr>
            </w:pPr>
            <w:r>
              <w:rPr>
                <w:szCs w:val="24"/>
                <w:lang w:val="en-US"/>
              </w:rPr>
              <w:t>EBIT</w:t>
            </w:r>
          </w:p>
          <w:p w:rsidR="00951FCF" w:rsidRDefault="00951FCF" w:rsidP="00F5317A">
            <w:pPr>
              <w:pStyle w:val="a5"/>
              <w:spacing w:line="360" w:lineRule="auto"/>
              <w:jc w:val="both"/>
              <w:rPr>
                <w:szCs w:val="24"/>
                <w:lang w:val="en-US"/>
              </w:rPr>
            </w:pPr>
            <w:r>
              <w:rPr>
                <w:szCs w:val="24"/>
                <w:lang w:val="en-US"/>
              </w:rPr>
              <w:t>Interest expenses</w:t>
            </w:r>
          </w:p>
          <w:p w:rsidR="00951FCF" w:rsidRDefault="00951FCF" w:rsidP="00F5317A">
            <w:pPr>
              <w:pStyle w:val="a5"/>
              <w:spacing w:line="360" w:lineRule="auto"/>
              <w:jc w:val="both"/>
              <w:rPr>
                <w:szCs w:val="24"/>
                <w:lang w:val="en-US"/>
              </w:rPr>
            </w:pPr>
            <w:r>
              <w:rPr>
                <w:szCs w:val="24"/>
                <w:lang w:val="en-US"/>
              </w:rPr>
              <w:t xml:space="preserve">Net income  </w:t>
            </w:r>
          </w:p>
        </w:tc>
        <w:tc>
          <w:tcPr>
            <w:tcW w:w="2410" w:type="dxa"/>
          </w:tcPr>
          <w:p w:rsidR="00951FCF" w:rsidRPr="00364776" w:rsidRDefault="00951FCF" w:rsidP="00364776">
            <w:pPr>
              <w:pStyle w:val="a5"/>
              <w:spacing w:line="360" w:lineRule="auto"/>
              <w:jc w:val="both"/>
              <w:rPr>
                <w:szCs w:val="24"/>
                <w:lang w:val="en-US"/>
              </w:rPr>
            </w:pPr>
            <w:r w:rsidRPr="00364776">
              <w:rPr>
                <w:szCs w:val="24"/>
                <w:lang w:val="en-US"/>
              </w:rPr>
              <w:t>Equity</w:t>
            </w:r>
          </w:p>
          <w:p w:rsidR="00951FCF" w:rsidRPr="00364776" w:rsidRDefault="00951FCF" w:rsidP="00364776">
            <w:pPr>
              <w:pStyle w:val="a5"/>
              <w:spacing w:line="360" w:lineRule="auto"/>
              <w:jc w:val="both"/>
              <w:rPr>
                <w:szCs w:val="24"/>
                <w:lang w:val="en-US"/>
              </w:rPr>
            </w:pPr>
            <w:r w:rsidRPr="00364776">
              <w:rPr>
                <w:szCs w:val="24"/>
                <w:lang w:val="en-US"/>
              </w:rPr>
              <w:t>Current assets</w:t>
            </w:r>
          </w:p>
          <w:p w:rsidR="00951FCF" w:rsidRPr="00364776" w:rsidRDefault="00951FCF" w:rsidP="00364776">
            <w:pPr>
              <w:pStyle w:val="a5"/>
              <w:spacing w:line="360" w:lineRule="auto"/>
              <w:jc w:val="both"/>
              <w:rPr>
                <w:szCs w:val="24"/>
                <w:lang w:val="en-US"/>
              </w:rPr>
            </w:pPr>
            <w:r w:rsidRPr="00364776">
              <w:rPr>
                <w:szCs w:val="24"/>
                <w:lang w:val="en-US"/>
              </w:rPr>
              <w:t>Net fixed assets</w:t>
            </w:r>
          </w:p>
          <w:p w:rsidR="00951FCF" w:rsidRPr="00364776" w:rsidRDefault="00951FCF" w:rsidP="00364776">
            <w:pPr>
              <w:pStyle w:val="a5"/>
              <w:spacing w:line="360" w:lineRule="auto"/>
              <w:jc w:val="both"/>
              <w:rPr>
                <w:szCs w:val="24"/>
                <w:lang w:val="en-US"/>
              </w:rPr>
            </w:pPr>
            <w:r w:rsidRPr="00364776">
              <w:rPr>
                <w:szCs w:val="24"/>
                <w:lang w:val="en-US"/>
              </w:rPr>
              <w:t>Total assets</w:t>
            </w:r>
          </w:p>
          <w:p w:rsidR="00951FCF" w:rsidRPr="00364776" w:rsidRDefault="00951FCF" w:rsidP="00364776">
            <w:pPr>
              <w:pStyle w:val="a5"/>
              <w:spacing w:line="360" w:lineRule="auto"/>
              <w:jc w:val="both"/>
              <w:rPr>
                <w:szCs w:val="24"/>
                <w:lang w:val="en-US"/>
              </w:rPr>
            </w:pPr>
            <w:r w:rsidRPr="00364776">
              <w:rPr>
                <w:szCs w:val="24"/>
                <w:lang w:val="en-US"/>
              </w:rPr>
              <w:t>Net debt</w:t>
            </w:r>
          </w:p>
          <w:p w:rsidR="00951FCF" w:rsidRPr="00364776" w:rsidRDefault="00951FCF" w:rsidP="00364776">
            <w:pPr>
              <w:pStyle w:val="a5"/>
              <w:spacing w:line="360" w:lineRule="auto"/>
              <w:jc w:val="both"/>
              <w:rPr>
                <w:szCs w:val="24"/>
                <w:lang w:val="en-US"/>
              </w:rPr>
            </w:pPr>
            <w:r w:rsidRPr="00364776">
              <w:rPr>
                <w:szCs w:val="24"/>
                <w:lang w:val="en-US"/>
              </w:rPr>
              <w:t>MV associates</w:t>
            </w:r>
          </w:p>
          <w:p w:rsidR="00951FCF" w:rsidRPr="00364776" w:rsidRDefault="00951FCF" w:rsidP="00364776">
            <w:pPr>
              <w:pStyle w:val="a5"/>
              <w:spacing w:line="360" w:lineRule="auto"/>
              <w:jc w:val="both"/>
              <w:rPr>
                <w:szCs w:val="24"/>
                <w:lang w:val="en-US"/>
              </w:rPr>
            </w:pPr>
            <w:r w:rsidRPr="00364776">
              <w:rPr>
                <w:szCs w:val="24"/>
                <w:lang w:val="en-US"/>
              </w:rPr>
              <w:t>Leases (capitalised)</w:t>
            </w:r>
          </w:p>
          <w:p w:rsidR="00951FCF" w:rsidRPr="00364776" w:rsidRDefault="00951FCF" w:rsidP="00364776">
            <w:pPr>
              <w:pStyle w:val="a5"/>
              <w:spacing w:line="360" w:lineRule="auto"/>
              <w:jc w:val="both"/>
              <w:rPr>
                <w:szCs w:val="24"/>
                <w:lang w:val="en-US"/>
              </w:rPr>
            </w:pPr>
            <w:r>
              <w:rPr>
                <w:szCs w:val="24"/>
                <w:lang w:val="en-US"/>
              </w:rPr>
              <w:t>Unfunded pensions</w:t>
            </w:r>
          </w:p>
        </w:tc>
        <w:tc>
          <w:tcPr>
            <w:tcW w:w="2126" w:type="dxa"/>
          </w:tcPr>
          <w:p w:rsidR="00951FCF" w:rsidRDefault="00951FCF" w:rsidP="00F5317A">
            <w:pPr>
              <w:pStyle w:val="a5"/>
              <w:spacing w:line="360" w:lineRule="auto"/>
              <w:jc w:val="both"/>
              <w:rPr>
                <w:szCs w:val="24"/>
                <w:lang w:val="en-US"/>
              </w:rPr>
            </w:pPr>
            <w:r>
              <w:rPr>
                <w:szCs w:val="24"/>
                <w:lang w:val="en-US"/>
              </w:rPr>
              <w:t xml:space="preserve">CAPEX </w:t>
            </w:r>
          </w:p>
        </w:tc>
        <w:tc>
          <w:tcPr>
            <w:tcW w:w="2828" w:type="dxa"/>
          </w:tcPr>
          <w:p w:rsidR="00951FCF" w:rsidRDefault="00951FCF" w:rsidP="00F5317A">
            <w:pPr>
              <w:pStyle w:val="a5"/>
              <w:spacing w:line="360" w:lineRule="auto"/>
              <w:jc w:val="both"/>
              <w:rPr>
                <w:szCs w:val="24"/>
                <w:lang w:val="en-US"/>
              </w:rPr>
            </w:pPr>
            <w:r>
              <w:rPr>
                <w:szCs w:val="24"/>
                <w:lang w:val="en-US"/>
              </w:rPr>
              <w:t xml:space="preserve">Industry </w:t>
            </w:r>
          </w:p>
          <w:p w:rsidR="00951FCF" w:rsidRDefault="00951FCF" w:rsidP="00F5317A">
            <w:pPr>
              <w:pStyle w:val="a5"/>
              <w:spacing w:line="360" w:lineRule="auto"/>
              <w:jc w:val="both"/>
              <w:rPr>
                <w:szCs w:val="24"/>
                <w:lang w:val="en-US"/>
              </w:rPr>
            </w:pPr>
            <w:r>
              <w:rPr>
                <w:szCs w:val="24"/>
                <w:lang w:val="en-US"/>
              </w:rPr>
              <w:t xml:space="preserve">Current rating </w:t>
            </w:r>
          </w:p>
        </w:tc>
      </w:tr>
    </w:tbl>
    <w:p w:rsidR="00F5317A" w:rsidRDefault="00F5317A" w:rsidP="00F5317A">
      <w:pPr>
        <w:pStyle w:val="a5"/>
        <w:spacing w:line="360" w:lineRule="auto"/>
        <w:ind w:hanging="142"/>
        <w:jc w:val="both"/>
        <w:rPr>
          <w:rFonts w:cs="Times New Roman"/>
          <w:szCs w:val="24"/>
          <w:lang w:val="en-US"/>
        </w:rPr>
      </w:pPr>
    </w:p>
    <w:p w:rsidR="000263ED" w:rsidRDefault="00183C7E" w:rsidP="004F6E67">
      <w:pPr>
        <w:pStyle w:val="a5"/>
        <w:spacing w:line="360" w:lineRule="auto"/>
        <w:ind w:firstLine="360"/>
        <w:jc w:val="both"/>
        <w:rPr>
          <w:rFonts w:cs="Times New Roman"/>
          <w:szCs w:val="24"/>
          <w:lang w:val="en-US"/>
        </w:rPr>
      </w:pPr>
      <w:r>
        <w:rPr>
          <w:rFonts w:cs="Times New Roman"/>
          <w:szCs w:val="24"/>
          <w:lang w:val="en-US"/>
        </w:rPr>
        <w:t>The data should be collected for over all projection period.</w:t>
      </w:r>
    </w:p>
    <w:p w:rsidR="00CF52DB" w:rsidRDefault="000263ED" w:rsidP="00F06CF3">
      <w:pPr>
        <w:pStyle w:val="a5"/>
        <w:spacing w:line="360" w:lineRule="auto"/>
        <w:ind w:firstLine="360"/>
        <w:jc w:val="both"/>
        <w:rPr>
          <w:lang w:val="en-US"/>
        </w:rPr>
      </w:pPr>
      <w:r>
        <w:rPr>
          <w:lang w:val="en-US"/>
        </w:rPr>
        <w:t>Transaction assumption</w:t>
      </w:r>
      <w:r w:rsidR="00F06CF3">
        <w:rPr>
          <w:lang w:val="en-US"/>
        </w:rPr>
        <w:t>s</w:t>
      </w:r>
      <w:r>
        <w:rPr>
          <w:lang w:val="en-US"/>
        </w:rPr>
        <w:t xml:space="preserve"> are vital here. </w:t>
      </w:r>
      <w:r w:rsidR="00F06CF3" w:rsidRPr="00F06CF3">
        <w:rPr>
          <w:lang w:val="en-US"/>
        </w:rPr>
        <w:t xml:space="preserve">As soon as LBO-screener is a tool for preliminary analysis and is designed </w:t>
      </w:r>
      <w:proofErr w:type="gramStart"/>
      <w:r w:rsidR="00F06CF3" w:rsidRPr="00F06CF3">
        <w:rPr>
          <w:lang w:val="en-US"/>
        </w:rPr>
        <w:t>to</w:t>
      </w:r>
      <w:proofErr w:type="gramEnd"/>
      <w:r w:rsidR="00F06CF3" w:rsidRPr="00F06CF3">
        <w:rPr>
          <w:lang w:val="en-US"/>
        </w:rPr>
        <w:t xml:space="preserve"> compare multiple targets, the assumptions made here are limited as compared to assumptions made in detailed LBO-model</w:t>
      </w:r>
      <w:r w:rsidR="00F06CF3">
        <w:rPr>
          <w:lang w:val="en-US"/>
        </w:rPr>
        <w:t xml:space="preserve"> (will be discussed in the next section)</w:t>
      </w:r>
      <w:r w:rsidR="00F06CF3" w:rsidRPr="00F06CF3">
        <w:rPr>
          <w:lang w:val="en-US"/>
        </w:rPr>
        <w:t xml:space="preserve">. </w:t>
      </w:r>
      <w:r>
        <w:rPr>
          <w:lang w:val="en-US"/>
        </w:rPr>
        <w:t xml:space="preserve">They are comprised of deal assumptions (3) and operational assumptions (4). </w:t>
      </w:r>
    </w:p>
    <w:p w:rsidR="004F6E67" w:rsidRDefault="004F6E67" w:rsidP="00F06CF3">
      <w:pPr>
        <w:pStyle w:val="a5"/>
        <w:spacing w:line="360" w:lineRule="auto"/>
        <w:ind w:firstLine="360"/>
        <w:jc w:val="both"/>
        <w:rPr>
          <w:lang w:val="en-US"/>
        </w:rPr>
      </w:pPr>
      <w:r>
        <w:rPr>
          <w:noProof/>
          <w:lang w:eastAsia="ru-RU"/>
        </w:rPr>
        <w:lastRenderedPageBreak/>
        <w:drawing>
          <wp:inline distT="0" distB="0" distL="0" distR="0" wp14:anchorId="2D047A06" wp14:editId="407E4B73">
            <wp:extent cx="5248275" cy="2091679"/>
            <wp:effectExtent l="0" t="0" r="0" b="44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457" cy="2094940"/>
                    </a:xfrm>
                    <a:prstGeom prst="rect">
                      <a:avLst/>
                    </a:prstGeom>
                  </pic:spPr>
                </pic:pic>
              </a:graphicData>
            </a:graphic>
          </wp:inline>
        </w:drawing>
      </w:r>
    </w:p>
    <w:p w:rsidR="004F6E67" w:rsidRDefault="004F6E67" w:rsidP="004F6E67">
      <w:pPr>
        <w:pStyle w:val="a5"/>
        <w:spacing w:line="360" w:lineRule="auto"/>
        <w:ind w:firstLine="360"/>
        <w:jc w:val="center"/>
        <w:rPr>
          <w:lang w:val="en-US"/>
        </w:rPr>
      </w:pPr>
      <w:r>
        <w:rPr>
          <w:lang w:val="en-US"/>
        </w:rPr>
        <w:t>Pic</w:t>
      </w:r>
      <w:r w:rsidR="007572E2">
        <w:rPr>
          <w:lang w:val="en-US"/>
        </w:rPr>
        <w:t xml:space="preserve"> 6</w:t>
      </w:r>
      <w:r>
        <w:rPr>
          <w:lang w:val="en-US"/>
        </w:rPr>
        <w:t>. Transaction assumptions</w:t>
      </w:r>
    </w:p>
    <w:p w:rsidR="000263ED" w:rsidRDefault="000263ED" w:rsidP="00F06CF3">
      <w:pPr>
        <w:pStyle w:val="a5"/>
        <w:spacing w:line="360" w:lineRule="auto"/>
        <w:ind w:firstLine="360"/>
        <w:jc w:val="both"/>
        <w:rPr>
          <w:lang w:val="en-US"/>
        </w:rPr>
      </w:pPr>
      <w:r>
        <w:rPr>
          <w:lang w:val="en-US"/>
        </w:rPr>
        <w:t xml:space="preserve">Deal assumption refer to different characteristics of the transaction that we assume in order to calculate the implied investor rate of return. They consist of four groups of assumptions: exit multiple (5), holding period (6), bid premium (7), debt </w:t>
      </w:r>
      <w:proofErr w:type="gramStart"/>
      <w:r>
        <w:rPr>
          <w:lang w:val="en-US"/>
        </w:rPr>
        <w:t>leverage</w:t>
      </w:r>
      <w:proofErr w:type="gramEnd"/>
      <w:r>
        <w:rPr>
          <w:lang w:val="en-US"/>
        </w:rPr>
        <w:t xml:space="preserve"> (8), cost of debt (9). </w:t>
      </w:r>
    </w:p>
    <w:p w:rsidR="00145ACD" w:rsidRPr="00145ACD" w:rsidRDefault="007E2FFA" w:rsidP="008D3CCB">
      <w:pPr>
        <w:pStyle w:val="aa"/>
        <w:numPr>
          <w:ilvl w:val="0"/>
          <w:numId w:val="30"/>
        </w:numPr>
        <w:spacing w:line="360" w:lineRule="auto"/>
        <w:jc w:val="both"/>
        <w:rPr>
          <w:lang w:val="en-US"/>
        </w:rPr>
      </w:pPr>
      <w:r>
        <w:rPr>
          <w:b/>
          <w:i/>
          <w:lang w:val="en-US"/>
        </w:rPr>
        <w:t>H</w:t>
      </w:r>
      <w:r w:rsidR="00F06CF3" w:rsidRPr="007E2FFA">
        <w:rPr>
          <w:b/>
          <w:i/>
          <w:lang w:val="en-US"/>
        </w:rPr>
        <w:t>olding period.</w:t>
      </w:r>
      <w:r w:rsidR="00F06CF3" w:rsidRPr="00BE33F9">
        <w:rPr>
          <w:lang w:val="en-US"/>
        </w:rPr>
        <w:t xml:space="preserve"> </w:t>
      </w:r>
      <w:r w:rsidR="00F06CF3" w:rsidRPr="00BE33F9">
        <w:rPr>
          <w:rFonts w:cs="Times New Roman"/>
          <w:szCs w:val="24"/>
          <w:lang w:val="en-US"/>
        </w:rPr>
        <w:t>When modeling LBOs and comparing several LBO targets, analysts typically assume as base case that private equity investors exit after five years and calculate five-year IRRs accordingly.</w:t>
      </w:r>
      <w:r w:rsidR="00F06CF3">
        <w:rPr>
          <w:rStyle w:val="a9"/>
          <w:rFonts w:cs="Times New Roman"/>
          <w:szCs w:val="24"/>
          <w:lang w:val="en-US"/>
        </w:rPr>
        <w:footnoteReference w:id="38"/>
      </w:r>
      <w:r w:rsidR="00F06CF3" w:rsidRPr="00BE33F9">
        <w:rPr>
          <w:rFonts w:cs="Times New Roman"/>
          <w:szCs w:val="24"/>
          <w:lang w:val="en-US"/>
        </w:rPr>
        <w:t xml:space="preserve"> </w:t>
      </w:r>
      <w:r w:rsidR="00850353" w:rsidRPr="00BE33F9">
        <w:rPr>
          <w:rFonts w:cs="Times New Roman"/>
          <w:szCs w:val="24"/>
          <w:lang w:val="en-US"/>
        </w:rPr>
        <w:t xml:space="preserve"> Thus, t</w:t>
      </w:r>
      <w:r w:rsidR="00F06CF3" w:rsidRPr="00BE33F9">
        <w:rPr>
          <w:rFonts w:cs="Times New Roman"/>
          <w:szCs w:val="24"/>
          <w:lang w:val="en-US"/>
        </w:rPr>
        <w:t xml:space="preserve">he holding period assumption </w:t>
      </w:r>
      <w:proofErr w:type="gramStart"/>
      <w:r w:rsidR="00F06CF3" w:rsidRPr="00BE33F9">
        <w:rPr>
          <w:rFonts w:cs="Times New Roman"/>
          <w:szCs w:val="24"/>
          <w:lang w:val="en-US"/>
        </w:rPr>
        <w:t>can be chosen</w:t>
      </w:r>
      <w:proofErr w:type="gramEnd"/>
      <w:r w:rsidR="00850353" w:rsidRPr="00BE33F9">
        <w:rPr>
          <w:rFonts w:cs="Times New Roman"/>
          <w:szCs w:val="24"/>
          <w:lang w:val="en-US"/>
        </w:rPr>
        <w:t xml:space="preserve"> in the drop-down list from 2-5 years. The projection period here </w:t>
      </w:r>
      <w:proofErr w:type="gramStart"/>
      <w:r w:rsidR="00850353" w:rsidRPr="00BE33F9">
        <w:rPr>
          <w:rFonts w:cs="Times New Roman"/>
          <w:szCs w:val="24"/>
          <w:lang w:val="en-US"/>
        </w:rPr>
        <w:t>is also designed</w:t>
      </w:r>
      <w:proofErr w:type="gramEnd"/>
      <w:r w:rsidR="00850353" w:rsidRPr="00BE33F9">
        <w:rPr>
          <w:rFonts w:cs="Times New Roman"/>
          <w:szCs w:val="24"/>
          <w:lang w:val="en-US"/>
        </w:rPr>
        <w:t xml:space="preserve"> to be 5 years, based on the same fact. However, </w:t>
      </w:r>
      <w:r w:rsidR="00BE33F9" w:rsidRPr="00BE33F9">
        <w:rPr>
          <w:rFonts w:cs="Times New Roman"/>
          <w:szCs w:val="24"/>
          <w:lang w:val="en-US"/>
        </w:rPr>
        <w:t xml:space="preserve">usually, the length of projection period and the holding period is </w:t>
      </w:r>
      <w:r w:rsidR="00850353" w:rsidRPr="00BE33F9">
        <w:rPr>
          <w:rFonts w:cs="Times New Roman"/>
          <w:szCs w:val="24"/>
          <w:lang w:val="en-US"/>
        </w:rPr>
        <w:t xml:space="preserve">typically set at seven to ten years </w:t>
      </w:r>
      <w:proofErr w:type="gramStart"/>
      <w:r w:rsidR="00850353" w:rsidRPr="00BE33F9">
        <w:rPr>
          <w:rFonts w:cs="Times New Roman"/>
          <w:szCs w:val="24"/>
          <w:lang w:val="en-US"/>
        </w:rPr>
        <w:t>so as to</w:t>
      </w:r>
      <w:proofErr w:type="gramEnd"/>
      <w:r w:rsidR="00850353" w:rsidRPr="00BE33F9">
        <w:rPr>
          <w:rFonts w:cs="Times New Roman"/>
          <w:szCs w:val="24"/>
          <w:lang w:val="en-US"/>
        </w:rPr>
        <w:t xml:space="preserve"> match the maturity of the longest tenured</w:t>
      </w:r>
      <w:r w:rsidR="00BE33F9">
        <w:rPr>
          <w:rFonts w:cs="Times New Roman"/>
          <w:szCs w:val="24"/>
          <w:lang w:val="en-US"/>
        </w:rPr>
        <w:t xml:space="preserve"> </w:t>
      </w:r>
      <w:r w:rsidR="00850353" w:rsidRPr="00BE33F9">
        <w:rPr>
          <w:rFonts w:cs="Times New Roman"/>
          <w:szCs w:val="24"/>
          <w:lang w:val="en-US"/>
        </w:rPr>
        <w:t>debt instrument in the capital structure.</w:t>
      </w:r>
      <w:r w:rsidR="00BE33F9">
        <w:rPr>
          <w:rFonts w:cs="Times New Roman"/>
          <w:szCs w:val="24"/>
          <w:lang w:val="en-US"/>
        </w:rPr>
        <w:t xml:space="preserve"> As soon as we are comparing multiple a large screen of companies the cost of debt </w:t>
      </w:r>
      <w:proofErr w:type="gramStart"/>
      <w:r w:rsidR="00BE33F9">
        <w:rPr>
          <w:rFonts w:cs="Times New Roman"/>
          <w:szCs w:val="24"/>
          <w:lang w:val="en-US"/>
        </w:rPr>
        <w:t>is assumed</w:t>
      </w:r>
      <w:proofErr w:type="gramEnd"/>
      <w:r w:rsidR="00BE33F9">
        <w:rPr>
          <w:rFonts w:cs="Times New Roman"/>
          <w:szCs w:val="24"/>
          <w:lang w:val="en-US"/>
        </w:rPr>
        <w:t xml:space="preserve"> without a detailed financing structure and debt schedule, there is no need to make longer projections. </w:t>
      </w:r>
      <w:r w:rsidR="00850353" w:rsidRPr="00BE33F9">
        <w:rPr>
          <w:rFonts w:cs="Times New Roman"/>
          <w:szCs w:val="24"/>
          <w:lang w:val="en-US"/>
        </w:rPr>
        <w:t>A financial sponsor, however, may</w:t>
      </w:r>
      <w:r w:rsidR="00BE33F9">
        <w:rPr>
          <w:rFonts w:cs="Times New Roman"/>
          <w:szCs w:val="24"/>
          <w:lang w:val="en-US"/>
        </w:rPr>
        <w:t xml:space="preserve"> only use a</w:t>
      </w:r>
      <w:r w:rsidR="00850353" w:rsidRPr="00BE33F9">
        <w:rPr>
          <w:rFonts w:cs="Times New Roman"/>
          <w:szCs w:val="24"/>
          <w:lang w:val="en-US"/>
        </w:rPr>
        <w:t xml:space="preserve"> five-year projection period in its internal LBO model </w:t>
      </w:r>
      <w:proofErr w:type="gramStart"/>
      <w:r w:rsidR="00850353" w:rsidRPr="00BE33F9">
        <w:rPr>
          <w:rFonts w:cs="Times New Roman"/>
          <w:szCs w:val="24"/>
          <w:lang w:val="en-US"/>
        </w:rPr>
        <w:t>so as to</w:t>
      </w:r>
      <w:proofErr w:type="gramEnd"/>
      <w:r w:rsidR="00850353" w:rsidRPr="00BE33F9">
        <w:rPr>
          <w:rFonts w:cs="Times New Roman"/>
          <w:szCs w:val="24"/>
          <w:lang w:val="en-US"/>
        </w:rPr>
        <w:t xml:space="preserve"> match its</w:t>
      </w:r>
      <w:r w:rsidR="00BE33F9">
        <w:rPr>
          <w:rFonts w:cs="Times New Roman"/>
          <w:szCs w:val="24"/>
          <w:lang w:val="en-US"/>
        </w:rPr>
        <w:t xml:space="preserve"> </w:t>
      </w:r>
      <w:r w:rsidR="00850353" w:rsidRPr="00BE33F9">
        <w:rPr>
          <w:rFonts w:cs="Times New Roman"/>
          <w:szCs w:val="24"/>
          <w:lang w:val="en-US"/>
        </w:rPr>
        <w:t xml:space="preserve">expectations for the anticipated investment horizon. </w:t>
      </w:r>
    </w:p>
    <w:p w:rsidR="00145ACD" w:rsidRPr="00145ACD" w:rsidRDefault="00BE33F9" w:rsidP="008D3CCB">
      <w:pPr>
        <w:pStyle w:val="aa"/>
        <w:numPr>
          <w:ilvl w:val="0"/>
          <w:numId w:val="30"/>
        </w:numPr>
        <w:spacing w:line="360" w:lineRule="auto"/>
        <w:jc w:val="both"/>
        <w:rPr>
          <w:lang w:val="en-US"/>
        </w:rPr>
      </w:pPr>
      <w:r w:rsidRPr="007E2FFA">
        <w:rPr>
          <w:rFonts w:cs="Times New Roman"/>
          <w:b/>
          <w:i/>
          <w:szCs w:val="24"/>
          <w:lang w:val="en-US"/>
        </w:rPr>
        <w:t>Market premium assumption.</w:t>
      </w:r>
      <w:r w:rsidRPr="00145ACD">
        <w:rPr>
          <w:rFonts w:cs="Times New Roman"/>
          <w:i/>
          <w:szCs w:val="24"/>
          <w:lang w:val="en-US"/>
        </w:rPr>
        <w:t xml:space="preserve"> </w:t>
      </w:r>
      <w:r w:rsidR="00145ACD" w:rsidRPr="00145ACD">
        <w:rPr>
          <w:rFonts w:cs="Times New Roman"/>
          <w:szCs w:val="24"/>
          <w:lang w:val="en-US"/>
        </w:rPr>
        <w:t>Investors usually have to pay a premium to gain control of a target company.</w:t>
      </w:r>
      <w:r w:rsidR="00145ACD">
        <w:rPr>
          <w:rStyle w:val="a9"/>
          <w:rFonts w:cs="Times New Roman"/>
          <w:szCs w:val="24"/>
          <w:lang w:val="en-US"/>
        </w:rPr>
        <w:footnoteReference w:id="39"/>
      </w:r>
      <w:r w:rsidR="00145ACD" w:rsidRPr="00145ACD">
        <w:rPr>
          <w:rFonts w:cs="Times New Roman"/>
          <w:szCs w:val="24"/>
          <w:lang w:val="en-US"/>
        </w:rPr>
        <w:t xml:space="preserve"> A control premium is the amount that a buyer is willing to pay over and above the current market price in order to acquire a controlling interest in that specific company.</w:t>
      </w:r>
      <w:r w:rsidR="00145ACD">
        <w:rPr>
          <w:rStyle w:val="a9"/>
          <w:rFonts w:cs="Times New Roman"/>
          <w:szCs w:val="24"/>
          <w:lang w:val="en-US"/>
        </w:rPr>
        <w:footnoteReference w:id="40"/>
      </w:r>
      <w:r w:rsidR="00145ACD" w:rsidRPr="00145ACD">
        <w:rPr>
          <w:rFonts w:cs="Times New Roman"/>
          <w:szCs w:val="24"/>
          <w:lang w:val="en-US"/>
        </w:rPr>
        <w:t xml:space="preserve"> There are three reasons why LBO targets </w:t>
      </w:r>
      <w:proofErr w:type="gramStart"/>
      <w:r w:rsidR="00145ACD" w:rsidRPr="00145ACD">
        <w:rPr>
          <w:rFonts w:cs="Times New Roman"/>
          <w:szCs w:val="24"/>
          <w:lang w:val="en-US"/>
        </w:rPr>
        <w:t>are usually bought</w:t>
      </w:r>
      <w:proofErr w:type="gramEnd"/>
      <w:r w:rsidR="00145ACD" w:rsidRPr="00145ACD">
        <w:rPr>
          <w:rFonts w:cs="Times New Roman"/>
          <w:szCs w:val="24"/>
          <w:lang w:val="en-US"/>
        </w:rPr>
        <w:t xml:space="preserve"> with control premiums. Firstly, private equity firms seeking to acquire attractive targets usually compete with other financial and strategic </w:t>
      </w:r>
      <w:proofErr w:type="gramStart"/>
      <w:r w:rsidR="00145ACD" w:rsidRPr="00145ACD">
        <w:rPr>
          <w:rFonts w:cs="Times New Roman"/>
          <w:szCs w:val="24"/>
          <w:lang w:val="en-US"/>
        </w:rPr>
        <w:t>investors, that</w:t>
      </w:r>
      <w:proofErr w:type="gramEnd"/>
      <w:r w:rsidR="00145ACD" w:rsidRPr="00145ACD">
        <w:rPr>
          <w:rFonts w:cs="Times New Roman"/>
          <w:szCs w:val="24"/>
          <w:lang w:val="en-US"/>
        </w:rPr>
        <w:t xml:space="preserve"> is why they bid higher offers. Another reason lies behind the concept of control premium. Gaining control the acquirer receives power to elect executive officers, set wages, announce dividends, liquidate or sell </w:t>
      </w:r>
      <w:r w:rsidR="00145ACD" w:rsidRPr="00145ACD">
        <w:rPr>
          <w:rFonts w:cs="Times New Roman"/>
          <w:szCs w:val="24"/>
          <w:lang w:val="en-US"/>
        </w:rPr>
        <w:lastRenderedPageBreak/>
        <w:t xml:space="preserve">a company, and gives access to the target firm’s cash flows, and the control of the strategy and operations.  Control premiums </w:t>
      </w:r>
      <w:proofErr w:type="gramStart"/>
      <w:r w:rsidR="00145ACD" w:rsidRPr="00145ACD">
        <w:rPr>
          <w:rFonts w:cs="Times New Roman"/>
          <w:szCs w:val="24"/>
          <w:lang w:val="en-US"/>
        </w:rPr>
        <w:t>are typically seen</w:t>
      </w:r>
      <w:proofErr w:type="gramEnd"/>
      <w:r w:rsidR="00145ACD" w:rsidRPr="00145ACD">
        <w:rPr>
          <w:rFonts w:cs="Times New Roman"/>
          <w:szCs w:val="24"/>
          <w:lang w:val="en-US"/>
        </w:rPr>
        <w:t xml:space="preserve"> in takeover bids of public companies, but can be present in situations where shareholders of private businesses pay a premium to obtain majority interest or a controlling position in a company. Finally, it is necessary to take into account control premium, since current owners of the target may be against selling their shares.</w:t>
      </w:r>
      <w:r w:rsidR="00145ACD">
        <w:rPr>
          <w:rFonts w:cs="Times New Roman"/>
          <w:szCs w:val="24"/>
          <w:lang w:val="en-US"/>
        </w:rPr>
        <w:t xml:space="preserve"> The market premium assumption will be discussed in a </w:t>
      </w:r>
      <w:proofErr w:type="gramStart"/>
      <w:r w:rsidR="00145ACD">
        <w:rPr>
          <w:rFonts w:cs="Times New Roman"/>
          <w:szCs w:val="24"/>
          <w:lang w:val="en-US"/>
        </w:rPr>
        <w:t>greater detail</w:t>
      </w:r>
      <w:proofErr w:type="gramEnd"/>
      <w:r w:rsidR="00145ACD">
        <w:rPr>
          <w:rFonts w:cs="Times New Roman"/>
          <w:szCs w:val="24"/>
          <w:lang w:val="en-US"/>
        </w:rPr>
        <w:t xml:space="preserve"> in LBO-model section. Here we have to say that in LBO-screen this</w:t>
      </w:r>
      <w:r w:rsidR="00145ACD" w:rsidRPr="00145ACD">
        <w:rPr>
          <w:rFonts w:cs="Times New Roman"/>
          <w:szCs w:val="24"/>
          <w:lang w:val="en-US"/>
        </w:rPr>
        <w:t xml:space="preserve"> cell </w:t>
      </w:r>
      <w:proofErr w:type="gramStart"/>
      <w:r w:rsidR="00145ACD" w:rsidRPr="00145ACD">
        <w:rPr>
          <w:rFonts w:cs="Times New Roman"/>
          <w:szCs w:val="24"/>
          <w:lang w:val="en-US"/>
        </w:rPr>
        <w:t>is designed</w:t>
      </w:r>
      <w:proofErr w:type="gramEnd"/>
      <w:r w:rsidR="00145ACD" w:rsidRPr="00145ACD">
        <w:rPr>
          <w:rFonts w:cs="Times New Roman"/>
          <w:szCs w:val="24"/>
          <w:lang w:val="en-US"/>
        </w:rPr>
        <w:t xml:space="preserve"> with a full flexibility to insert the desirable market premium.</w:t>
      </w:r>
      <w:r w:rsidR="00145ACD">
        <w:rPr>
          <w:rFonts w:cs="Times New Roman"/>
          <w:szCs w:val="24"/>
          <w:lang w:val="en-US"/>
        </w:rPr>
        <w:t xml:space="preserve"> Once chosen, the same market premium </w:t>
      </w:r>
      <w:proofErr w:type="gramStart"/>
      <w:r w:rsidR="00145ACD">
        <w:rPr>
          <w:rFonts w:cs="Times New Roman"/>
          <w:szCs w:val="24"/>
          <w:lang w:val="en-US"/>
        </w:rPr>
        <w:t>will be applied</w:t>
      </w:r>
      <w:proofErr w:type="gramEnd"/>
      <w:r w:rsidR="00145ACD">
        <w:rPr>
          <w:rFonts w:cs="Times New Roman"/>
          <w:szCs w:val="24"/>
          <w:lang w:val="en-US"/>
        </w:rPr>
        <w:t xml:space="preserve"> to all of the companies in the data set. </w:t>
      </w:r>
    </w:p>
    <w:p w:rsidR="00005412" w:rsidRPr="007B6CAA" w:rsidRDefault="00145ACD" w:rsidP="008D3CCB">
      <w:pPr>
        <w:pStyle w:val="aa"/>
        <w:numPr>
          <w:ilvl w:val="0"/>
          <w:numId w:val="30"/>
        </w:numPr>
        <w:spacing w:line="360" w:lineRule="auto"/>
        <w:jc w:val="both"/>
        <w:rPr>
          <w:lang w:val="en-US"/>
        </w:rPr>
      </w:pPr>
      <w:r w:rsidRPr="007E2FFA">
        <w:rPr>
          <w:b/>
          <w:i/>
          <w:lang w:val="en-US"/>
        </w:rPr>
        <w:t>Debt-leverage</w:t>
      </w:r>
      <w:r w:rsidRPr="007E2FFA">
        <w:rPr>
          <w:b/>
          <w:lang w:val="en-US"/>
        </w:rPr>
        <w:t>.</w:t>
      </w:r>
      <w:r>
        <w:rPr>
          <w:lang w:val="en-US"/>
        </w:rPr>
        <w:t xml:space="preserve"> </w:t>
      </w:r>
      <w:r w:rsidR="00CC0C04" w:rsidRPr="00CC0C04">
        <w:rPr>
          <w:lang w:val="en-US"/>
        </w:rPr>
        <w:t xml:space="preserve">Identifying the financing structure </w:t>
      </w:r>
      <w:r w:rsidR="00CC0C04">
        <w:rPr>
          <w:lang w:val="en-US"/>
        </w:rPr>
        <w:t xml:space="preserve">of the LBO </w:t>
      </w:r>
      <w:r w:rsidR="00CC0C04" w:rsidRPr="00CC0C04">
        <w:rPr>
          <w:lang w:val="en-US"/>
        </w:rPr>
        <w:t xml:space="preserve">starts with choosing a proper debt to equity </w:t>
      </w:r>
      <w:r w:rsidR="00CC0C04">
        <w:rPr>
          <w:lang w:val="en-US"/>
        </w:rPr>
        <w:t xml:space="preserve">ratio. This may actually depend on </w:t>
      </w:r>
      <w:proofErr w:type="gramStart"/>
      <w:r w:rsidR="00CC0C04">
        <w:rPr>
          <w:lang w:val="en-US"/>
        </w:rPr>
        <w:t>a lot of</w:t>
      </w:r>
      <w:proofErr w:type="gramEnd"/>
      <w:r w:rsidR="00CC0C04">
        <w:rPr>
          <w:lang w:val="en-US"/>
        </w:rPr>
        <w:t xml:space="preserve"> factors, including the reputation of the private equity fund, availability of the debt and the strategy of the private equity fund. </w:t>
      </w:r>
      <w:r w:rsidR="00005412" w:rsidRPr="00005412">
        <w:rPr>
          <w:rFonts w:cs="Times New Roman"/>
          <w:szCs w:val="24"/>
          <w:lang w:val="en-US"/>
        </w:rPr>
        <w:t xml:space="preserve">To simplify matters, financial analysts usually apply financial ratios to determine the </w:t>
      </w:r>
      <w:proofErr w:type="gramStart"/>
      <w:r w:rsidR="00005412" w:rsidRPr="00005412">
        <w:rPr>
          <w:rFonts w:cs="Times New Roman"/>
          <w:szCs w:val="24"/>
          <w:lang w:val="en-US"/>
        </w:rPr>
        <w:t>leverage</w:t>
      </w:r>
      <w:proofErr w:type="gramEnd"/>
      <w:r w:rsidR="00005412" w:rsidRPr="00005412">
        <w:rPr>
          <w:rFonts w:cs="Times New Roman"/>
          <w:szCs w:val="24"/>
          <w:lang w:val="en-US"/>
        </w:rPr>
        <w:t xml:space="preserve"> potential of an LBO candidate. Analysts at Goldman Sachs, for example, use sector specific debt/EBITDA ratios to determine the initial debt level.</w:t>
      </w:r>
      <w:r w:rsidR="00005412">
        <w:rPr>
          <w:rStyle w:val="a9"/>
          <w:rFonts w:cs="Times New Roman"/>
          <w:szCs w:val="24"/>
          <w:lang w:val="en-US"/>
        </w:rPr>
        <w:footnoteReference w:id="41"/>
      </w:r>
      <w:r w:rsidR="00005412" w:rsidRPr="00005412">
        <w:rPr>
          <w:rFonts w:cs="Times New Roman"/>
          <w:szCs w:val="24"/>
          <w:lang w:val="en-US"/>
        </w:rPr>
        <w:t xml:space="preserve"> Their colleagues at Deutsche Bank apply interest coverage ratios to determine the maximum amount of debt a company can carry.</w:t>
      </w:r>
      <w:r w:rsidR="00005412">
        <w:rPr>
          <w:rStyle w:val="a9"/>
          <w:rFonts w:cs="Times New Roman"/>
          <w:szCs w:val="24"/>
          <w:lang w:val="en-US"/>
        </w:rPr>
        <w:footnoteReference w:id="42"/>
      </w:r>
      <w:r w:rsidR="00005412" w:rsidRPr="00005412">
        <w:rPr>
          <w:rFonts w:cs="Times New Roman"/>
          <w:szCs w:val="24"/>
          <w:lang w:val="en-US"/>
        </w:rPr>
        <w:t xml:space="preserve"> Analysts at Morgan Stanley simply assume as base case that private equity firms finance LBO transactions with 30% equity and 70% debt.</w:t>
      </w:r>
      <w:r w:rsidR="00005412">
        <w:rPr>
          <w:rStyle w:val="a9"/>
          <w:rFonts w:cs="Times New Roman"/>
          <w:szCs w:val="24"/>
          <w:lang w:val="en-US"/>
        </w:rPr>
        <w:footnoteReference w:id="43"/>
      </w:r>
      <w:r w:rsidR="00005412" w:rsidRPr="00005412">
        <w:rPr>
          <w:rFonts w:cs="Times New Roman"/>
          <w:szCs w:val="24"/>
          <w:lang w:val="en-US"/>
        </w:rPr>
        <w:t xml:space="preserve"> UBS uses sector specific debt/EBITDA multiples and interest coverage ratios but adjusted to allow for an acceptable long-term debt repayment schedule and deal size.</w:t>
      </w:r>
      <w:r w:rsidR="00005412">
        <w:rPr>
          <w:rStyle w:val="a9"/>
          <w:rFonts w:cs="Times New Roman"/>
          <w:szCs w:val="24"/>
          <w:lang w:val="en-US"/>
        </w:rPr>
        <w:footnoteReference w:id="44"/>
      </w:r>
      <w:r w:rsidR="00005412" w:rsidRPr="00005412">
        <w:rPr>
          <w:rFonts w:cs="Times New Roman"/>
          <w:szCs w:val="24"/>
          <w:lang w:val="en-US"/>
        </w:rPr>
        <w:t xml:space="preserve"> All three metrics are subject to flux and are market determined.</w:t>
      </w:r>
      <w:r w:rsidR="00005412">
        <w:rPr>
          <w:rFonts w:cs="Times New Roman"/>
          <w:szCs w:val="24"/>
          <w:lang w:val="en-US"/>
        </w:rPr>
        <w:t xml:space="preserve"> </w:t>
      </w:r>
      <w:r w:rsidR="00005412" w:rsidRPr="00005412">
        <w:rPr>
          <w:rFonts w:cs="Times New Roman"/>
          <w:szCs w:val="24"/>
          <w:lang w:val="en-US"/>
        </w:rPr>
        <w:t xml:space="preserve">Different companies require different capital structures. </w:t>
      </w:r>
      <w:proofErr w:type="gramStart"/>
      <w:r w:rsidR="00005412" w:rsidRPr="00005412">
        <w:rPr>
          <w:rFonts w:cs="Times New Roman"/>
          <w:szCs w:val="24"/>
          <w:lang w:val="en-US"/>
        </w:rPr>
        <w:t>There is not a single capital structure that fits for all leveraged buyouts.</w:t>
      </w:r>
      <w:proofErr w:type="gramEnd"/>
      <w:r w:rsidR="00005412">
        <w:rPr>
          <w:rStyle w:val="a9"/>
          <w:rFonts w:cs="Times New Roman"/>
          <w:szCs w:val="24"/>
          <w:lang w:val="en-US"/>
        </w:rPr>
        <w:footnoteReference w:id="45"/>
      </w:r>
      <w:r w:rsidR="00005412" w:rsidRPr="00005412">
        <w:rPr>
          <w:rFonts w:cs="Times New Roman"/>
          <w:szCs w:val="24"/>
          <w:lang w:val="en-US"/>
        </w:rPr>
        <w:t xml:space="preserve"> In the proposed model, specific debt burden assumptions are used. The debt burden </w:t>
      </w:r>
      <w:proofErr w:type="gramStart"/>
      <w:r w:rsidR="00005412" w:rsidRPr="00005412">
        <w:rPr>
          <w:rFonts w:cs="Times New Roman"/>
          <w:szCs w:val="24"/>
          <w:lang w:val="en-US"/>
        </w:rPr>
        <w:t>leverage</w:t>
      </w:r>
      <w:proofErr w:type="gramEnd"/>
      <w:r w:rsidR="00005412" w:rsidRPr="00005412">
        <w:rPr>
          <w:rFonts w:cs="Times New Roman"/>
          <w:szCs w:val="24"/>
          <w:lang w:val="en-US"/>
        </w:rPr>
        <w:t xml:space="preserve"> is based on Goldman Sachs research carried i</w:t>
      </w:r>
      <w:r w:rsidR="007B6CAA">
        <w:rPr>
          <w:rFonts w:cs="Times New Roman"/>
          <w:szCs w:val="24"/>
          <w:lang w:val="en-US"/>
        </w:rPr>
        <w:t xml:space="preserve">n 2007, and is presented in the Appendix </w:t>
      </w:r>
      <w:r w:rsidR="009B7B03">
        <w:rPr>
          <w:rFonts w:cs="Times New Roman"/>
          <w:szCs w:val="24"/>
          <w:lang w:val="en-US"/>
        </w:rPr>
        <w:t>5</w:t>
      </w:r>
      <w:r w:rsidR="007B6CAA">
        <w:rPr>
          <w:rFonts w:cs="Times New Roman"/>
          <w:szCs w:val="24"/>
          <w:lang w:val="en-US"/>
        </w:rPr>
        <w:t xml:space="preserve">. </w:t>
      </w:r>
      <w:r w:rsidR="00005412" w:rsidRPr="007B6CAA">
        <w:rPr>
          <w:rFonts w:cs="Times New Roman"/>
          <w:szCs w:val="24"/>
          <w:lang w:val="en-US"/>
        </w:rPr>
        <w:t xml:space="preserve">However, the model is designed with a flexibility to change the financial </w:t>
      </w:r>
      <w:proofErr w:type="gramStart"/>
      <w:r w:rsidR="00005412" w:rsidRPr="007B6CAA">
        <w:rPr>
          <w:rFonts w:cs="Times New Roman"/>
          <w:szCs w:val="24"/>
          <w:lang w:val="en-US"/>
        </w:rPr>
        <w:t>leverage</w:t>
      </w:r>
      <w:proofErr w:type="gramEnd"/>
      <w:r w:rsidR="00005412" w:rsidRPr="007B6CAA">
        <w:rPr>
          <w:rFonts w:cs="Times New Roman"/>
          <w:szCs w:val="24"/>
          <w:lang w:val="en-US"/>
        </w:rPr>
        <w:t xml:space="preserve"> depending on investor preferences if needed. </w:t>
      </w:r>
    </w:p>
    <w:p w:rsidR="00CC0C04" w:rsidRDefault="00145ACD" w:rsidP="008D3CCB">
      <w:pPr>
        <w:pStyle w:val="aa"/>
        <w:numPr>
          <w:ilvl w:val="0"/>
          <w:numId w:val="30"/>
        </w:numPr>
        <w:spacing w:line="360" w:lineRule="auto"/>
        <w:jc w:val="both"/>
        <w:rPr>
          <w:lang w:val="en-US"/>
        </w:rPr>
      </w:pPr>
      <w:r w:rsidRPr="007E2FFA">
        <w:rPr>
          <w:b/>
          <w:i/>
          <w:lang w:val="en-US"/>
        </w:rPr>
        <w:t xml:space="preserve">Cost </w:t>
      </w:r>
      <w:r w:rsidR="00CC0C04" w:rsidRPr="007E2FFA">
        <w:rPr>
          <w:b/>
          <w:i/>
          <w:lang w:val="en-US"/>
        </w:rPr>
        <w:t>of debt</w:t>
      </w:r>
      <w:r w:rsidRPr="007E2FFA">
        <w:rPr>
          <w:b/>
          <w:lang w:val="en-US"/>
        </w:rPr>
        <w:t>.</w:t>
      </w:r>
      <w:r w:rsidR="00CC0C04" w:rsidRPr="00CC0C04">
        <w:rPr>
          <w:lang w:val="en-US"/>
        </w:rPr>
        <w:t xml:space="preserve"> </w:t>
      </w:r>
      <w:r w:rsidR="00005412" w:rsidRPr="00005412">
        <w:rPr>
          <w:rFonts w:cs="Times New Roman"/>
          <w:szCs w:val="24"/>
          <w:lang w:val="en-US"/>
        </w:rPr>
        <w:t xml:space="preserve">Modeling an LBO, financial analysts have to formulate assumptions not only on the degree of </w:t>
      </w:r>
      <w:proofErr w:type="gramStart"/>
      <w:r w:rsidR="00005412" w:rsidRPr="00005412">
        <w:rPr>
          <w:rFonts w:cs="Times New Roman"/>
          <w:szCs w:val="24"/>
          <w:lang w:val="en-US"/>
        </w:rPr>
        <w:t>leverage</w:t>
      </w:r>
      <w:proofErr w:type="gramEnd"/>
      <w:r w:rsidR="00005412" w:rsidRPr="00005412">
        <w:rPr>
          <w:rFonts w:cs="Times New Roman"/>
          <w:szCs w:val="24"/>
          <w:lang w:val="en-US"/>
        </w:rPr>
        <w:t xml:space="preserve"> but also on the cost of debt. As the base case for its standardized LBO model, Goldman Sachs assumes that 60% of debt is bank debt at LIBOR plus 250 </w:t>
      </w:r>
      <w:r w:rsidR="00005412" w:rsidRPr="00005412">
        <w:rPr>
          <w:rFonts w:cs="Times New Roman"/>
          <w:szCs w:val="24"/>
          <w:lang w:val="en-US"/>
        </w:rPr>
        <w:lastRenderedPageBreak/>
        <w:t>basis points, 30% senior debt at LIBOR plus 375 basis points and 10% subordinated debt at LIBOR plus 500 basis points.</w:t>
      </w:r>
      <w:r w:rsidR="00005412">
        <w:rPr>
          <w:rStyle w:val="a9"/>
          <w:rFonts w:cs="Times New Roman"/>
          <w:szCs w:val="24"/>
          <w:lang w:val="en-US"/>
        </w:rPr>
        <w:footnoteReference w:id="46"/>
      </w:r>
      <w:r w:rsidR="00CC0C04" w:rsidRPr="00CC0C04">
        <w:rPr>
          <w:lang w:val="en-US"/>
        </w:rPr>
        <w:t xml:space="preserve">To identify the </w:t>
      </w:r>
      <w:r w:rsidR="007E2FFA" w:rsidRPr="00CC0C04">
        <w:rPr>
          <w:lang w:val="en-US"/>
        </w:rPr>
        <w:t>cost</w:t>
      </w:r>
      <w:r w:rsidR="00CC0C04" w:rsidRPr="00CC0C04">
        <w:rPr>
          <w:lang w:val="en-US"/>
        </w:rPr>
        <w:t xml:space="preserve"> of debt, normally, the financing structure of the levered buy out </w:t>
      </w:r>
      <w:proofErr w:type="gramStart"/>
      <w:r w:rsidR="00CC0C04" w:rsidRPr="00CC0C04">
        <w:rPr>
          <w:lang w:val="en-US"/>
        </w:rPr>
        <w:t>should be known</w:t>
      </w:r>
      <w:proofErr w:type="gramEnd"/>
      <w:r w:rsidR="00CC0C04" w:rsidRPr="00CC0C04">
        <w:rPr>
          <w:lang w:val="en-US"/>
        </w:rPr>
        <w:t xml:space="preserve">. The success of the LBO close </w:t>
      </w:r>
      <w:proofErr w:type="gramStart"/>
      <w:r w:rsidR="00CC0C04" w:rsidRPr="00CC0C04">
        <w:rPr>
          <w:lang w:val="en-US"/>
        </w:rPr>
        <w:t>is based</w:t>
      </w:r>
      <w:proofErr w:type="gramEnd"/>
      <w:r w:rsidR="00CC0C04" w:rsidRPr="00CC0C04">
        <w:rPr>
          <w:lang w:val="en-US"/>
        </w:rPr>
        <w:t xml:space="preserve"> on the ability of the financial investor to attract the necessary financing for the acquisition of the target. We know that financial investors try to attract as much debt as possible to increase the return on </w:t>
      </w:r>
      <w:proofErr w:type="gramStart"/>
      <w:r w:rsidR="00CC0C04" w:rsidRPr="00CC0C04">
        <w:rPr>
          <w:lang w:val="en-US"/>
        </w:rPr>
        <w:t>investment,</w:t>
      </w:r>
      <w:proofErr w:type="gramEnd"/>
      <w:r w:rsidR="00CC0C04" w:rsidRPr="00CC0C04">
        <w:rPr>
          <w:lang w:val="en-US"/>
        </w:rPr>
        <w:t xml:space="preserve"> however, the financing structure of a levered buyout is individual for each transaction. The condition of the current debt market, availability and the cost of debt play the key role in determining </w:t>
      </w:r>
      <w:proofErr w:type="gramStart"/>
      <w:r w:rsidR="00CC0C04" w:rsidRPr="00CC0C04">
        <w:rPr>
          <w:lang w:val="en-US"/>
        </w:rPr>
        <w:t>leverage</w:t>
      </w:r>
      <w:proofErr w:type="gramEnd"/>
      <w:r w:rsidR="00CC0C04" w:rsidRPr="00CC0C04">
        <w:rPr>
          <w:lang w:val="en-US"/>
        </w:rPr>
        <w:t xml:space="preserve"> levels in the financing structure. </w:t>
      </w:r>
      <w:r w:rsidR="00CC0C04">
        <w:rPr>
          <w:lang w:val="en-US"/>
        </w:rPr>
        <w:t xml:space="preserve">Again, because, we are analyzing a large screen of companies simplifying matter </w:t>
      </w:r>
      <w:proofErr w:type="gramStart"/>
      <w:r w:rsidR="00CC0C04">
        <w:rPr>
          <w:lang w:val="en-US"/>
        </w:rPr>
        <w:t>was applied</w:t>
      </w:r>
      <w:proofErr w:type="gramEnd"/>
      <w:r w:rsidR="00CC0C04">
        <w:rPr>
          <w:lang w:val="en-US"/>
        </w:rPr>
        <w:t xml:space="preserve">. The model </w:t>
      </w:r>
      <w:proofErr w:type="gramStart"/>
      <w:r w:rsidR="00CC0C04">
        <w:rPr>
          <w:lang w:val="en-US"/>
        </w:rPr>
        <w:t>is designed</w:t>
      </w:r>
      <w:proofErr w:type="gramEnd"/>
      <w:r w:rsidR="00CC0C04">
        <w:rPr>
          <w:lang w:val="en-US"/>
        </w:rPr>
        <w:t xml:space="preserve"> with a flexibility to insert the desired cost of capital.  </w:t>
      </w:r>
    </w:p>
    <w:p w:rsidR="00AC2E85" w:rsidRPr="00AC2E85" w:rsidRDefault="00145ACD" w:rsidP="008D3CCB">
      <w:pPr>
        <w:pStyle w:val="aa"/>
        <w:numPr>
          <w:ilvl w:val="0"/>
          <w:numId w:val="30"/>
        </w:numPr>
        <w:spacing w:line="360" w:lineRule="auto"/>
        <w:jc w:val="both"/>
        <w:rPr>
          <w:lang w:val="en-US"/>
        </w:rPr>
      </w:pPr>
      <w:r w:rsidRPr="007E2FFA">
        <w:rPr>
          <w:b/>
          <w:i/>
          <w:lang w:val="en-US"/>
        </w:rPr>
        <w:t>Exit multiple.</w:t>
      </w:r>
      <w:r w:rsidRPr="00CC0C04">
        <w:rPr>
          <w:i/>
          <w:lang w:val="en-US"/>
        </w:rPr>
        <w:t xml:space="preserve"> </w:t>
      </w:r>
      <w:r w:rsidR="00CC0C04" w:rsidRPr="00CC0C04">
        <w:rPr>
          <w:rFonts w:cs="Times New Roman"/>
          <w:szCs w:val="24"/>
          <w:lang w:val="en-US"/>
        </w:rPr>
        <w:t xml:space="preserve">When building an LBO-model, analysts assume that at the exit the company </w:t>
      </w:r>
      <w:proofErr w:type="gramStart"/>
      <w:r w:rsidR="00CC0C04" w:rsidRPr="00CC0C04">
        <w:rPr>
          <w:rFonts w:cs="Times New Roman"/>
          <w:szCs w:val="24"/>
          <w:lang w:val="en-US"/>
        </w:rPr>
        <w:t>will be sold</w:t>
      </w:r>
      <w:proofErr w:type="gramEnd"/>
      <w:r w:rsidR="00CC0C04" w:rsidRPr="00CC0C04">
        <w:rPr>
          <w:rFonts w:cs="Times New Roman"/>
          <w:szCs w:val="24"/>
          <w:lang w:val="en-US"/>
        </w:rPr>
        <w:t xml:space="preserve"> at least with the same multiple as it was purchased. Private equity investors usually exit their investment by selling the acquired company to new investors or listing it on a stock exchange in an initial public offering after a few years. The final cash flow to the private equity sponsor equals the exit enterprise value less net debt in the exit year T. Most financial analysts use average EV/EBITDA exit multiples of a comparable peer group of companies to determine the </w:t>
      </w:r>
      <w:r w:rsidR="004F6E67" w:rsidRPr="00CC0C04">
        <w:rPr>
          <w:rFonts w:cs="Times New Roman"/>
          <w:szCs w:val="24"/>
          <w:lang w:val="en-US"/>
        </w:rPr>
        <w:t>ex-ante</w:t>
      </w:r>
      <w:r w:rsidR="00CC0C04" w:rsidRPr="00CC0C04">
        <w:rPr>
          <w:rFonts w:cs="Times New Roman"/>
          <w:szCs w:val="24"/>
          <w:lang w:val="en-US"/>
        </w:rPr>
        <w:t xml:space="preserve"> unknown enterprise value EV of a potential buyout candidate j at the exit date T:</w:t>
      </w:r>
      <w:r w:rsidR="00CC0C04">
        <w:rPr>
          <w:rStyle w:val="a9"/>
          <w:rFonts w:cs="Times New Roman"/>
          <w:szCs w:val="24"/>
          <w:lang w:val="en-US"/>
        </w:rPr>
        <w:footnoteReference w:id="47"/>
      </w:r>
    </w:p>
    <w:p w:rsidR="00AC2E85" w:rsidRDefault="00AC2E85" w:rsidP="00AC2E85">
      <w:pPr>
        <w:pStyle w:val="aa"/>
        <w:spacing w:line="360" w:lineRule="auto"/>
        <w:jc w:val="center"/>
        <w:rPr>
          <w:lang w:val="en-US"/>
        </w:rPr>
      </w:pPr>
      <w:r>
        <w:rPr>
          <w:noProof/>
          <w:lang w:eastAsia="ru-RU"/>
        </w:rPr>
        <w:drawing>
          <wp:inline distT="0" distB="0" distL="0" distR="0" wp14:anchorId="785CF11A" wp14:editId="209A7D84">
            <wp:extent cx="2711450" cy="6273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1450" cy="627380"/>
                    </a:xfrm>
                    <a:prstGeom prst="rect">
                      <a:avLst/>
                    </a:prstGeom>
                    <a:noFill/>
                    <a:ln>
                      <a:noFill/>
                    </a:ln>
                  </pic:spPr>
                </pic:pic>
              </a:graphicData>
            </a:graphic>
          </wp:inline>
        </w:drawing>
      </w:r>
    </w:p>
    <w:p w:rsidR="00AC2E85" w:rsidRPr="00AC2E85" w:rsidRDefault="00AC2E85" w:rsidP="00CF52DB">
      <w:pPr>
        <w:pStyle w:val="aa"/>
        <w:spacing w:line="360" w:lineRule="auto"/>
        <w:jc w:val="center"/>
        <w:rPr>
          <w:lang w:val="en-US"/>
        </w:rPr>
      </w:pPr>
      <w:r w:rsidRPr="003D7CBA">
        <w:rPr>
          <w:i/>
          <w:lang w:val="en-US"/>
        </w:rPr>
        <w:t xml:space="preserve">Formula </w:t>
      </w:r>
      <w:proofErr w:type="gramStart"/>
      <w:r w:rsidRPr="003D7CBA">
        <w:rPr>
          <w:i/>
          <w:lang w:val="en-US"/>
        </w:rPr>
        <w:t>3</w:t>
      </w:r>
      <w:proofErr w:type="gramEnd"/>
      <w:r>
        <w:rPr>
          <w:lang w:val="en-US"/>
        </w:rPr>
        <w:t>. Identifying exit multiple</w:t>
      </w:r>
    </w:p>
    <w:p w:rsidR="003D7CBA" w:rsidRPr="00EF0ED4" w:rsidRDefault="00CC0C04" w:rsidP="00E80A0A">
      <w:pPr>
        <w:pStyle w:val="a5"/>
        <w:spacing w:line="360" w:lineRule="auto"/>
        <w:jc w:val="both"/>
        <w:rPr>
          <w:lang w:val="en-US"/>
        </w:rPr>
      </w:pPr>
      <w:r w:rsidRPr="00AC2E85">
        <w:rPr>
          <w:lang w:val="en-US"/>
        </w:rPr>
        <w:t>The choice of the exit multiple is highly subjective. Like other valuation multiples, EV/EBITDA multiples expand and compress over time. Some financial analysts use long-term historic average EV/EBITDA multiples, some apply current multiples to calculate the exit enterprise value. Financial analysts can apply company specific or in</w:t>
      </w:r>
      <w:r w:rsidR="00EF0ED4">
        <w:rPr>
          <w:lang w:val="en-US"/>
        </w:rPr>
        <w:t xml:space="preserve">dustry specific exit multiples. </w:t>
      </w:r>
      <w:r w:rsidR="003D7CBA" w:rsidRPr="00EF0ED4">
        <w:rPr>
          <w:lang w:val="en-US"/>
        </w:rPr>
        <w:t xml:space="preserve">LBO-screener </w:t>
      </w:r>
      <w:proofErr w:type="gramStart"/>
      <w:r w:rsidR="003D7CBA" w:rsidRPr="00EF0ED4">
        <w:rPr>
          <w:lang w:val="en-US"/>
        </w:rPr>
        <w:t>is designed</w:t>
      </w:r>
      <w:proofErr w:type="gramEnd"/>
      <w:r w:rsidR="003D7CBA" w:rsidRPr="00EF0ED4">
        <w:rPr>
          <w:lang w:val="en-US"/>
        </w:rPr>
        <w:t xml:space="preserve"> in a way that it gives an opportunity to choose the exit multiple assumption from the drop down list. The available options are</w:t>
      </w:r>
      <w:r w:rsidR="00CF52DB">
        <w:rPr>
          <w:lang w:val="en-US"/>
        </w:rPr>
        <w:t xml:space="preserve"> (10)</w:t>
      </w:r>
      <w:r w:rsidR="003D7CBA" w:rsidRPr="00EF0ED4">
        <w:rPr>
          <w:lang w:val="en-US"/>
        </w:rPr>
        <w:t>:</w:t>
      </w:r>
    </w:p>
    <w:p w:rsidR="003D7CBA" w:rsidRDefault="003D7CBA" w:rsidP="008D3CCB">
      <w:pPr>
        <w:pStyle w:val="a5"/>
        <w:numPr>
          <w:ilvl w:val="0"/>
          <w:numId w:val="31"/>
        </w:numPr>
        <w:spacing w:line="360" w:lineRule="auto"/>
        <w:rPr>
          <w:lang w:val="en-US"/>
        </w:rPr>
      </w:pPr>
      <w:r>
        <w:rPr>
          <w:lang w:val="en-US"/>
        </w:rPr>
        <w:t xml:space="preserve">Industry forward EV/EBITDA; </w:t>
      </w:r>
    </w:p>
    <w:p w:rsidR="003D7CBA" w:rsidRDefault="003D7CBA" w:rsidP="008D3CCB">
      <w:pPr>
        <w:pStyle w:val="a5"/>
        <w:numPr>
          <w:ilvl w:val="0"/>
          <w:numId w:val="31"/>
        </w:numPr>
        <w:spacing w:line="360" w:lineRule="auto"/>
        <w:rPr>
          <w:lang w:val="en-US"/>
        </w:rPr>
      </w:pPr>
      <w:r>
        <w:rPr>
          <w:lang w:val="en-US"/>
        </w:rPr>
        <w:t>Company historical EV/EBITDA (3 years);</w:t>
      </w:r>
    </w:p>
    <w:p w:rsidR="00CF52DB" w:rsidRDefault="003D7CBA" w:rsidP="008D3CCB">
      <w:pPr>
        <w:pStyle w:val="a5"/>
        <w:numPr>
          <w:ilvl w:val="0"/>
          <w:numId w:val="31"/>
        </w:numPr>
        <w:spacing w:line="360" w:lineRule="auto"/>
        <w:rPr>
          <w:lang w:val="en-US"/>
        </w:rPr>
      </w:pPr>
      <w:r>
        <w:rPr>
          <w:lang w:val="en-US"/>
        </w:rPr>
        <w:t>Other EV/EBITDA multiple.</w:t>
      </w:r>
    </w:p>
    <w:p w:rsidR="00E80A0A" w:rsidRDefault="00E80A0A" w:rsidP="00E80A0A">
      <w:pPr>
        <w:pStyle w:val="a5"/>
        <w:spacing w:line="360" w:lineRule="auto"/>
        <w:ind w:left="360"/>
        <w:jc w:val="center"/>
        <w:rPr>
          <w:lang w:val="en-US"/>
        </w:rPr>
      </w:pPr>
      <w:r>
        <w:rPr>
          <w:noProof/>
          <w:lang w:eastAsia="ru-RU"/>
        </w:rPr>
        <w:lastRenderedPageBreak/>
        <w:drawing>
          <wp:inline distT="0" distB="0" distL="0" distR="0" wp14:anchorId="46FAEA06" wp14:editId="076A4159">
            <wp:extent cx="2562225" cy="2826713"/>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5762" cy="2830615"/>
                    </a:xfrm>
                    <a:prstGeom prst="rect">
                      <a:avLst/>
                    </a:prstGeom>
                  </pic:spPr>
                </pic:pic>
              </a:graphicData>
            </a:graphic>
          </wp:inline>
        </w:drawing>
      </w:r>
    </w:p>
    <w:p w:rsidR="00E80A0A" w:rsidRDefault="00E80A0A" w:rsidP="00E80A0A">
      <w:pPr>
        <w:pStyle w:val="a5"/>
        <w:spacing w:line="360" w:lineRule="auto"/>
        <w:ind w:left="360"/>
        <w:jc w:val="center"/>
        <w:rPr>
          <w:lang w:val="en-US"/>
        </w:rPr>
      </w:pPr>
      <w:r>
        <w:rPr>
          <w:lang w:val="en-US"/>
        </w:rPr>
        <w:t>Pic</w:t>
      </w:r>
      <w:r w:rsidR="007572E2">
        <w:rPr>
          <w:lang w:val="en-US"/>
        </w:rPr>
        <w:t xml:space="preserve"> 7</w:t>
      </w:r>
      <w:r>
        <w:rPr>
          <w:lang w:val="en-US"/>
        </w:rPr>
        <w:t xml:space="preserve">. Exit multiple assumption </w:t>
      </w:r>
    </w:p>
    <w:p w:rsidR="00E80A0A" w:rsidRDefault="00CF52DB" w:rsidP="00897905">
      <w:pPr>
        <w:pStyle w:val="a5"/>
        <w:spacing w:line="360" w:lineRule="auto"/>
        <w:ind w:firstLine="360"/>
        <w:jc w:val="both"/>
        <w:rPr>
          <w:lang w:val="en-US"/>
        </w:rPr>
      </w:pPr>
      <w:r>
        <w:rPr>
          <w:lang w:val="en-US"/>
        </w:rPr>
        <w:t xml:space="preserve">The second group of transaction assumptions is operational assumptions (4). They consist of three types of assumptions in their turn: sales growth (11), EBITDA margin (12), </w:t>
      </w:r>
      <w:proofErr w:type="gramStart"/>
      <w:r>
        <w:rPr>
          <w:lang w:val="en-US"/>
        </w:rPr>
        <w:t>CAPEX</w:t>
      </w:r>
      <w:proofErr w:type="gramEnd"/>
      <w:r>
        <w:rPr>
          <w:lang w:val="en-US"/>
        </w:rPr>
        <w:t xml:space="preserve"> growth (13). </w:t>
      </w:r>
      <w:r w:rsidR="009316EC">
        <w:rPr>
          <w:lang w:val="en-US"/>
        </w:rPr>
        <w:t>The chosen drivers are core, to be included in IRR calculation</w:t>
      </w:r>
      <w:r w:rsidR="00C7023F">
        <w:rPr>
          <w:lang w:val="en-US"/>
        </w:rPr>
        <w:t xml:space="preserve">. These items </w:t>
      </w:r>
      <w:proofErr w:type="gramStart"/>
      <w:r w:rsidR="00C7023F">
        <w:rPr>
          <w:lang w:val="en-US"/>
        </w:rPr>
        <w:t>can be forecasted</w:t>
      </w:r>
      <w:proofErr w:type="gramEnd"/>
      <w:r w:rsidR="00C7023F">
        <w:rPr>
          <w:lang w:val="en-US"/>
        </w:rPr>
        <w:t xml:space="preserve"> in a multiple ways</w:t>
      </w:r>
      <w:r w:rsidR="00897905">
        <w:rPr>
          <w:lang w:val="en-US"/>
        </w:rPr>
        <w:t xml:space="preserve"> (14)</w:t>
      </w:r>
      <w:r w:rsidR="00C7023F">
        <w:rPr>
          <w:lang w:val="en-US"/>
        </w:rPr>
        <w:t>. The drop down list gives an opportunity to choose one of the following options: Industry average</w:t>
      </w:r>
      <w:r w:rsidR="00897905">
        <w:rPr>
          <w:lang w:val="en-US"/>
        </w:rPr>
        <w:t xml:space="preserve"> (15)</w:t>
      </w:r>
      <w:r w:rsidR="00C7023F">
        <w:rPr>
          <w:lang w:val="en-US"/>
        </w:rPr>
        <w:t>, industry minimum</w:t>
      </w:r>
      <w:r w:rsidR="00897905">
        <w:rPr>
          <w:lang w:val="en-US"/>
        </w:rPr>
        <w:t xml:space="preserve"> (16)</w:t>
      </w:r>
      <w:r w:rsidR="00C7023F">
        <w:rPr>
          <w:lang w:val="en-US"/>
        </w:rPr>
        <w:t>, industry maximum</w:t>
      </w:r>
      <w:r w:rsidR="00897905">
        <w:rPr>
          <w:lang w:val="en-US"/>
        </w:rPr>
        <w:t xml:space="preserve"> (17)</w:t>
      </w:r>
      <w:r w:rsidR="00C7023F">
        <w:rPr>
          <w:lang w:val="en-US"/>
        </w:rPr>
        <w:t>, current company forecasts</w:t>
      </w:r>
      <w:r w:rsidR="00897905">
        <w:rPr>
          <w:lang w:val="en-US"/>
        </w:rPr>
        <w:t xml:space="preserve"> (18)</w:t>
      </w:r>
      <w:r w:rsidR="00C7023F">
        <w:rPr>
          <w:lang w:val="en-US"/>
        </w:rPr>
        <w:t xml:space="preserve">. </w:t>
      </w:r>
    </w:p>
    <w:p w:rsidR="00E80A0A" w:rsidRDefault="00E80A0A" w:rsidP="00E80A0A">
      <w:pPr>
        <w:pStyle w:val="a5"/>
        <w:spacing w:line="360" w:lineRule="auto"/>
        <w:ind w:firstLine="360"/>
        <w:jc w:val="center"/>
        <w:rPr>
          <w:lang w:val="en-US"/>
        </w:rPr>
      </w:pPr>
      <w:r>
        <w:rPr>
          <w:noProof/>
          <w:lang w:eastAsia="ru-RU"/>
        </w:rPr>
        <w:drawing>
          <wp:inline distT="0" distB="0" distL="0" distR="0" wp14:anchorId="7C352D1E" wp14:editId="06A7AF41">
            <wp:extent cx="3609975" cy="31718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9975" cy="3171825"/>
                    </a:xfrm>
                    <a:prstGeom prst="rect">
                      <a:avLst/>
                    </a:prstGeom>
                  </pic:spPr>
                </pic:pic>
              </a:graphicData>
            </a:graphic>
          </wp:inline>
        </w:drawing>
      </w:r>
    </w:p>
    <w:p w:rsidR="00E80A0A" w:rsidRDefault="00E80A0A" w:rsidP="00E80A0A">
      <w:pPr>
        <w:pStyle w:val="a5"/>
        <w:spacing w:line="360" w:lineRule="auto"/>
        <w:ind w:firstLine="360"/>
        <w:jc w:val="center"/>
        <w:rPr>
          <w:lang w:val="en-US"/>
        </w:rPr>
      </w:pPr>
      <w:r>
        <w:rPr>
          <w:lang w:val="en-US"/>
        </w:rPr>
        <w:t>Pic</w:t>
      </w:r>
      <w:r w:rsidR="007572E2">
        <w:rPr>
          <w:lang w:val="en-US"/>
        </w:rPr>
        <w:t xml:space="preserve"> 8</w:t>
      </w:r>
      <w:r>
        <w:rPr>
          <w:lang w:val="en-US"/>
        </w:rPr>
        <w:t xml:space="preserve">. Operational assumptions </w:t>
      </w:r>
    </w:p>
    <w:p w:rsidR="00C7023F" w:rsidRDefault="00897905" w:rsidP="006415F5">
      <w:pPr>
        <w:pStyle w:val="a5"/>
        <w:spacing w:line="360" w:lineRule="auto"/>
        <w:ind w:firstLine="360"/>
        <w:jc w:val="both"/>
        <w:rPr>
          <w:lang w:val="en-US"/>
        </w:rPr>
      </w:pPr>
      <w:r w:rsidRPr="00897905">
        <w:rPr>
          <w:lang w:val="en-US"/>
        </w:rPr>
        <w:t xml:space="preserve">It is important to note here that the </w:t>
      </w:r>
      <w:r>
        <w:rPr>
          <w:lang w:val="en-US"/>
        </w:rPr>
        <w:t>projection</w:t>
      </w:r>
      <w:r w:rsidRPr="00897905">
        <w:rPr>
          <w:lang w:val="en-US"/>
        </w:rPr>
        <w:t xml:space="preserve"> of the future financial </w:t>
      </w:r>
      <w:r>
        <w:rPr>
          <w:lang w:val="en-US"/>
        </w:rPr>
        <w:t>performance</w:t>
      </w:r>
      <w:r w:rsidRPr="00897905">
        <w:rPr>
          <w:lang w:val="en-US"/>
        </w:rPr>
        <w:t xml:space="preserve"> of the company depends on the effectiveness of the management measures of the PE Fund, aimed at increasing the value of the company. Forecasting the financial position of the company is relevant </w:t>
      </w:r>
      <w:r w:rsidRPr="00897905">
        <w:rPr>
          <w:lang w:val="en-US"/>
        </w:rPr>
        <w:lastRenderedPageBreak/>
        <w:t xml:space="preserve">specifically from the point of view of these aggressive measures, and not from the point of view of the basic functioning of the company and not from status quo. </w:t>
      </w:r>
      <w:proofErr w:type="gramStart"/>
      <w:r w:rsidRPr="00897905">
        <w:rPr>
          <w:lang w:val="en-US"/>
        </w:rPr>
        <w:t>Since we do not know these measures in advance, and since the goal of this work is not the development of measures to increase the cash flows of the target</w:t>
      </w:r>
      <w:r w:rsidR="006415F5">
        <w:rPr>
          <w:lang w:val="en-US"/>
        </w:rPr>
        <w:t>s</w:t>
      </w:r>
      <w:r w:rsidRPr="00897905">
        <w:rPr>
          <w:lang w:val="en-US"/>
        </w:rPr>
        <w:t>, is this work all projections are made based on the assumption that during the holding period the companies will demonstrate operational performance at least on the same levels as before LBO.</w:t>
      </w:r>
      <w:proofErr w:type="gramEnd"/>
      <w:r w:rsidR="006415F5">
        <w:rPr>
          <w:lang w:val="en-US"/>
        </w:rPr>
        <w:t xml:space="preserve"> Individual current forecasts of the companies have to be </w:t>
      </w:r>
      <w:proofErr w:type="gramStart"/>
      <w:r w:rsidR="006415F5">
        <w:rPr>
          <w:lang w:val="en-US"/>
        </w:rPr>
        <w:t>collected</w:t>
      </w:r>
      <w:proofErr w:type="gramEnd"/>
      <w:r w:rsidR="006415F5">
        <w:rPr>
          <w:lang w:val="en-US"/>
        </w:rPr>
        <w:t xml:space="preserve"> as well and linked to the company database mentioned before. </w:t>
      </w:r>
    </w:p>
    <w:p w:rsidR="006C6A55" w:rsidRDefault="00183C7E" w:rsidP="0069799C">
      <w:pPr>
        <w:pStyle w:val="a5"/>
        <w:spacing w:line="360" w:lineRule="auto"/>
        <w:ind w:firstLine="360"/>
        <w:jc w:val="both"/>
        <w:rPr>
          <w:lang w:val="en-US"/>
        </w:rPr>
      </w:pPr>
      <w:r>
        <w:rPr>
          <w:lang w:val="en-US"/>
        </w:rPr>
        <w:tab/>
      </w:r>
      <w:r w:rsidR="00D71B3A">
        <w:rPr>
          <w:lang w:val="en-US"/>
        </w:rPr>
        <w:t>After deal assumptions are set (18) and the transaction assumptions are set (19)</w:t>
      </w:r>
      <w:r w:rsidR="00084BE9">
        <w:rPr>
          <w:lang w:val="en-US"/>
        </w:rPr>
        <w:t xml:space="preserve">, the screener </w:t>
      </w:r>
      <w:proofErr w:type="gramStart"/>
      <w:r w:rsidR="00084BE9">
        <w:rPr>
          <w:lang w:val="en-US"/>
        </w:rPr>
        <w:t>should be run</w:t>
      </w:r>
      <w:proofErr w:type="gramEnd"/>
      <w:r w:rsidR="00084BE9">
        <w:rPr>
          <w:lang w:val="en-US"/>
        </w:rPr>
        <w:t xml:space="preserve">. It will calculate </w:t>
      </w:r>
      <w:r w:rsidR="00084BE9" w:rsidRPr="00084BE9">
        <w:rPr>
          <w:lang w:val="en-US"/>
        </w:rPr>
        <w:t xml:space="preserve">implied investor rate of return under </w:t>
      </w:r>
      <w:r w:rsidR="00084BE9">
        <w:rPr>
          <w:lang w:val="en-US"/>
        </w:rPr>
        <w:t xml:space="preserve">the chosen </w:t>
      </w:r>
      <w:r w:rsidR="00084BE9" w:rsidRPr="00084BE9">
        <w:rPr>
          <w:lang w:val="en-US"/>
        </w:rPr>
        <w:t>assumption</w:t>
      </w:r>
      <w:r w:rsidR="00084BE9">
        <w:rPr>
          <w:lang w:val="en-US"/>
        </w:rPr>
        <w:t>s (20)</w:t>
      </w:r>
      <w:r w:rsidR="00084BE9" w:rsidRPr="00084BE9">
        <w:rPr>
          <w:lang w:val="en-US"/>
        </w:rPr>
        <w:t xml:space="preserve"> and</w:t>
      </w:r>
      <w:r w:rsidR="00084BE9">
        <w:rPr>
          <w:lang w:val="en-US"/>
        </w:rPr>
        <w:t xml:space="preserve"> then rank the companies by IRR (21). </w:t>
      </w:r>
      <w:r w:rsidR="007D59F1">
        <w:rPr>
          <w:lang w:val="en-US"/>
        </w:rPr>
        <w:t xml:space="preserve">Along with IRR, LBO-screener will put out key characteristics of the analyzed companies: company, its industry, current rating, </w:t>
      </w:r>
      <w:r w:rsidR="006C6A55">
        <w:rPr>
          <w:lang w:val="en-US"/>
        </w:rPr>
        <w:t>bid price, entry EV/EBITDA, exit EV/EBITDA.</w:t>
      </w:r>
      <w:r w:rsidR="0069799C">
        <w:rPr>
          <w:lang w:val="en-US"/>
        </w:rPr>
        <w:t xml:space="preserve"> The LBO-screener works based on a number of macros developed with the use of VBA programming. The exact formula used to calculate IRR is complex. It was simplified and now </w:t>
      </w:r>
      <w:proofErr w:type="gramStart"/>
      <w:r w:rsidR="0069799C">
        <w:rPr>
          <w:lang w:val="en-US"/>
        </w:rPr>
        <w:t>can be seen</w:t>
      </w:r>
      <w:proofErr w:type="gramEnd"/>
      <w:r w:rsidR="0069799C">
        <w:rPr>
          <w:lang w:val="en-US"/>
        </w:rPr>
        <w:t xml:space="preserve"> on the </w:t>
      </w:r>
      <w:r w:rsidR="006415F5">
        <w:rPr>
          <w:lang w:val="en-US"/>
        </w:rPr>
        <w:t xml:space="preserve">scheme </w:t>
      </w:r>
      <w:r w:rsidR="0069799C">
        <w:rPr>
          <w:lang w:val="en-US"/>
        </w:rPr>
        <w:t>below:</w:t>
      </w:r>
    </w:p>
    <w:p w:rsidR="00B3193B" w:rsidRDefault="00F77893" w:rsidP="00B3193B">
      <w:pPr>
        <w:ind w:hanging="1701"/>
        <w:rPr>
          <w:sz w:val="22"/>
        </w:rPr>
      </w:pPr>
      <w:r>
        <w:rPr>
          <w:noProof/>
          <w:sz w:val="22"/>
          <w:lang w:eastAsia="ru-RU"/>
        </w:rPr>
        <mc:AlternateContent>
          <mc:Choice Requires="wps">
            <w:drawing>
              <wp:anchor distT="0" distB="0" distL="114300" distR="114300" simplePos="0" relativeHeight="251700224" behindDoc="0" locked="0" layoutInCell="1" allowOverlap="1">
                <wp:simplePos x="0" y="0"/>
                <wp:positionH relativeFrom="column">
                  <wp:posOffset>2122220</wp:posOffset>
                </wp:positionH>
                <wp:positionV relativeFrom="paragraph">
                  <wp:posOffset>1908331</wp:posOffset>
                </wp:positionV>
                <wp:extent cx="325878" cy="75672"/>
                <wp:effectExtent l="0" t="0" r="0" b="635"/>
                <wp:wrapNone/>
                <wp:docPr id="134" name="Минус 134"/>
                <wp:cNvGraphicFramePr/>
                <a:graphic xmlns:a="http://schemas.openxmlformats.org/drawingml/2006/main">
                  <a:graphicData uri="http://schemas.microsoft.com/office/word/2010/wordprocessingShape">
                    <wps:wsp>
                      <wps:cNvSpPr/>
                      <wps:spPr>
                        <a:xfrm>
                          <a:off x="0" y="0"/>
                          <a:ext cx="325878" cy="7567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722F" id="Минус 134" o:spid="_x0000_s1026" style="position:absolute;margin-left:167.1pt;margin-top:150.25pt;width:25.65pt;height: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878,7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a1iAIAAEEFAAAOAAAAZHJzL2Uyb0RvYy54bWysVMFOGzEQvVfqP1i+l01CQmjEBkUgqkoU&#10;okLF2Xht1pLtcW0nm/RW9Tf6Ib30H+CPOvZuFgSoh6p78NqemeeZ5zc+Ot4YTdbCBwW2pMO9ASXC&#10;cqiUvSvpl+uzd4eUhMhsxTRYUdKtCPR4/vbNUeNmYgQ16Ep4giA2zBpX0jpGNyuKwGthWNgDJywa&#10;JXjDIi79XVF51iC60cVoMDgoGvCV88BFCLh72hrpPONLKXi8lDKISHRJMbeYR5/H2zQW8yM2u/PM&#10;1Yp3abB/yMIwZfHQHuqURUZWXr2AMop7CCDjHgdTgJSKi1wDVjMcPKvmqmZO5FqQnOB6msL/g+UX&#10;66UnqsK72x9TYpnBS7r/ef/r/vfDj4fvJO0iR40LM3S9ckvfrQJOU8Eb6U36Yylkk3nd9ryKTSQc&#10;N/dHk8MpCoGjaTo5mI4SZPEY63yIHwQYkiYlxauuPym7CplRtj4PsfXf+WFwSqhNIc/iVouUhbaf&#10;hcRy8NBRjs5CEifakzVDCTDOhY3D1lSzSrTbkwF+XVJ9RE4xAyZkqbTusTuAJNKX2G2unX8KFVmH&#10;ffDgb4m1wX1EPhls7IONsuBfA9BYVXdy678jqaUmsXQL1RYv20PbBcHxM4WEn7MQl8yj7LFBsJXj&#10;JQ5SQ1NS6GaU1OC/vbaf/FGNaKWkwTYqafi6Yl5Qoj9a1On74Xic+i4vxpPpCBf+qeX2qcWuzAng&#10;NQ3x0XA8T5N/1Lup9GBusOMX6VQ0Mcvx7JLy6HeLk9i2N74ZXCwW2Q17zbF4bq8cT+CJ1aSl680N&#10;865TXUS1XsCu5djsme5a3xRpYbGKIFUW5SOvHd/Yp1k43ZuSHoKn6+z1+PLN/wAAAP//AwBQSwME&#10;FAAGAAgAAAAhAO3K+xHfAAAACwEAAA8AAABkcnMvZG93bnJldi54bWxMj8FOwzAMhu9IvENkJG4s&#10;WbuOrTSdAIE4gcTKAW5ZY9qKxqmatBtvjznB7bP86/fnYndyvZhxDJ0nDcuFAoFUe9tRo+Gterza&#10;gAjRkDW9J9TwjQF25flZYXLrj/SK8z42gkso5EZDG+OQSxnqFp0JCz8g8e7Tj85EHsdG2tEcudz1&#10;MlFqLZ3piC+0ZsD7Fuuv/eQ0PN9t58yqJ3+9/nippqRSW/n+oPXlxen2BkTEU/wLw68+q0PJTgc/&#10;kQ2i15Cmq4SjDEplIDiRbjKGA8MyWYEsC/n/h/IHAAD//wMAUEsBAi0AFAAGAAgAAAAhALaDOJL+&#10;AAAA4QEAABMAAAAAAAAAAAAAAAAAAAAAAFtDb250ZW50X1R5cGVzXS54bWxQSwECLQAUAAYACAAA&#10;ACEAOP0h/9YAAACUAQAACwAAAAAAAAAAAAAAAAAvAQAAX3JlbHMvLnJlbHNQSwECLQAUAAYACAAA&#10;ACEAIps2tYgCAABBBQAADgAAAAAAAAAAAAAAAAAuAgAAZHJzL2Uyb0RvYy54bWxQSwECLQAUAAYA&#10;CAAAACEA7cr7Ed8AAAALAQAADwAAAAAAAAAAAAAAAADiBAAAZHJzL2Rvd25yZXYueG1sUEsFBgAA&#10;AAAEAAQA8wAAAO4FAAAAAA==&#10;" path="m43195,28937r239488,l282683,46735r-239488,l43195,28937xe" fillcolor="#5b9bd5 [3204]" strokecolor="#1f4d78 [1604]" strokeweight="1pt">
                <v:stroke joinstyle="miter"/>
                <v:path arrowok="t" o:connecttype="custom" o:connectlocs="43195,28937;282683,28937;282683,46735;43195,46735;43195,28937" o:connectangles="0,0,0,0,0"/>
              </v:shape>
            </w:pict>
          </mc:Fallback>
        </mc:AlternateContent>
      </w:r>
      <w:r w:rsidR="00B3193B">
        <w:rPr>
          <w:noProof/>
          <w:sz w:val="22"/>
          <w:lang w:eastAsia="ru-RU"/>
        </w:rPr>
        <mc:AlternateContent>
          <mc:Choice Requires="wps">
            <w:drawing>
              <wp:anchor distT="0" distB="0" distL="114300" distR="114300" simplePos="0" relativeHeight="251705344" behindDoc="0" locked="0" layoutInCell="1" allowOverlap="1">
                <wp:simplePos x="0" y="0"/>
                <wp:positionH relativeFrom="column">
                  <wp:posOffset>3143094</wp:posOffset>
                </wp:positionH>
                <wp:positionV relativeFrom="paragraph">
                  <wp:posOffset>2241039</wp:posOffset>
                </wp:positionV>
                <wp:extent cx="325878" cy="75672"/>
                <wp:effectExtent l="0" t="0" r="0" b="635"/>
                <wp:wrapNone/>
                <wp:docPr id="139" name="Минус 139"/>
                <wp:cNvGraphicFramePr/>
                <a:graphic xmlns:a="http://schemas.openxmlformats.org/drawingml/2006/main">
                  <a:graphicData uri="http://schemas.microsoft.com/office/word/2010/wordprocessingShape">
                    <wps:wsp>
                      <wps:cNvSpPr/>
                      <wps:spPr>
                        <a:xfrm>
                          <a:off x="0" y="0"/>
                          <a:ext cx="325878" cy="7567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310C" id="Минус 139" o:spid="_x0000_s1026" style="position:absolute;margin-left:247.5pt;margin-top:176.45pt;width:25.65pt;height: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878,7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JeiAIAAEEFAAAOAAAAZHJzL2Uyb0RvYy54bWysVMFOGzEQvVfqP1i+l00CIRCxQRGIqhKF&#10;qFBxNl6btWR7XNvJJr1V/EY/pJf+A/xRx97NggD1UHUPXtsz8zzz/MZHx2ujyUr4oMCWdLgzoERY&#10;DpWydyX9en324YCSEJmtmAYrSroRgR7P3r87atxUjKAGXQlPEMSGaeNKWsfopkUReC0MCzvghEWj&#10;BG9YxKW/KyrPGkQ3uhgNBvtFA75yHrgIAXdPWyOdZXwpBY+XUgYRiS4p5hbz6PN4m8ZidsSmd565&#10;WvEuDfYPWRimLB7aQ52yyMjSq1dQRnEPAWTc4WAKkFJxkWvAaoaDF9Vc1cyJXAuSE1xPU/h/sPxi&#10;tfBEVXh3u4eUWGbwkh5+Pvx6+P14//iDpF3kqHFhiq5XbuG7VcBpKngtvUl/LIWsM6+bnlexjoTj&#10;5u5ofDBBIXA0Tcb7k1GCLJ5inQ/xowBD0qSkeNX1Z2WXITPKVuchtv5bPwxOCbUp5FncaJGy0PaL&#10;kFgOHjrK0VlI4kR7smIoAca5sHHYmmpWiXZ7PMCvS6qPyClmwIQsldY9dgeQRPoau82180+hIuuw&#10;Dx78LbE2uI/IJ4ONfbBRFvxbABqr6k5u/bcktdQklm6h2uBle2i7IDh+ppDwcxbignmUPTYItnK8&#10;xEFqaEoK3YySGvz3t/aTP6oRrZQ02EYlDd+WzAtK9CeLOj0c7u2lvsuLvfFkhAv/3HL73GKX5gTw&#10;mob4aDiep8k/6u1UejA32PHzdCqamOV4dkl59NvFSWzbG98MLubz7Ia95lg8t1eOJ/DEatLS9fqG&#10;edepLqJaL2Dbcmz6Qnetb4q0MF9GkCqL8onXjm/s0yyc7k1JD8HzdfZ6evlmfwAAAP//AwBQSwME&#10;FAAGAAgAAAAhAEsls0/hAAAACwEAAA8AAABkcnMvZG93bnJldi54bWxMj0FPhDAQhe8m/odmTLy5&#10;rSzggpSNGo2nNXHZw3rr0gpEOiW0sPjvHU96fPNe3nyv2C62Z7MZfedQwu1KADNYO91hI+FQvdxs&#10;gPmgUKveoZHwbTxsy8uLQuXanfHdzPvQMCpBnysJbQhDzrmvW2OVX7nBIHmfbrQqkBwbrkd1pnLb&#10;80iIlFvVIX1o1WCeWlN/7ScrYfeYzYkWr+4u/XirpqgSGT8+S3l9tTzcAwtmCX9h+MUndCiJ6eQm&#10;1J71EuIsoS1BwjqJMmCUSOJ0DexElzTeAC8L/n9D+QMAAP//AwBQSwECLQAUAAYACAAAACEAtoM4&#10;kv4AAADhAQAAEwAAAAAAAAAAAAAAAAAAAAAAW0NvbnRlbnRfVHlwZXNdLnhtbFBLAQItABQABgAI&#10;AAAAIQA4/SH/1gAAAJQBAAALAAAAAAAAAAAAAAAAAC8BAABfcmVscy8ucmVsc1BLAQItABQABgAI&#10;AAAAIQC6fOJeiAIAAEEFAAAOAAAAAAAAAAAAAAAAAC4CAABkcnMvZTJvRG9jLnhtbFBLAQItABQA&#10;BgAIAAAAIQBLJbNP4QAAAAsBAAAPAAAAAAAAAAAAAAAAAOIEAABkcnMvZG93bnJldi54bWxQSwUG&#10;AAAAAAQABADzAAAA8AUAAAAA&#10;" path="m43195,28937r239488,l282683,46735r-239488,l43195,28937xe" fillcolor="#5b9bd5 [3204]" strokecolor="#1f4d78 [1604]" strokeweight="1pt">
                <v:stroke joinstyle="miter"/>
                <v:path arrowok="t" o:connecttype="custom" o:connectlocs="43195,28937;282683,28937;282683,46735;43195,46735;43195,28937" o:connectangles="0,0,0,0,0"/>
              </v:shape>
            </w:pict>
          </mc:Fallback>
        </mc:AlternateContent>
      </w:r>
      <w:r w:rsidR="00B3193B">
        <w:rPr>
          <w:noProof/>
          <w:sz w:val="22"/>
          <w:lang w:eastAsia="ru-RU"/>
        </w:rPr>
        <mc:AlternateContent>
          <mc:Choice Requires="wps">
            <w:drawing>
              <wp:anchor distT="0" distB="0" distL="114300" distR="114300" simplePos="0" relativeHeight="251701248" behindDoc="0" locked="0" layoutInCell="1" allowOverlap="1">
                <wp:simplePos x="0" y="0"/>
                <wp:positionH relativeFrom="column">
                  <wp:posOffset>3147283</wp:posOffset>
                </wp:positionH>
                <wp:positionV relativeFrom="paragraph">
                  <wp:posOffset>214399</wp:posOffset>
                </wp:positionV>
                <wp:extent cx="219693" cy="189485"/>
                <wp:effectExtent l="0" t="0" r="9525" b="1270"/>
                <wp:wrapNone/>
                <wp:docPr id="135" name="Плюс 135"/>
                <wp:cNvGraphicFramePr/>
                <a:graphic xmlns:a="http://schemas.openxmlformats.org/drawingml/2006/main">
                  <a:graphicData uri="http://schemas.microsoft.com/office/word/2010/wordprocessingShape">
                    <wps:wsp>
                      <wps:cNvSpPr/>
                      <wps:spPr>
                        <a:xfrm>
                          <a:off x="0" y="0"/>
                          <a:ext cx="219693" cy="189485"/>
                        </a:xfrm>
                        <a:prstGeom prst="mathPlus">
                          <a:avLst>
                            <a:gd name="adj1" fmla="val 113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BDE8" id="Плюс 135" o:spid="_x0000_s1026" style="position:absolute;margin-left:247.8pt;margin-top:16.9pt;width:17.3pt;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693,18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QdnAIAAGwFAAAOAAAAZHJzL2Uyb0RvYy54bWysVMFu2zAMvQ/YPwi6r47TtEuCOEXQosOA&#10;og3WDj2rslR7kERNUuJkt/3AfmEfsp9o/2iU7DjBWuwwLAeHFMlH8onU7GyjFVkL52swBc2PBpQI&#10;w6GszWNBP99dvhtT4gMzJVNgREG3wtOz+ds3s8ZOxRAqUKVwBEGMnza2oFUIdpplnldCM38EVhg0&#10;SnCaBVTdY1Y61iC6VtlwMDjNGnCldcCF93h60RrpPOFLKXi4kdKLQFRBsbaQvi59H+I3m8/Y9NEx&#10;W9W8K4P9QxWa1QaT9lAXLDCycvULKF1zBx5kOOKgM5Cy5iL1gN3kgz+6ua2YFakXJMfbnib//2D5&#10;9XrpSF3i3R2fUGKYxkt6+vn06/nH83cSz5ChxvopOt7apes0j2JsdyOdjv/YCNkkVrc9q2ITCMfD&#10;YT45nRxTwtGUjyejccLM9sHW+fBBgCZRKCjedLVUK5/4ZOsrHxKxZVccK7/klEit8J7WTJE8P56M&#10;YpWI2HmjtMPE41h9W2+SwlaJCKjMJyGx81hhSpVmTpwrRxC2oIxzYULemipWivb4ZIC/Ll0fkZIn&#10;wIgsa6V67A4gzvNL7Lbqzj+GijSyffDgb4W1wX1Eygwm9MG6NuBeA1DYVZe59d+R1FITWXqAcotz&#10;4aBdGG/5ZY2Xc8V8WDKHzOMu4daHG/xIBU1BoZMoqcB9e+08+uPgopWSBjeuoP7rijlBifpocKQn&#10;+WgUVzQpo5P3Q1TcoeXh0GJW+hzwmnAWsLokRv+gdqJ0oO/xcVjErGhihmPugvLgdsp5aF8CfF64&#10;WCySG66lZeHK3FoewSOrcZbuNvfM2W5CA472Ney2sxu7ltG9b4w0sFgFkHWIxj2vnYIrnQane37i&#10;m3GoJ6/9Izn/DQAA//8DAFBLAwQUAAYACAAAACEACpexI98AAAAJAQAADwAAAGRycy9kb3ducmV2&#10;LnhtbEyPQU+DQBCF7yb+h82YeLNLoSUtZWiMxmi8NKIXb1MYgcjOEnZp0V/vetLjZL689718P5te&#10;nXh0nRWE5SICxVLZupMG4e314WYDynmSmnorjPDFDvbF5UVOWW3P8sKn0jcqhIjLCKH1fsi0dlXL&#10;htzCDizh92FHQz6cY6Prkc4h3PQ6jqJUG+okNLQ08F3L1Wc5GYRuIzQsH8v46X1VfT/z/YGm+YB4&#10;fTXf7kB5nv0fDL/6QR2K4HS0k9RO9Qir7ToNKEKShAkBWCdRDOqIkCYp6CLX/xcUPwAAAP//AwBQ&#10;SwECLQAUAAYACAAAACEAtoM4kv4AAADhAQAAEwAAAAAAAAAAAAAAAAAAAAAAW0NvbnRlbnRfVHlw&#10;ZXNdLnhtbFBLAQItABQABgAIAAAAIQA4/SH/1gAAAJQBAAALAAAAAAAAAAAAAAAAAC8BAABfcmVs&#10;cy8ucmVsc1BLAQItABQABgAIAAAAIQAJq0QdnAIAAGwFAAAOAAAAAAAAAAAAAAAAAC4CAABkcnMv&#10;ZTJvRG9jLnhtbFBLAQItABQABgAIAAAAIQAKl7Ej3wAAAAkBAAAPAAAAAAAAAAAAAAAAAPYEAABk&#10;cnMvZG93bnJldi54bWxQSwUGAAAAAAQABADzAAAAAgYAAAAA&#10;" path="m29120,83948r69932,l99052,25116r21589,l120641,83948r69932,l190573,105537r-69932,l120641,164369r-21589,l99052,105537r-69932,l29120,83948xe" fillcolor="#5b9bd5 [3204]" strokecolor="#1f4d78 [1604]" strokeweight="1pt">
                <v:stroke joinstyle="miter"/>
                <v:path arrowok="t" o:connecttype="custom" o:connectlocs="29120,83948;99052,83948;99052,25116;120641,25116;120641,83948;190573,83948;190573,105537;120641,105537;120641,164369;99052,164369;99052,105537;29120,105537;29120,83948" o:connectangles="0,0,0,0,0,0,0,0,0,0,0,0,0"/>
              </v:shape>
            </w:pict>
          </mc:Fallback>
        </mc:AlternateContent>
      </w:r>
      <w:r w:rsidR="00B3193B">
        <w:rPr>
          <w:noProof/>
          <w:sz w:val="22"/>
          <w:lang w:eastAsia="ru-RU"/>
        </w:rPr>
        <mc:AlternateContent>
          <mc:Choice Requires="wps">
            <w:drawing>
              <wp:anchor distT="0" distB="0" distL="114300" distR="114300" simplePos="0" relativeHeight="251704320" behindDoc="0" locked="0" layoutInCell="1" allowOverlap="1">
                <wp:simplePos x="0" y="0"/>
                <wp:positionH relativeFrom="column">
                  <wp:posOffset>3135440</wp:posOffset>
                </wp:positionH>
                <wp:positionV relativeFrom="paragraph">
                  <wp:posOffset>1503045</wp:posOffset>
                </wp:positionV>
                <wp:extent cx="219693" cy="196808"/>
                <wp:effectExtent l="0" t="0" r="0" b="0"/>
                <wp:wrapNone/>
                <wp:docPr id="138" name="Умножение 138"/>
                <wp:cNvGraphicFramePr/>
                <a:graphic xmlns:a="http://schemas.openxmlformats.org/drawingml/2006/main">
                  <a:graphicData uri="http://schemas.microsoft.com/office/word/2010/wordprocessingShape">
                    <wps:wsp>
                      <wps:cNvSpPr/>
                      <wps:spPr>
                        <a:xfrm>
                          <a:off x="0" y="0"/>
                          <a:ext cx="219693" cy="196808"/>
                        </a:xfrm>
                        <a:prstGeom prst="mathMultiply">
                          <a:avLst>
                            <a:gd name="adj1" fmla="val 119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1036A" id="Умножение 138" o:spid="_x0000_s1026" style="position:absolute;margin-left:246.9pt;margin-top:118.35pt;width:17.3pt;height: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9693,19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crpQIAAHoFAAAOAAAAZHJzL2Uyb0RvYy54bWysVM1u2zAMvg/YOwi6r7bT3wRxiqBFhwFd&#10;W6wdelZkqdagv0lKnOx19gwddtj2DH6kUbLjFGuxwzAfZEokP5KfSE1P10qiFXNeGF3iYi/HiGlq&#10;KqEfSvzx7uLNCUY+EF0RaTQr8YZ5fDp7/Wra2AkbmdrIijkEINpPGlviOgQ7yTJPa6aI3zOWaVBy&#10;4xQJsHUPWeVIA+hKZqM8P8oa4yrrDGXew+l5p8SzhM85o+Gac88CkiWG3EJaXVoXcc1mUzJ5cMTW&#10;gvZpkH/IQhGhIegAdU4CQUsnnkEpQZ3xhoc9alRmOBeUpRqgmiL/o5rbmliWagFyvB1o8v8Pll6t&#10;bhwSFdzdPlyVJgouqf3a/mh/tr/ab+0j/L+3jyhqgavG+gm43Nob1+88iLHwNXcq/qEktE78bgZ+&#10;2TogCoejYnw03seIggrEkzxhZjtn63x4y4xCUSgx3Hn9fimDsHKT2CWrSx8SzVWfKqk+FRhxJeHW&#10;VkSiohgfj2KmgNpbg7TFheNYQZdzksJGsggo9QfGgYeYZQqVOpCdSYcAtsSEUqZD0alqUrHu+DCH&#10;rw83eKTgCTAicyHlgN0DxO5+jt1l3dtHV5YaeHDO/5ZY5zx4pMhGh8FZCW3cSwASquojd/Zbkjpq&#10;IksLU22gS5zpxsdbeiHggi6JDzfEAfMwWfAGhGtYuDRNiU0vYVQb9+Wl82gPbQxajBqYvxL7z0vi&#10;GEbynYYGHxcHB3Fg0+bg8HgEG/dUs3iq0Ut1ZuCaoBcguyRG+yC3IndG3cNTMY9RQUU0hdglpsFt&#10;N2ehexfgsaFsPk9mMKSWhEt9a2kEj6zGXrpb3xNn+y4N0N5XZjurfdt1jO5so6c282UwXISo3PHa&#10;b2DAU+P0j1F8QZ7uk9XuyZz9BgAA//8DAFBLAwQUAAYACAAAACEALhCF9uAAAAALAQAADwAAAGRy&#10;cy9kb3ducmV2LnhtbEyPzU7DMBCE70i8g7VIXBB1moYkhDgVouqd/iCubrwkEfE6it02eXuWExx3&#10;djTzTbmebC8uOPrOkYLlIgKBVDvTUaPgeNg+5iB80GR07wgVzOhhXd3elLow7ko7vOxDIziEfKEV&#10;tCEMhZS+btFqv3ADEv++3Gh14HNspBn1lcNtL+MoSqXVHXFDqwd8a7H+3p+tApnXy/n4/hkOrk4S&#10;t003D/PHRqn7u+n1BUTAKfyZ4Ref0aFippM7k/GiV5A8rxg9KIhXaQaCHU9xnoA4sZJmGciqlP83&#10;VD8AAAD//wMAUEsBAi0AFAAGAAgAAAAhALaDOJL+AAAA4QEAABMAAAAAAAAAAAAAAAAAAAAAAFtD&#10;b250ZW50X1R5cGVzXS54bWxQSwECLQAUAAYACAAAACEAOP0h/9YAAACUAQAACwAAAAAAAAAAAAAA&#10;AAAvAQAAX3JlbHMvLnJlbHNQSwECLQAUAAYACAAAACEA4VcnK6UCAAB6BQAADgAAAAAAAAAAAAAA&#10;AAAuAgAAZHJzL2Uyb0RvYy54bWxQSwECLQAUAAYACAAAACEALhCF9uAAAAALAQAADwAAAAAAAAAA&#10;AAAAAAD/BAAAZHJzL2Rvd25yZXYueG1sUEsFBgAAAAAEAAQA8wAAAAwGAAAAAA==&#10;" path="m44904,56043l60626,38494r49221,44093l159067,38494r15722,17549l127503,98404r47286,42361l159067,158314,109847,114221,60626,158314,44904,140765,92190,98404,44904,56043xe" fillcolor="#5b9bd5 [3204]" strokecolor="#1f4d78 [1604]" strokeweight="1pt">
                <v:stroke joinstyle="miter"/>
                <v:path arrowok="t" o:connecttype="custom" o:connectlocs="44904,56043;60626,38494;109847,82587;159067,38494;174789,56043;127503,98404;174789,140765;159067,158314;109847,114221;60626,158314;44904,140765;92190,98404;44904,56043" o:connectangles="0,0,0,0,0,0,0,0,0,0,0,0,0"/>
              </v:shape>
            </w:pict>
          </mc:Fallback>
        </mc:AlternateContent>
      </w:r>
      <w:r w:rsidR="00B3193B">
        <w:rPr>
          <w:noProof/>
          <w:sz w:val="22"/>
          <w:lang w:eastAsia="ru-RU"/>
        </w:rPr>
        <mc:AlternateContent>
          <mc:Choice Requires="wps">
            <w:drawing>
              <wp:anchor distT="0" distB="0" distL="114300" distR="114300" simplePos="0" relativeHeight="251702272" behindDoc="0" locked="0" layoutInCell="1" allowOverlap="1">
                <wp:simplePos x="0" y="0"/>
                <wp:positionH relativeFrom="column">
                  <wp:posOffset>3147283</wp:posOffset>
                </wp:positionH>
                <wp:positionV relativeFrom="paragraph">
                  <wp:posOffset>852137</wp:posOffset>
                </wp:positionV>
                <wp:extent cx="219693" cy="196808"/>
                <wp:effectExtent l="0" t="0" r="0" b="0"/>
                <wp:wrapNone/>
                <wp:docPr id="136" name="Умножение 136"/>
                <wp:cNvGraphicFramePr/>
                <a:graphic xmlns:a="http://schemas.openxmlformats.org/drawingml/2006/main">
                  <a:graphicData uri="http://schemas.microsoft.com/office/word/2010/wordprocessingShape">
                    <wps:wsp>
                      <wps:cNvSpPr/>
                      <wps:spPr>
                        <a:xfrm>
                          <a:off x="0" y="0"/>
                          <a:ext cx="219693" cy="196808"/>
                        </a:xfrm>
                        <a:prstGeom prst="mathMultiply">
                          <a:avLst>
                            <a:gd name="adj1" fmla="val 119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E7EE14" id="Умножение 136" o:spid="_x0000_s1026" style="position:absolute;margin-left:247.8pt;margin-top:67.1pt;width:17.3pt;height: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9693,19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4kpwIAAHoFAAAOAAAAZHJzL2Uyb0RvYy54bWysVM1u2zAMvg/YOwi6r7bT3wRxiqBFhwFd&#10;W6wdelZkqfagv0lKnOx19gwddtj2DH6kUbLiFGuxwzAfZFIkP5KfKE1P11KgFbOu0arExV6OEVNU&#10;V416KPHHu4s3Jxg5T1RFhFasxBvm8Ons9atpayZspGstKmYRgCg3aU2Ja+/NJMscrZkkbk8bpsDI&#10;tZXEg2ofssqSFtClyEZ5fpS12lbGasqcg93z3ohnEZ9zRv015455JEoMtfm42rguwprNpmTyYImp&#10;G5rKIP9QhSSNgqQD1DnxBC1t8wxKNtRqp7nfo1pmmvOGstgDdFPkf3RzWxPDYi9AjjMDTe7/wdKr&#10;1Y1FTQVnt3+EkSISDqn72v3ofna/um/dI/y/d48oWIGr1rgJhNyaG5s0B2JofM2tDH9oCa0jv5uB&#10;X7b2iMLmqBgfjfcxomAC8SQ/CZjZLthY598yLVEQSgxnXr9fCt8YsYnsktWl85HmKpVKqk8FRlwK&#10;OLUVEagoxsejhJq8AX+LC8lCB33NUfIbwQKgUB8YBx5ClTFVnEB2JiwC2BITSpnyRW+qScX67cMc&#10;vpRuiIgtRcCAzBshBuwEEKb7OXbPRfIPoSwO8BCc/62wPniIiJm18kOwbJS2LwEI6Cpl7v23JPXU&#10;BJYWutrAlFjdXx9n6EUDB3RJnL8hFpiHmwVvgL+GhQvdllgnCaNa2y8v7Qd/GGOwYtTC/Sux+7wk&#10;lmEk3ikY8HFxcBAubFQODo9HoNinlsVTi1rKMw3HBLMA1UUx+HuxFbnV8h6einnICiaiKOQuMfV2&#10;q5z5/l2Ax4ay+Ty6wSU1xF+qW0MDeGA1zNLd+p5Yk6bUw3hf6e1dJZM4dj2jO98QqfR86TVvfDDu&#10;eE0KXPA4OOkxCi/IUz167Z7M2W8AAAD//wMAUEsDBBQABgAIAAAAIQA/0MuX3wAAAAsBAAAPAAAA&#10;ZHJzL2Rvd25yZXYueG1sTI9BT8MwDIXvSPyHyEhcEEvXtdUoTSfEtDtsQ1yzxLQVjVM12db+e8wJ&#10;brbf0/P3qs3kenHBMXSeFCwXCQgk421HjYLjYfe4BhGiJqt7T6hgxgCb+vam0qX1V3rHyz42gkMo&#10;lFpBG+NQShlMi06HhR+QWPvyo9OR17GRdtRXDne9TJOkkE53xB9aPeBri+Z7f3YK5Nos5+PbZzx4&#10;k2V+V2wf5o+tUvd308sziIhT/DPDLz6jQ81MJ38mG0SvIHvKC7aysMpSEOzIVwkPJ74UeQqyruT/&#10;DvUPAAAA//8DAFBLAQItABQABgAIAAAAIQC2gziS/gAAAOEBAAATAAAAAAAAAAAAAAAAAAAAAABb&#10;Q29udGVudF9UeXBlc10ueG1sUEsBAi0AFAAGAAgAAAAhADj9If/WAAAAlAEAAAsAAAAAAAAAAAAA&#10;AAAALwEAAF9yZWxzLy5yZWxzUEsBAi0AFAAGAAgAAAAhAE0TXiSnAgAAegUAAA4AAAAAAAAAAAAA&#10;AAAALgIAAGRycy9lMm9Eb2MueG1sUEsBAi0AFAAGAAgAAAAhAD/Qy5ffAAAACwEAAA8AAAAAAAAA&#10;AAAAAAAAAQUAAGRycy9kb3ducmV2LnhtbFBLBQYAAAAABAAEAPMAAAANBgAAAAA=&#10;" path="m44904,56043l60626,38494r49221,44093l159067,38494r15722,17549l127503,98404r47286,42361l159067,158314,109847,114221,60626,158314,44904,140765,92190,98404,44904,56043xe" fillcolor="#5b9bd5 [3204]" strokecolor="#1f4d78 [1604]" strokeweight="1pt">
                <v:stroke joinstyle="miter"/>
                <v:path arrowok="t" o:connecttype="custom" o:connectlocs="44904,56043;60626,38494;109847,82587;159067,38494;174789,56043;127503,98404;174789,140765;159067,158314;109847,114221;60626,158314;44904,140765;92190,98404;44904,56043" o:connectangles="0,0,0,0,0,0,0,0,0,0,0,0,0"/>
              </v:shape>
            </w:pict>
          </mc:Fallback>
        </mc:AlternateContent>
      </w:r>
      <w:r w:rsidR="00B3193B">
        <w:rPr>
          <w:noProof/>
          <w:sz w:val="22"/>
          <w:lang w:eastAsia="ru-RU"/>
        </w:rPr>
        <mc:AlternateContent>
          <mc:Choice Requires="wps">
            <w:drawing>
              <wp:anchor distT="0" distB="0" distL="114300" distR="114300" simplePos="0" relativeHeight="251703296" behindDoc="0" locked="0" layoutInCell="1" allowOverlap="1">
                <wp:simplePos x="0" y="0"/>
                <wp:positionH relativeFrom="column">
                  <wp:posOffset>2122220</wp:posOffset>
                </wp:positionH>
                <wp:positionV relativeFrom="paragraph">
                  <wp:posOffset>554661</wp:posOffset>
                </wp:positionV>
                <wp:extent cx="325878" cy="75672"/>
                <wp:effectExtent l="0" t="0" r="0" b="635"/>
                <wp:wrapNone/>
                <wp:docPr id="137" name="Минус 137"/>
                <wp:cNvGraphicFramePr/>
                <a:graphic xmlns:a="http://schemas.openxmlformats.org/drawingml/2006/main">
                  <a:graphicData uri="http://schemas.microsoft.com/office/word/2010/wordprocessingShape">
                    <wps:wsp>
                      <wps:cNvSpPr/>
                      <wps:spPr>
                        <a:xfrm>
                          <a:off x="0" y="0"/>
                          <a:ext cx="325878" cy="7567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BAFC" id="Минус 137" o:spid="_x0000_s1026" style="position:absolute;margin-left:167.1pt;margin-top:43.65pt;width:25.65pt;height: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878,7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NyiAIAAEEFAAAOAAAAZHJzL2Uyb0RvYy54bWysVMFOGzEQvVfqP1i+l00CITRigyIQVSUK&#10;qFBxNl6btWR7XNvJJr1V/Y1+SC/9B/ijjr2bTQSoh6p78NqemeeZ5zc+PlkZTZbCBwW2pMO9ASXC&#10;cqiUfSjpl9vzd0eUhMhsxTRYUdK1CPRk9vbNceOmYgQ16Ep4giA2TBtX0jpGNy2KwGthWNgDJywa&#10;JXjDIi79Q1F51iC60cVoMDgsGvCV88BFCLh71hrpLONLKXi8kjKISHRJMbeYR5/H+zQWs2M2ffDM&#10;1Yp3abB/yMIwZfHQHuqMRUYWXr2AMop7CCDjHgdTgJSKi1wDVjMcPKvmpmZO5FqQnOB6msL/g+WX&#10;y2tPVIV3tz+hxDKDl/T48/HX4++nH0/fSdpFjhoXpuh64659two4TQWvpDfpj6WQVeZ13fMqVpFw&#10;3NwfjY8mKASOpsn4cDJKkMU21vkQPwgwJE1Kilddf1J2ETKjbHkRYuu/8cPglFCbQp7FtRYpC20/&#10;C4nl4KGjHJ2FJE61J0uGEmCcCxuHralmlWi3xwP8uqT6iJxiBkzIUmndY3cASaQvsdtcO/8UKrIO&#10;++DB3xJrg/uIfDLY2AcbZcG/BqCxqu7k1n9DUktNYukeqjVetoe2C4Lj5woJv2AhXjOPsscGwVaO&#10;VzhIDU1JoZtRUoP/9tp+8kc1opWSBtuopOHrgnlBif5oUafvhwcHqe/y4mA8GeHC71rudy12YU4B&#10;r2mIj4bjeZr8o95MpQdzhx0/T6eiiVmOZ5eUR79ZnMa2vfHN4GI+z27Ya47FC3vjeAJPrCYt3a7u&#10;mHed6iKq9RI2Lcemz3TX+qZIC/NFBKmyKLe8dnxjn2bhdG9Kegh219lr+/LN/gAAAP//AwBQSwME&#10;FAAGAAgAAAAhAL1jwb7gAAAACQEAAA8AAABkcnMvZG93bnJldi54bWxMj0FPhDAQhe8m/odmTLy5&#10;rSC7gAwbNRpPa+LiYffWpRWIdEpoYfHfW096nLwv731TbBfTs1mPrrOEcLsSwDTVVnXUIHxULzcp&#10;MOclKdlb0gjf2sG2vLwoZK7smd71vPcNCyXkconQej/knLu61Ua6lR00hezTjkb6cI4NV6M8h3LT&#10;80iINTeyo7DQykE/tbr+2k8GYfeYzYkSr3azPr5VU1SJjB+eEa+vlod7YF4v/g+GX/2gDmVwOtmJ&#10;lGM9QhzfRQFFSDcxsADEaZIAOyFkWQS8LPj/D8ofAAAA//8DAFBLAQItABQABgAIAAAAIQC2gziS&#10;/gAAAOEBAAATAAAAAAAAAAAAAAAAAAAAAABbQ29udGVudF9UeXBlc10ueG1sUEsBAi0AFAAGAAgA&#10;AAAhADj9If/WAAAAlAEAAAsAAAAAAAAAAAAAAAAALwEAAF9yZWxzLy5yZWxzUEsBAi0AFAAGAAgA&#10;AAAhACTq03KIAgAAQQUAAA4AAAAAAAAAAAAAAAAALgIAAGRycy9lMm9Eb2MueG1sUEsBAi0AFAAG&#10;AAgAAAAhAL1jwb7gAAAACQEAAA8AAAAAAAAAAAAAAAAA4gQAAGRycy9kb3ducmV2LnhtbFBLBQYA&#10;AAAABAAEAPMAAADvBQAAAAA=&#10;" path="m43195,28937r239488,l282683,46735r-239488,l43195,28937xe" fillcolor="#5b9bd5 [3204]" strokecolor="#1f4d78 [1604]" strokeweight="1pt">
                <v:stroke joinstyle="miter"/>
                <v:path arrowok="t" o:connecttype="custom" o:connectlocs="43195,28937;282683,28937;282683,46735;43195,46735;43195,28937" o:connectangles="0,0,0,0,0"/>
              </v:shape>
            </w:pict>
          </mc:Fallback>
        </mc:AlternateContent>
      </w:r>
      <w:r w:rsidR="00B3193B">
        <w:rPr>
          <w:noProof/>
          <w:sz w:val="22"/>
          <w:lang w:eastAsia="ru-RU"/>
        </w:rPr>
        <mc:AlternateContent>
          <mc:Choice Requires="wps">
            <w:drawing>
              <wp:anchor distT="0" distB="0" distL="114300" distR="114300" simplePos="0" relativeHeight="251699200" behindDoc="0" locked="0" layoutInCell="1" allowOverlap="1">
                <wp:simplePos x="0" y="0"/>
                <wp:positionH relativeFrom="column">
                  <wp:posOffset>1033500</wp:posOffset>
                </wp:positionH>
                <wp:positionV relativeFrom="paragraph">
                  <wp:posOffset>1137813</wp:posOffset>
                </wp:positionV>
                <wp:extent cx="261257" cy="249382"/>
                <wp:effectExtent l="0" t="0" r="5715" b="0"/>
                <wp:wrapNone/>
                <wp:docPr id="133" name="Деление 133"/>
                <wp:cNvGraphicFramePr/>
                <a:graphic xmlns:a="http://schemas.openxmlformats.org/drawingml/2006/main">
                  <a:graphicData uri="http://schemas.microsoft.com/office/word/2010/wordprocessingShape">
                    <wps:wsp>
                      <wps:cNvSpPr/>
                      <wps:spPr>
                        <a:xfrm>
                          <a:off x="0" y="0"/>
                          <a:ext cx="261257" cy="249382"/>
                        </a:xfrm>
                        <a:prstGeom prst="mathDivide">
                          <a:avLst>
                            <a:gd name="adj1" fmla="val 6358"/>
                            <a:gd name="adj2" fmla="val 20181"/>
                            <a:gd name="adj3" fmla="val 60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A4FB0" id="Деление 133" o:spid="_x0000_s1026" style="position:absolute;margin-left:81.4pt;margin-top:89.6pt;width:20.55pt;height:1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1257,24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urtgIAALoFAAAOAAAAZHJzL2Uyb0RvYy54bWysVF1qGzEQfi/0DkLvzf7YThyTdTAJKYWQ&#10;hiYlz4pWyqpoJVWSvXbP0asECqV38JE60spr04Q+lBqslTQzn2a++Tk7X7cSrZh1QqsKF0c5RkxR&#10;XQv1VOHP91fvphg5T1RNpFaswhvm8Pn87ZuzzsxYqRsta2YRgCg360yFG+/NLMscbVhL3JE2TIGQ&#10;a9sSD0f7lNWWdIDeyqzM8+Os07Y2VlPmHNxe9kI8j/icM+o/cu6YR7LC4JuPq43rY1iz+RmZPVli&#10;GkGTG+QfvGiJUPDoAHVJPEFLK15AtYJa7TT3R1S3meZcUBZjgGiK/I9o7hpiWIwFyHFmoMn9P1h6&#10;s7q1SNSQu9EII0VaSNL2+/Z5+xP+v7Y/ts8oSICnzrgZqN+ZW5tODrYh6DW3bfhCOGgdud0M3LK1&#10;RxQuy+OinJxgREFUjk9H0zJgZntjY51/z3SLwqbCkO/mUqxEHQggM7K6dj4SXCcnSf2lwIi3EvK1&#10;IhIdjybTlM4DlfJQBSieFi91IO4DmHx0mjxLb4KPO9/A4cBCH3fc+Y1kwS2pPjEOPIZIo8OxgtmF&#10;tAicqzChlClf9KKG1Ky/nuTwS88NFpGWCBiQuZBywE4AoTteYvd8Jv1gymIDDMb53xzrjQeL+LJW&#10;fjBuhdL2NQAJUaWXe/0dST01gaVHXW+gyqzu288ZeiUgydfE+VtiIX/QmTBD/EdYuNRdhXXaYdRo&#10;++21+6APbQBSjDro3wq7r0tiGUbyg4IGOS3G49Dw8TCenJRwsIeSx0OJWrYXGtIEFQXexW3Q93K3&#10;5Va3DzBqFuFVEBFF4e0KU293hwvfzxUYVpQtFlENmtwQf63uDA3ggdVQS/frB2JNqnQPLXKjd72e&#10;Sr1ndK8bLJVeLL3mwgfhntd0gAERCycNszCBDs9Raz9y578BAAD//wMAUEsDBBQABgAIAAAAIQAX&#10;yecH4AAAAAsBAAAPAAAAZHJzL2Rvd25yZXYueG1sTI9BS8NAEIXvgv9hGcGL2N1EWtOYTSmKIIig&#10;afG8zU6TYHY2Zrdt+u8dT3p7j3m8+V6xmlwvjjiGzpOGZKZAINXedtRo2G6ebzMQIRqypveEGs4Y&#10;YFVeXhQmt/5EH3isYiO4hEJuNLQxDrmUoW7RmTDzAxLf9n50JrIdG2lHc+Jy18tUqYV0piP+0JoB&#10;H1usv6qD0/B+vknsJ82r70Ttn17fXrIwroPW11fT+gFExCn+heEXn9GhZKadP5ANome/SBk9srhf&#10;piA4kaq7JYgdiySbgywL+X9D+QMAAP//AwBQSwECLQAUAAYACAAAACEAtoM4kv4AAADhAQAAEwAA&#10;AAAAAAAAAAAAAAAAAAAAW0NvbnRlbnRfVHlwZXNdLnhtbFBLAQItABQABgAIAAAAIQA4/SH/1gAA&#10;AJQBAAALAAAAAAAAAAAAAAAAAC8BAABfcmVscy8ucmVsc1BLAQItABQABgAIAAAAIQAbxAurtgIA&#10;ALoFAAAOAAAAAAAAAAAAAAAAAC4CAABkcnMvZTJvRG9jLnhtbFBLAQItABQABgAIAAAAIQAXyecH&#10;4AAAAAsBAAAPAAAAAAAAAAAAAAAAABAFAABkcnMvZG93bnJldi54bWxQSwUGAAAAAAQABADzAAAA&#10;HQYAAAAA&#10;" path="m130629,36315v8317,,15060,6743,15060,15060c145689,59692,138946,66435,130629,66435v-8317,,-15060,-6743,-15060,-15060c115569,43058,122312,36315,130629,36315xm130629,213067v-8317,,-15060,-6743,-15060,-15060c115569,189690,122312,182947,130629,182947v8317,,15060,6743,15060,15060c145689,206324,138946,213067,130629,213067xm34630,116763r191997,l226627,132619r-191997,l34630,116763xe" fillcolor="#5b9bd5 [3204]" strokecolor="#1f4d78 [1604]" strokeweight="1pt">
                <v:stroke joinstyle="miter"/>
                <v:path arrowok="t" o:connecttype="custom" o:connectlocs="130629,36315;145689,51375;130629,66435;115569,51375;130629,36315;130629,213067;115569,198007;130629,182947;145689,198007;130629,213067;34630,116763;226627,116763;226627,132619;34630,132619;34630,116763" o:connectangles="0,0,0,0,0,0,0,0,0,0,0,0,0,0,0"/>
              </v:shape>
            </w:pict>
          </mc:Fallback>
        </mc:AlternateContent>
      </w:r>
      <w:r w:rsidR="00B3193B">
        <w:rPr>
          <w:noProof/>
          <w:lang w:eastAsia="ru-RU"/>
        </w:rPr>
        <w:drawing>
          <wp:inline distT="0" distB="0" distL="0" distR="0">
            <wp:extent cx="7208306" cy="2588820"/>
            <wp:effectExtent l="0" t="0" r="0" b="21590"/>
            <wp:docPr id="132" name="Схема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9799C" w:rsidRDefault="0069799C" w:rsidP="0069799C">
      <w:pPr>
        <w:pStyle w:val="a5"/>
        <w:spacing w:line="360" w:lineRule="auto"/>
        <w:ind w:firstLine="360"/>
        <w:jc w:val="center"/>
        <w:rPr>
          <w:lang w:val="en-US"/>
        </w:rPr>
      </w:pPr>
      <w:r w:rsidRPr="00B3193B">
        <w:rPr>
          <w:i/>
          <w:lang w:val="en-US"/>
        </w:rPr>
        <w:t>Pic</w:t>
      </w:r>
      <w:r w:rsidR="007572E2">
        <w:rPr>
          <w:i/>
          <w:lang w:val="en-US"/>
        </w:rPr>
        <w:t xml:space="preserve"> 9</w:t>
      </w:r>
      <w:r>
        <w:rPr>
          <w:lang w:val="en-US"/>
        </w:rPr>
        <w:t xml:space="preserve">. IRR calculation in LBO-screener </w:t>
      </w:r>
    </w:p>
    <w:p w:rsidR="00CF52DB" w:rsidRDefault="00084BE9" w:rsidP="006C6A55">
      <w:pPr>
        <w:pStyle w:val="a5"/>
        <w:spacing w:line="360" w:lineRule="auto"/>
        <w:ind w:firstLine="360"/>
        <w:jc w:val="both"/>
        <w:rPr>
          <w:lang w:val="en-US"/>
        </w:rPr>
      </w:pPr>
      <w:r>
        <w:rPr>
          <w:lang w:val="en-US"/>
        </w:rPr>
        <w:t>On step (22) an important decision making process should take place</w:t>
      </w:r>
      <w:r w:rsidR="007D59F1">
        <w:rPr>
          <w:lang w:val="en-US"/>
        </w:rPr>
        <w:t xml:space="preserve">: from the list of the analyzed companies, he has to choose a suitable target based on the calculated IRR. </w:t>
      </w:r>
    </w:p>
    <w:p w:rsidR="000B4BFB" w:rsidRDefault="000B4BFB" w:rsidP="006C6A55">
      <w:pPr>
        <w:pStyle w:val="a5"/>
        <w:spacing w:line="360" w:lineRule="auto"/>
        <w:ind w:firstLine="360"/>
        <w:jc w:val="both"/>
        <w:rPr>
          <w:lang w:val="en-US"/>
        </w:rPr>
      </w:pPr>
      <w:r>
        <w:rPr>
          <w:lang w:val="en-US"/>
        </w:rPr>
        <w:t xml:space="preserve">How exactly the output parameters are calculated </w:t>
      </w:r>
      <w:proofErr w:type="gramStart"/>
      <w:r>
        <w:rPr>
          <w:lang w:val="en-US"/>
        </w:rPr>
        <w:t>can be seen</w:t>
      </w:r>
      <w:proofErr w:type="gramEnd"/>
      <w:r>
        <w:rPr>
          <w:lang w:val="en-US"/>
        </w:rPr>
        <w:t xml:space="preserve"> in the LBO-screener as well. </w:t>
      </w:r>
      <w:r w:rsidR="00B15CED">
        <w:rPr>
          <w:lang w:val="en-US"/>
        </w:rPr>
        <w:t>This tool provide</w:t>
      </w:r>
      <w:r w:rsidR="006415F5">
        <w:rPr>
          <w:lang w:val="en-US"/>
        </w:rPr>
        <w:t>s</w:t>
      </w:r>
      <w:r w:rsidR="00B15CED">
        <w:rPr>
          <w:lang w:val="en-US"/>
        </w:rPr>
        <w:t xml:space="preserve"> an opportunity to manipulate the actual model and </w:t>
      </w:r>
      <w:r w:rsidR="0047625A">
        <w:rPr>
          <w:lang w:val="en-US"/>
        </w:rPr>
        <w:t>analyze</w:t>
      </w:r>
      <w:r w:rsidR="00B15CED">
        <w:rPr>
          <w:lang w:val="en-US"/>
        </w:rPr>
        <w:t xml:space="preserve"> the companies in a </w:t>
      </w:r>
      <w:proofErr w:type="gramStart"/>
      <w:r w:rsidR="00B15CED">
        <w:rPr>
          <w:lang w:val="en-US"/>
        </w:rPr>
        <w:t>greater detail</w:t>
      </w:r>
      <w:proofErr w:type="gramEnd"/>
      <w:r w:rsidR="00B15CED">
        <w:rPr>
          <w:lang w:val="en-US"/>
        </w:rPr>
        <w:t xml:space="preserve">. </w:t>
      </w:r>
      <w:r w:rsidR="003F230D">
        <w:rPr>
          <w:lang w:val="en-US"/>
        </w:rPr>
        <w:t xml:space="preserve">(List </w:t>
      </w:r>
      <w:proofErr w:type="gramStart"/>
      <w:r w:rsidR="003F230D">
        <w:rPr>
          <w:lang w:val="en-US"/>
        </w:rPr>
        <w:t>4</w:t>
      </w:r>
      <w:proofErr w:type="gramEnd"/>
      <w:r w:rsidR="003F230D">
        <w:rPr>
          <w:lang w:val="en-US"/>
        </w:rPr>
        <w:t xml:space="preserve"> in the Excel file). </w:t>
      </w:r>
      <w:r w:rsidR="00F77893">
        <w:rPr>
          <w:lang w:val="en-US"/>
        </w:rPr>
        <w:t xml:space="preserve">The companies </w:t>
      </w:r>
      <w:proofErr w:type="gramStart"/>
      <w:r w:rsidR="00F77893">
        <w:rPr>
          <w:lang w:val="en-US"/>
        </w:rPr>
        <w:t>can be chosen</w:t>
      </w:r>
      <w:proofErr w:type="gramEnd"/>
      <w:r w:rsidR="00F77893">
        <w:rPr>
          <w:lang w:val="en-US"/>
        </w:rPr>
        <w:t xml:space="preserve"> from the drop down list. After </w:t>
      </w:r>
      <w:proofErr w:type="gramStart"/>
      <w:r w:rsidR="00F77893">
        <w:rPr>
          <w:lang w:val="en-US"/>
        </w:rPr>
        <w:t>that</w:t>
      </w:r>
      <w:proofErr w:type="gramEnd"/>
      <w:r w:rsidR="00F77893">
        <w:rPr>
          <w:lang w:val="en-US"/>
        </w:rPr>
        <w:t xml:space="preserve"> all the cells of the screener will automatically update. Apart from IRR calculation, this tool makes an IRR sensitivity analysis based on different parameters: based on entry-exit multiples, margin improvement assumptions etc. </w:t>
      </w:r>
    </w:p>
    <w:p w:rsidR="00F5317A" w:rsidRDefault="007A5867" w:rsidP="008D3CCB">
      <w:pPr>
        <w:pStyle w:val="2"/>
        <w:numPr>
          <w:ilvl w:val="1"/>
          <w:numId w:val="22"/>
        </w:numPr>
        <w:rPr>
          <w:lang w:val="en-US"/>
        </w:rPr>
      </w:pPr>
      <w:bookmarkStart w:id="19" w:name="_Toc483074649"/>
      <w:r w:rsidRPr="007A5867">
        <w:rPr>
          <w:lang w:val="en-US"/>
        </w:rPr>
        <w:lastRenderedPageBreak/>
        <w:t>LBO-model algorithm</w:t>
      </w:r>
      <w:bookmarkEnd w:id="19"/>
      <w:r w:rsidRPr="007A5867">
        <w:rPr>
          <w:lang w:val="en-US"/>
        </w:rPr>
        <w:t xml:space="preserve"> </w:t>
      </w:r>
    </w:p>
    <w:p w:rsidR="004F0183" w:rsidRDefault="004F0183" w:rsidP="004F0183">
      <w:pPr>
        <w:pStyle w:val="a5"/>
        <w:spacing w:line="360" w:lineRule="auto"/>
        <w:ind w:firstLine="360"/>
        <w:jc w:val="both"/>
        <w:rPr>
          <w:rFonts w:cs="Times New Roman"/>
          <w:szCs w:val="24"/>
          <w:lang w:val="en-US"/>
        </w:rPr>
      </w:pPr>
      <w:r>
        <w:rPr>
          <w:rFonts w:cs="Times New Roman"/>
          <w:szCs w:val="24"/>
          <w:lang w:val="en-US"/>
        </w:rPr>
        <w:t xml:space="preserve">The purpose of LBO-model is to perform a return analysis for a given target, which involves IRR calculation and sensitivity analysis. It is quite similar to LBO-screener. LBO-model differs from LBO-screener by the fact that it </w:t>
      </w:r>
      <w:proofErr w:type="gramStart"/>
      <w:r>
        <w:rPr>
          <w:rFonts w:cs="Times New Roman"/>
          <w:szCs w:val="24"/>
          <w:lang w:val="en-US"/>
        </w:rPr>
        <w:t>is performed</w:t>
      </w:r>
      <w:proofErr w:type="gramEnd"/>
      <w:r>
        <w:rPr>
          <w:rFonts w:cs="Times New Roman"/>
          <w:szCs w:val="24"/>
          <w:lang w:val="en-US"/>
        </w:rPr>
        <w:t xml:space="preserve"> for an individual company and that it includes the following things:</w:t>
      </w:r>
    </w:p>
    <w:p w:rsidR="004F0183" w:rsidRDefault="004F0183" w:rsidP="008D3CCB">
      <w:pPr>
        <w:pStyle w:val="a5"/>
        <w:numPr>
          <w:ilvl w:val="0"/>
          <w:numId w:val="35"/>
        </w:numPr>
        <w:spacing w:line="360" w:lineRule="auto"/>
        <w:jc w:val="both"/>
        <w:rPr>
          <w:rFonts w:cs="Times New Roman"/>
          <w:szCs w:val="24"/>
          <w:lang w:val="en-US"/>
        </w:rPr>
      </w:pPr>
      <w:r w:rsidRPr="004F0183">
        <w:rPr>
          <w:rFonts w:cs="Times New Roman"/>
          <w:i/>
          <w:szCs w:val="24"/>
          <w:lang w:val="en-US"/>
        </w:rPr>
        <w:t>Detailed financial statement projections</w:t>
      </w:r>
      <w:r>
        <w:rPr>
          <w:rFonts w:cs="Times New Roman"/>
          <w:szCs w:val="24"/>
          <w:lang w:val="en-US"/>
        </w:rPr>
        <w:t>. If investor is serious about buying a company, there is a need to complete projections with every line item in the income statement, cash flow statement, and balance sheet;</w:t>
      </w:r>
      <w:r>
        <w:rPr>
          <w:rStyle w:val="a9"/>
          <w:rFonts w:cs="Times New Roman"/>
          <w:szCs w:val="24"/>
          <w:lang w:val="en-US"/>
        </w:rPr>
        <w:footnoteReference w:id="48"/>
      </w:r>
    </w:p>
    <w:p w:rsidR="004F0183" w:rsidRDefault="004F0183" w:rsidP="008D3CCB">
      <w:pPr>
        <w:pStyle w:val="a5"/>
        <w:numPr>
          <w:ilvl w:val="0"/>
          <w:numId w:val="35"/>
        </w:numPr>
        <w:spacing w:line="360" w:lineRule="auto"/>
        <w:jc w:val="both"/>
        <w:rPr>
          <w:rFonts w:cs="Times New Roman"/>
          <w:szCs w:val="24"/>
          <w:lang w:val="en-US"/>
        </w:rPr>
      </w:pPr>
      <w:r w:rsidRPr="004F0183">
        <w:rPr>
          <w:rFonts w:cs="Times New Roman"/>
          <w:i/>
          <w:szCs w:val="24"/>
          <w:lang w:val="en-US"/>
        </w:rPr>
        <w:t>Balance sheet adjustments</w:t>
      </w:r>
      <w:r>
        <w:rPr>
          <w:rFonts w:cs="Times New Roman"/>
          <w:szCs w:val="24"/>
          <w:lang w:val="en-US"/>
        </w:rPr>
        <w:t>. We will soon discuss the importance of showing the balance sheet after the investment has been made including all the new debt and equity used to fund the purchase;</w:t>
      </w:r>
    </w:p>
    <w:p w:rsidR="004F0183" w:rsidRDefault="004F0183" w:rsidP="008D3CCB">
      <w:pPr>
        <w:pStyle w:val="a5"/>
        <w:numPr>
          <w:ilvl w:val="0"/>
          <w:numId w:val="35"/>
        </w:numPr>
        <w:spacing w:line="360" w:lineRule="auto"/>
        <w:jc w:val="both"/>
        <w:rPr>
          <w:rFonts w:cs="Times New Roman"/>
          <w:szCs w:val="24"/>
          <w:lang w:val="en-US"/>
        </w:rPr>
      </w:pPr>
      <w:r w:rsidRPr="004F0183">
        <w:rPr>
          <w:rFonts w:cs="Times New Roman"/>
          <w:i/>
          <w:szCs w:val="24"/>
          <w:lang w:val="en-US"/>
        </w:rPr>
        <w:t>Detailed financing structure</w:t>
      </w:r>
      <w:r>
        <w:rPr>
          <w:rFonts w:cs="Times New Roman"/>
          <w:szCs w:val="24"/>
          <w:lang w:val="en-US"/>
        </w:rPr>
        <w:t>;</w:t>
      </w:r>
    </w:p>
    <w:p w:rsidR="004F0183" w:rsidRDefault="004F0183" w:rsidP="008D3CCB">
      <w:pPr>
        <w:pStyle w:val="a5"/>
        <w:numPr>
          <w:ilvl w:val="0"/>
          <w:numId w:val="35"/>
        </w:numPr>
        <w:spacing w:line="360" w:lineRule="auto"/>
        <w:jc w:val="both"/>
        <w:rPr>
          <w:rFonts w:cs="Times New Roman"/>
          <w:szCs w:val="24"/>
          <w:lang w:val="en-US"/>
        </w:rPr>
      </w:pPr>
      <w:r w:rsidRPr="004F0183">
        <w:rPr>
          <w:rFonts w:cs="Times New Roman"/>
          <w:i/>
          <w:szCs w:val="24"/>
          <w:lang w:val="en-US"/>
        </w:rPr>
        <w:t>Debt schedule</w:t>
      </w:r>
      <w:r>
        <w:rPr>
          <w:rFonts w:cs="Times New Roman"/>
          <w:szCs w:val="24"/>
          <w:lang w:val="en-US"/>
        </w:rPr>
        <w:t>. The full-scale LBO-model contains a debt schedule, which calculates interest expense and flows into the three statements.</w:t>
      </w:r>
    </w:p>
    <w:p w:rsidR="004F0183" w:rsidRDefault="004F0183" w:rsidP="004F0183">
      <w:pPr>
        <w:pStyle w:val="a5"/>
        <w:spacing w:line="360" w:lineRule="auto"/>
        <w:ind w:firstLine="708"/>
        <w:jc w:val="both"/>
        <w:rPr>
          <w:rFonts w:cs="Times New Roman"/>
          <w:szCs w:val="24"/>
          <w:lang w:val="en-US"/>
        </w:rPr>
      </w:pPr>
      <w:r>
        <w:rPr>
          <w:rFonts w:cs="Times New Roman"/>
          <w:szCs w:val="24"/>
          <w:lang w:val="en-US"/>
        </w:rPr>
        <w:t xml:space="preserve">As it </w:t>
      </w:r>
      <w:proofErr w:type="gramStart"/>
      <w:r>
        <w:rPr>
          <w:rFonts w:cs="Times New Roman"/>
          <w:szCs w:val="24"/>
          <w:lang w:val="en-US"/>
        </w:rPr>
        <w:t>was mentioned</w:t>
      </w:r>
      <w:proofErr w:type="gramEnd"/>
      <w:r>
        <w:rPr>
          <w:rFonts w:cs="Times New Roman"/>
          <w:szCs w:val="24"/>
          <w:lang w:val="en-US"/>
        </w:rPr>
        <w:t xml:space="preserve">, LBO-models are or a high secrecy in the industry, they are highly confidential and never revealed to public. In fact, there come models that </w:t>
      </w:r>
      <w:proofErr w:type="gramStart"/>
      <w:r>
        <w:rPr>
          <w:rFonts w:cs="Times New Roman"/>
          <w:szCs w:val="24"/>
          <w:lang w:val="en-US"/>
        </w:rPr>
        <w:t>can be found</w:t>
      </w:r>
      <w:proofErr w:type="gramEnd"/>
      <w:r>
        <w:rPr>
          <w:rFonts w:cs="Times New Roman"/>
          <w:szCs w:val="24"/>
          <w:lang w:val="en-US"/>
        </w:rPr>
        <w:t xml:space="preserve"> in the open sources, but they are either simple or flawed. </w:t>
      </w:r>
    </w:p>
    <w:p w:rsidR="004F0183" w:rsidRDefault="004F0183" w:rsidP="004F0183">
      <w:pPr>
        <w:pStyle w:val="a5"/>
        <w:spacing w:line="360" w:lineRule="auto"/>
        <w:ind w:firstLine="708"/>
        <w:jc w:val="both"/>
        <w:rPr>
          <w:rFonts w:cs="Times New Roman"/>
          <w:b/>
          <w:i/>
          <w:szCs w:val="24"/>
          <w:u w:val="single"/>
          <w:lang w:val="en-US"/>
        </w:rPr>
      </w:pPr>
      <w:r>
        <w:rPr>
          <w:rFonts w:cs="Times New Roman"/>
          <w:szCs w:val="24"/>
          <w:lang w:val="en-US"/>
        </w:rPr>
        <w:t xml:space="preserve">As a criteria for a flaw detection were used the best practices of LBO-modelling techniques used by leading Investment Banks (Goldman Sachs, UBS, Morgan Stanley, </w:t>
      </w:r>
      <w:proofErr w:type="gramStart"/>
      <w:r>
        <w:rPr>
          <w:rFonts w:cs="Times New Roman"/>
          <w:szCs w:val="24"/>
          <w:lang w:val="en-US"/>
        </w:rPr>
        <w:t>Deutsche  Bank</w:t>
      </w:r>
      <w:proofErr w:type="gramEnd"/>
      <w:r>
        <w:rPr>
          <w:rFonts w:cs="Times New Roman"/>
          <w:szCs w:val="24"/>
          <w:lang w:val="en-US"/>
        </w:rPr>
        <w:t>). This techniques are described in the researches conducted by this companies (Credit Suisse (2007a), Credit Suisse (2007b), Deutsche Bank (2007), Goldman Sachs (2007), Morgan Stanley (2003), UBS (2007)) and presented in the book “Equity valuation: models from leading investment banks” by Jan Viebig, Thorsten Poddig, and Armin Varmaz.</w:t>
      </w:r>
      <w:r w:rsidR="006415F5">
        <w:rPr>
          <w:rFonts w:cs="Times New Roman"/>
          <w:szCs w:val="24"/>
          <w:lang w:val="en-US"/>
        </w:rPr>
        <w:t xml:space="preserve"> </w:t>
      </w:r>
      <w:r>
        <w:rPr>
          <w:rFonts w:cs="Times New Roman"/>
          <w:szCs w:val="24"/>
          <w:lang w:val="en-US"/>
        </w:rPr>
        <w:t xml:space="preserve">The summary this flaws </w:t>
      </w:r>
      <w:proofErr w:type="gramStart"/>
      <w:r>
        <w:rPr>
          <w:rFonts w:cs="Times New Roman"/>
          <w:szCs w:val="24"/>
          <w:lang w:val="en-US"/>
        </w:rPr>
        <w:t>is presented</w:t>
      </w:r>
      <w:proofErr w:type="gramEnd"/>
      <w:r>
        <w:rPr>
          <w:rFonts w:cs="Times New Roman"/>
          <w:szCs w:val="24"/>
          <w:lang w:val="en-US"/>
        </w:rPr>
        <w:t xml:space="preserve"> below. Publicly available models:</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Do not consider types of shares outstanding  (diluted or basic) in calculation of equity value;</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Do not take into account whether the target is public or private (different equity valuation formula should be used for each case);</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Do not provide explanation for chosen financial leverage and the financing structure;</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Use only one scenario in financial statement projections;</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 xml:space="preserve">Apply fixed growth rate in financial statement projections; </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 xml:space="preserve">Forecast only main financial statement drivers instead of full statements; </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lastRenderedPageBreak/>
        <w:t>Do not include transaction fees in calculation of the transaction value or don’t amortize them;</w:t>
      </w:r>
    </w:p>
    <w:p w:rsidR="004F0183" w:rsidRDefault="004F0183" w:rsidP="008D3CCB">
      <w:pPr>
        <w:pStyle w:val="a5"/>
        <w:numPr>
          <w:ilvl w:val="0"/>
          <w:numId w:val="24"/>
        </w:numPr>
        <w:spacing w:line="360" w:lineRule="auto"/>
        <w:ind w:left="1134"/>
        <w:jc w:val="both"/>
        <w:rPr>
          <w:rFonts w:cs="Times New Roman"/>
          <w:szCs w:val="24"/>
          <w:lang w:val="en-US"/>
        </w:rPr>
      </w:pPr>
      <w:r>
        <w:rPr>
          <w:rFonts w:cs="Times New Roman"/>
          <w:szCs w:val="24"/>
          <w:lang w:val="en-US"/>
        </w:rPr>
        <w:t xml:space="preserve">Do not include sensitivity analysis. </w:t>
      </w:r>
    </w:p>
    <w:p w:rsidR="004F0183" w:rsidRDefault="00810861" w:rsidP="006415F5">
      <w:pPr>
        <w:spacing w:line="360" w:lineRule="auto"/>
        <w:ind w:firstLine="708"/>
        <w:jc w:val="both"/>
        <w:rPr>
          <w:rFonts w:cs="Times New Roman"/>
          <w:lang w:val="en-US"/>
        </w:rPr>
      </w:pPr>
      <w:r w:rsidRPr="00810861">
        <w:rPr>
          <w:rFonts w:cs="Times New Roman"/>
          <w:lang w:val="en-US"/>
        </w:rPr>
        <w:t>It was concluded that</w:t>
      </w:r>
      <w:r w:rsidR="004F0183">
        <w:rPr>
          <w:rFonts w:cs="Times New Roman"/>
          <w:lang w:val="en-US"/>
        </w:rPr>
        <w:t xml:space="preserve"> there is a need to improve publicly available LBO-models</w:t>
      </w:r>
      <w:r>
        <w:rPr>
          <w:rFonts w:cs="Times New Roman"/>
          <w:lang w:val="en-US"/>
        </w:rPr>
        <w:t xml:space="preserve">, thus in </w:t>
      </w:r>
      <w:r w:rsidR="006415F5">
        <w:rPr>
          <w:rFonts w:cs="Times New Roman"/>
          <w:lang w:val="en-US"/>
        </w:rPr>
        <w:t>the proposed</w:t>
      </w:r>
      <w:r>
        <w:rPr>
          <w:rFonts w:cs="Times New Roman"/>
          <w:lang w:val="en-US"/>
        </w:rPr>
        <w:t xml:space="preserve"> model, there was done an attempts to improve those, by taking into consideration the best practiced of LBO-modelling techniques presented in the publicly available sources. </w:t>
      </w:r>
    </w:p>
    <w:p w:rsidR="00E05711" w:rsidRDefault="00E05711" w:rsidP="00CC5388">
      <w:pPr>
        <w:pStyle w:val="a5"/>
        <w:spacing w:line="360" w:lineRule="auto"/>
        <w:ind w:firstLine="708"/>
        <w:jc w:val="both"/>
        <w:rPr>
          <w:lang w:val="en-US"/>
        </w:rPr>
      </w:pPr>
      <w:r>
        <w:rPr>
          <w:lang w:val="en-US"/>
        </w:rPr>
        <w:t>The</w:t>
      </w:r>
      <w:r w:rsidR="00401CE6">
        <w:rPr>
          <w:lang w:val="en-US"/>
        </w:rPr>
        <w:t xml:space="preserve"> full</w:t>
      </w:r>
      <w:r>
        <w:rPr>
          <w:lang w:val="en-US"/>
        </w:rPr>
        <w:t xml:space="preserve"> logic behind the LBO-mode</w:t>
      </w:r>
      <w:r w:rsidR="00405102">
        <w:rPr>
          <w:lang w:val="en-US"/>
        </w:rPr>
        <w:t xml:space="preserve">l </w:t>
      </w:r>
      <w:proofErr w:type="gramStart"/>
      <w:r w:rsidR="00405102">
        <w:rPr>
          <w:lang w:val="en-US"/>
        </w:rPr>
        <w:t>is presented</w:t>
      </w:r>
      <w:proofErr w:type="gramEnd"/>
      <w:r w:rsidR="00405102">
        <w:rPr>
          <w:lang w:val="en-US"/>
        </w:rPr>
        <w:t xml:space="preserve"> in the Appendix 6</w:t>
      </w:r>
      <w:r>
        <w:rPr>
          <w:lang w:val="en-US"/>
        </w:rPr>
        <w:t xml:space="preserve">. </w:t>
      </w:r>
      <w:r w:rsidR="00401CE6">
        <w:rPr>
          <w:lang w:val="en-US"/>
        </w:rPr>
        <w:t>In o</w:t>
      </w:r>
      <w:r w:rsidR="006415F5">
        <w:rPr>
          <w:lang w:val="en-US"/>
        </w:rPr>
        <w:t>rder to be able to describe how</w:t>
      </w:r>
      <w:r w:rsidR="00401CE6">
        <w:rPr>
          <w:lang w:val="en-US"/>
        </w:rPr>
        <w:t xml:space="preserve"> the LBO-model works, some of its logical parts </w:t>
      </w:r>
      <w:proofErr w:type="gramStart"/>
      <w:r w:rsidR="00401CE6">
        <w:rPr>
          <w:lang w:val="en-US"/>
        </w:rPr>
        <w:t xml:space="preserve">were aggregated into </w:t>
      </w:r>
      <w:r w:rsidR="009300D5">
        <w:rPr>
          <w:lang w:val="en-US"/>
        </w:rPr>
        <w:t>bigger groups and presented below</w:t>
      </w:r>
      <w:proofErr w:type="gramEnd"/>
      <w:r w:rsidR="009300D5">
        <w:rPr>
          <w:lang w:val="en-US"/>
        </w:rPr>
        <w:t xml:space="preserve">. </w:t>
      </w:r>
    </w:p>
    <w:p w:rsidR="00184C20" w:rsidRDefault="00184C20" w:rsidP="00184C20">
      <w:pPr>
        <w:pStyle w:val="a5"/>
        <w:spacing w:line="360" w:lineRule="auto"/>
        <w:ind w:firstLine="708"/>
        <w:jc w:val="center"/>
        <w:rPr>
          <w:lang w:val="en-US"/>
        </w:rPr>
      </w:pPr>
      <w:r>
        <w:rPr>
          <w:rFonts w:cs="Times New Roman"/>
          <w:noProof/>
          <w:szCs w:val="24"/>
          <w:lang w:eastAsia="ru-RU"/>
        </w:rPr>
        <w:drawing>
          <wp:inline distT="0" distB="0" distL="0" distR="0" wp14:anchorId="0E7E28DB" wp14:editId="18F2161A">
            <wp:extent cx="1181100" cy="4350384"/>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Документ1.jpg"/>
                    <pic:cNvPicPr/>
                  </pic:nvPicPr>
                  <pic:blipFill>
                    <a:blip r:embed="rId32">
                      <a:extLst>
                        <a:ext uri="{28A0092B-C50C-407E-A947-70E740481C1C}">
                          <a14:useLocalDpi xmlns:a14="http://schemas.microsoft.com/office/drawing/2010/main" val="0"/>
                        </a:ext>
                      </a:extLst>
                    </a:blip>
                    <a:stretch>
                      <a:fillRect/>
                    </a:stretch>
                  </pic:blipFill>
                  <pic:spPr>
                    <a:xfrm>
                      <a:off x="0" y="0"/>
                      <a:ext cx="1188350" cy="4377090"/>
                    </a:xfrm>
                    <a:prstGeom prst="rect">
                      <a:avLst/>
                    </a:prstGeom>
                  </pic:spPr>
                </pic:pic>
              </a:graphicData>
            </a:graphic>
          </wp:inline>
        </w:drawing>
      </w:r>
    </w:p>
    <w:p w:rsidR="00184C20" w:rsidRDefault="00184C20" w:rsidP="00184C20">
      <w:pPr>
        <w:pStyle w:val="a5"/>
        <w:spacing w:line="360" w:lineRule="auto"/>
        <w:ind w:firstLine="708"/>
        <w:jc w:val="center"/>
        <w:rPr>
          <w:lang w:val="en-US"/>
        </w:rPr>
      </w:pPr>
      <w:r>
        <w:rPr>
          <w:lang w:val="en-US"/>
        </w:rPr>
        <w:t>Pic</w:t>
      </w:r>
      <w:r w:rsidR="007572E2">
        <w:rPr>
          <w:lang w:val="en-US"/>
        </w:rPr>
        <w:t xml:space="preserve"> 10</w:t>
      </w:r>
      <w:r>
        <w:rPr>
          <w:lang w:val="en-US"/>
        </w:rPr>
        <w:t xml:space="preserve">. The logic of LBO-model algorithm </w:t>
      </w:r>
    </w:p>
    <w:p w:rsidR="00B97E06" w:rsidRDefault="00B97E06" w:rsidP="00B97E06">
      <w:pPr>
        <w:pStyle w:val="a5"/>
        <w:spacing w:line="360" w:lineRule="auto"/>
        <w:ind w:firstLine="708"/>
        <w:jc w:val="both"/>
        <w:rPr>
          <w:rFonts w:cs="Times New Roman"/>
          <w:szCs w:val="24"/>
          <w:lang w:val="en-US"/>
        </w:rPr>
      </w:pPr>
      <w:r w:rsidRPr="00EE6C56">
        <w:rPr>
          <w:rFonts w:cs="Times New Roman"/>
          <w:szCs w:val="24"/>
          <w:lang w:val="en-US"/>
        </w:rPr>
        <w:t xml:space="preserve">Any LBO-model starts with a decision to carry a return analysis for a given company (1). If the investor is not willing to do it, the process comes to the end (2). If the investor is interested in performing the return </w:t>
      </w:r>
      <w:proofErr w:type="gramStart"/>
      <w:r w:rsidRPr="00EE6C56">
        <w:rPr>
          <w:rFonts w:cs="Times New Roman"/>
          <w:szCs w:val="24"/>
          <w:lang w:val="en-US"/>
        </w:rPr>
        <w:t>analysis</w:t>
      </w:r>
      <w:proofErr w:type="gramEnd"/>
      <w:r w:rsidRPr="00EE6C56">
        <w:rPr>
          <w:rFonts w:cs="Times New Roman"/>
          <w:szCs w:val="24"/>
          <w:lang w:val="en-US"/>
        </w:rPr>
        <w:t xml:space="preserve"> he will run the LBO-model (3). </w:t>
      </w:r>
      <w:r>
        <w:rPr>
          <w:rFonts w:cs="Times New Roman"/>
          <w:szCs w:val="24"/>
          <w:lang w:val="en-US"/>
        </w:rPr>
        <w:t xml:space="preserve">As soon as the model is </w:t>
      </w:r>
      <w:proofErr w:type="gramStart"/>
      <w:r>
        <w:rPr>
          <w:rFonts w:cs="Times New Roman"/>
          <w:szCs w:val="24"/>
          <w:lang w:val="en-US"/>
        </w:rPr>
        <w:t>started</w:t>
      </w:r>
      <w:proofErr w:type="gramEnd"/>
      <w:r>
        <w:rPr>
          <w:rFonts w:cs="Times New Roman"/>
          <w:szCs w:val="24"/>
          <w:lang w:val="en-US"/>
        </w:rPr>
        <w:t xml:space="preserve"> it will calculate the IRR (26) and perform the sensitivity analysis (27). The result of the analysis </w:t>
      </w:r>
      <w:proofErr w:type="gramStart"/>
      <w:r>
        <w:rPr>
          <w:rFonts w:cs="Times New Roman"/>
          <w:szCs w:val="24"/>
          <w:lang w:val="en-US"/>
        </w:rPr>
        <w:t>should be compared</w:t>
      </w:r>
      <w:proofErr w:type="gramEnd"/>
      <w:r>
        <w:rPr>
          <w:rFonts w:cs="Times New Roman"/>
          <w:szCs w:val="24"/>
          <w:lang w:val="en-US"/>
        </w:rPr>
        <w:t xml:space="preserve"> with the investor’s expectations regarding the deal outcome. If he is satisfied, then the proceeds with the investment, of not, then the process ends.</w:t>
      </w:r>
      <w:r w:rsidRPr="00EE6C56">
        <w:rPr>
          <w:rFonts w:cs="Times New Roman"/>
          <w:szCs w:val="24"/>
          <w:lang w:val="en-US"/>
        </w:rPr>
        <w:t xml:space="preserve"> It is important to mention that before quantitative analysis qualitative analysis of the company and the industry it operates in </w:t>
      </w:r>
      <w:r w:rsidRPr="00EE6C56">
        <w:rPr>
          <w:rFonts w:cs="Times New Roman"/>
          <w:szCs w:val="24"/>
          <w:lang w:val="en-US"/>
        </w:rPr>
        <w:lastRenderedPageBreak/>
        <w:t xml:space="preserve">should take place. It will help to build assumptions and conduct the further analysis. Here the company </w:t>
      </w:r>
      <w:proofErr w:type="gramStart"/>
      <w:r w:rsidRPr="00EE6C56">
        <w:rPr>
          <w:rFonts w:cs="Times New Roman"/>
          <w:szCs w:val="24"/>
          <w:lang w:val="en-US"/>
        </w:rPr>
        <w:t>should be qualitatively analyzed</w:t>
      </w:r>
      <w:proofErr w:type="gramEnd"/>
      <w:r w:rsidRPr="00EE6C56">
        <w:rPr>
          <w:rFonts w:cs="Times New Roman"/>
          <w:szCs w:val="24"/>
          <w:lang w:val="en-US"/>
        </w:rPr>
        <w:t xml:space="preserve"> on the matter of correspondence to main characteristics of a strong LBO-target as mentioned in Chapter 1. </w:t>
      </w:r>
    </w:p>
    <w:p w:rsidR="00CC5388" w:rsidRPr="00CC5388" w:rsidRDefault="00CC5388" w:rsidP="00CC5388">
      <w:pPr>
        <w:pStyle w:val="a5"/>
        <w:spacing w:line="360" w:lineRule="auto"/>
        <w:ind w:firstLine="708"/>
        <w:jc w:val="both"/>
        <w:rPr>
          <w:b/>
          <w:i/>
          <w:lang w:val="en-US"/>
        </w:rPr>
      </w:pPr>
      <w:r w:rsidRPr="00CC5388">
        <w:rPr>
          <w:b/>
          <w:i/>
          <w:lang w:val="en-US"/>
        </w:rPr>
        <w:t xml:space="preserve">LBO-model inputs </w:t>
      </w:r>
    </w:p>
    <w:p w:rsidR="0070796F" w:rsidRDefault="0070796F" w:rsidP="00CC5388">
      <w:pPr>
        <w:pStyle w:val="a5"/>
        <w:spacing w:line="360" w:lineRule="auto"/>
        <w:ind w:firstLine="567"/>
        <w:jc w:val="both"/>
        <w:rPr>
          <w:rFonts w:cs="Times New Roman"/>
          <w:szCs w:val="24"/>
          <w:lang w:val="en-US"/>
        </w:rPr>
      </w:pPr>
      <w:r>
        <w:rPr>
          <w:rFonts w:cs="Times New Roman"/>
          <w:szCs w:val="24"/>
          <w:lang w:val="en-US"/>
        </w:rPr>
        <w:t xml:space="preserve">Model inputs are comprised of company data and assumption based inputs. </w:t>
      </w:r>
    </w:p>
    <w:p w:rsidR="00D26B32" w:rsidRPr="00D26B32" w:rsidRDefault="00D26B32" w:rsidP="00CC5388">
      <w:pPr>
        <w:pStyle w:val="a5"/>
        <w:spacing w:line="360" w:lineRule="auto"/>
        <w:ind w:firstLine="567"/>
        <w:jc w:val="both"/>
        <w:rPr>
          <w:rFonts w:cs="Times New Roman"/>
          <w:b/>
          <w:i/>
          <w:szCs w:val="24"/>
          <w:lang w:val="en-US"/>
        </w:rPr>
      </w:pPr>
      <w:r w:rsidRPr="00D26B32">
        <w:rPr>
          <w:rFonts w:cs="Times New Roman"/>
          <w:b/>
          <w:i/>
          <w:szCs w:val="24"/>
          <w:lang w:val="en-US"/>
        </w:rPr>
        <w:t xml:space="preserve">Company data </w:t>
      </w:r>
    </w:p>
    <w:p w:rsidR="00CC5388" w:rsidRDefault="00CC5388" w:rsidP="00CC5388">
      <w:pPr>
        <w:pStyle w:val="a5"/>
        <w:spacing w:line="360" w:lineRule="auto"/>
        <w:ind w:firstLine="567"/>
        <w:jc w:val="both"/>
        <w:rPr>
          <w:rFonts w:cs="Times New Roman"/>
          <w:szCs w:val="24"/>
          <w:lang w:val="en-US"/>
        </w:rPr>
      </w:pPr>
      <w:r>
        <w:rPr>
          <w:rFonts w:cs="Times New Roman"/>
          <w:szCs w:val="24"/>
          <w:lang w:val="en-US"/>
        </w:rPr>
        <w:t xml:space="preserve">Company data </w:t>
      </w:r>
      <w:proofErr w:type="gramStart"/>
      <w:r>
        <w:rPr>
          <w:rFonts w:cs="Times New Roman"/>
          <w:szCs w:val="24"/>
          <w:lang w:val="en-US"/>
        </w:rPr>
        <w:t>should be inputted</w:t>
      </w:r>
      <w:proofErr w:type="gramEnd"/>
      <w:r>
        <w:rPr>
          <w:rFonts w:cs="Times New Roman"/>
          <w:szCs w:val="24"/>
          <w:lang w:val="en-US"/>
        </w:rPr>
        <w:t xml:space="preserve"> into the model at the next step (4). The company data consists of historical balance sheet (5), income statement (6) and cash flow statement (7). </w:t>
      </w:r>
      <w:proofErr w:type="gramStart"/>
      <w:r>
        <w:rPr>
          <w:rFonts w:cs="Times New Roman"/>
          <w:szCs w:val="24"/>
          <w:lang w:val="en-US"/>
        </w:rPr>
        <w:t>Three year</w:t>
      </w:r>
      <w:proofErr w:type="gramEnd"/>
      <w:r>
        <w:rPr>
          <w:rFonts w:cs="Times New Roman"/>
          <w:szCs w:val="24"/>
          <w:lang w:val="en-US"/>
        </w:rPr>
        <w:t xml:space="preserve"> historical data should be used, if possible. Moreover, it </w:t>
      </w:r>
      <w:proofErr w:type="gramStart"/>
      <w:r>
        <w:rPr>
          <w:rFonts w:cs="Times New Roman"/>
          <w:szCs w:val="24"/>
          <w:lang w:val="en-US"/>
        </w:rPr>
        <w:t>is also needed</w:t>
      </w:r>
      <w:proofErr w:type="gramEnd"/>
      <w:r>
        <w:rPr>
          <w:rFonts w:cs="Times New Roman"/>
          <w:szCs w:val="24"/>
          <w:lang w:val="en-US"/>
        </w:rPr>
        <w:t xml:space="preserve"> to choose the company industry from the drop down list (8) and choose the company’s ownership form (9). In case if company is public, current number of fully diluted shares outstanding and current share price have to be inserted (10, 11). In </w:t>
      </w:r>
      <w:proofErr w:type="gramStart"/>
      <w:r>
        <w:rPr>
          <w:rFonts w:cs="Times New Roman"/>
          <w:szCs w:val="24"/>
          <w:lang w:val="en-US"/>
        </w:rPr>
        <w:t>case</w:t>
      </w:r>
      <w:proofErr w:type="gramEnd"/>
      <w:r>
        <w:rPr>
          <w:rFonts w:cs="Times New Roman"/>
          <w:szCs w:val="24"/>
          <w:lang w:val="en-US"/>
        </w:rPr>
        <w:t xml:space="preserve"> if company is private, comparable P/E multiple should be input (12). </w:t>
      </w:r>
    </w:p>
    <w:p w:rsidR="000A2174" w:rsidRDefault="000A2174" w:rsidP="000A2174">
      <w:pPr>
        <w:pStyle w:val="a5"/>
        <w:spacing w:line="360" w:lineRule="auto"/>
        <w:jc w:val="center"/>
        <w:rPr>
          <w:rFonts w:cs="Times New Roman"/>
          <w:szCs w:val="24"/>
          <w:lang w:val="en-US"/>
        </w:rPr>
      </w:pPr>
      <w:r>
        <w:rPr>
          <w:noProof/>
          <w:lang w:eastAsia="ru-RU"/>
        </w:rPr>
        <w:drawing>
          <wp:inline distT="0" distB="0" distL="0" distR="0" wp14:anchorId="7235A2C4" wp14:editId="026F1642">
            <wp:extent cx="5939790" cy="1848175"/>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0565"/>
                    <a:stretch/>
                  </pic:blipFill>
                  <pic:spPr bwMode="auto">
                    <a:xfrm>
                      <a:off x="0" y="0"/>
                      <a:ext cx="5939790" cy="1848175"/>
                    </a:xfrm>
                    <a:prstGeom prst="rect">
                      <a:avLst/>
                    </a:prstGeom>
                    <a:ln>
                      <a:noFill/>
                    </a:ln>
                    <a:extLst>
                      <a:ext uri="{53640926-AAD7-44D8-BBD7-CCE9431645EC}">
                        <a14:shadowObscured xmlns:a14="http://schemas.microsoft.com/office/drawing/2010/main"/>
                      </a:ext>
                    </a:extLst>
                  </pic:spPr>
                </pic:pic>
              </a:graphicData>
            </a:graphic>
          </wp:inline>
        </w:drawing>
      </w:r>
    </w:p>
    <w:p w:rsidR="000A2174" w:rsidRDefault="000A2174" w:rsidP="000A2174">
      <w:pPr>
        <w:pStyle w:val="a5"/>
        <w:spacing w:line="360" w:lineRule="auto"/>
        <w:jc w:val="center"/>
        <w:rPr>
          <w:rFonts w:cs="Times New Roman"/>
          <w:szCs w:val="24"/>
          <w:lang w:val="en-US"/>
        </w:rPr>
      </w:pPr>
      <w:r>
        <w:rPr>
          <w:rFonts w:cs="Times New Roman"/>
          <w:szCs w:val="24"/>
          <w:lang w:val="en-US"/>
        </w:rPr>
        <w:t>Pic</w:t>
      </w:r>
      <w:r w:rsidR="007572E2">
        <w:rPr>
          <w:rFonts w:cs="Times New Roman"/>
          <w:szCs w:val="24"/>
          <w:lang w:val="en-US"/>
        </w:rPr>
        <w:t xml:space="preserve"> 11</w:t>
      </w:r>
      <w:r>
        <w:rPr>
          <w:rFonts w:cs="Times New Roman"/>
          <w:szCs w:val="24"/>
          <w:lang w:val="en-US"/>
        </w:rPr>
        <w:t xml:space="preserve">. Company data inputs </w:t>
      </w:r>
    </w:p>
    <w:p w:rsidR="00CC5388" w:rsidRDefault="00CC5388" w:rsidP="00CC5388">
      <w:pPr>
        <w:pStyle w:val="a5"/>
        <w:spacing w:line="360" w:lineRule="auto"/>
        <w:ind w:firstLine="567"/>
        <w:jc w:val="both"/>
        <w:rPr>
          <w:rFonts w:cs="Times New Roman"/>
          <w:szCs w:val="24"/>
          <w:lang w:val="en-US"/>
        </w:rPr>
      </w:pPr>
      <w:r>
        <w:rPr>
          <w:rFonts w:cs="Times New Roman"/>
          <w:szCs w:val="24"/>
          <w:lang w:val="en-US"/>
        </w:rPr>
        <w:t xml:space="preserve">On the next step, assumptions based cells </w:t>
      </w:r>
      <w:proofErr w:type="gramStart"/>
      <w:r>
        <w:rPr>
          <w:rFonts w:cs="Times New Roman"/>
          <w:szCs w:val="24"/>
          <w:lang w:val="en-US"/>
        </w:rPr>
        <w:t>should be filled in</w:t>
      </w:r>
      <w:proofErr w:type="gramEnd"/>
      <w:r>
        <w:rPr>
          <w:rFonts w:cs="Times New Roman"/>
          <w:szCs w:val="24"/>
          <w:lang w:val="en-US"/>
        </w:rPr>
        <w:t xml:space="preserve">. Like any other model, proposed LBO-model </w:t>
      </w:r>
      <w:proofErr w:type="gramStart"/>
      <w:r>
        <w:rPr>
          <w:rFonts w:cs="Times New Roman"/>
          <w:szCs w:val="24"/>
          <w:lang w:val="en-US"/>
        </w:rPr>
        <w:t>is based</w:t>
      </w:r>
      <w:proofErr w:type="gramEnd"/>
      <w:r>
        <w:rPr>
          <w:rFonts w:cs="Times New Roman"/>
          <w:szCs w:val="24"/>
          <w:lang w:val="en-US"/>
        </w:rPr>
        <w:t xml:space="preserve"> on simplifying assumptions. Within this work, the assumptions </w:t>
      </w:r>
      <w:proofErr w:type="gramStart"/>
      <w:r>
        <w:rPr>
          <w:rFonts w:cs="Times New Roman"/>
          <w:szCs w:val="24"/>
          <w:lang w:val="en-US"/>
        </w:rPr>
        <w:t>were grouped</w:t>
      </w:r>
      <w:proofErr w:type="gramEnd"/>
      <w:r>
        <w:rPr>
          <w:rFonts w:cs="Times New Roman"/>
          <w:szCs w:val="24"/>
          <w:lang w:val="en-US"/>
        </w:rPr>
        <w:t xml:space="preserve"> into three categories: basic model assumptions, sources of funds and uses of funds assumptions and operational assumptions. The model assumptions are its main drivers, and the output of the model itself is very much sensitive to this inputs. </w:t>
      </w:r>
    </w:p>
    <w:p w:rsidR="0070796F" w:rsidRDefault="0070796F" w:rsidP="00CC5388">
      <w:pPr>
        <w:pStyle w:val="a5"/>
        <w:spacing w:line="360" w:lineRule="auto"/>
        <w:ind w:firstLine="567"/>
        <w:jc w:val="both"/>
        <w:rPr>
          <w:rFonts w:cs="Times New Roman"/>
          <w:szCs w:val="24"/>
          <w:lang w:val="en-US"/>
        </w:rPr>
      </w:pPr>
      <w:r>
        <w:rPr>
          <w:rFonts w:cs="Times New Roman"/>
          <w:szCs w:val="24"/>
          <w:lang w:val="en-US"/>
        </w:rPr>
        <w:t>Assumption based inputs are the following: financing structure (sources of funds), operational assumptions, debt schedule, fees amortization schedule, purch</w:t>
      </w:r>
      <w:r w:rsidR="007A7800">
        <w:rPr>
          <w:rFonts w:cs="Times New Roman"/>
          <w:szCs w:val="24"/>
          <w:lang w:val="en-US"/>
        </w:rPr>
        <w:t xml:space="preserve">ase assumptions (uses of funds), exit multiple. </w:t>
      </w:r>
    </w:p>
    <w:p w:rsidR="00644478" w:rsidRPr="00644478" w:rsidRDefault="00644478" w:rsidP="00CC5388">
      <w:pPr>
        <w:pStyle w:val="a5"/>
        <w:spacing w:line="360" w:lineRule="auto"/>
        <w:ind w:firstLine="567"/>
        <w:jc w:val="both"/>
        <w:rPr>
          <w:rFonts w:cs="Times New Roman"/>
          <w:b/>
          <w:i/>
          <w:szCs w:val="24"/>
          <w:lang w:val="en-US"/>
        </w:rPr>
      </w:pPr>
      <w:r w:rsidRPr="00644478">
        <w:rPr>
          <w:rFonts w:cs="Times New Roman"/>
          <w:b/>
          <w:i/>
          <w:szCs w:val="24"/>
          <w:lang w:val="en-US"/>
        </w:rPr>
        <w:t xml:space="preserve">Uses of funds assumptions </w:t>
      </w:r>
    </w:p>
    <w:p w:rsidR="007C6A16" w:rsidRDefault="00644478" w:rsidP="00644478">
      <w:pPr>
        <w:pStyle w:val="a5"/>
        <w:spacing w:line="360" w:lineRule="auto"/>
        <w:ind w:firstLine="567"/>
        <w:jc w:val="both"/>
        <w:rPr>
          <w:rFonts w:cs="Times New Roman"/>
          <w:szCs w:val="24"/>
          <w:lang w:val="en-US"/>
        </w:rPr>
      </w:pPr>
      <w:r>
        <w:rPr>
          <w:rFonts w:cs="Times New Roman"/>
          <w:szCs w:val="24"/>
          <w:lang w:val="en-US"/>
        </w:rPr>
        <w:t xml:space="preserve">Uses of funds are comprised of three components – company purchase price, financing fees and other expenses (13). </w:t>
      </w:r>
    </w:p>
    <w:p w:rsidR="00741FFE" w:rsidRDefault="007C6A16" w:rsidP="00644478">
      <w:pPr>
        <w:pStyle w:val="a5"/>
        <w:spacing w:line="360" w:lineRule="auto"/>
        <w:ind w:firstLine="567"/>
        <w:jc w:val="both"/>
        <w:rPr>
          <w:rFonts w:cs="Times New Roman"/>
          <w:i/>
          <w:szCs w:val="24"/>
          <w:lang w:val="en-US"/>
        </w:rPr>
      </w:pPr>
      <w:r w:rsidRPr="007C6A16">
        <w:rPr>
          <w:rFonts w:cs="Times New Roman"/>
          <w:i/>
          <w:szCs w:val="24"/>
          <w:lang w:val="en-US"/>
        </w:rPr>
        <w:t xml:space="preserve">Purchase </w:t>
      </w:r>
      <w:r w:rsidR="00741FFE">
        <w:rPr>
          <w:rFonts w:cs="Times New Roman"/>
          <w:i/>
          <w:szCs w:val="24"/>
          <w:lang w:val="en-US"/>
        </w:rPr>
        <w:t>price</w:t>
      </w:r>
    </w:p>
    <w:p w:rsidR="00233CD2" w:rsidRDefault="00233CD2" w:rsidP="00644478">
      <w:pPr>
        <w:pStyle w:val="a5"/>
        <w:spacing w:line="360" w:lineRule="auto"/>
        <w:ind w:firstLine="567"/>
        <w:jc w:val="both"/>
        <w:rPr>
          <w:rFonts w:cs="Times New Roman"/>
          <w:szCs w:val="24"/>
          <w:lang w:val="en-US"/>
        </w:rPr>
      </w:pPr>
      <w:r>
        <w:rPr>
          <w:rFonts w:cs="Times New Roman"/>
          <w:szCs w:val="24"/>
          <w:lang w:val="en-US"/>
        </w:rPr>
        <w:t xml:space="preserve">The purchase price </w:t>
      </w:r>
      <w:proofErr w:type="gramStart"/>
      <w:r>
        <w:rPr>
          <w:rFonts w:cs="Times New Roman"/>
          <w:szCs w:val="24"/>
          <w:lang w:val="en-US"/>
        </w:rPr>
        <w:t>is formed</w:t>
      </w:r>
      <w:proofErr w:type="gramEnd"/>
      <w:r>
        <w:rPr>
          <w:rFonts w:cs="Times New Roman"/>
          <w:szCs w:val="24"/>
          <w:lang w:val="en-US"/>
        </w:rPr>
        <w:t xml:space="preserve"> by company value, </w:t>
      </w:r>
      <w:r w:rsidR="0070796F">
        <w:rPr>
          <w:rFonts w:cs="Times New Roman"/>
          <w:szCs w:val="24"/>
          <w:lang w:val="en-US"/>
        </w:rPr>
        <w:t>financing</w:t>
      </w:r>
      <w:r>
        <w:rPr>
          <w:rFonts w:cs="Times New Roman"/>
          <w:szCs w:val="24"/>
          <w:lang w:val="en-US"/>
        </w:rPr>
        <w:t xml:space="preserve"> fees and other expenses. </w:t>
      </w:r>
    </w:p>
    <w:p w:rsidR="00233CD2" w:rsidRPr="0070796F" w:rsidRDefault="00233CD2" w:rsidP="00233CD2">
      <w:pPr>
        <w:pStyle w:val="a5"/>
        <w:numPr>
          <w:ilvl w:val="1"/>
          <w:numId w:val="27"/>
        </w:numPr>
        <w:spacing w:line="360" w:lineRule="auto"/>
        <w:jc w:val="both"/>
        <w:rPr>
          <w:rFonts w:cs="Times New Roman"/>
          <w:i/>
          <w:szCs w:val="24"/>
          <w:lang w:val="en-US"/>
        </w:rPr>
      </w:pPr>
      <w:r w:rsidRPr="0070796F">
        <w:rPr>
          <w:rFonts w:cs="Times New Roman"/>
          <w:i/>
          <w:szCs w:val="24"/>
          <w:lang w:val="en-US"/>
        </w:rPr>
        <w:lastRenderedPageBreak/>
        <w:t xml:space="preserve">Company value </w:t>
      </w:r>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In order to conduct a leveraged buyout analysis, we first need to obtain a potential p</w:t>
      </w:r>
      <w:r w:rsidR="00233CD2">
        <w:rPr>
          <w:rFonts w:cs="Times New Roman"/>
          <w:szCs w:val="24"/>
          <w:lang w:val="en-US"/>
        </w:rPr>
        <w:t>urchase price of the entity</w:t>
      </w:r>
      <w:r>
        <w:rPr>
          <w:rFonts w:cs="Times New Roman"/>
          <w:szCs w:val="24"/>
          <w:lang w:val="en-US"/>
        </w:rPr>
        <w:t xml:space="preserve">, and calculate purchase EV/EBITDA multiple. Based on this multiple the investor makes a decision about the desired exit multiple. For example, knowing that today the company is traded at 7.5x EBITDA, the investor can focus on reselling the company in the future with at least the same multiple. </w:t>
      </w:r>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 xml:space="preserve">The </w:t>
      </w:r>
      <w:r w:rsidR="00033B2A">
        <w:rPr>
          <w:rFonts w:cs="Times New Roman"/>
          <w:szCs w:val="24"/>
          <w:lang w:val="en-US"/>
        </w:rPr>
        <w:t xml:space="preserve">equity </w:t>
      </w:r>
      <w:r>
        <w:rPr>
          <w:rFonts w:cs="Times New Roman"/>
          <w:szCs w:val="24"/>
          <w:lang w:val="en-US"/>
        </w:rPr>
        <w:t xml:space="preserve">purchase price of the company </w:t>
      </w:r>
      <w:proofErr w:type="gramStart"/>
      <w:r>
        <w:rPr>
          <w:rFonts w:cs="Times New Roman"/>
          <w:szCs w:val="24"/>
          <w:lang w:val="en-US"/>
        </w:rPr>
        <w:t>should be calculated</w:t>
      </w:r>
      <w:proofErr w:type="gramEnd"/>
      <w:r>
        <w:rPr>
          <w:rFonts w:cs="Times New Roman"/>
          <w:szCs w:val="24"/>
          <w:lang w:val="en-US"/>
        </w:rPr>
        <w:t xml:space="preserve"> differently for private and public companies (9). For a public company it is found as the market value of equity – fully diluted company shares * number of shares (1</w:t>
      </w:r>
      <w:r w:rsidR="00527057">
        <w:rPr>
          <w:rFonts w:cs="Times New Roman"/>
          <w:szCs w:val="24"/>
          <w:lang w:val="en-US"/>
        </w:rPr>
        <w:t>0</w:t>
      </w:r>
      <w:r>
        <w:rPr>
          <w:rFonts w:cs="Times New Roman"/>
          <w:szCs w:val="24"/>
          <w:lang w:val="en-US"/>
        </w:rPr>
        <w:t xml:space="preserve">). Since </w:t>
      </w:r>
      <w:proofErr w:type="gramStart"/>
      <w:r>
        <w:rPr>
          <w:rFonts w:cs="Times New Roman"/>
          <w:szCs w:val="24"/>
          <w:lang w:val="en-US"/>
        </w:rPr>
        <w:t>LBO</w:t>
      </w:r>
      <w:proofErr w:type="gramEnd"/>
      <w:r>
        <w:rPr>
          <w:rFonts w:cs="Times New Roman"/>
          <w:szCs w:val="24"/>
          <w:lang w:val="en-US"/>
        </w:rPr>
        <w:t xml:space="preserve"> transactions are carried out on the basis of market, rather than fundamental value, conducting a fundamental analysis of equity is irrelevant. </w:t>
      </w:r>
    </w:p>
    <w:p w:rsidR="00644478" w:rsidRDefault="00644478" w:rsidP="00644478">
      <w:pPr>
        <w:pStyle w:val="a5"/>
        <w:spacing w:line="360" w:lineRule="auto"/>
        <w:ind w:firstLine="567"/>
        <w:jc w:val="both"/>
        <w:rPr>
          <w:rFonts w:cs="Times New Roman"/>
          <w:szCs w:val="24"/>
          <w:lang w:val="en-US" w:eastAsia="ru-RU"/>
        </w:rPr>
      </w:pPr>
      <w:r>
        <w:rPr>
          <w:rFonts w:cs="Times New Roman"/>
          <w:szCs w:val="24"/>
          <w:lang w:val="en-US"/>
        </w:rPr>
        <w:t xml:space="preserve">For a private company we do not have a current market value, </w:t>
      </w:r>
      <w:proofErr w:type="gramStart"/>
      <w:r>
        <w:rPr>
          <w:rFonts w:cs="Times New Roman"/>
          <w:szCs w:val="24"/>
          <w:lang w:val="en-US"/>
        </w:rPr>
        <w:t>thus</w:t>
      </w:r>
      <w:proofErr w:type="gramEnd"/>
      <w:r>
        <w:rPr>
          <w:rFonts w:cs="Times New Roman"/>
          <w:szCs w:val="24"/>
          <w:lang w:val="en-US"/>
        </w:rPr>
        <w:t xml:space="preserve"> we need to use multiples to establish</w:t>
      </w:r>
      <w:r w:rsidR="00527057">
        <w:rPr>
          <w:rFonts w:cs="Times New Roman"/>
          <w:szCs w:val="24"/>
          <w:lang w:val="en-US"/>
        </w:rPr>
        <w:t xml:space="preserve"> an estimated purchase price (12</w:t>
      </w:r>
      <w:r>
        <w:rPr>
          <w:rFonts w:cs="Times New Roman"/>
          <w:szCs w:val="24"/>
          <w:lang w:val="en-US"/>
        </w:rPr>
        <w:t xml:space="preserve">). Multiples of a private company can be based on public company’s comparables or historical transaction multiples. In the proposed model price to earning multiple </w:t>
      </w:r>
      <w:proofErr w:type="gramStart"/>
      <w:r>
        <w:rPr>
          <w:rFonts w:cs="Times New Roman"/>
          <w:szCs w:val="24"/>
          <w:lang w:val="en-US"/>
        </w:rPr>
        <w:t>is used</w:t>
      </w:r>
      <w:proofErr w:type="gramEnd"/>
      <w:r>
        <w:rPr>
          <w:rFonts w:cs="Times New Roman"/>
          <w:szCs w:val="24"/>
          <w:lang w:val="en-US"/>
        </w:rPr>
        <w:t>, since it is most commonly used multiple in LBO-transactions. The proposed model takes into account the difference in the ownership form. The user should enter "public" for a public target and "private" for a private target. The LBO model template will automatically update the labels and calculations for each selection</w:t>
      </w:r>
      <w:r w:rsidR="00233CD2">
        <w:rPr>
          <w:rFonts w:cs="Times New Roman"/>
          <w:szCs w:val="24"/>
          <w:lang w:val="en-US" w:eastAsia="ru-RU"/>
        </w:rPr>
        <w:t>.</w:t>
      </w:r>
    </w:p>
    <w:p w:rsidR="00033B2A" w:rsidRDefault="00033B2A" w:rsidP="00033B2A">
      <w:pPr>
        <w:pStyle w:val="a5"/>
        <w:spacing w:line="360" w:lineRule="auto"/>
        <w:ind w:firstLine="567"/>
        <w:jc w:val="center"/>
        <w:rPr>
          <w:rFonts w:cs="Times New Roman"/>
          <w:szCs w:val="24"/>
          <w:lang w:val="en-US"/>
        </w:rPr>
      </w:pPr>
      <w:r w:rsidRPr="00033B2A">
        <w:rPr>
          <w:noProof/>
          <w:lang w:eastAsia="ru-RU"/>
        </w:rPr>
        <w:drawing>
          <wp:inline distT="0" distB="0" distL="0" distR="0">
            <wp:extent cx="3609975" cy="4216079"/>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3895" cy="4244015"/>
                    </a:xfrm>
                    <a:prstGeom prst="rect">
                      <a:avLst/>
                    </a:prstGeom>
                    <a:noFill/>
                    <a:ln>
                      <a:noFill/>
                    </a:ln>
                  </pic:spPr>
                </pic:pic>
              </a:graphicData>
            </a:graphic>
          </wp:inline>
        </w:drawing>
      </w:r>
    </w:p>
    <w:p w:rsidR="00FC326B" w:rsidRDefault="00FC326B" w:rsidP="00033B2A">
      <w:pPr>
        <w:pStyle w:val="a5"/>
        <w:spacing w:line="360" w:lineRule="auto"/>
        <w:ind w:firstLine="567"/>
        <w:jc w:val="center"/>
        <w:rPr>
          <w:rFonts w:cs="Times New Roman"/>
          <w:szCs w:val="24"/>
          <w:lang w:val="en-US"/>
        </w:rPr>
      </w:pPr>
      <w:r>
        <w:rPr>
          <w:rFonts w:cs="Times New Roman"/>
          <w:szCs w:val="24"/>
          <w:lang w:val="en-US"/>
        </w:rPr>
        <w:t>Pic</w:t>
      </w:r>
      <w:r w:rsidR="007572E2">
        <w:rPr>
          <w:rFonts w:cs="Times New Roman"/>
          <w:szCs w:val="24"/>
          <w:lang w:val="en-US"/>
        </w:rPr>
        <w:t xml:space="preserve"> 12</w:t>
      </w:r>
      <w:r>
        <w:rPr>
          <w:rFonts w:cs="Times New Roman"/>
          <w:szCs w:val="24"/>
          <w:lang w:val="en-US"/>
        </w:rPr>
        <w:t xml:space="preserve">. Calculating </w:t>
      </w:r>
      <w:r w:rsidR="007A7800">
        <w:rPr>
          <w:rFonts w:cs="Times New Roman"/>
          <w:szCs w:val="24"/>
          <w:lang w:val="en-US"/>
        </w:rPr>
        <w:t>company</w:t>
      </w:r>
      <w:r>
        <w:rPr>
          <w:rFonts w:cs="Times New Roman"/>
          <w:szCs w:val="24"/>
          <w:lang w:val="en-US"/>
        </w:rPr>
        <w:t xml:space="preserve"> value </w:t>
      </w:r>
    </w:p>
    <w:p w:rsidR="00233CD2" w:rsidRPr="00644478" w:rsidRDefault="00233CD2" w:rsidP="00233CD2">
      <w:pPr>
        <w:pStyle w:val="a5"/>
        <w:spacing w:line="360" w:lineRule="auto"/>
        <w:ind w:firstLine="567"/>
        <w:rPr>
          <w:rFonts w:cs="Times New Roman"/>
          <w:szCs w:val="24"/>
          <w:lang w:val="en-US"/>
        </w:rPr>
      </w:pPr>
      <w:proofErr w:type="gramStart"/>
      <w:r>
        <w:rPr>
          <w:rFonts w:cs="Times New Roman"/>
          <w:szCs w:val="24"/>
          <w:lang w:val="en-US"/>
        </w:rPr>
        <w:lastRenderedPageBreak/>
        <w:t>To eventually determine</w:t>
      </w:r>
      <w:proofErr w:type="gramEnd"/>
      <w:r>
        <w:rPr>
          <w:rFonts w:cs="Times New Roman"/>
          <w:szCs w:val="24"/>
          <w:lang w:val="en-US"/>
        </w:rPr>
        <w:t xml:space="preserve"> the company value the net debt is added to equity value. </w:t>
      </w:r>
    </w:p>
    <w:p w:rsidR="00644478" w:rsidRPr="00644478" w:rsidRDefault="00644478" w:rsidP="00644478">
      <w:pPr>
        <w:pStyle w:val="a5"/>
        <w:spacing w:line="360" w:lineRule="auto"/>
        <w:ind w:firstLine="567"/>
        <w:jc w:val="both"/>
        <w:rPr>
          <w:rFonts w:cs="Times New Roman"/>
          <w:i/>
          <w:szCs w:val="24"/>
          <w:lang w:val="en-US"/>
        </w:rPr>
      </w:pPr>
      <w:r w:rsidRPr="00644478">
        <w:rPr>
          <w:rFonts w:cs="Times New Roman"/>
          <w:i/>
          <w:szCs w:val="24"/>
          <w:lang w:val="en-US"/>
        </w:rPr>
        <w:t xml:space="preserve">Control premium assumption </w:t>
      </w:r>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As mentioned in the LBO-screener part, i</w:t>
      </w:r>
      <w:r w:rsidRPr="00644478">
        <w:rPr>
          <w:rFonts w:cs="Times New Roman"/>
          <w:szCs w:val="24"/>
          <w:lang w:val="en-US"/>
        </w:rPr>
        <w:t>nvestors usually have to pay a premium to gain control of a target company.</w:t>
      </w:r>
      <w:r w:rsidRPr="00644478">
        <w:rPr>
          <w:rStyle w:val="a9"/>
          <w:rFonts w:cs="Times New Roman"/>
          <w:szCs w:val="24"/>
          <w:lang w:val="en-US"/>
        </w:rPr>
        <w:footnoteReference w:id="49"/>
      </w:r>
      <w:r w:rsidRPr="00644478">
        <w:rPr>
          <w:rFonts w:cs="Times New Roman"/>
          <w:szCs w:val="24"/>
          <w:lang w:val="en-US"/>
        </w:rPr>
        <w:t xml:space="preserve"> A control premium is the amount that a buyer is willing to pay over and above the current market price in order to acquire a controlling interest in that specific company. </w:t>
      </w:r>
      <w:r>
        <w:rPr>
          <w:rFonts w:cs="Times New Roman"/>
          <w:szCs w:val="24"/>
          <w:lang w:val="en-US"/>
        </w:rPr>
        <w:t xml:space="preserve">The price of the company's shares, including the premium for control, </w:t>
      </w:r>
      <w:proofErr w:type="gramStart"/>
      <w:r>
        <w:rPr>
          <w:rFonts w:cs="Times New Roman"/>
          <w:szCs w:val="24"/>
          <w:lang w:val="en-US"/>
        </w:rPr>
        <w:t>is determined</w:t>
      </w:r>
      <w:proofErr w:type="gramEnd"/>
      <w:r>
        <w:rPr>
          <w:rFonts w:cs="Times New Roman"/>
          <w:szCs w:val="24"/>
          <w:lang w:val="en-US"/>
        </w:rPr>
        <w:t xml:space="preserve"> by the following formula (17):</w:t>
      </w:r>
    </w:p>
    <w:p w:rsidR="00644478" w:rsidRDefault="00644478" w:rsidP="00644478">
      <w:pPr>
        <w:pStyle w:val="a5"/>
        <w:spacing w:line="360" w:lineRule="auto"/>
        <w:ind w:firstLine="567"/>
        <w:jc w:val="center"/>
        <w:rPr>
          <w:rFonts w:cs="Times New Roman"/>
          <w:szCs w:val="24"/>
          <w:lang w:val="en-US"/>
        </w:rPr>
      </w:pPr>
      <w:r>
        <w:rPr>
          <w:rFonts w:cs="Times New Roman"/>
          <w:szCs w:val="24"/>
          <w:lang w:val="en-US"/>
        </w:rPr>
        <w:t>Current share price * (1 + control premium)</w:t>
      </w:r>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Defining the value of control premium is an extremely important thing in LBO-analysis, since the output of LBO-model is highly sensitive to assumed transaction prices.</w:t>
      </w:r>
      <w:r>
        <w:rPr>
          <w:rStyle w:val="a9"/>
          <w:rFonts w:cs="Times New Roman"/>
          <w:szCs w:val="24"/>
          <w:lang w:val="en-US"/>
        </w:rPr>
        <w:footnoteReference w:id="50"/>
      </w:r>
      <w:r>
        <w:rPr>
          <w:rFonts w:cs="Times New Roman"/>
          <w:szCs w:val="24"/>
          <w:lang w:val="en-US"/>
        </w:rPr>
        <w:t xml:space="preserve"> Defining the appropriate premium for control has become an issue of a strong controversy among scholars. Some authors say a figure of close to 20% </w:t>
      </w:r>
      <w:proofErr w:type="gramStart"/>
      <w:r>
        <w:rPr>
          <w:rFonts w:cs="Times New Roman"/>
          <w:szCs w:val="24"/>
          <w:lang w:val="en-US"/>
        </w:rPr>
        <w:t>should be used</w:t>
      </w:r>
      <w:proofErr w:type="gramEnd"/>
      <w:r>
        <w:rPr>
          <w:rFonts w:cs="Times New Roman"/>
          <w:szCs w:val="24"/>
          <w:lang w:val="en-US"/>
        </w:rPr>
        <w:t>.</w:t>
      </w:r>
      <w:r>
        <w:rPr>
          <w:rStyle w:val="a9"/>
          <w:rFonts w:cs="Times New Roman"/>
          <w:szCs w:val="24"/>
          <w:lang w:val="en-US"/>
        </w:rPr>
        <w:footnoteReference w:id="51"/>
      </w:r>
      <w:r>
        <w:rPr>
          <w:rFonts w:cs="Times New Roman"/>
          <w:szCs w:val="24"/>
          <w:lang w:val="en-US"/>
        </w:rPr>
        <w:t xml:space="preserve">  </w:t>
      </w:r>
      <w:proofErr w:type="gramStart"/>
      <w:r>
        <w:rPr>
          <w:rFonts w:cs="Times New Roman"/>
          <w:szCs w:val="24"/>
          <w:lang w:val="en-US"/>
        </w:rPr>
        <w:t xml:space="preserve">According to </w:t>
      </w:r>
      <w:r>
        <w:rPr>
          <w:rFonts w:cs="Times New Roman"/>
          <w:bCs/>
          <w:szCs w:val="24"/>
          <w:lang w:val="en-US"/>
        </w:rPr>
        <w:t xml:space="preserve">RSM Bird Cameron’s 2017 Control Premium Study, control premiums are influenced by a number of factors including target’s industry sector, toehold (extent of acquirers existing holding in the target), </w:t>
      </w:r>
      <w:r>
        <w:rPr>
          <w:rFonts w:cs="Times New Roman"/>
          <w:szCs w:val="24"/>
          <w:lang w:val="en-US"/>
        </w:rPr>
        <w:t xml:space="preserve">size and market capitalization of the target, financing structure, the presence of the buyer's share in the target company, the quality of the current management, the unrealized potential of the company, the strength of the synergetic effect from the merger, etc. </w:t>
      </w:r>
      <w:r>
        <w:rPr>
          <w:rStyle w:val="a9"/>
          <w:rFonts w:cs="Times New Roman"/>
          <w:szCs w:val="24"/>
          <w:lang w:val="en-US"/>
        </w:rPr>
        <w:footnoteReference w:id="52"/>
      </w:r>
      <w:proofErr w:type="gramEnd"/>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 xml:space="preserve">Control premiums </w:t>
      </w:r>
      <w:proofErr w:type="gramStart"/>
      <w:r>
        <w:rPr>
          <w:rFonts w:cs="Times New Roman"/>
          <w:szCs w:val="24"/>
          <w:lang w:val="en-US"/>
        </w:rPr>
        <w:t>can be also based</w:t>
      </w:r>
      <w:proofErr w:type="gramEnd"/>
      <w:r>
        <w:rPr>
          <w:rFonts w:cs="Times New Roman"/>
          <w:szCs w:val="24"/>
          <w:lang w:val="en-US"/>
        </w:rPr>
        <w:t xml:space="preserve"> on statistical data on comparable transactions. Financial analysts usually model the expected control premium using the historical deal premiums offered or paid for a comparable peer group of companies, which recently received buyout bids.</w:t>
      </w:r>
      <w:r>
        <w:rPr>
          <w:rStyle w:val="a9"/>
          <w:rFonts w:cs="Times New Roman"/>
          <w:szCs w:val="24"/>
          <w:lang w:val="en-US"/>
        </w:rPr>
        <w:footnoteReference w:id="53"/>
      </w:r>
      <w:r>
        <w:rPr>
          <w:rFonts w:cs="Times New Roman"/>
          <w:szCs w:val="24"/>
          <w:lang w:val="en-US"/>
        </w:rPr>
        <w:t xml:space="preserve"> </w:t>
      </w:r>
    </w:p>
    <w:p w:rsidR="00644478" w:rsidRDefault="00644478" w:rsidP="00644478">
      <w:pPr>
        <w:pStyle w:val="a5"/>
        <w:spacing w:line="360" w:lineRule="auto"/>
        <w:ind w:firstLine="567"/>
        <w:jc w:val="both"/>
        <w:rPr>
          <w:rFonts w:cs="Times New Roman"/>
          <w:szCs w:val="24"/>
          <w:lang w:val="en-US"/>
        </w:rPr>
      </w:pPr>
      <w:r>
        <w:rPr>
          <w:rFonts w:cs="Times New Roman"/>
          <w:szCs w:val="24"/>
          <w:lang w:val="en-US"/>
        </w:rPr>
        <w:t xml:space="preserve">However, the proposed model also gives an opportunity to plug in the current market price plus a premium into the model and see, subject to operating and capital structure assumptions, what IRR emerges. </w:t>
      </w:r>
    </w:p>
    <w:p w:rsidR="00233CD2" w:rsidRPr="0070796F" w:rsidRDefault="00233CD2" w:rsidP="00233CD2">
      <w:pPr>
        <w:pStyle w:val="a5"/>
        <w:numPr>
          <w:ilvl w:val="1"/>
          <w:numId w:val="27"/>
        </w:numPr>
        <w:spacing w:line="360" w:lineRule="auto"/>
        <w:jc w:val="both"/>
        <w:rPr>
          <w:rFonts w:cs="Times New Roman"/>
          <w:i/>
          <w:szCs w:val="24"/>
          <w:lang w:val="en-US"/>
        </w:rPr>
      </w:pPr>
      <w:r w:rsidRPr="0070796F">
        <w:rPr>
          <w:rFonts w:cs="Times New Roman"/>
          <w:i/>
          <w:szCs w:val="24"/>
          <w:lang w:val="en-US"/>
        </w:rPr>
        <w:t xml:space="preserve">Transaction fees </w:t>
      </w:r>
    </w:p>
    <w:p w:rsidR="00233CD2" w:rsidRPr="00233CD2" w:rsidRDefault="00233CD2" w:rsidP="00233CD2">
      <w:pPr>
        <w:pStyle w:val="a5"/>
        <w:spacing w:line="360" w:lineRule="auto"/>
        <w:jc w:val="both"/>
        <w:rPr>
          <w:rFonts w:cs="Times New Roman"/>
          <w:szCs w:val="24"/>
          <w:lang w:val="en-US"/>
        </w:rPr>
      </w:pPr>
      <w:r>
        <w:rPr>
          <w:rFonts w:cs="Times New Roman"/>
          <w:szCs w:val="24"/>
          <w:lang w:val="en-US"/>
        </w:rPr>
        <w:t xml:space="preserve">Transaction fees </w:t>
      </w:r>
      <w:proofErr w:type="gramStart"/>
      <w:r>
        <w:rPr>
          <w:rFonts w:cs="Times New Roman"/>
          <w:szCs w:val="24"/>
          <w:lang w:val="en-US"/>
        </w:rPr>
        <w:t xml:space="preserve">are </w:t>
      </w:r>
      <w:r w:rsidR="00D26B32">
        <w:rPr>
          <w:rFonts w:cs="Times New Roman"/>
          <w:szCs w:val="24"/>
          <w:lang w:val="en-US"/>
        </w:rPr>
        <w:t>assumed</w:t>
      </w:r>
      <w:proofErr w:type="gramEnd"/>
      <w:r w:rsidR="00D26B32">
        <w:rPr>
          <w:rFonts w:cs="Times New Roman"/>
          <w:szCs w:val="24"/>
          <w:lang w:val="en-US"/>
        </w:rPr>
        <w:t xml:space="preserve"> as </w:t>
      </w:r>
      <w:r>
        <w:rPr>
          <w:rFonts w:cs="Times New Roman"/>
          <w:szCs w:val="24"/>
          <w:lang w:val="en-US"/>
        </w:rPr>
        <w:t>the sum o</w:t>
      </w:r>
      <w:r w:rsidR="0070796F">
        <w:rPr>
          <w:rFonts w:cs="Times New Roman"/>
          <w:szCs w:val="24"/>
          <w:lang w:val="en-US"/>
        </w:rPr>
        <w:t>f the costs of different debt components.</w:t>
      </w:r>
    </w:p>
    <w:p w:rsidR="008478D8" w:rsidRPr="0070796F" w:rsidRDefault="008478D8" w:rsidP="00233CD2">
      <w:pPr>
        <w:pStyle w:val="a5"/>
        <w:numPr>
          <w:ilvl w:val="1"/>
          <w:numId w:val="27"/>
        </w:numPr>
        <w:spacing w:line="360" w:lineRule="auto"/>
        <w:jc w:val="both"/>
        <w:rPr>
          <w:rFonts w:cs="Times New Roman"/>
          <w:i/>
          <w:szCs w:val="24"/>
          <w:lang w:val="en-US"/>
        </w:rPr>
      </w:pPr>
      <w:r w:rsidRPr="0070796F">
        <w:rPr>
          <w:rFonts w:cs="Times New Roman"/>
          <w:i/>
          <w:szCs w:val="24"/>
          <w:lang w:val="en-US"/>
        </w:rPr>
        <w:t>Other expenses</w:t>
      </w:r>
    </w:p>
    <w:p w:rsidR="008478D8" w:rsidRDefault="008478D8" w:rsidP="009C49DB">
      <w:pPr>
        <w:pStyle w:val="a5"/>
        <w:spacing w:line="360" w:lineRule="auto"/>
        <w:ind w:firstLine="567"/>
        <w:jc w:val="both"/>
        <w:rPr>
          <w:rFonts w:cs="Times New Roman"/>
          <w:szCs w:val="24"/>
          <w:lang w:val="en-US"/>
        </w:rPr>
      </w:pPr>
      <w:r>
        <w:rPr>
          <w:rFonts w:cs="Times New Roman"/>
          <w:szCs w:val="24"/>
          <w:lang w:val="en-US"/>
        </w:rPr>
        <w:t xml:space="preserve">Other expenses, such as transaction fees (25) </w:t>
      </w:r>
      <w:r w:rsidR="007A7800">
        <w:rPr>
          <w:rFonts w:cs="Times New Roman"/>
          <w:szCs w:val="24"/>
          <w:lang w:val="en-US"/>
        </w:rPr>
        <w:t xml:space="preserve">have to </w:t>
      </w:r>
      <w:proofErr w:type="gramStart"/>
      <w:r w:rsidR="007A7800">
        <w:rPr>
          <w:rFonts w:cs="Times New Roman"/>
          <w:szCs w:val="24"/>
          <w:lang w:val="en-US"/>
        </w:rPr>
        <w:t>be assumed</w:t>
      </w:r>
      <w:proofErr w:type="gramEnd"/>
      <w:r w:rsidR="00D26B32">
        <w:rPr>
          <w:rFonts w:cs="Times New Roman"/>
          <w:szCs w:val="24"/>
          <w:lang w:val="en-US"/>
        </w:rPr>
        <w:t xml:space="preserve"> as well</w:t>
      </w:r>
      <w:r>
        <w:rPr>
          <w:rFonts w:cs="Times New Roman"/>
          <w:szCs w:val="24"/>
          <w:lang w:val="en-US"/>
        </w:rPr>
        <w:t xml:space="preserve">. </w:t>
      </w:r>
      <w:r w:rsidR="009C49DB">
        <w:rPr>
          <w:rFonts w:cs="Times New Roman"/>
          <w:szCs w:val="24"/>
          <w:lang w:val="en-US"/>
        </w:rPr>
        <w:t>Transaction fees are very important item of the analysis. These are</w:t>
      </w:r>
      <w:r w:rsidR="009C49DB" w:rsidRPr="009C49DB">
        <w:rPr>
          <w:rFonts w:cs="Times New Roman"/>
          <w:szCs w:val="24"/>
          <w:lang w:val="en-US"/>
        </w:rPr>
        <w:t xml:space="preserve"> expenses related </w:t>
      </w:r>
      <w:r w:rsidR="009C49DB">
        <w:rPr>
          <w:rFonts w:cs="Times New Roman"/>
          <w:szCs w:val="24"/>
          <w:lang w:val="en-US"/>
        </w:rPr>
        <w:t>to the pursuit and close of the buyout</w:t>
      </w:r>
      <w:r w:rsidR="009C49DB" w:rsidRPr="009C49DB">
        <w:rPr>
          <w:rFonts w:cs="Times New Roman"/>
          <w:szCs w:val="24"/>
          <w:lang w:val="en-US"/>
        </w:rPr>
        <w:t>. Lawyers and investment ban</w:t>
      </w:r>
      <w:r w:rsidR="009C49DB">
        <w:rPr>
          <w:rFonts w:cs="Times New Roman"/>
          <w:szCs w:val="24"/>
          <w:lang w:val="en-US"/>
        </w:rPr>
        <w:t xml:space="preserve">kers need to </w:t>
      </w:r>
      <w:proofErr w:type="gramStart"/>
      <w:r w:rsidR="009C49DB">
        <w:rPr>
          <w:rFonts w:cs="Times New Roman"/>
          <w:szCs w:val="24"/>
          <w:lang w:val="en-US"/>
        </w:rPr>
        <w:t>get</w:t>
      </w:r>
      <w:proofErr w:type="gramEnd"/>
      <w:r w:rsidR="009C49DB">
        <w:rPr>
          <w:rFonts w:cs="Times New Roman"/>
          <w:szCs w:val="24"/>
          <w:lang w:val="en-US"/>
        </w:rPr>
        <w:t xml:space="preserve"> paid for their </w:t>
      </w:r>
      <w:r w:rsidR="009C49DB" w:rsidRPr="009C49DB">
        <w:rPr>
          <w:rFonts w:cs="Times New Roman"/>
          <w:szCs w:val="24"/>
          <w:lang w:val="en-US"/>
        </w:rPr>
        <w:t>services in helping the deal come togethe</w:t>
      </w:r>
      <w:r w:rsidR="009C49DB">
        <w:rPr>
          <w:rFonts w:cs="Times New Roman"/>
          <w:szCs w:val="24"/>
          <w:lang w:val="en-US"/>
        </w:rPr>
        <w:t xml:space="preserve">r. The fees can run from a small </w:t>
      </w:r>
      <w:r w:rsidR="009C49DB" w:rsidRPr="009C49DB">
        <w:rPr>
          <w:rFonts w:cs="Times New Roman"/>
          <w:szCs w:val="24"/>
          <w:lang w:val="en-US"/>
        </w:rPr>
        <w:t>retainer to a percentage of the transact</w:t>
      </w:r>
      <w:r w:rsidR="009C49DB">
        <w:rPr>
          <w:rFonts w:cs="Times New Roman"/>
          <w:szCs w:val="24"/>
          <w:lang w:val="en-US"/>
        </w:rPr>
        <w:t xml:space="preserve">ion size. The </w:t>
      </w:r>
      <w:r w:rsidR="009C49DB">
        <w:rPr>
          <w:rFonts w:cs="Times New Roman"/>
          <w:szCs w:val="24"/>
          <w:lang w:val="en-US"/>
        </w:rPr>
        <w:lastRenderedPageBreak/>
        <w:t>amount depends on negotiations and fi</w:t>
      </w:r>
      <w:r w:rsidR="009C49DB" w:rsidRPr="009C49DB">
        <w:rPr>
          <w:rFonts w:cs="Times New Roman"/>
          <w:szCs w:val="24"/>
          <w:lang w:val="en-US"/>
        </w:rPr>
        <w:t>rm</w:t>
      </w:r>
      <w:r w:rsidR="009C49DB">
        <w:rPr>
          <w:rFonts w:cs="Times New Roman"/>
          <w:szCs w:val="24"/>
          <w:lang w:val="en-US"/>
        </w:rPr>
        <w:t xml:space="preserve"> </w:t>
      </w:r>
      <w:r w:rsidR="009C49DB" w:rsidRPr="009C49DB">
        <w:rPr>
          <w:rFonts w:cs="Times New Roman"/>
          <w:szCs w:val="24"/>
          <w:lang w:val="en-US"/>
        </w:rPr>
        <w:t xml:space="preserve">wide policy. </w:t>
      </w:r>
      <w:r w:rsidR="009C49DB">
        <w:rPr>
          <w:rFonts w:cs="Times New Roman"/>
          <w:szCs w:val="24"/>
          <w:lang w:val="en-US"/>
        </w:rPr>
        <w:t xml:space="preserve">Main categories of transaction fees </w:t>
      </w:r>
      <w:proofErr w:type="gramStart"/>
      <w:r w:rsidR="009C49DB">
        <w:rPr>
          <w:rFonts w:cs="Times New Roman"/>
          <w:szCs w:val="24"/>
          <w:lang w:val="en-US"/>
        </w:rPr>
        <w:t>are:</w:t>
      </w:r>
      <w:proofErr w:type="gramEnd"/>
      <w:r w:rsidR="009C49DB">
        <w:rPr>
          <w:rFonts w:cs="Times New Roman"/>
          <w:szCs w:val="24"/>
          <w:lang w:val="en-US"/>
        </w:rPr>
        <w:t xml:space="preserve"> investment banking fees, legal fees, due-diligence costs, environmental assessment costs, human resources costs, debt fees, equity fees.</w:t>
      </w:r>
    </w:p>
    <w:p w:rsidR="00644478" w:rsidRPr="00741FFE" w:rsidRDefault="007C6A16" w:rsidP="00644478">
      <w:pPr>
        <w:pStyle w:val="a5"/>
        <w:spacing w:line="360" w:lineRule="auto"/>
        <w:ind w:firstLine="567"/>
        <w:jc w:val="both"/>
        <w:rPr>
          <w:rFonts w:cs="Times New Roman"/>
          <w:b/>
          <w:i/>
          <w:szCs w:val="24"/>
          <w:lang w:val="en-US"/>
        </w:rPr>
      </w:pPr>
      <w:r w:rsidRPr="00741FFE">
        <w:rPr>
          <w:rFonts w:cs="Times New Roman"/>
          <w:b/>
          <w:i/>
          <w:szCs w:val="24"/>
          <w:lang w:val="en-US"/>
        </w:rPr>
        <w:t>Sources of funds assumptions</w:t>
      </w:r>
    </w:p>
    <w:p w:rsidR="007C6A16" w:rsidRDefault="007C6A16" w:rsidP="007C6A16">
      <w:pPr>
        <w:pStyle w:val="a5"/>
        <w:spacing w:line="360" w:lineRule="auto"/>
        <w:ind w:firstLine="567"/>
        <w:jc w:val="both"/>
        <w:rPr>
          <w:rFonts w:cs="Times New Roman"/>
          <w:szCs w:val="24"/>
          <w:lang w:val="en-US"/>
        </w:rPr>
      </w:pPr>
      <w:r>
        <w:rPr>
          <w:rFonts w:cs="Times New Roman"/>
          <w:szCs w:val="24"/>
          <w:lang w:val="en-US"/>
        </w:rPr>
        <w:t xml:space="preserve">Sources of funds assumption consists of two main parts: assumptions regarding the financial leverage </w:t>
      </w:r>
      <w:r w:rsidR="00527057">
        <w:rPr>
          <w:rFonts w:cs="Times New Roman"/>
          <w:szCs w:val="24"/>
          <w:lang w:val="en-US"/>
        </w:rPr>
        <w:t xml:space="preserve">(18) </w:t>
      </w:r>
      <w:r>
        <w:rPr>
          <w:rFonts w:cs="Times New Roman"/>
          <w:szCs w:val="24"/>
          <w:lang w:val="en-US"/>
        </w:rPr>
        <w:t>and assumptions regarding financing structure</w:t>
      </w:r>
      <w:r w:rsidR="00527057">
        <w:rPr>
          <w:rFonts w:cs="Times New Roman"/>
          <w:szCs w:val="24"/>
          <w:lang w:val="en-US"/>
        </w:rPr>
        <w:t xml:space="preserve"> (19)</w:t>
      </w:r>
      <w:r>
        <w:rPr>
          <w:rFonts w:cs="Times New Roman"/>
          <w:szCs w:val="24"/>
          <w:lang w:val="en-US"/>
        </w:rPr>
        <w:t xml:space="preserve"> of an LBO transaction. Financial </w:t>
      </w:r>
      <w:proofErr w:type="gramStart"/>
      <w:r>
        <w:rPr>
          <w:rFonts w:cs="Times New Roman"/>
          <w:szCs w:val="24"/>
          <w:lang w:val="en-US"/>
        </w:rPr>
        <w:t>leverage</w:t>
      </w:r>
      <w:proofErr w:type="gramEnd"/>
      <w:r>
        <w:rPr>
          <w:rFonts w:cs="Times New Roman"/>
          <w:szCs w:val="24"/>
          <w:lang w:val="en-US"/>
        </w:rPr>
        <w:t xml:space="preserve"> assumption is made according to th</w:t>
      </w:r>
      <w:r w:rsidR="00741FFE">
        <w:rPr>
          <w:rFonts w:cs="Times New Roman"/>
          <w:szCs w:val="24"/>
          <w:lang w:val="en-US"/>
        </w:rPr>
        <w:t xml:space="preserve">e same rule as in LBO-screener: model </w:t>
      </w:r>
      <w:r w:rsidR="00741FFE" w:rsidRPr="00741FFE">
        <w:rPr>
          <w:rFonts w:cs="Times New Roman"/>
          <w:szCs w:val="24"/>
          <w:lang w:val="en-US"/>
        </w:rPr>
        <w:t xml:space="preserve">uses sector specific debt/EBITDA ratios to determine the initial debt level. </w:t>
      </w:r>
    </w:p>
    <w:p w:rsidR="00741FFE" w:rsidRDefault="00741FFE" w:rsidP="00741FFE">
      <w:pPr>
        <w:pStyle w:val="a5"/>
        <w:spacing w:line="360" w:lineRule="auto"/>
        <w:ind w:firstLine="360"/>
        <w:jc w:val="both"/>
        <w:rPr>
          <w:rFonts w:cs="Times New Roman"/>
          <w:szCs w:val="24"/>
          <w:lang w:val="en-US"/>
        </w:rPr>
      </w:pPr>
      <w:r>
        <w:rPr>
          <w:rFonts w:cs="Times New Roman"/>
          <w:szCs w:val="24"/>
          <w:lang w:val="en-US"/>
        </w:rPr>
        <w:t xml:space="preserve">As for financing </w:t>
      </w:r>
      <w:proofErr w:type="gramStart"/>
      <w:r>
        <w:rPr>
          <w:rFonts w:cs="Times New Roman"/>
          <w:szCs w:val="24"/>
          <w:lang w:val="en-US"/>
        </w:rPr>
        <w:t>structure</w:t>
      </w:r>
      <w:proofErr w:type="gramEnd"/>
      <w:r>
        <w:rPr>
          <w:rFonts w:cs="Times New Roman"/>
          <w:szCs w:val="24"/>
          <w:lang w:val="en-US"/>
        </w:rPr>
        <w:t xml:space="preserve"> the designed model broadly mirrors the financing of a typical buyout. That is, it comprises a mix of three tiers of senior debt, A, B and C tranches, a tier of subordinated high yield (junk) debt and higher yielding, more subordinated, mezzanine debt. The A, B and C tiers are usually seven, eight and nine years’ maturity. Buyouts in the last two years have increasingly utilized a tier of second lien debt, so-called for its subordination to the three tiers of senior debt, which have a first lien on the assets of the credit. A, B and C tranches are modelled as amortizing, which provides some cushion of comfort as in practice repayment is likely to be a bullet. The maturities involved require cash flow forecasts 10 years out.</w:t>
      </w:r>
    </w:p>
    <w:p w:rsidR="00527057" w:rsidRDefault="00527057" w:rsidP="00741FFE">
      <w:pPr>
        <w:pStyle w:val="a5"/>
        <w:spacing w:line="360" w:lineRule="auto"/>
        <w:ind w:firstLine="360"/>
        <w:jc w:val="both"/>
        <w:rPr>
          <w:rFonts w:cs="Times New Roman"/>
          <w:szCs w:val="24"/>
          <w:lang w:val="en-US"/>
        </w:rPr>
      </w:pPr>
      <w:r>
        <w:rPr>
          <w:rFonts w:cs="Times New Roman"/>
          <w:szCs w:val="24"/>
          <w:lang w:val="en-US"/>
        </w:rPr>
        <w:t xml:space="preserve">Along with the assumptions regarding the financial </w:t>
      </w:r>
      <w:proofErr w:type="gramStart"/>
      <w:r>
        <w:rPr>
          <w:rFonts w:cs="Times New Roman"/>
          <w:szCs w:val="24"/>
          <w:lang w:val="en-US"/>
        </w:rPr>
        <w:t>leverage</w:t>
      </w:r>
      <w:proofErr w:type="gramEnd"/>
      <w:r>
        <w:rPr>
          <w:rFonts w:cs="Times New Roman"/>
          <w:szCs w:val="24"/>
          <w:lang w:val="en-US"/>
        </w:rPr>
        <w:t xml:space="preserve"> and debt structure, an assumptions about the debt schedule should be made (24). </w:t>
      </w:r>
    </w:p>
    <w:p w:rsidR="00741FFE" w:rsidRPr="00741FFE" w:rsidRDefault="00741FFE" w:rsidP="00741FFE">
      <w:pPr>
        <w:pStyle w:val="a5"/>
        <w:spacing w:line="360" w:lineRule="auto"/>
        <w:ind w:firstLine="360"/>
        <w:jc w:val="both"/>
        <w:rPr>
          <w:rFonts w:cs="Times New Roman"/>
          <w:b/>
          <w:i/>
          <w:szCs w:val="24"/>
          <w:lang w:val="en-US"/>
        </w:rPr>
      </w:pPr>
      <w:r w:rsidRPr="00741FFE">
        <w:rPr>
          <w:rFonts w:cs="Times New Roman"/>
          <w:b/>
          <w:i/>
          <w:szCs w:val="24"/>
          <w:lang w:val="en-US"/>
        </w:rPr>
        <w:t xml:space="preserve">Operational assumptions </w:t>
      </w:r>
    </w:p>
    <w:p w:rsidR="00741FFE" w:rsidRDefault="00741FFE" w:rsidP="00741FFE">
      <w:pPr>
        <w:pStyle w:val="a5"/>
        <w:spacing w:line="360" w:lineRule="auto"/>
        <w:ind w:firstLine="567"/>
        <w:jc w:val="both"/>
        <w:rPr>
          <w:rFonts w:cs="Times New Roman"/>
          <w:szCs w:val="24"/>
          <w:lang w:val="en-US"/>
        </w:rPr>
      </w:pPr>
      <w:r>
        <w:rPr>
          <w:rFonts w:cs="Times New Roman"/>
          <w:szCs w:val="24"/>
          <w:lang w:val="en-US"/>
        </w:rPr>
        <w:t>In order to build the LBO-model, it is necessary to build the projections of the targets’ financial statements</w:t>
      </w:r>
      <w:r w:rsidR="00527057">
        <w:rPr>
          <w:rFonts w:cs="Times New Roman"/>
          <w:szCs w:val="24"/>
          <w:lang w:val="en-US"/>
        </w:rPr>
        <w:t xml:space="preserve"> (20)</w:t>
      </w:r>
      <w:r>
        <w:rPr>
          <w:rFonts w:cs="Times New Roman"/>
          <w:szCs w:val="24"/>
          <w:lang w:val="en-US"/>
        </w:rPr>
        <w:t xml:space="preserve">.  The forecasting period for the company's reports usually depends on many factors, for example, such as the expected closing date of the transaction or the time to maturity of the longest debt instrument. The model is designed </w:t>
      </w:r>
      <w:proofErr w:type="gramStart"/>
      <w:r>
        <w:rPr>
          <w:rFonts w:cs="Times New Roman"/>
          <w:szCs w:val="24"/>
          <w:lang w:val="en-US"/>
        </w:rPr>
        <w:t>so as to</w:t>
      </w:r>
      <w:proofErr w:type="gramEnd"/>
      <w:r>
        <w:rPr>
          <w:rFonts w:cs="Times New Roman"/>
          <w:szCs w:val="24"/>
          <w:lang w:val="en-US"/>
        </w:rPr>
        <w:t xml:space="preserve"> forecast up to 10 years. </w:t>
      </w:r>
    </w:p>
    <w:p w:rsidR="00741FFE" w:rsidRDefault="00741FFE" w:rsidP="00741FFE">
      <w:pPr>
        <w:pStyle w:val="a5"/>
        <w:spacing w:line="360" w:lineRule="auto"/>
        <w:ind w:firstLine="360"/>
        <w:jc w:val="both"/>
        <w:rPr>
          <w:rFonts w:cs="Times New Roman"/>
          <w:szCs w:val="24"/>
          <w:lang w:val="en-US"/>
        </w:rPr>
      </w:pPr>
      <w:r>
        <w:rPr>
          <w:rFonts w:cs="Times New Roman"/>
          <w:szCs w:val="24"/>
          <w:lang w:val="en-US"/>
        </w:rPr>
        <w:t xml:space="preserve">The forecast of the company's performance </w:t>
      </w:r>
      <w:proofErr w:type="gramStart"/>
      <w:r>
        <w:rPr>
          <w:rFonts w:cs="Times New Roman"/>
          <w:szCs w:val="24"/>
          <w:lang w:val="en-US"/>
        </w:rPr>
        <w:t>was carried out</w:t>
      </w:r>
      <w:proofErr w:type="gramEnd"/>
      <w:r>
        <w:rPr>
          <w:rFonts w:cs="Times New Roman"/>
          <w:szCs w:val="24"/>
          <w:lang w:val="en-US"/>
        </w:rPr>
        <w:t xml:space="preserve"> through the prediction of the growth rates of the main drivers of the company's financial performance. Within each financial statement, the following drivers of key indicator growth </w:t>
      </w:r>
      <w:proofErr w:type="gramStart"/>
      <w:r>
        <w:rPr>
          <w:rFonts w:cs="Times New Roman"/>
          <w:szCs w:val="24"/>
          <w:lang w:val="en-US"/>
        </w:rPr>
        <w:t>were identified</w:t>
      </w:r>
      <w:proofErr w:type="gramEnd"/>
      <w:r>
        <w:rPr>
          <w:rFonts w:cs="Times New Roman"/>
          <w:szCs w:val="24"/>
          <w:lang w:val="en-US"/>
        </w:rPr>
        <w:t>:</w:t>
      </w:r>
    </w:p>
    <w:p w:rsidR="00FD545B" w:rsidRDefault="00FD545B" w:rsidP="00741FFE">
      <w:pPr>
        <w:pStyle w:val="a5"/>
        <w:spacing w:line="360" w:lineRule="auto"/>
        <w:ind w:firstLine="360"/>
        <w:jc w:val="both"/>
        <w:rPr>
          <w:rFonts w:cs="Times New Roman"/>
          <w:szCs w:val="24"/>
          <w:lang w:val="en-US"/>
        </w:rPr>
      </w:pPr>
    </w:p>
    <w:p w:rsidR="00741FFE" w:rsidRDefault="00405102" w:rsidP="00741FFE">
      <w:pPr>
        <w:pStyle w:val="a5"/>
        <w:spacing w:line="360" w:lineRule="auto"/>
        <w:ind w:firstLine="360"/>
        <w:jc w:val="right"/>
        <w:rPr>
          <w:rFonts w:cs="Times New Roman"/>
          <w:szCs w:val="24"/>
          <w:lang w:val="en-US"/>
        </w:rPr>
      </w:pPr>
      <w:r>
        <w:rPr>
          <w:rFonts w:cs="Times New Roman"/>
          <w:i/>
          <w:szCs w:val="24"/>
          <w:lang w:val="en-US"/>
        </w:rPr>
        <w:t>Table 4</w:t>
      </w:r>
      <w:r w:rsidR="00741FFE">
        <w:rPr>
          <w:rFonts w:cs="Times New Roman"/>
          <w:szCs w:val="24"/>
          <w:lang w:val="en-US"/>
        </w:rPr>
        <w:t xml:space="preserve">. Key value drivers of financial statements </w:t>
      </w:r>
    </w:p>
    <w:tbl>
      <w:tblPr>
        <w:tblStyle w:val="af1"/>
        <w:tblW w:w="0" w:type="auto"/>
        <w:jc w:val="center"/>
        <w:tblLook w:val="04A0" w:firstRow="1" w:lastRow="0" w:firstColumn="1" w:lastColumn="0" w:noHBand="0" w:noVBand="1"/>
      </w:tblPr>
      <w:tblGrid>
        <w:gridCol w:w="3115"/>
        <w:gridCol w:w="4251"/>
      </w:tblGrid>
      <w:tr w:rsidR="00741FFE" w:rsidTr="00B165B8">
        <w:trPr>
          <w:jc w:val="center"/>
        </w:trPr>
        <w:tc>
          <w:tcPr>
            <w:tcW w:w="3115" w:type="dxa"/>
          </w:tcPr>
          <w:p w:rsidR="00741FFE" w:rsidRDefault="00741FFE" w:rsidP="00741FFE">
            <w:pPr>
              <w:pStyle w:val="a5"/>
              <w:spacing w:line="360" w:lineRule="auto"/>
              <w:jc w:val="center"/>
              <w:rPr>
                <w:rFonts w:cs="Times New Roman"/>
                <w:szCs w:val="24"/>
                <w:lang w:val="en-US"/>
              </w:rPr>
            </w:pPr>
            <w:r>
              <w:rPr>
                <w:rFonts w:cs="Times New Roman"/>
                <w:szCs w:val="24"/>
                <w:lang w:val="en-US"/>
              </w:rPr>
              <w:t xml:space="preserve">Financial statement </w:t>
            </w:r>
          </w:p>
        </w:tc>
        <w:tc>
          <w:tcPr>
            <w:tcW w:w="4251" w:type="dxa"/>
          </w:tcPr>
          <w:p w:rsidR="00741FFE" w:rsidRDefault="00741FFE" w:rsidP="00741FFE">
            <w:pPr>
              <w:pStyle w:val="a5"/>
              <w:spacing w:line="360" w:lineRule="auto"/>
              <w:jc w:val="both"/>
              <w:rPr>
                <w:rFonts w:cs="Times New Roman"/>
                <w:szCs w:val="24"/>
                <w:lang w:val="en-US"/>
              </w:rPr>
            </w:pPr>
            <w:r>
              <w:rPr>
                <w:rFonts w:cs="Times New Roman"/>
                <w:szCs w:val="24"/>
                <w:lang w:val="en-US"/>
              </w:rPr>
              <w:t xml:space="preserve">Main drivers  </w:t>
            </w:r>
          </w:p>
        </w:tc>
      </w:tr>
      <w:tr w:rsidR="00741FFE" w:rsidRPr="00BA1FE5" w:rsidTr="00B165B8">
        <w:trPr>
          <w:jc w:val="center"/>
        </w:trPr>
        <w:tc>
          <w:tcPr>
            <w:tcW w:w="3115" w:type="dxa"/>
          </w:tcPr>
          <w:p w:rsidR="00741FFE" w:rsidRDefault="00741FFE" w:rsidP="00741FFE">
            <w:pPr>
              <w:pStyle w:val="a5"/>
              <w:spacing w:line="360" w:lineRule="auto"/>
              <w:jc w:val="both"/>
              <w:rPr>
                <w:rFonts w:cs="Times New Roman"/>
                <w:szCs w:val="24"/>
                <w:lang w:val="en-US"/>
              </w:rPr>
            </w:pPr>
            <w:r>
              <w:rPr>
                <w:rFonts w:cs="Times New Roman"/>
                <w:szCs w:val="24"/>
                <w:lang w:val="en-US"/>
              </w:rPr>
              <w:t xml:space="preserve">Income statement </w:t>
            </w:r>
          </w:p>
        </w:tc>
        <w:tc>
          <w:tcPr>
            <w:tcW w:w="4251" w:type="dxa"/>
          </w:tcPr>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Sales (% YoY growth)</w:t>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Cost of Goods Sold (% margin)</w:t>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SG&amp;A (% sales)</w:t>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Other Expense / (Income) (% of sales)</w:t>
            </w:r>
          </w:p>
          <w:p w:rsidR="00527057" w:rsidRPr="00527057" w:rsidRDefault="00527057" w:rsidP="00B165B8">
            <w:pPr>
              <w:pStyle w:val="a5"/>
              <w:spacing w:line="360" w:lineRule="auto"/>
              <w:jc w:val="center"/>
              <w:rPr>
                <w:rFonts w:cs="Times New Roman"/>
                <w:szCs w:val="24"/>
                <w:lang w:val="en-US"/>
              </w:rPr>
            </w:pPr>
            <w:r w:rsidRPr="00527057">
              <w:rPr>
                <w:rFonts w:cs="Times New Roman"/>
                <w:szCs w:val="24"/>
                <w:lang w:val="en-US"/>
              </w:rPr>
              <w:t>Depreciation &amp; Amortization (% of sales)</w:t>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lastRenderedPageBreak/>
              <w:t>Interest Income</w:t>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Tax Rate</w:t>
            </w:r>
          </w:p>
          <w:p w:rsidR="00741FFE" w:rsidRDefault="00527057" w:rsidP="00527057">
            <w:pPr>
              <w:pStyle w:val="a5"/>
              <w:spacing w:line="360" w:lineRule="auto"/>
              <w:jc w:val="both"/>
              <w:rPr>
                <w:rFonts w:cs="Times New Roman"/>
                <w:szCs w:val="24"/>
                <w:lang w:val="en-US"/>
              </w:rPr>
            </w:pPr>
            <w:r w:rsidRPr="00527057">
              <w:rPr>
                <w:rFonts w:cs="Times New Roman"/>
                <w:szCs w:val="24"/>
                <w:lang w:val="en-US"/>
              </w:rPr>
              <w:t>Cost savings as % of SG&amp;A</w:t>
            </w:r>
          </w:p>
        </w:tc>
      </w:tr>
      <w:tr w:rsidR="00741FFE" w:rsidRPr="00BA1FE5" w:rsidTr="00B165B8">
        <w:trPr>
          <w:jc w:val="center"/>
        </w:trPr>
        <w:tc>
          <w:tcPr>
            <w:tcW w:w="3115" w:type="dxa"/>
          </w:tcPr>
          <w:p w:rsidR="00741FFE" w:rsidRDefault="00741FFE" w:rsidP="00741FFE">
            <w:pPr>
              <w:pStyle w:val="a5"/>
              <w:spacing w:line="360" w:lineRule="auto"/>
              <w:jc w:val="both"/>
              <w:rPr>
                <w:rFonts w:cs="Times New Roman"/>
                <w:szCs w:val="24"/>
                <w:lang w:val="en-US"/>
              </w:rPr>
            </w:pPr>
            <w:r>
              <w:rPr>
                <w:rFonts w:cs="Times New Roman"/>
                <w:szCs w:val="24"/>
                <w:lang w:val="en-US"/>
              </w:rPr>
              <w:t xml:space="preserve">Balance sheet </w:t>
            </w:r>
          </w:p>
        </w:tc>
        <w:tc>
          <w:tcPr>
            <w:tcW w:w="4251" w:type="dxa"/>
          </w:tcPr>
          <w:p w:rsidR="00527057" w:rsidRPr="00527057" w:rsidRDefault="00527057" w:rsidP="00527057">
            <w:pPr>
              <w:pStyle w:val="a5"/>
              <w:spacing w:line="360" w:lineRule="auto"/>
              <w:jc w:val="both"/>
              <w:rPr>
                <w:rFonts w:cs="Times New Roman"/>
                <w:i/>
                <w:szCs w:val="24"/>
                <w:lang w:val="en-US"/>
              </w:rPr>
            </w:pPr>
            <w:r w:rsidRPr="00527057">
              <w:rPr>
                <w:rFonts w:cs="Times New Roman"/>
                <w:i/>
                <w:szCs w:val="24"/>
                <w:lang w:val="en-US"/>
              </w:rPr>
              <w:t>Current Assets</w:t>
            </w:r>
            <w:r w:rsidRPr="00527057">
              <w:rPr>
                <w:rFonts w:cs="Times New Roman"/>
                <w:i/>
                <w:szCs w:val="24"/>
                <w:lang w:val="en-US"/>
              </w:rPr>
              <w:tab/>
            </w:r>
            <w:r w:rsidRPr="00527057">
              <w:rPr>
                <w:rFonts w:cs="Times New Roman"/>
                <w:i/>
                <w:szCs w:val="24"/>
                <w:lang w:val="en-US"/>
              </w:rPr>
              <w:tab/>
            </w:r>
          </w:p>
          <w:p w:rsidR="00527057" w:rsidRPr="00527057" w:rsidRDefault="00527057" w:rsidP="00527057">
            <w:pPr>
              <w:pStyle w:val="a5"/>
              <w:spacing w:line="360" w:lineRule="auto"/>
              <w:jc w:val="both"/>
              <w:rPr>
                <w:rFonts w:cs="Times New Roman"/>
                <w:szCs w:val="24"/>
                <w:lang w:val="en-US"/>
              </w:rPr>
            </w:pPr>
            <w:r>
              <w:rPr>
                <w:rFonts w:cs="Times New Roman"/>
                <w:szCs w:val="24"/>
                <w:lang w:val="en-US"/>
              </w:rPr>
              <w:t>Days Sales Outstanding (DSO)</w:t>
            </w:r>
            <w:r>
              <w:rPr>
                <w:rFonts w:cs="Times New Roman"/>
                <w:szCs w:val="24"/>
                <w:lang w:val="en-US"/>
              </w:rPr>
              <w:tab/>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Days Inventory Held (DIH)</w:t>
            </w:r>
            <w:r w:rsidRPr="00527057">
              <w:rPr>
                <w:rFonts w:cs="Times New Roman"/>
                <w:szCs w:val="24"/>
                <w:lang w:val="en-US"/>
              </w:rPr>
              <w:tab/>
            </w:r>
            <w:r w:rsidRPr="00527057">
              <w:rPr>
                <w:rFonts w:cs="Times New Roman"/>
                <w:szCs w:val="24"/>
                <w:lang w:val="en-US"/>
              </w:rPr>
              <w:tab/>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Prepaid and Othe</w:t>
            </w:r>
            <w:r>
              <w:rPr>
                <w:rFonts w:cs="Times New Roman"/>
                <w:szCs w:val="24"/>
                <w:lang w:val="en-US"/>
              </w:rPr>
              <w:t>r Current Assets (% of sales)</w:t>
            </w:r>
            <w:r>
              <w:rPr>
                <w:rFonts w:cs="Times New Roman"/>
                <w:szCs w:val="24"/>
                <w:lang w:val="en-US"/>
              </w:rPr>
              <w:tab/>
            </w:r>
            <w:r>
              <w:rPr>
                <w:rFonts w:cs="Times New Roman"/>
                <w:szCs w:val="24"/>
                <w:lang w:val="en-US"/>
              </w:rPr>
              <w:tab/>
            </w:r>
            <w:r w:rsidRPr="00527057">
              <w:rPr>
                <w:rFonts w:cs="Times New Roman"/>
                <w:szCs w:val="24"/>
                <w:lang w:val="en-US"/>
              </w:rPr>
              <w:tab/>
            </w:r>
          </w:p>
          <w:p w:rsidR="00527057" w:rsidRPr="00527057" w:rsidRDefault="00527057" w:rsidP="00527057">
            <w:pPr>
              <w:pStyle w:val="a5"/>
              <w:spacing w:line="360" w:lineRule="auto"/>
              <w:jc w:val="both"/>
              <w:rPr>
                <w:rFonts w:cs="Times New Roman"/>
                <w:i/>
                <w:szCs w:val="24"/>
                <w:lang w:val="en-US"/>
              </w:rPr>
            </w:pPr>
            <w:r w:rsidRPr="00527057">
              <w:rPr>
                <w:rFonts w:cs="Times New Roman"/>
                <w:i/>
                <w:szCs w:val="24"/>
                <w:lang w:val="en-US"/>
              </w:rPr>
              <w:t>Current Liabilities</w:t>
            </w:r>
            <w:r w:rsidRPr="00527057">
              <w:rPr>
                <w:rFonts w:cs="Times New Roman"/>
                <w:i/>
                <w:szCs w:val="24"/>
                <w:lang w:val="en-US"/>
              </w:rPr>
              <w:tab/>
            </w:r>
            <w:r w:rsidRPr="00527057">
              <w:rPr>
                <w:rFonts w:cs="Times New Roman"/>
                <w:i/>
                <w:szCs w:val="24"/>
                <w:lang w:val="en-US"/>
              </w:rPr>
              <w:tab/>
            </w:r>
          </w:p>
          <w:p w:rsidR="00527057" w:rsidRPr="00527057" w:rsidRDefault="00527057" w:rsidP="00527057">
            <w:pPr>
              <w:pStyle w:val="a5"/>
              <w:spacing w:line="360" w:lineRule="auto"/>
              <w:jc w:val="both"/>
              <w:rPr>
                <w:rFonts w:cs="Times New Roman"/>
                <w:szCs w:val="24"/>
                <w:lang w:val="en-US"/>
              </w:rPr>
            </w:pPr>
            <w:r>
              <w:rPr>
                <w:rFonts w:cs="Times New Roman"/>
                <w:szCs w:val="24"/>
                <w:lang w:val="en-US"/>
              </w:rPr>
              <w:t>Days Payable Outstanding (DPO)</w:t>
            </w:r>
            <w:r>
              <w:rPr>
                <w:rFonts w:cs="Times New Roman"/>
                <w:szCs w:val="24"/>
                <w:lang w:val="en-US"/>
              </w:rPr>
              <w:tab/>
            </w:r>
          </w:p>
          <w:p w:rsidR="00527057" w:rsidRPr="00527057" w:rsidRDefault="00527057" w:rsidP="00527057">
            <w:pPr>
              <w:pStyle w:val="a5"/>
              <w:spacing w:line="360" w:lineRule="auto"/>
              <w:jc w:val="both"/>
              <w:rPr>
                <w:rFonts w:cs="Times New Roman"/>
                <w:szCs w:val="24"/>
                <w:lang w:val="en-US"/>
              </w:rPr>
            </w:pPr>
            <w:r w:rsidRPr="00527057">
              <w:rPr>
                <w:rFonts w:cs="Times New Roman"/>
                <w:szCs w:val="24"/>
                <w:lang w:val="en-US"/>
              </w:rPr>
              <w:t>Ac</w:t>
            </w:r>
            <w:r>
              <w:rPr>
                <w:rFonts w:cs="Times New Roman"/>
                <w:szCs w:val="24"/>
                <w:lang w:val="en-US"/>
              </w:rPr>
              <w:t>crued Liabilities (% of sales)</w:t>
            </w:r>
            <w:r>
              <w:rPr>
                <w:rFonts w:cs="Times New Roman"/>
                <w:szCs w:val="24"/>
                <w:lang w:val="en-US"/>
              </w:rPr>
              <w:tab/>
            </w:r>
          </w:p>
          <w:p w:rsidR="00741FFE" w:rsidRDefault="00527057" w:rsidP="00527057">
            <w:pPr>
              <w:pStyle w:val="a5"/>
              <w:spacing w:line="360" w:lineRule="auto"/>
              <w:jc w:val="both"/>
              <w:rPr>
                <w:rFonts w:cs="Times New Roman"/>
                <w:szCs w:val="24"/>
                <w:lang w:val="en-US"/>
              </w:rPr>
            </w:pPr>
            <w:r w:rsidRPr="00527057">
              <w:rPr>
                <w:rFonts w:cs="Times New Roman"/>
                <w:szCs w:val="24"/>
                <w:lang w:val="en-US"/>
              </w:rPr>
              <w:t>Other Cu</w:t>
            </w:r>
            <w:r>
              <w:rPr>
                <w:rFonts w:cs="Times New Roman"/>
                <w:szCs w:val="24"/>
                <w:lang w:val="en-US"/>
              </w:rPr>
              <w:t>rrent Liabilities (% of sales)</w:t>
            </w:r>
          </w:p>
        </w:tc>
      </w:tr>
      <w:tr w:rsidR="00741FFE" w:rsidTr="00B165B8">
        <w:trPr>
          <w:jc w:val="center"/>
        </w:trPr>
        <w:tc>
          <w:tcPr>
            <w:tcW w:w="3115" w:type="dxa"/>
          </w:tcPr>
          <w:p w:rsidR="00741FFE" w:rsidRDefault="00741FFE" w:rsidP="00741FFE">
            <w:pPr>
              <w:pStyle w:val="a5"/>
              <w:spacing w:line="360" w:lineRule="auto"/>
              <w:jc w:val="both"/>
              <w:rPr>
                <w:rFonts w:cs="Times New Roman"/>
                <w:szCs w:val="24"/>
                <w:lang w:val="en-US"/>
              </w:rPr>
            </w:pPr>
            <w:r>
              <w:rPr>
                <w:rFonts w:cs="Times New Roman"/>
                <w:szCs w:val="24"/>
                <w:lang w:val="en-US"/>
              </w:rPr>
              <w:t xml:space="preserve">Cash flow statement </w:t>
            </w:r>
          </w:p>
        </w:tc>
        <w:tc>
          <w:tcPr>
            <w:tcW w:w="4251" w:type="dxa"/>
          </w:tcPr>
          <w:p w:rsidR="00741FFE" w:rsidRDefault="00527057" w:rsidP="00741FFE">
            <w:pPr>
              <w:pStyle w:val="a5"/>
              <w:spacing w:line="360" w:lineRule="auto"/>
              <w:jc w:val="both"/>
              <w:rPr>
                <w:rFonts w:cs="Times New Roman"/>
                <w:szCs w:val="24"/>
                <w:lang w:val="en-US"/>
              </w:rPr>
            </w:pPr>
            <w:r w:rsidRPr="00527057">
              <w:rPr>
                <w:rFonts w:cs="Times New Roman"/>
                <w:szCs w:val="24"/>
                <w:lang w:val="en-US"/>
              </w:rPr>
              <w:t>Capital Expenditures (% of sales)</w:t>
            </w:r>
          </w:p>
        </w:tc>
      </w:tr>
    </w:tbl>
    <w:p w:rsidR="000F4840" w:rsidRDefault="00660387" w:rsidP="00741FFE">
      <w:pPr>
        <w:pStyle w:val="a5"/>
        <w:spacing w:line="360" w:lineRule="auto"/>
        <w:ind w:firstLine="360"/>
        <w:jc w:val="both"/>
        <w:rPr>
          <w:rFonts w:cs="Times New Roman"/>
          <w:szCs w:val="24"/>
          <w:lang w:val="en-US"/>
        </w:rPr>
      </w:pPr>
      <w:r w:rsidRPr="00660387">
        <w:rPr>
          <w:rFonts w:cs="Times New Roman"/>
          <w:szCs w:val="24"/>
          <w:lang w:val="en-US"/>
        </w:rPr>
        <w:t xml:space="preserve">In their LBO models, firms usually use a couple of scenarios. In order to evaluate the transaction </w:t>
      </w:r>
      <w:proofErr w:type="gramStart"/>
      <w:r w:rsidRPr="00660387">
        <w:rPr>
          <w:rFonts w:cs="Times New Roman"/>
          <w:szCs w:val="24"/>
          <w:lang w:val="en-US"/>
        </w:rPr>
        <w:t>to its fullest extent</w:t>
      </w:r>
      <w:proofErr w:type="gramEnd"/>
      <w:r w:rsidRPr="00660387">
        <w:rPr>
          <w:rFonts w:cs="Times New Roman"/>
          <w:szCs w:val="24"/>
          <w:lang w:val="en-US"/>
        </w:rPr>
        <w:t xml:space="preserve"> they typically use a base case</w:t>
      </w:r>
      <w:r w:rsidR="00527057">
        <w:rPr>
          <w:rFonts w:cs="Times New Roman"/>
          <w:szCs w:val="24"/>
          <w:lang w:val="en-US"/>
        </w:rPr>
        <w:t xml:space="preserve"> (21)</w:t>
      </w:r>
      <w:r w:rsidRPr="00660387">
        <w:rPr>
          <w:rFonts w:cs="Times New Roman"/>
          <w:szCs w:val="24"/>
          <w:lang w:val="en-US"/>
        </w:rPr>
        <w:t>, a management case</w:t>
      </w:r>
      <w:r w:rsidR="00527057">
        <w:rPr>
          <w:rFonts w:cs="Times New Roman"/>
          <w:szCs w:val="24"/>
          <w:lang w:val="en-US"/>
        </w:rPr>
        <w:t xml:space="preserve"> (22)</w:t>
      </w:r>
      <w:r w:rsidRPr="00660387">
        <w:rPr>
          <w:rFonts w:cs="Times New Roman"/>
          <w:szCs w:val="24"/>
          <w:lang w:val="en-US"/>
        </w:rPr>
        <w:t xml:space="preserve">, an </w:t>
      </w:r>
      <w:r>
        <w:rPr>
          <w:rFonts w:cs="Times New Roman"/>
          <w:szCs w:val="24"/>
          <w:lang w:val="en-US"/>
        </w:rPr>
        <w:t>sponsor case</w:t>
      </w:r>
      <w:r w:rsidR="00527057">
        <w:rPr>
          <w:rFonts w:cs="Times New Roman"/>
          <w:szCs w:val="24"/>
          <w:lang w:val="en-US"/>
        </w:rPr>
        <w:t xml:space="preserve"> (23)</w:t>
      </w:r>
      <w:r w:rsidRPr="00660387">
        <w:rPr>
          <w:rFonts w:cs="Times New Roman"/>
          <w:szCs w:val="24"/>
          <w:lang w:val="en-US"/>
        </w:rPr>
        <w:t xml:space="preserve">. The base case </w:t>
      </w:r>
      <w:proofErr w:type="gramStart"/>
      <w:r w:rsidRPr="00660387">
        <w:rPr>
          <w:rFonts w:cs="Times New Roman"/>
          <w:szCs w:val="24"/>
          <w:lang w:val="en-US"/>
        </w:rPr>
        <w:t>is used</w:t>
      </w:r>
      <w:proofErr w:type="gramEnd"/>
      <w:r w:rsidRPr="00660387">
        <w:rPr>
          <w:rFonts w:cs="Times New Roman"/>
          <w:szCs w:val="24"/>
          <w:lang w:val="en-US"/>
        </w:rPr>
        <w:t xml:space="preserve"> in order for the PE firm to evaluate the deal. The management case </w:t>
      </w:r>
      <w:proofErr w:type="gramStart"/>
      <w:r w:rsidRPr="00660387">
        <w:rPr>
          <w:rFonts w:cs="Times New Roman"/>
          <w:szCs w:val="24"/>
          <w:lang w:val="en-US"/>
        </w:rPr>
        <w:t>is based</w:t>
      </w:r>
      <w:proofErr w:type="gramEnd"/>
      <w:r w:rsidRPr="00660387">
        <w:rPr>
          <w:rFonts w:cs="Times New Roman"/>
          <w:szCs w:val="24"/>
          <w:lang w:val="en-US"/>
        </w:rPr>
        <w:t xml:space="preserve"> on numbers given from the management of the portfolio company and the ambition case is used as a </w:t>
      </w:r>
      <w:r w:rsidR="00876CED" w:rsidRPr="00660387">
        <w:rPr>
          <w:rFonts w:cs="Times New Roman"/>
          <w:szCs w:val="24"/>
          <w:lang w:val="en-US"/>
        </w:rPr>
        <w:t>best-case</w:t>
      </w:r>
      <w:r w:rsidRPr="00660387">
        <w:rPr>
          <w:rFonts w:cs="Times New Roman"/>
          <w:szCs w:val="24"/>
          <w:lang w:val="en-US"/>
        </w:rPr>
        <w:t xml:space="preserve"> scenario. The bank case has a somewhat pessimistic setup of inputs. </w:t>
      </w:r>
      <w:r w:rsidR="00876CED" w:rsidRPr="00660387">
        <w:rPr>
          <w:rFonts w:cs="Times New Roman"/>
          <w:szCs w:val="24"/>
          <w:lang w:val="en-US"/>
        </w:rPr>
        <w:t>Therefore,</w:t>
      </w:r>
      <w:r w:rsidRPr="00660387">
        <w:rPr>
          <w:rFonts w:cs="Times New Roman"/>
          <w:szCs w:val="24"/>
          <w:lang w:val="en-US"/>
        </w:rPr>
        <w:t xml:space="preserve"> it gives a lower result. Due to this, the bank case </w:t>
      </w:r>
      <w:proofErr w:type="gramStart"/>
      <w:r w:rsidRPr="00660387">
        <w:rPr>
          <w:rFonts w:cs="Times New Roman"/>
          <w:szCs w:val="24"/>
          <w:lang w:val="en-US"/>
        </w:rPr>
        <w:t>is used</w:t>
      </w:r>
      <w:proofErr w:type="gramEnd"/>
      <w:r w:rsidRPr="00660387">
        <w:rPr>
          <w:rFonts w:cs="Times New Roman"/>
          <w:szCs w:val="24"/>
          <w:lang w:val="en-US"/>
        </w:rPr>
        <w:t xml:space="preserve"> when presenting the deal to the lending bank. This assures that the covenants set up by the bank will be somewhat low and therefore possible to adhere </w:t>
      </w:r>
      <w:proofErr w:type="gramStart"/>
      <w:r w:rsidRPr="00660387">
        <w:rPr>
          <w:rFonts w:cs="Times New Roman"/>
          <w:szCs w:val="24"/>
          <w:lang w:val="en-US"/>
        </w:rPr>
        <w:t>with</w:t>
      </w:r>
      <w:proofErr w:type="gramEnd"/>
      <w:r w:rsidRPr="00660387">
        <w:rPr>
          <w:rFonts w:cs="Times New Roman"/>
          <w:szCs w:val="24"/>
          <w:lang w:val="en-US"/>
        </w:rPr>
        <w:t>.</w:t>
      </w:r>
    </w:p>
    <w:p w:rsidR="00660387" w:rsidRDefault="00660387" w:rsidP="00741FFE">
      <w:pPr>
        <w:pStyle w:val="a5"/>
        <w:spacing w:line="360" w:lineRule="auto"/>
        <w:ind w:firstLine="360"/>
        <w:jc w:val="both"/>
        <w:rPr>
          <w:rFonts w:cs="Times New Roman"/>
          <w:szCs w:val="24"/>
          <w:lang w:val="en-US"/>
        </w:rPr>
      </w:pPr>
      <w:r>
        <w:rPr>
          <w:rFonts w:cs="Times New Roman"/>
          <w:szCs w:val="24"/>
          <w:lang w:val="en-US"/>
        </w:rPr>
        <w:t>Using different cases i</w:t>
      </w:r>
      <w:r w:rsidR="007A7800">
        <w:rPr>
          <w:rFonts w:cs="Times New Roman"/>
          <w:szCs w:val="24"/>
          <w:lang w:val="en-US"/>
        </w:rPr>
        <w:t>s</w:t>
      </w:r>
      <w:r>
        <w:rPr>
          <w:rFonts w:cs="Times New Roman"/>
          <w:szCs w:val="24"/>
          <w:lang w:val="en-US"/>
        </w:rPr>
        <w:t xml:space="preserve"> a</w:t>
      </w:r>
      <w:r w:rsidR="00876CED">
        <w:rPr>
          <w:rFonts w:cs="Times New Roman"/>
          <w:szCs w:val="24"/>
          <w:lang w:val="en-US"/>
        </w:rPr>
        <w:t>n</w:t>
      </w:r>
      <w:r>
        <w:rPr>
          <w:rFonts w:cs="Times New Roman"/>
          <w:szCs w:val="24"/>
          <w:lang w:val="en-US"/>
        </w:rPr>
        <w:t xml:space="preserve"> important thing in LBO, since it reduces the uncertainty connected with the forecasts of the target’ equity value at the exit of the transaction. </w:t>
      </w:r>
      <w:r w:rsidR="00527057">
        <w:rPr>
          <w:rFonts w:cs="Times New Roman"/>
          <w:szCs w:val="24"/>
          <w:lang w:val="en-US"/>
        </w:rPr>
        <w:t xml:space="preserve">Here a decision making process should take place: investor has </w:t>
      </w:r>
      <w:r w:rsidR="007A7800">
        <w:rPr>
          <w:rFonts w:cs="Times New Roman"/>
          <w:szCs w:val="24"/>
          <w:lang w:val="en-US"/>
        </w:rPr>
        <w:t xml:space="preserve">to </w:t>
      </w:r>
      <w:r w:rsidR="00527057">
        <w:rPr>
          <w:rFonts w:cs="Times New Roman"/>
          <w:szCs w:val="24"/>
          <w:lang w:val="en-US"/>
        </w:rPr>
        <w:t xml:space="preserve">choose under which operating assumptions to conduct the further analysis. Depending on </w:t>
      </w:r>
      <w:r w:rsidR="007A7800">
        <w:rPr>
          <w:rFonts w:cs="Times New Roman"/>
          <w:szCs w:val="24"/>
          <w:lang w:val="en-US"/>
        </w:rPr>
        <w:t>it,</w:t>
      </w:r>
      <w:r w:rsidR="00527057">
        <w:rPr>
          <w:rFonts w:cs="Times New Roman"/>
          <w:szCs w:val="24"/>
          <w:lang w:val="en-US"/>
        </w:rPr>
        <w:t xml:space="preserve"> the model will adjust the projections of the financial statements.  </w:t>
      </w:r>
    </w:p>
    <w:p w:rsidR="009C49DB" w:rsidRDefault="009C49DB" w:rsidP="009C49DB">
      <w:pPr>
        <w:pStyle w:val="a5"/>
        <w:spacing w:line="360" w:lineRule="auto"/>
        <w:ind w:firstLine="360"/>
        <w:jc w:val="both"/>
        <w:rPr>
          <w:rFonts w:cs="Times New Roman"/>
          <w:szCs w:val="24"/>
          <w:lang w:val="en-US"/>
        </w:rPr>
      </w:pPr>
      <w:r>
        <w:rPr>
          <w:rFonts w:cs="Times New Roman"/>
          <w:szCs w:val="24"/>
          <w:lang w:val="en-US"/>
        </w:rPr>
        <w:t xml:space="preserve">The last assumption to be made is the assumption regarding the exit multiple. When building an LBO-model, analysts assume that at the exit the company </w:t>
      </w:r>
      <w:proofErr w:type="gramStart"/>
      <w:r>
        <w:rPr>
          <w:rFonts w:cs="Times New Roman"/>
          <w:szCs w:val="24"/>
          <w:lang w:val="en-US"/>
        </w:rPr>
        <w:t>will be sold</w:t>
      </w:r>
      <w:proofErr w:type="gramEnd"/>
      <w:r>
        <w:rPr>
          <w:rFonts w:cs="Times New Roman"/>
          <w:szCs w:val="24"/>
          <w:lang w:val="en-US"/>
        </w:rPr>
        <w:t xml:space="preserve"> at least with the same multiple as it was purchased. </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 xml:space="preserve">Private equity investors usually exit their investment by selling the acquired company to new investors or listing it on a stock exchange in an initial public offering after a few years. The final cash flow to the private equity sponsor equals the exit enterprise value less net debt in the exit year T. Most financial analysts use average EV/EBITDA exit multiples of a comparable peer group of </w:t>
      </w:r>
      <w:r>
        <w:rPr>
          <w:rFonts w:cs="Times New Roman"/>
          <w:szCs w:val="24"/>
          <w:lang w:val="en-US"/>
        </w:rPr>
        <w:lastRenderedPageBreak/>
        <w:t>companies to determine the ex ante unknown enterprise value EV of a potential buyout candidate j at the exit date T:</w:t>
      </w:r>
      <w:r>
        <w:rPr>
          <w:rStyle w:val="a9"/>
          <w:rFonts w:cs="Times New Roman"/>
          <w:szCs w:val="24"/>
          <w:lang w:val="en-US"/>
        </w:rPr>
        <w:footnoteReference w:id="54"/>
      </w:r>
    </w:p>
    <w:p w:rsidR="009C49DB" w:rsidRDefault="009C49DB" w:rsidP="009C49DB">
      <w:pPr>
        <w:pStyle w:val="a5"/>
        <w:spacing w:line="360" w:lineRule="auto"/>
        <w:ind w:firstLine="567"/>
        <w:jc w:val="center"/>
        <w:rPr>
          <w:rFonts w:cs="Times New Roman"/>
          <w:szCs w:val="24"/>
          <w:lang w:val="en-US"/>
        </w:rPr>
      </w:pPr>
      <w:r>
        <w:rPr>
          <w:noProof/>
          <w:lang w:eastAsia="ru-RU"/>
        </w:rPr>
        <w:drawing>
          <wp:inline distT="0" distB="0" distL="0" distR="0">
            <wp:extent cx="2714625" cy="6286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628650"/>
                    </a:xfrm>
                    <a:prstGeom prst="rect">
                      <a:avLst/>
                    </a:prstGeom>
                    <a:noFill/>
                    <a:ln>
                      <a:noFill/>
                    </a:ln>
                  </pic:spPr>
                </pic:pic>
              </a:graphicData>
            </a:graphic>
          </wp:inline>
        </w:drawing>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 xml:space="preserve">The choice of the exit multiple is highly subjective. Like other valuation multiples, EV/EBITDA multiples expand and compress over time. Some financial analysts use long-term historic average EV/EBITDA multiples, some apply current multiples to calculate the exit enterprise value. Financial analysts can apply company specific or industry specific exit multiples. </w:t>
      </w:r>
    </w:p>
    <w:p w:rsidR="00876CED" w:rsidRDefault="00876CED" w:rsidP="00876CED">
      <w:pPr>
        <w:pStyle w:val="a5"/>
        <w:spacing w:line="360" w:lineRule="auto"/>
        <w:ind w:firstLine="360"/>
        <w:jc w:val="both"/>
        <w:rPr>
          <w:rFonts w:cs="Times New Roman"/>
          <w:szCs w:val="24"/>
          <w:lang w:val="en-US"/>
        </w:rPr>
      </w:pPr>
      <w:r>
        <w:rPr>
          <w:rFonts w:cs="Times New Roman"/>
          <w:szCs w:val="24"/>
          <w:lang w:val="en-US"/>
        </w:rPr>
        <w:tab/>
        <w:t xml:space="preserve">After all the assumptions are </w:t>
      </w:r>
      <w:proofErr w:type="gramStart"/>
      <w:r>
        <w:rPr>
          <w:rFonts w:cs="Times New Roman"/>
          <w:szCs w:val="24"/>
          <w:lang w:val="en-US"/>
        </w:rPr>
        <w:t>inserted</w:t>
      </w:r>
      <w:proofErr w:type="gramEnd"/>
      <w:r>
        <w:rPr>
          <w:rFonts w:cs="Times New Roman"/>
          <w:szCs w:val="24"/>
          <w:lang w:val="en-US"/>
        </w:rPr>
        <w:t xml:space="preserve"> the model will make all the necessary calculations to obtain the internal rate of return for the given target</w:t>
      </w:r>
      <w:r w:rsidR="00DE000F">
        <w:rPr>
          <w:rFonts w:cs="Times New Roman"/>
          <w:szCs w:val="24"/>
          <w:lang w:val="en-US"/>
        </w:rPr>
        <w:t xml:space="preserve"> (26)</w:t>
      </w:r>
      <w:r>
        <w:rPr>
          <w:rFonts w:cs="Times New Roman"/>
          <w:szCs w:val="24"/>
          <w:lang w:val="en-US"/>
        </w:rPr>
        <w:t xml:space="preserve">. The scheme of IRR calculation </w:t>
      </w:r>
      <w:proofErr w:type="gramStart"/>
      <w:r>
        <w:rPr>
          <w:rFonts w:cs="Times New Roman"/>
          <w:szCs w:val="24"/>
          <w:lang w:val="en-US"/>
        </w:rPr>
        <w:t>is schematically showed</w:t>
      </w:r>
      <w:proofErr w:type="gramEnd"/>
      <w:r>
        <w:rPr>
          <w:rFonts w:cs="Times New Roman"/>
          <w:szCs w:val="24"/>
          <w:lang w:val="en-US"/>
        </w:rPr>
        <w:t xml:space="preserve"> on the picture below. </w:t>
      </w:r>
    </w:p>
    <w:p w:rsidR="00876CED" w:rsidRDefault="00876CED" w:rsidP="00741FFE">
      <w:pPr>
        <w:pStyle w:val="a5"/>
        <w:spacing w:line="360" w:lineRule="auto"/>
        <w:ind w:firstLine="360"/>
        <w:jc w:val="both"/>
        <w:rPr>
          <w:rFonts w:cs="Times New Roman"/>
          <w:szCs w:val="24"/>
          <w:lang w:val="en-US"/>
        </w:rPr>
      </w:pPr>
      <w:r>
        <w:rPr>
          <w:noProof/>
          <w:lang w:eastAsia="ru-RU"/>
        </w:rPr>
        <w:drawing>
          <wp:inline distT="0" distB="0" distL="0" distR="0" wp14:anchorId="7A1B9CE8" wp14:editId="67C8EAB2">
            <wp:extent cx="5939790" cy="4237990"/>
            <wp:effectExtent l="38100" t="0" r="0" b="0"/>
            <wp:docPr id="144" name="Схема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rFonts w:cs="Times New Roman"/>
          <w:szCs w:val="24"/>
          <w:lang w:val="en-US"/>
        </w:rPr>
        <w:t xml:space="preserve"> </w:t>
      </w:r>
    </w:p>
    <w:p w:rsidR="00876CED" w:rsidRDefault="00876CED" w:rsidP="00876CED">
      <w:pPr>
        <w:pStyle w:val="a5"/>
        <w:spacing w:line="360" w:lineRule="auto"/>
        <w:ind w:firstLine="360"/>
        <w:jc w:val="center"/>
        <w:rPr>
          <w:rFonts w:cs="Times New Roman"/>
          <w:szCs w:val="24"/>
          <w:lang w:val="en-US"/>
        </w:rPr>
      </w:pPr>
      <w:r w:rsidRPr="00876CED">
        <w:rPr>
          <w:rFonts w:cs="Times New Roman"/>
          <w:i/>
          <w:szCs w:val="24"/>
          <w:lang w:val="en-US"/>
        </w:rPr>
        <w:t>Pic</w:t>
      </w:r>
      <w:r w:rsidR="005D213F">
        <w:rPr>
          <w:rFonts w:cs="Times New Roman"/>
          <w:i/>
          <w:szCs w:val="24"/>
          <w:lang w:val="en-US"/>
        </w:rPr>
        <w:t xml:space="preserve"> 13</w:t>
      </w:r>
      <w:r w:rsidRPr="00876CED">
        <w:rPr>
          <w:rFonts w:cs="Times New Roman"/>
          <w:i/>
          <w:szCs w:val="24"/>
          <w:lang w:val="en-US"/>
        </w:rPr>
        <w:t>.</w:t>
      </w:r>
      <w:r>
        <w:rPr>
          <w:rFonts w:cs="Times New Roman"/>
          <w:szCs w:val="24"/>
          <w:lang w:val="en-US"/>
        </w:rPr>
        <w:t xml:space="preserve"> IRR calculation in LBO-model</w:t>
      </w:r>
    </w:p>
    <w:p w:rsidR="000F4840" w:rsidRDefault="00DE000F" w:rsidP="00741FFE">
      <w:pPr>
        <w:pStyle w:val="a5"/>
        <w:spacing w:line="360" w:lineRule="auto"/>
        <w:ind w:firstLine="360"/>
        <w:jc w:val="both"/>
        <w:rPr>
          <w:rFonts w:cs="Times New Roman"/>
          <w:szCs w:val="24"/>
          <w:lang w:val="en-US"/>
        </w:rPr>
      </w:pPr>
      <w:proofErr w:type="gramStart"/>
      <w:r>
        <w:rPr>
          <w:rFonts w:cs="Times New Roman"/>
          <w:szCs w:val="24"/>
          <w:lang w:val="en-US"/>
        </w:rPr>
        <w:t>Let’s</w:t>
      </w:r>
      <w:proofErr w:type="gramEnd"/>
      <w:r>
        <w:rPr>
          <w:rFonts w:cs="Times New Roman"/>
          <w:szCs w:val="24"/>
          <w:lang w:val="en-US"/>
        </w:rPr>
        <w:t xml:space="preserve"> look at this formula closer. </w:t>
      </w:r>
    </w:p>
    <w:p w:rsidR="00DE000F" w:rsidRDefault="00DE000F" w:rsidP="00741FFE">
      <w:pPr>
        <w:pStyle w:val="a5"/>
        <w:spacing w:line="360" w:lineRule="auto"/>
        <w:ind w:firstLine="360"/>
        <w:jc w:val="both"/>
        <w:rPr>
          <w:rFonts w:cs="Times New Roman"/>
          <w:szCs w:val="24"/>
          <w:lang w:val="en-US"/>
        </w:rPr>
      </w:pPr>
      <w:proofErr w:type="gramStart"/>
      <w:r>
        <w:rPr>
          <w:rFonts w:cs="Times New Roman"/>
          <w:szCs w:val="24"/>
          <w:lang w:val="en-US"/>
        </w:rPr>
        <w:t xml:space="preserve">The IRR is defined as the internal rate of return of the LBO transaction, assuming there were no dividend payments and cash outcome during the holding period, and thus there are only two </w:t>
      </w:r>
      <w:r>
        <w:rPr>
          <w:rFonts w:cs="Times New Roman"/>
          <w:szCs w:val="24"/>
          <w:lang w:val="en-US"/>
        </w:rPr>
        <w:lastRenderedPageBreak/>
        <w:t>cash flows: the value of equity contribution at the start of the transaction (27) and the equity value of the target company at the closing date of the transaction (28).</w:t>
      </w:r>
      <w:proofErr w:type="gramEnd"/>
      <w:r>
        <w:rPr>
          <w:rFonts w:cs="Times New Roman"/>
          <w:szCs w:val="24"/>
          <w:lang w:val="en-US"/>
        </w:rPr>
        <w:t xml:space="preserve"> </w:t>
      </w:r>
    </w:p>
    <w:p w:rsidR="00DE000F" w:rsidRDefault="00DE000F" w:rsidP="00741FFE">
      <w:pPr>
        <w:pStyle w:val="a5"/>
        <w:spacing w:line="360" w:lineRule="auto"/>
        <w:ind w:firstLine="360"/>
        <w:jc w:val="both"/>
        <w:rPr>
          <w:rFonts w:cs="Times New Roman"/>
          <w:szCs w:val="24"/>
          <w:lang w:val="en-US"/>
        </w:rPr>
      </w:pPr>
      <w:r>
        <w:rPr>
          <w:rFonts w:cs="Times New Roman"/>
          <w:szCs w:val="24"/>
          <w:lang w:val="en-US"/>
        </w:rPr>
        <w:t xml:space="preserve">The equity contribution at the start of the transaction (27) </w:t>
      </w:r>
      <w:proofErr w:type="gramStart"/>
      <w:r>
        <w:rPr>
          <w:rFonts w:cs="Times New Roman"/>
          <w:szCs w:val="24"/>
          <w:lang w:val="en-US"/>
        </w:rPr>
        <w:t>is found</w:t>
      </w:r>
      <w:proofErr w:type="gramEnd"/>
      <w:r>
        <w:rPr>
          <w:rFonts w:cs="Times New Roman"/>
          <w:szCs w:val="24"/>
          <w:lang w:val="en-US"/>
        </w:rPr>
        <w:t xml:space="preserve"> as the total transaction value (29) minus debt contribution for the purchase of the target (30).</w:t>
      </w:r>
    </w:p>
    <w:p w:rsidR="00DE000F" w:rsidRDefault="00DE000F" w:rsidP="00741FFE">
      <w:pPr>
        <w:pStyle w:val="a5"/>
        <w:spacing w:line="360" w:lineRule="auto"/>
        <w:ind w:firstLine="360"/>
        <w:jc w:val="both"/>
        <w:rPr>
          <w:rFonts w:cs="Times New Roman"/>
          <w:szCs w:val="24"/>
          <w:lang w:val="en-US"/>
        </w:rPr>
      </w:pPr>
      <w:r>
        <w:rPr>
          <w:rFonts w:cs="Times New Roman"/>
          <w:szCs w:val="24"/>
          <w:lang w:val="en-US"/>
        </w:rPr>
        <w:t xml:space="preserve">The total transaction value (29), in its turn, </w:t>
      </w:r>
      <w:proofErr w:type="gramStart"/>
      <w:r>
        <w:rPr>
          <w:rFonts w:cs="Times New Roman"/>
          <w:szCs w:val="24"/>
          <w:lang w:val="en-US"/>
        </w:rPr>
        <w:t>is calculated</w:t>
      </w:r>
      <w:proofErr w:type="gramEnd"/>
      <w:r>
        <w:rPr>
          <w:rFonts w:cs="Times New Roman"/>
          <w:szCs w:val="24"/>
          <w:lang w:val="en-US"/>
        </w:rPr>
        <w:t xml:space="preserve"> as company value (31), plus financing fees (32) and other expenses, such as transaction fees (25). </w:t>
      </w:r>
    </w:p>
    <w:p w:rsidR="00DE000F" w:rsidRDefault="00DE000F" w:rsidP="00741FFE">
      <w:pPr>
        <w:pStyle w:val="a5"/>
        <w:spacing w:line="360" w:lineRule="auto"/>
        <w:ind w:firstLine="360"/>
        <w:jc w:val="both"/>
        <w:rPr>
          <w:rFonts w:cs="Times New Roman"/>
          <w:szCs w:val="24"/>
          <w:lang w:val="en-US"/>
        </w:rPr>
      </w:pPr>
      <w:r>
        <w:rPr>
          <w:rFonts w:cs="Times New Roman"/>
          <w:szCs w:val="24"/>
          <w:lang w:val="en-US"/>
        </w:rPr>
        <w:t xml:space="preserve">Company value (31) is found differently </w:t>
      </w:r>
      <w:proofErr w:type="gramStart"/>
      <w:r>
        <w:rPr>
          <w:rFonts w:cs="Times New Roman"/>
          <w:szCs w:val="24"/>
          <w:lang w:val="en-US"/>
        </w:rPr>
        <w:t>for a public and private companies</w:t>
      </w:r>
      <w:proofErr w:type="gramEnd"/>
      <w:r>
        <w:rPr>
          <w:rFonts w:cs="Times New Roman"/>
          <w:szCs w:val="24"/>
          <w:lang w:val="en-US"/>
        </w:rPr>
        <w:t xml:space="preserve">. For public companies it is calculated as the number of fully diluted shared outstanding * the purchase share price, which is found with market premium. </w:t>
      </w:r>
      <w:r w:rsidR="009C49DB">
        <w:rPr>
          <w:rFonts w:cs="Times New Roman"/>
          <w:szCs w:val="24"/>
          <w:lang w:val="en-US"/>
        </w:rPr>
        <w:t xml:space="preserve">For a private company, the market value is found with the use of comparable company P/E multiple. </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Quite often, in addition to the purchase price, a buyer is responsible for raising additional funds to pay off the target company’s outstanding debt obligations. This can also include other liabilities such as capital lease obligations. The need to pay down such obligations is dependent on several factors including whether the company is public or private.</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 xml:space="preserve">In case the company is public, acquiring a company, in addition to its assets and capital, the buyer also acquires its debts (pay for them), removing the responsibility for their payment in the future. Therefore, enterprise value </w:t>
      </w:r>
      <w:proofErr w:type="gramStart"/>
      <w:r>
        <w:rPr>
          <w:rFonts w:cs="Times New Roman"/>
          <w:szCs w:val="24"/>
          <w:lang w:val="en-US"/>
        </w:rPr>
        <w:t>is calculated</w:t>
      </w:r>
      <w:proofErr w:type="gramEnd"/>
      <w:r>
        <w:rPr>
          <w:rFonts w:cs="Times New Roman"/>
          <w:szCs w:val="24"/>
          <w:lang w:val="en-US"/>
        </w:rPr>
        <w:t xml:space="preserve"> based on the data on the company's capitalization and the amount of net debt, according to the formula:</w:t>
      </w:r>
    </w:p>
    <w:p w:rsidR="009C49DB" w:rsidRDefault="009C49DB" w:rsidP="009C49DB">
      <w:pPr>
        <w:pStyle w:val="a5"/>
        <w:spacing w:line="360" w:lineRule="auto"/>
        <w:ind w:firstLine="567"/>
        <w:jc w:val="center"/>
        <w:rPr>
          <w:rFonts w:cs="Times New Roman"/>
          <w:szCs w:val="24"/>
          <w:lang w:val="en-US"/>
        </w:rPr>
      </w:pPr>
      <w:r>
        <w:rPr>
          <w:rFonts w:cs="Times New Roman"/>
          <w:szCs w:val="24"/>
          <w:lang w:val="en-US"/>
        </w:rPr>
        <w:t xml:space="preserve">EV = MV + Net Debt </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Where:</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EV - company value</w:t>
      </w:r>
      <w:proofErr w:type="gramStart"/>
      <w:r>
        <w:rPr>
          <w:rFonts w:cs="Times New Roman"/>
          <w:szCs w:val="24"/>
          <w:lang w:val="en-US"/>
        </w:rPr>
        <w:t>;</w:t>
      </w:r>
      <w:proofErr w:type="gramEnd"/>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MV - market capitalization</w:t>
      </w:r>
      <w:proofErr w:type="gramStart"/>
      <w:r>
        <w:rPr>
          <w:rFonts w:cs="Times New Roman"/>
          <w:szCs w:val="24"/>
          <w:lang w:val="en-US"/>
        </w:rPr>
        <w:t>;</w:t>
      </w:r>
      <w:proofErr w:type="gramEnd"/>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 xml:space="preserve">Net Debt - net debt of the company: debt net of cash and cash equivalents. </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 xml:space="preserve">The logic behind using the net debt, instead of a common debt, is that by acquiring a company, we also acquire its cash that </w:t>
      </w:r>
      <w:proofErr w:type="gramStart"/>
      <w:r>
        <w:rPr>
          <w:rFonts w:cs="Times New Roman"/>
          <w:szCs w:val="24"/>
          <w:lang w:val="en-US"/>
        </w:rPr>
        <w:t>can be used</w:t>
      </w:r>
      <w:proofErr w:type="gramEnd"/>
      <w:r>
        <w:rPr>
          <w:rFonts w:cs="Times New Roman"/>
          <w:szCs w:val="24"/>
          <w:lang w:val="en-US"/>
        </w:rPr>
        <w:t xml:space="preserve"> to pay off debts. Usually performing LBO-analysis investors assume that only long-term debts will be payed off, so short-term debts </w:t>
      </w:r>
      <w:proofErr w:type="gramStart"/>
      <w:r>
        <w:rPr>
          <w:rFonts w:cs="Times New Roman"/>
          <w:szCs w:val="24"/>
          <w:lang w:val="en-US"/>
        </w:rPr>
        <w:t>are not taken</w:t>
      </w:r>
      <w:proofErr w:type="gramEnd"/>
      <w:r>
        <w:rPr>
          <w:rFonts w:cs="Times New Roman"/>
          <w:szCs w:val="24"/>
          <w:lang w:val="en-US"/>
        </w:rPr>
        <w:t xml:space="preserve"> into account when calculating the acquisition price of the company. They </w:t>
      </w:r>
      <w:proofErr w:type="gramStart"/>
      <w:r>
        <w:rPr>
          <w:rFonts w:cs="Times New Roman"/>
          <w:szCs w:val="24"/>
          <w:lang w:val="en-US"/>
        </w:rPr>
        <w:t>will be used</w:t>
      </w:r>
      <w:proofErr w:type="gramEnd"/>
      <w:r>
        <w:rPr>
          <w:rFonts w:cs="Times New Roman"/>
          <w:szCs w:val="24"/>
          <w:lang w:val="en-US"/>
        </w:rPr>
        <w:t xml:space="preserve"> to finance working capital. </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Thus financial analysts usually model the expected transaction value paid in an LBO by adding (net) debt, D</w:t>
      </w:r>
      <w:r>
        <w:rPr>
          <w:rFonts w:cs="Times New Roman"/>
          <w:szCs w:val="24"/>
          <w:vertAlign w:val="subscript"/>
          <w:lang w:val="en-US"/>
        </w:rPr>
        <w:t>0</w:t>
      </w:r>
      <w:proofErr w:type="gramStart"/>
      <w:r>
        <w:rPr>
          <w:rFonts w:cs="Times New Roman"/>
          <w:szCs w:val="24"/>
          <w:lang w:val="en-US"/>
        </w:rPr>
        <w:t>,to</w:t>
      </w:r>
      <w:proofErr w:type="gramEnd"/>
      <w:r>
        <w:rPr>
          <w:rFonts w:cs="Times New Roman"/>
          <w:szCs w:val="24"/>
          <w:lang w:val="en-US"/>
        </w:rPr>
        <w:t xml:space="preserve"> the product of the current market capitalization times one plus a historical deal premium, DP, offered or paid for a comparable peer group p of companies which recently received buyout bids. The following equation shows how analysts usually model the expected transaction or enterprise value, EV, of an LBO target j:</w:t>
      </w:r>
    </w:p>
    <w:p w:rsidR="009C49DB" w:rsidRDefault="009C49DB" w:rsidP="009C49DB">
      <w:pPr>
        <w:pStyle w:val="a5"/>
        <w:spacing w:line="360" w:lineRule="auto"/>
        <w:ind w:firstLine="567"/>
        <w:jc w:val="center"/>
        <w:rPr>
          <w:rFonts w:cs="Times New Roman"/>
          <w:szCs w:val="24"/>
          <w:lang w:val="en-US"/>
        </w:rPr>
      </w:pPr>
      <w:r>
        <w:rPr>
          <w:noProof/>
          <w:lang w:eastAsia="ru-RU"/>
        </w:rPr>
        <w:drawing>
          <wp:inline distT="0" distB="0" distL="0" distR="0">
            <wp:extent cx="2962275" cy="4572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275" cy="457200"/>
                    </a:xfrm>
                    <a:prstGeom prst="rect">
                      <a:avLst/>
                    </a:prstGeom>
                    <a:noFill/>
                    <a:ln>
                      <a:noFill/>
                    </a:ln>
                  </pic:spPr>
                </pic:pic>
              </a:graphicData>
            </a:graphic>
          </wp:inline>
        </w:drawing>
      </w:r>
    </w:p>
    <w:p w:rsidR="009C49DB" w:rsidRDefault="009C49DB" w:rsidP="009C49DB">
      <w:pPr>
        <w:pStyle w:val="a5"/>
        <w:spacing w:line="360" w:lineRule="auto"/>
        <w:ind w:firstLine="567"/>
        <w:jc w:val="center"/>
        <w:rPr>
          <w:rFonts w:cs="Times New Roman"/>
          <w:szCs w:val="24"/>
          <w:lang w:val="en-US"/>
        </w:rPr>
      </w:pPr>
      <w:r w:rsidRPr="009C49DB">
        <w:rPr>
          <w:rFonts w:cs="Times New Roman"/>
          <w:i/>
          <w:szCs w:val="24"/>
          <w:lang w:val="en-US"/>
        </w:rPr>
        <w:lastRenderedPageBreak/>
        <w:t>Formula</w:t>
      </w:r>
      <w:r w:rsidR="00C16B02">
        <w:rPr>
          <w:rFonts w:cs="Times New Roman"/>
          <w:i/>
          <w:szCs w:val="24"/>
          <w:lang w:val="en-US"/>
        </w:rPr>
        <w:t xml:space="preserve"> </w:t>
      </w:r>
      <w:proofErr w:type="gramStart"/>
      <w:r w:rsidR="00C16B02">
        <w:rPr>
          <w:rFonts w:cs="Times New Roman"/>
          <w:i/>
          <w:szCs w:val="24"/>
          <w:lang w:val="en-US"/>
        </w:rPr>
        <w:t>4</w:t>
      </w:r>
      <w:proofErr w:type="gramEnd"/>
      <w:r w:rsidRPr="009C49DB">
        <w:rPr>
          <w:rFonts w:cs="Times New Roman"/>
          <w:i/>
          <w:szCs w:val="24"/>
          <w:lang w:val="en-US"/>
        </w:rPr>
        <w:t>.</w:t>
      </w:r>
      <w:r>
        <w:rPr>
          <w:rFonts w:cs="Times New Roman"/>
          <w:szCs w:val="24"/>
          <w:lang w:val="en-US"/>
        </w:rPr>
        <w:t xml:space="preserve"> EV calculation</w:t>
      </w:r>
    </w:p>
    <w:p w:rsidR="009C49DB" w:rsidRDefault="009C49DB" w:rsidP="009C49DB">
      <w:pPr>
        <w:pStyle w:val="a5"/>
        <w:spacing w:line="360" w:lineRule="auto"/>
        <w:ind w:firstLine="567"/>
        <w:jc w:val="both"/>
        <w:rPr>
          <w:rFonts w:cs="Times New Roman"/>
          <w:szCs w:val="24"/>
          <w:lang w:val="en-US"/>
        </w:rPr>
      </w:pPr>
      <w:r>
        <w:rPr>
          <w:rFonts w:cs="Times New Roman"/>
          <w:szCs w:val="24"/>
          <w:lang w:val="en-US"/>
        </w:rPr>
        <w:t>The terms P, S and D represent the current market price, the current number of shares outstanding and the current amount of debt and debt-deemed liabilities of a potential LBO candidate. Financial analysts usually multiply current earnings before interest, taxes, depreciation and amortization, or EBITDA, by a historical EBITDA multiple paid in recent LBO transactions to check if the assumed transaction price is realistic:</w:t>
      </w:r>
    </w:p>
    <w:p w:rsidR="009C49DB" w:rsidRDefault="009C49DB" w:rsidP="009C49DB">
      <w:pPr>
        <w:pStyle w:val="a5"/>
        <w:spacing w:line="360" w:lineRule="auto"/>
        <w:ind w:firstLine="567"/>
        <w:jc w:val="both"/>
        <w:rPr>
          <w:rFonts w:cs="Times New Roman"/>
          <w:szCs w:val="24"/>
          <w:lang w:val="en-US"/>
        </w:rPr>
      </w:pPr>
      <w:r>
        <w:rPr>
          <w:noProof/>
          <w:lang w:eastAsia="ru-RU"/>
        </w:rPr>
        <w:drawing>
          <wp:inline distT="0" distB="0" distL="0" distR="0">
            <wp:extent cx="5238750" cy="609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609600"/>
                    </a:xfrm>
                    <a:prstGeom prst="rect">
                      <a:avLst/>
                    </a:prstGeom>
                    <a:noFill/>
                    <a:ln>
                      <a:noFill/>
                    </a:ln>
                  </pic:spPr>
                </pic:pic>
              </a:graphicData>
            </a:graphic>
          </wp:inline>
        </w:drawing>
      </w:r>
    </w:p>
    <w:p w:rsidR="009C49DB" w:rsidRDefault="009C49DB" w:rsidP="009C49DB">
      <w:pPr>
        <w:pStyle w:val="a5"/>
        <w:spacing w:line="360" w:lineRule="auto"/>
        <w:ind w:firstLine="567"/>
        <w:jc w:val="center"/>
        <w:rPr>
          <w:rFonts w:cs="Times New Roman"/>
          <w:szCs w:val="24"/>
          <w:lang w:val="en-US"/>
        </w:rPr>
      </w:pPr>
      <w:r w:rsidRPr="009C49DB">
        <w:rPr>
          <w:rFonts w:cs="Times New Roman"/>
          <w:i/>
          <w:szCs w:val="24"/>
          <w:lang w:val="en-US"/>
        </w:rPr>
        <w:t>Formula</w:t>
      </w:r>
      <w:r w:rsidR="00C16B02">
        <w:rPr>
          <w:rFonts w:cs="Times New Roman"/>
          <w:i/>
          <w:szCs w:val="24"/>
          <w:lang w:val="en-US"/>
        </w:rPr>
        <w:t xml:space="preserve"> </w:t>
      </w:r>
      <w:proofErr w:type="gramStart"/>
      <w:r w:rsidR="00C16B02">
        <w:rPr>
          <w:rFonts w:cs="Times New Roman"/>
          <w:i/>
          <w:szCs w:val="24"/>
          <w:lang w:val="en-US"/>
        </w:rPr>
        <w:t>5</w:t>
      </w:r>
      <w:proofErr w:type="gramEnd"/>
      <w:r w:rsidRPr="009C49DB">
        <w:rPr>
          <w:rFonts w:cs="Times New Roman"/>
          <w:i/>
          <w:szCs w:val="24"/>
          <w:lang w:val="en-US"/>
        </w:rPr>
        <w:t>.</w:t>
      </w:r>
      <w:r>
        <w:rPr>
          <w:rFonts w:cs="Times New Roman"/>
          <w:szCs w:val="24"/>
          <w:lang w:val="en-US"/>
        </w:rPr>
        <w:t xml:space="preserve"> Check of EBITDA validity</w:t>
      </w:r>
    </w:p>
    <w:p w:rsidR="00BF3177" w:rsidRDefault="00BF3177" w:rsidP="00BF3177">
      <w:pPr>
        <w:pStyle w:val="a5"/>
        <w:spacing w:line="360" w:lineRule="auto"/>
        <w:ind w:firstLine="360"/>
        <w:jc w:val="both"/>
        <w:rPr>
          <w:rFonts w:cs="Times New Roman"/>
          <w:szCs w:val="24"/>
          <w:lang w:val="en-US"/>
        </w:rPr>
      </w:pPr>
      <w:r>
        <w:rPr>
          <w:rFonts w:cs="Times New Roman"/>
          <w:szCs w:val="24"/>
          <w:lang w:val="en-US"/>
        </w:rPr>
        <w:t xml:space="preserve">The calculation of the second part of the IRR – equity value at the exit (28), is more difficult. This value is a matter of a great uncertainty, since we never know how the company will behave in 5-7 years of the holding period. </w:t>
      </w:r>
      <w:r w:rsidR="007844E5">
        <w:rPr>
          <w:rFonts w:cs="Times New Roman"/>
          <w:szCs w:val="24"/>
          <w:lang w:val="en-US"/>
        </w:rPr>
        <w:t xml:space="preserve">It </w:t>
      </w:r>
      <w:proofErr w:type="gramStart"/>
      <w:r w:rsidR="007844E5">
        <w:rPr>
          <w:rFonts w:cs="Times New Roman"/>
          <w:szCs w:val="24"/>
          <w:lang w:val="en-US"/>
        </w:rPr>
        <w:t>is found</w:t>
      </w:r>
      <w:proofErr w:type="gramEnd"/>
      <w:r w:rsidR="007844E5">
        <w:rPr>
          <w:rFonts w:cs="Times New Roman"/>
          <w:szCs w:val="24"/>
          <w:lang w:val="en-US"/>
        </w:rPr>
        <w:t xml:space="preserve"> as the enterprise value at the exit</w:t>
      </w:r>
      <w:r w:rsidR="002B0C8F">
        <w:rPr>
          <w:rFonts w:cs="Times New Roman"/>
          <w:szCs w:val="24"/>
          <w:lang w:val="en-US"/>
        </w:rPr>
        <w:t xml:space="preserve"> (29)</w:t>
      </w:r>
      <w:r w:rsidR="007844E5">
        <w:rPr>
          <w:rFonts w:cs="Times New Roman"/>
          <w:szCs w:val="24"/>
          <w:lang w:val="en-US"/>
        </w:rPr>
        <w:t xml:space="preserve"> minus net debt at the exit (30)</w:t>
      </w:r>
      <w:r w:rsidR="002B0C8F">
        <w:rPr>
          <w:rFonts w:cs="Times New Roman"/>
          <w:szCs w:val="24"/>
          <w:lang w:val="en-US"/>
        </w:rPr>
        <w:t xml:space="preserve">. </w:t>
      </w:r>
    </w:p>
    <w:p w:rsidR="00DF485C" w:rsidRDefault="00DF485C" w:rsidP="00BF3177">
      <w:pPr>
        <w:pStyle w:val="a5"/>
        <w:spacing w:line="360" w:lineRule="auto"/>
        <w:ind w:firstLine="360"/>
        <w:jc w:val="both"/>
        <w:rPr>
          <w:rFonts w:cs="Times New Roman"/>
          <w:szCs w:val="24"/>
          <w:lang w:val="en-US"/>
        </w:rPr>
      </w:pPr>
      <w:r>
        <w:rPr>
          <w:rFonts w:cs="Times New Roman"/>
          <w:szCs w:val="24"/>
          <w:lang w:val="en-US"/>
        </w:rPr>
        <w:t xml:space="preserve">Enterprise value at the exit </w:t>
      </w:r>
      <w:proofErr w:type="gramStart"/>
      <w:r>
        <w:rPr>
          <w:rFonts w:cs="Times New Roman"/>
          <w:szCs w:val="24"/>
          <w:lang w:val="en-US"/>
        </w:rPr>
        <w:t>is found</w:t>
      </w:r>
      <w:proofErr w:type="gramEnd"/>
      <w:r>
        <w:rPr>
          <w:rFonts w:cs="Times New Roman"/>
          <w:szCs w:val="24"/>
          <w:lang w:val="en-US"/>
        </w:rPr>
        <w:t xml:space="preserve"> as EBITDA at exit (31) multiplied the assumed exit multiple (32). </w:t>
      </w:r>
    </w:p>
    <w:p w:rsidR="00DF485C" w:rsidRDefault="00DF485C" w:rsidP="001840C2">
      <w:pPr>
        <w:pStyle w:val="a5"/>
        <w:spacing w:line="360" w:lineRule="auto"/>
        <w:ind w:firstLine="360"/>
        <w:jc w:val="both"/>
        <w:rPr>
          <w:rFonts w:cs="Times New Roman"/>
          <w:szCs w:val="24"/>
          <w:lang w:val="en-US"/>
        </w:rPr>
      </w:pPr>
      <w:r>
        <w:rPr>
          <w:rFonts w:cs="Times New Roman"/>
          <w:szCs w:val="24"/>
          <w:lang w:val="en-US"/>
        </w:rPr>
        <w:t xml:space="preserve">Regarding the net debt at the exit (30), this value </w:t>
      </w:r>
      <w:proofErr w:type="gramStart"/>
      <w:r>
        <w:rPr>
          <w:rFonts w:cs="Times New Roman"/>
          <w:szCs w:val="24"/>
          <w:lang w:val="en-US"/>
        </w:rPr>
        <w:t>is derived</w:t>
      </w:r>
      <w:proofErr w:type="gramEnd"/>
      <w:r>
        <w:rPr>
          <w:rFonts w:cs="Times New Roman"/>
          <w:szCs w:val="24"/>
          <w:lang w:val="en-US"/>
        </w:rPr>
        <w:t xml:space="preserve"> from the balance value at the exit (32) and the cash at the exit (33). Balance value at the exit depends on the series of the assumption that </w:t>
      </w:r>
      <w:proofErr w:type="gramStart"/>
      <w:r>
        <w:rPr>
          <w:rFonts w:cs="Times New Roman"/>
          <w:szCs w:val="24"/>
          <w:lang w:val="en-US"/>
        </w:rPr>
        <w:t>are made</w:t>
      </w:r>
      <w:proofErr w:type="gramEnd"/>
      <w:r>
        <w:rPr>
          <w:rFonts w:cs="Times New Roman"/>
          <w:szCs w:val="24"/>
          <w:lang w:val="en-US"/>
        </w:rPr>
        <w:t xml:space="preserve"> at the beginning of the model. All the assumptions regarding Sales (% YoY growth), Cost of Goods Sold (% margin), SG&amp;A (% sales), </w:t>
      </w:r>
      <w:r w:rsidRPr="00DF485C">
        <w:rPr>
          <w:rFonts w:cs="Times New Roman"/>
          <w:szCs w:val="24"/>
          <w:lang w:val="en-US"/>
        </w:rPr>
        <w:t xml:space="preserve">Other </w:t>
      </w:r>
      <w:r>
        <w:rPr>
          <w:rFonts w:cs="Times New Roman"/>
          <w:szCs w:val="24"/>
          <w:lang w:val="en-US"/>
        </w:rPr>
        <w:t xml:space="preserve">Expense / (Income) (% of sales), </w:t>
      </w:r>
      <w:r w:rsidRPr="00DF485C">
        <w:rPr>
          <w:rFonts w:cs="Times New Roman"/>
          <w:szCs w:val="24"/>
          <w:lang w:val="en-US"/>
        </w:rPr>
        <w:t>Depreciat</w:t>
      </w:r>
      <w:r>
        <w:rPr>
          <w:rFonts w:cs="Times New Roman"/>
          <w:szCs w:val="24"/>
          <w:lang w:val="en-US"/>
        </w:rPr>
        <w:t xml:space="preserve">ion &amp; Amortization (% of sales), Interest Income, Tax Rate, </w:t>
      </w:r>
      <w:r w:rsidRPr="00DF485C">
        <w:rPr>
          <w:rFonts w:cs="Times New Roman"/>
          <w:szCs w:val="24"/>
          <w:lang w:val="en-US"/>
        </w:rPr>
        <w:t>Cost savings as % of SG&amp;A</w:t>
      </w:r>
      <w:r w:rsidR="001840C2">
        <w:rPr>
          <w:rFonts w:cs="Times New Roman"/>
          <w:szCs w:val="24"/>
          <w:lang w:val="en-US"/>
        </w:rPr>
        <w:t>, as well as interest expenses taken from debt schedule are included in the calculation of  Income, used to further find the shareholder equity value</w:t>
      </w:r>
      <w:r w:rsidR="00320781">
        <w:rPr>
          <w:rFonts w:cs="Times New Roman"/>
          <w:szCs w:val="24"/>
          <w:lang w:val="en-US"/>
        </w:rPr>
        <w:t xml:space="preserve"> (33)</w:t>
      </w:r>
      <w:r w:rsidR="001840C2">
        <w:rPr>
          <w:rFonts w:cs="Times New Roman"/>
          <w:szCs w:val="24"/>
          <w:lang w:val="en-US"/>
        </w:rPr>
        <w:t xml:space="preserve">. Other assumptions such as Days Sales Outstanding (DSO), Days Inventory Held (DIH), </w:t>
      </w:r>
      <w:r w:rsidR="001840C2" w:rsidRPr="001840C2">
        <w:rPr>
          <w:rFonts w:cs="Times New Roman"/>
          <w:szCs w:val="24"/>
          <w:lang w:val="en-US"/>
        </w:rPr>
        <w:t>Prepaid and Other Current Assets (</w:t>
      </w:r>
      <w:proofErr w:type="gramStart"/>
      <w:r w:rsidR="001840C2" w:rsidRPr="001840C2">
        <w:rPr>
          <w:rFonts w:cs="Times New Roman"/>
          <w:szCs w:val="24"/>
          <w:lang w:val="en-US"/>
        </w:rPr>
        <w:t>%</w:t>
      </w:r>
      <w:proofErr w:type="gramEnd"/>
      <w:r w:rsidR="001840C2" w:rsidRPr="001840C2">
        <w:rPr>
          <w:rFonts w:cs="Times New Roman"/>
          <w:szCs w:val="24"/>
          <w:lang w:val="en-US"/>
        </w:rPr>
        <w:t xml:space="preserve"> of sales)</w:t>
      </w:r>
      <w:r w:rsidR="001840C2">
        <w:rPr>
          <w:rFonts w:cs="Times New Roman"/>
          <w:szCs w:val="24"/>
          <w:lang w:val="en-US"/>
        </w:rPr>
        <w:t xml:space="preserve">, Days Payable Outstanding (DPO), </w:t>
      </w:r>
      <w:r w:rsidR="001840C2" w:rsidRPr="001840C2">
        <w:rPr>
          <w:rFonts w:cs="Times New Roman"/>
          <w:szCs w:val="24"/>
          <w:lang w:val="en-US"/>
        </w:rPr>
        <w:t>Accrued Liabilities (% of sales)</w:t>
      </w:r>
      <w:r w:rsidR="001840C2">
        <w:rPr>
          <w:rFonts w:cs="Times New Roman"/>
          <w:szCs w:val="24"/>
          <w:lang w:val="en-US"/>
        </w:rPr>
        <w:t xml:space="preserve">, </w:t>
      </w:r>
      <w:r w:rsidR="001840C2" w:rsidRPr="001840C2">
        <w:rPr>
          <w:rFonts w:cs="Times New Roman"/>
          <w:szCs w:val="24"/>
          <w:lang w:val="en-US"/>
        </w:rPr>
        <w:t>Other Current Liabilities (% of sales)</w:t>
      </w:r>
      <w:r w:rsidR="001840C2">
        <w:rPr>
          <w:rFonts w:cs="Times New Roman"/>
          <w:szCs w:val="24"/>
          <w:lang w:val="en-US"/>
        </w:rPr>
        <w:t xml:space="preserve"> are used in the calculation of the shareholder equity. </w:t>
      </w:r>
    </w:p>
    <w:p w:rsidR="001840C2" w:rsidRDefault="001840C2" w:rsidP="001840C2">
      <w:pPr>
        <w:pStyle w:val="a5"/>
        <w:spacing w:line="360" w:lineRule="auto"/>
        <w:ind w:firstLine="360"/>
        <w:jc w:val="both"/>
        <w:rPr>
          <w:rFonts w:cs="Times New Roman"/>
          <w:szCs w:val="24"/>
          <w:lang w:val="en-US"/>
        </w:rPr>
      </w:pPr>
      <w:r>
        <w:rPr>
          <w:rFonts w:cs="Times New Roman"/>
          <w:szCs w:val="24"/>
          <w:lang w:val="en-US"/>
        </w:rPr>
        <w:t xml:space="preserve">As for the value of cash at the exit (32) it is derived from cash flow from operating activities </w:t>
      </w:r>
      <w:r w:rsidR="00320781">
        <w:rPr>
          <w:rFonts w:cs="Times New Roman"/>
          <w:szCs w:val="24"/>
          <w:lang w:val="en-US"/>
        </w:rPr>
        <w:t xml:space="preserve">(34) </w:t>
      </w:r>
      <w:r>
        <w:rPr>
          <w:rFonts w:cs="Times New Roman"/>
          <w:szCs w:val="24"/>
          <w:lang w:val="en-US"/>
        </w:rPr>
        <w:t xml:space="preserve">(based on net income, Depreciation assumptions, and amortization of financing fees), cash </w:t>
      </w:r>
      <w:r w:rsidR="00320781">
        <w:rPr>
          <w:rFonts w:cs="Times New Roman"/>
          <w:szCs w:val="24"/>
          <w:lang w:val="en-US"/>
        </w:rPr>
        <w:t>flow</w:t>
      </w:r>
      <w:r>
        <w:rPr>
          <w:rFonts w:cs="Times New Roman"/>
          <w:szCs w:val="24"/>
          <w:lang w:val="en-US"/>
        </w:rPr>
        <w:t xml:space="preserve"> from investing activities</w:t>
      </w:r>
      <w:r w:rsidR="00320781">
        <w:rPr>
          <w:rFonts w:cs="Times New Roman"/>
          <w:szCs w:val="24"/>
          <w:lang w:val="en-US"/>
        </w:rPr>
        <w:t xml:space="preserve"> (35)</w:t>
      </w:r>
      <w:r>
        <w:rPr>
          <w:rFonts w:cs="Times New Roman"/>
          <w:szCs w:val="24"/>
          <w:lang w:val="en-US"/>
        </w:rPr>
        <w:t xml:space="preserve"> (based on CAPEX assumptions) and cash flow from financing activities</w:t>
      </w:r>
      <w:r w:rsidR="00315257">
        <w:rPr>
          <w:rFonts w:cs="Times New Roman"/>
          <w:szCs w:val="24"/>
          <w:lang w:val="en-US"/>
        </w:rPr>
        <w:t xml:space="preserve"> (36)</w:t>
      </w:r>
      <w:r>
        <w:rPr>
          <w:rFonts w:cs="Times New Roman"/>
          <w:szCs w:val="24"/>
          <w:lang w:val="en-US"/>
        </w:rPr>
        <w:t xml:space="preserve"> (based on debt structure and debt schedule assumptions). </w:t>
      </w:r>
    </w:p>
    <w:p w:rsidR="000F4840" w:rsidRDefault="00315257" w:rsidP="00741FFE">
      <w:pPr>
        <w:pStyle w:val="a5"/>
        <w:spacing w:line="360" w:lineRule="auto"/>
        <w:ind w:firstLine="360"/>
        <w:jc w:val="both"/>
        <w:rPr>
          <w:rFonts w:cs="Times New Roman"/>
          <w:szCs w:val="24"/>
          <w:lang w:val="en-US"/>
        </w:rPr>
      </w:pPr>
      <w:r>
        <w:rPr>
          <w:rFonts w:cs="Times New Roman"/>
          <w:szCs w:val="24"/>
          <w:lang w:val="en-US"/>
        </w:rPr>
        <w:t xml:space="preserve">At the end of </w:t>
      </w:r>
      <w:proofErr w:type="gramStart"/>
      <w:r>
        <w:rPr>
          <w:rFonts w:cs="Times New Roman"/>
          <w:szCs w:val="24"/>
          <w:lang w:val="en-US"/>
        </w:rPr>
        <w:t>all this</w:t>
      </w:r>
      <w:proofErr w:type="gramEnd"/>
      <w:r>
        <w:rPr>
          <w:rFonts w:cs="Times New Roman"/>
          <w:szCs w:val="24"/>
          <w:lang w:val="en-US"/>
        </w:rPr>
        <w:t xml:space="preserve"> algorithm the investor rate of return for a given year is calculated (26) and the sensitivity analysis is performed (37). </w:t>
      </w:r>
      <w:r w:rsidR="005B545A">
        <w:rPr>
          <w:rFonts w:cs="Times New Roman"/>
          <w:szCs w:val="24"/>
          <w:lang w:val="en-US"/>
        </w:rPr>
        <w:t xml:space="preserve">After </w:t>
      </w:r>
      <w:proofErr w:type="gramStart"/>
      <w:r w:rsidR="005B545A">
        <w:rPr>
          <w:rFonts w:cs="Times New Roman"/>
          <w:szCs w:val="24"/>
          <w:lang w:val="en-US"/>
        </w:rPr>
        <w:t>that</w:t>
      </w:r>
      <w:proofErr w:type="gramEnd"/>
      <w:r w:rsidR="005B545A">
        <w:rPr>
          <w:rFonts w:cs="Times New Roman"/>
          <w:szCs w:val="24"/>
          <w:lang w:val="en-US"/>
        </w:rPr>
        <w:t xml:space="preserve"> an important decision making should take place: based on the return analysis the investor has to compare the outcome with the </w:t>
      </w:r>
      <w:r w:rsidR="00DA0551">
        <w:rPr>
          <w:rFonts w:cs="Times New Roman"/>
          <w:szCs w:val="24"/>
          <w:lang w:val="en-US"/>
        </w:rPr>
        <w:t xml:space="preserve">target IRR and make a decision whether to invest in the company or not. If the investor is </w:t>
      </w:r>
      <w:proofErr w:type="gramStart"/>
      <w:r w:rsidR="00DA0551">
        <w:rPr>
          <w:rFonts w:cs="Times New Roman"/>
          <w:szCs w:val="24"/>
          <w:lang w:val="en-US"/>
        </w:rPr>
        <w:t>satisfied</w:t>
      </w:r>
      <w:proofErr w:type="gramEnd"/>
      <w:r w:rsidR="00DA0551">
        <w:rPr>
          <w:rFonts w:cs="Times New Roman"/>
          <w:szCs w:val="24"/>
          <w:lang w:val="en-US"/>
        </w:rPr>
        <w:t xml:space="preserve"> with the results of the analysis (38) he may proceed with investment and the algorithm ends. If the investor </w:t>
      </w:r>
      <w:r w:rsidR="00DA0551">
        <w:rPr>
          <w:rFonts w:cs="Times New Roman"/>
          <w:szCs w:val="24"/>
          <w:lang w:val="en-US"/>
        </w:rPr>
        <w:lastRenderedPageBreak/>
        <w:t xml:space="preserve">is not satisfied with the results, he may choose to conduct the LBO-analysis again on a different company of on the same company buy with a different set of assumptions. </w:t>
      </w:r>
    </w:p>
    <w:p w:rsidR="00F5317A" w:rsidRDefault="00F5317A" w:rsidP="008D3CCB">
      <w:pPr>
        <w:pStyle w:val="2"/>
        <w:numPr>
          <w:ilvl w:val="1"/>
          <w:numId w:val="22"/>
        </w:numPr>
        <w:rPr>
          <w:lang w:val="en-US"/>
        </w:rPr>
      </w:pPr>
      <w:bookmarkStart w:id="20" w:name="_Toc483074650"/>
      <w:r>
        <w:rPr>
          <w:lang w:val="en-US"/>
        </w:rPr>
        <w:t>Applying LBO-analysis tool on real companies</w:t>
      </w:r>
      <w:bookmarkEnd w:id="20"/>
      <w:r>
        <w:rPr>
          <w:lang w:val="en-US"/>
        </w:rPr>
        <w:t xml:space="preserve"> </w:t>
      </w:r>
    </w:p>
    <w:p w:rsidR="006A7D29" w:rsidRDefault="0047625A" w:rsidP="008D3CCB">
      <w:pPr>
        <w:pStyle w:val="3"/>
        <w:numPr>
          <w:ilvl w:val="2"/>
          <w:numId w:val="22"/>
        </w:numPr>
        <w:rPr>
          <w:lang w:val="en-US"/>
        </w:rPr>
      </w:pPr>
      <w:bookmarkStart w:id="21" w:name="_Toc483074651"/>
      <w:r>
        <w:rPr>
          <w:lang w:val="en-US"/>
        </w:rPr>
        <w:t xml:space="preserve">Running </w:t>
      </w:r>
      <w:r w:rsidR="006A7D29">
        <w:rPr>
          <w:lang w:val="en-US"/>
        </w:rPr>
        <w:t xml:space="preserve">LBO-screener </w:t>
      </w:r>
      <w:r>
        <w:rPr>
          <w:lang w:val="en-US"/>
        </w:rPr>
        <w:t>for a set of potential LBO-targets</w:t>
      </w:r>
      <w:bookmarkEnd w:id="21"/>
      <w:r>
        <w:rPr>
          <w:lang w:val="en-US"/>
        </w:rPr>
        <w:t xml:space="preserve"> </w:t>
      </w:r>
    </w:p>
    <w:p w:rsidR="006A7D29" w:rsidRDefault="00B9361B" w:rsidP="00B9361B">
      <w:pPr>
        <w:pStyle w:val="a5"/>
        <w:spacing w:line="360" w:lineRule="auto"/>
        <w:ind w:firstLine="708"/>
        <w:jc w:val="both"/>
        <w:rPr>
          <w:rFonts w:cs="Times New Roman"/>
          <w:szCs w:val="24"/>
          <w:lang w:val="en-US"/>
        </w:rPr>
      </w:pPr>
      <w:r>
        <w:rPr>
          <w:rFonts w:cs="Times New Roman"/>
          <w:szCs w:val="24"/>
          <w:lang w:val="en-US"/>
        </w:rPr>
        <w:t xml:space="preserve">In this section there </w:t>
      </w:r>
      <w:proofErr w:type="gramStart"/>
      <w:r>
        <w:rPr>
          <w:rFonts w:cs="Times New Roman"/>
          <w:szCs w:val="24"/>
          <w:lang w:val="en-US"/>
        </w:rPr>
        <w:t>is made</w:t>
      </w:r>
      <w:proofErr w:type="gramEnd"/>
      <w:r>
        <w:rPr>
          <w:rFonts w:cs="Times New Roman"/>
          <w:szCs w:val="24"/>
          <w:lang w:val="en-US"/>
        </w:rPr>
        <w:t xml:space="preserve"> an attempt to apply the developed LBO-analysis tool of the set of real companies. </w:t>
      </w:r>
      <w:r w:rsidR="006A7D29">
        <w:rPr>
          <w:rFonts w:cs="Times New Roman"/>
          <w:szCs w:val="24"/>
          <w:lang w:val="en-US"/>
        </w:rPr>
        <w:t>The developed analytical tool starts with the following page:</w:t>
      </w:r>
    </w:p>
    <w:p w:rsidR="006A7D29" w:rsidRDefault="006A7D29" w:rsidP="006A7D29">
      <w:pPr>
        <w:pStyle w:val="a5"/>
        <w:spacing w:line="360" w:lineRule="auto"/>
        <w:jc w:val="both"/>
        <w:rPr>
          <w:rFonts w:cs="Times New Roman"/>
          <w:szCs w:val="24"/>
          <w:lang w:val="en-US"/>
        </w:rPr>
      </w:pPr>
      <w:r>
        <w:rPr>
          <w:rFonts w:cs="Times New Roman"/>
          <w:noProof/>
          <w:szCs w:val="24"/>
          <w:lang w:eastAsia="ru-RU"/>
        </w:rPr>
        <w:drawing>
          <wp:inline distT="0" distB="0" distL="0" distR="0">
            <wp:extent cx="5943600" cy="28600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rsidR="006A7D29" w:rsidRDefault="006A7D29" w:rsidP="006A7D29">
      <w:pPr>
        <w:pStyle w:val="a5"/>
        <w:spacing w:line="360" w:lineRule="auto"/>
        <w:jc w:val="center"/>
        <w:rPr>
          <w:rFonts w:cs="Times New Roman"/>
          <w:szCs w:val="24"/>
          <w:lang w:val="en-US"/>
        </w:rPr>
      </w:pPr>
      <w:r w:rsidRPr="00B9361B">
        <w:rPr>
          <w:rFonts w:cs="Times New Roman"/>
          <w:i/>
          <w:szCs w:val="24"/>
          <w:lang w:val="en-US"/>
        </w:rPr>
        <w:t>Pic</w:t>
      </w:r>
      <w:r w:rsidR="005D213F">
        <w:rPr>
          <w:rFonts w:cs="Times New Roman"/>
          <w:i/>
          <w:szCs w:val="24"/>
          <w:lang w:val="en-US"/>
        </w:rPr>
        <w:t xml:space="preserve"> 14</w:t>
      </w:r>
      <w:r w:rsidRPr="00B9361B">
        <w:rPr>
          <w:rFonts w:cs="Times New Roman"/>
          <w:i/>
          <w:szCs w:val="24"/>
          <w:lang w:val="en-US"/>
        </w:rPr>
        <w:t>.</w:t>
      </w:r>
      <w:r>
        <w:rPr>
          <w:rFonts w:cs="Times New Roman"/>
          <w:szCs w:val="24"/>
          <w:lang w:val="en-US"/>
        </w:rPr>
        <w:t xml:space="preserve"> Home page of the developed</w:t>
      </w:r>
      <w:r w:rsidR="00B9361B">
        <w:rPr>
          <w:rFonts w:cs="Times New Roman"/>
          <w:szCs w:val="24"/>
          <w:lang w:val="en-US"/>
        </w:rPr>
        <w:t xml:space="preserve"> LBO-analysis</w:t>
      </w:r>
      <w:r>
        <w:rPr>
          <w:rFonts w:cs="Times New Roman"/>
          <w:szCs w:val="24"/>
          <w:lang w:val="en-US"/>
        </w:rPr>
        <w:t xml:space="preserve"> tool</w:t>
      </w:r>
    </w:p>
    <w:p w:rsidR="006A7D29" w:rsidRDefault="006A7D29" w:rsidP="006A7D29">
      <w:pPr>
        <w:pStyle w:val="a5"/>
        <w:spacing w:line="360" w:lineRule="auto"/>
        <w:jc w:val="both"/>
        <w:rPr>
          <w:rFonts w:cs="Times New Roman"/>
          <w:szCs w:val="24"/>
          <w:lang w:val="en-US"/>
        </w:rPr>
      </w:pPr>
      <w:r>
        <w:rPr>
          <w:rFonts w:cs="Times New Roman"/>
          <w:szCs w:val="24"/>
          <w:lang w:val="en-US"/>
        </w:rPr>
        <w:t xml:space="preserve">There are </w:t>
      </w:r>
      <w:r w:rsidR="00B9361B">
        <w:rPr>
          <w:rFonts w:cs="Times New Roman"/>
          <w:szCs w:val="24"/>
          <w:lang w:val="en-US"/>
        </w:rPr>
        <w:t>four</w:t>
      </w:r>
      <w:r>
        <w:rPr>
          <w:rFonts w:cs="Times New Roman"/>
          <w:szCs w:val="24"/>
          <w:lang w:val="en-US"/>
        </w:rPr>
        <w:t xml:space="preserve"> main functions presented here:</w:t>
      </w:r>
    </w:p>
    <w:p w:rsidR="006A7D29" w:rsidRDefault="006A7D29" w:rsidP="008D3CCB">
      <w:pPr>
        <w:pStyle w:val="a5"/>
        <w:numPr>
          <w:ilvl w:val="0"/>
          <w:numId w:val="32"/>
        </w:numPr>
        <w:spacing w:line="360" w:lineRule="auto"/>
        <w:jc w:val="both"/>
        <w:rPr>
          <w:rFonts w:cs="Times New Roman"/>
          <w:szCs w:val="24"/>
          <w:lang w:val="en-US"/>
        </w:rPr>
      </w:pPr>
      <w:r>
        <w:rPr>
          <w:rFonts w:cs="Times New Roman"/>
          <w:szCs w:val="24"/>
          <w:lang w:val="en-US"/>
        </w:rPr>
        <w:t xml:space="preserve">Run a </w:t>
      </w:r>
      <w:r w:rsidR="00B9361B">
        <w:rPr>
          <w:rFonts w:cs="Times New Roman"/>
          <w:szCs w:val="24"/>
          <w:lang w:val="en-US"/>
        </w:rPr>
        <w:t>LBO-</w:t>
      </w:r>
      <w:r>
        <w:rPr>
          <w:rFonts w:cs="Times New Roman"/>
          <w:szCs w:val="24"/>
          <w:lang w:val="en-US"/>
        </w:rPr>
        <w:t>screener specifying parameters and calculation methodology;</w:t>
      </w:r>
    </w:p>
    <w:p w:rsidR="006A7D29" w:rsidRDefault="006A7D29" w:rsidP="008D3CCB">
      <w:pPr>
        <w:pStyle w:val="a5"/>
        <w:numPr>
          <w:ilvl w:val="0"/>
          <w:numId w:val="32"/>
        </w:numPr>
        <w:spacing w:line="360" w:lineRule="auto"/>
        <w:jc w:val="both"/>
        <w:rPr>
          <w:rFonts w:cs="Times New Roman"/>
          <w:szCs w:val="24"/>
          <w:lang w:val="en-US"/>
        </w:rPr>
      </w:pPr>
      <w:r>
        <w:rPr>
          <w:rFonts w:cs="Times New Roman"/>
          <w:szCs w:val="24"/>
          <w:lang w:val="en-US"/>
        </w:rPr>
        <w:t>Run a screen based on Base Case assumptions suitable for most situations;</w:t>
      </w:r>
    </w:p>
    <w:p w:rsidR="00B9361B" w:rsidRDefault="006A7D29" w:rsidP="008D3CCB">
      <w:pPr>
        <w:pStyle w:val="a5"/>
        <w:numPr>
          <w:ilvl w:val="0"/>
          <w:numId w:val="32"/>
        </w:numPr>
        <w:spacing w:line="360" w:lineRule="auto"/>
        <w:jc w:val="both"/>
        <w:rPr>
          <w:rFonts w:cs="Times New Roman"/>
          <w:szCs w:val="24"/>
          <w:lang w:val="en-US"/>
        </w:rPr>
      </w:pPr>
      <w:r>
        <w:rPr>
          <w:rFonts w:cs="Times New Roman"/>
          <w:szCs w:val="24"/>
          <w:lang w:val="en-US"/>
        </w:rPr>
        <w:t xml:space="preserve">Manipulate the actual </w:t>
      </w:r>
      <w:r w:rsidR="00B9361B">
        <w:rPr>
          <w:rFonts w:cs="Times New Roman"/>
          <w:szCs w:val="24"/>
          <w:lang w:val="en-US"/>
        </w:rPr>
        <w:t>LBO-screener;</w:t>
      </w:r>
    </w:p>
    <w:p w:rsidR="00B9361B" w:rsidRPr="00B9361B" w:rsidRDefault="00B9361B" w:rsidP="008D3CCB">
      <w:pPr>
        <w:pStyle w:val="a5"/>
        <w:numPr>
          <w:ilvl w:val="0"/>
          <w:numId w:val="32"/>
        </w:numPr>
        <w:spacing w:line="360" w:lineRule="auto"/>
        <w:jc w:val="both"/>
        <w:rPr>
          <w:rFonts w:cs="Times New Roman"/>
          <w:szCs w:val="24"/>
          <w:lang w:val="en-US"/>
        </w:rPr>
      </w:pPr>
      <w:r>
        <w:rPr>
          <w:rFonts w:cs="Times New Roman"/>
          <w:szCs w:val="24"/>
          <w:lang w:val="en-US"/>
        </w:rPr>
        <w:t xml:space="preserve">Run LBO-model for an advanced analysis. </w:t>
      </w:r>
    </w:p>
    <w:p w:rsidR="006A7D29" w:rsidRDefault="006A7D29" w:rsidP="006A7D29">
      <w:pPr>
        <w:pStyle w:val="a5"/>
        <w:tabs>
          <w:tab w:val="left" w:pos="8422"/>
        </w:tabs>
        <w:spacing w:line="360" w:lineRule="auto"/>
        <w:ind w:firstLine="360"/>
        <w:jc w:val="both"/>
        <w:rPr>
          <w:rFonts w:cs="Times New Roman"/>
          <w:szCs w:val="24"/>
          <w:lang w:val="en-US"/>
        </w:rPr>
      </w:pPr>
      <w:r>
        <w:rPr>
          <w:rFonts w:cs="Times New Roman"/>
          <w:szCs w:val="24"/>
          <w:lang w:val="en-US"/>
        </w:rPr>
        <w:t xml:space="preserve">To access the needed function the user has to push the corresponding button. </w:t>
      </w:r>
      <w:r>
        <w:rPr>
          <w:rFonts w:cs="Times New Roman"/>
          <w:szCs w:val="24"/>
          <w:lang w:val="en-US"/>
        </w:rPr>
        <w:tab/>
      </w:r>
    </w:p>
    <w:p w:rsidR="00B9361B" w:rsidRDefault="006A7D29" w:rsidP="00B9361B">
      <w:pPr>
        <w:pStyle w:val="a5"/>
        <w:spacing w:line="360" w:lineRule="auto"/>
        <w:ind w:firstLine="360"/>
        <w:jc w:val="both"/>
        <w:rPr>
          <w:rFonts w:cs="Times New Roman"/>
          <w:szCs w:val="24"/>
          <w:lang w:val="en-US"/>
        </w:rPr>
      </w:pPr>
      <w:r>
        <w:rPr>
          <w:rFonts w:cs="Times New Roman"/>
          <w:szCs w:val="24"/>
          <w:lang w:val="en-US"/>
        </w:rPr>
        <w:t>The first function represents the actual LBO-screener. It gives an opportunity to set specific desirable assumption</w:t>
      </w:r>
      <w:r w:rsidR="00B9361B">
        <w:rPr>
          <w:rFonts w:cs="Times New Roman"/>
          <w:szCs w:val="24"/>
          <w:lang w:val="en-US"/>
        </w:rPr>
        <w:t>s and then evaluate and compare</w:t>
      </w:r>
      <w:r>
        <w:rPr>
          <w:rFonts w:cs="Times New Roman"/>
          <w:szCs w:val="24"/>
          <w:lang w:val="en-US"/>
        </w:rPr>
        <w:t xml:space="preserve"> companies as potential LBO candidates. The model performs preliminary LBO-analysis potential targets and then ran</w:t>
      </w:r>
      <w:r w:rsidR="00B9361B">
        <w:rPr>
          <w:rFonts w:cs="Times New Roman"/>
          <w:szCs w:val="24"/>
          <w:lang w:val="en-US"/>
        </w:rPr>
        <w:t>ks the companies by implied IRR.</w:t>
      </w:r>
    </w:p>
    <w:p w:rsidR="00257152" w:rsidRDefault="00B9361B" w:rsidP="00257152">
      <w:pPr>
        <w:pStyle w:val="a5"/>
        <w:spacing w:line="360" w:lineRule="auto"/>
        <w:ind w:firstLine="360"/>
        <w:jc w:val="both"/>
        <w:rPr>
          <w:rFonts w:cs="Times New Roman"/>
          <w:szCs w:val="24"/>
          <w:lang w:val="en-US"/>
        </w:rPr>
      </w:pPr>
      <w:r>
        <w:rPr>
          <w:rFonts w:cs="Times New Roman"/>
          <w:szCs w:val="24"/>
          <w:lang w:val="en-US"/>
        </w:rPr>
        <w:t xml:space="preserve">As it </w:t>
      </w:r>
      <w:proofErr w:type="gramStart"/>
      <w:r>
        <w:rPr>
          <w:rFonts w:cs="Times New Roman"/>
          <w:szCs w:val="24"/>
          <w:lang w:val="en-US"/>
        </w:rPr>
        <w:t>was mentioned</w:t>
      </w:r>
      <w:proofErr w:type="gramEnd"/>
      <w:r>
        <w:rPr>
          <w:rFonts w:cs="Times New Roman"/>
          <w:szCs w:val="24"/>
          <w:lang w:val="en-US"/>
        </w:rPr>
        <w:t xml:space="preserve">, in order to run the screener firstly the data on companies has to be collected. For this purposes a data file from 760 companies </w:t>
      </w:r>
      <w:proofErr w:type="gramStart"/>
      <w:r>
        <w:rPr>
          <w:rFonts w:cs="Times New Roman"/>
          <w:szCs w:val="24"/>
          <w:lang w:val="en-US"/>
        </w:rPr>
        <w:t>was created</w:t>
      </w:r>
      <w:proofErr w:type="gramEnd"/>
      <w:r>
        <w:rPr>
          <w:rFonts w:cs="Times New Roman"/>
          <w:szCs w:val="24"/>
          <w:lang w:val="en-US"/>
        </w:rPr>
        <w:t xml:space="preserve"> and all the requited information on these companies was collected. The list of the used companies </w:t>
      </w:r>
      <w:proofErr w:type="gramStart"/>
      <w:r>
        <w:rPr>
          <w:rFonts w:cs="Times New Roman"/>
          <w:szCs w:val="24"/>
          <w:lang w:val="en-US"/>
        </w:rPr>
        <w:t>can be seen</w:t>
      </w:r>
      <w:proofErr w:type="gramEnd"/>
      <w:r>
        <w:rPr>
          <w:rFonts w:cs="Times New Roman"/>
          <w:szCs w:val="24"/>
          <w:lang w:val="en-US"/>
        </w:rPr>
        <w:t xml:space="preserve"> in the Appendix </w:t>
      </w:r>
      <w:r w:rsidR="009B7B03">
        <w:rPr>
          <w:rFonts w:cs="Times New Roman"/>
          <w:szCs w:val="24"/>
          <w:lang w:val="en-US"/>
        </w:rPr>
        <w:t>4</w:t>
      </w:r>
      <w:r>
        <w:rPr>
          <w:rFonts w:cs="Times New Roman"/>
          <w:szCs w:val="24"/>
          <w:lang w:val="en-US"/>
        </w:rPr>
        <w:t xml:space="preserve">. </w:t>
      </w:r>
      <w:r w:rsidR="007D444D">
        <w:rPr>
          <w:rFonts w:cs="Times New Roman"/>
          <w:szCs w:val="24"/>
          <w:lang w:val="en-US"/>
        </w:rPr>
        <w:t xml:space="preserve">Moreover, for the chosen companies the industry sector </w:t>
      </w:r>
      <w:proofErr w:type="gramStart"/>
      <w:r w:rsidR="007D444D">
        <w:rPr>
          <w:rFonts w:cs="Times New Roman"/>
          <w:szCs w:val="24"/>
          <w:lang w:val="en-US"/>
        </w:rPr>
        <w:t>was identified</w:t>
      </w:r>
      <w:proofErr w:type="gramEnd"/>
      <w:r w:rsidR="007D444D">
        <w:rPr>
          <w:rFonts w:cs="Times New Roman"/>
          <w:szCs w:val="24"/>
          <w:lang w:val="en-US"/>
        </w:rPr>
        <w:t xml:space="preserve">, and then all the information regarding the industry </w:t>
      </w:r>
      <w:r w:rsidR="00257152">
        <w:rPr>
          <w:rFonts w:cs="Times New Roman"/>
          <w:szCs w:val="24"/>
          <w:lang w:val="en-US"/>
        </w:rPr>
        <w:t xml:space="preserve">growth rate was also obtained. The list of industries </w:t>
      </w:r>
      <w:proofErr w:type="gramStart"/>
      <w:r w:rsidR="00257152">
        <w:rPr>
          <w:rFonts w:cs="Times New Roman"/>
          <w:szCs w:val="24"/>
          <w:lang w:val="en-US"/>
        </w:rPr>
        <w:t>is presented</w:t>
      </w:r>
      <w:proofErr w:type="gramEnd"/>
      <w:r w:rsidR="00257152">
        <w:rPr>
          <w:rFonts w:cs="Times New Roman"/>
          <w:szCs w:val="24"/>
          <w:lang w:val="en-US"/>
        </w:rPr>
        <w:t xml:space="preserve"> below. All the data regarding the companies and the industries </w:t>
      </w:r>
      <w:proofErr w:type="gramStart"/>
      <w:r w:rsidR="00257152">
        <w:rPr>
          <w:rFonts w:cs="Times New Roman"/>
          <w:szCs w:val="24"/>
          <w:lang w:val="en-US"/>
        </w:rPr>
        <w:t>were collected</w:t>
      </w:r>
      <w:proofErr w:type="gramEnd"/>
      <w:r w:rsidR="00257152">
        <w:rPr>
          <w:rFonts w:cs="Times New Roman"/>
          <w:szCs w:val="24"/>
          <w:lang w:val="en-US"/>
        </w:rPr>
        <w:t xml:space="preserve"> from the Thompson Reuters database. </w:t>
      </w:r>
    </w:p>
    <w:p w:rsidR="00257152" w:rsidRDefault="00257152" w:rsidP="00257152">
      <w:pPr>
        <w:pStyle w:val="a5"/>
        <w:spacing w:line="360" w:lineRule="auto"/>
        <w:ind w:firstLine="360"/>
        <w:jc w:val="right"/>
        <w:rPr>
          <w:rFonts w:cs="Times New Roman"/>
          <w:szCs w:val="24"/>
          <w:lang w:val="en-US"/>
        </w:rPr>
        <w:sectPr w:rsidR="00257152" w:rsidSect="008F0112">
          <w:footerReference w:type="default" r:id="rId43"/>
          <w:pgSz w:w="11906" w:h="16838"/>
          <w:pgMar w:top="1134" w:right="851" w:bottom="1134" w:left="1701" w:header="709" w:footer="709" w:gutter="0"/>
          <w:cols w:space="708"/>
          <w:docGrid w:linePitch="360"/>
        </w:sectPr>
      </w:pPr>
      <w:r w:rsidRPr="00257152">
        <w:rPr>
          <w:rFonts w:cs="Times New Roman"/>
          <w:i/>
          <w:szCs w:val="24"/>
          <w:lang w:val="en-US"/>
        </w:rPr>
        <w:lastRenderedPageBreak/>
        <w:t>List 1</w:t>
      </w:r>
      <w:r>
        <w:rPr>
          <w:rFonts w:cs="Times New Roman"/>
          <w:szCs w:val="24"/>
          <w:lang w:val="en-US"/>
        </w:rPr>
        <w:t>.   List of industries used in LBO-screener</w:t>
      </w:r>
    </w:p>
    <w:p w:rsidR="00257152" w:rsidRPr="00257152" w:rsidRDefault="00257152" w:rsidP="00257152">
      <w:pPr>
        <w:pStyle w:val="a5"/>
        <w:rPr>
          <w:sz w:val="20"/>
          <w:szCs w:val="20"/>
          <w:lang w:val="en-US"/>
        </w:rPr>
      </w:pPr>
      <w:r w:rsidRPr="00257152">
        <w:rPr>
          <w:sz w:val="20"/>
          <w:szCs w:val="20"/>
          <w:lang w:val="en-US"/>
        </w:rPr>
        <w:t>Aerospace/defense</w:t>
      </w:r>
    </w:p>
    <w:p w:rsidR="00257152" w:rsidRPr="00257152" w:rsidRDefault="00257152" w:rsidP="00257152">
      <w:pPr>
        <w:pStyle w:val="a5"/>
        <w:rPr>
          <w:sz w:val="20"/>
          <w:szCs w:val="20"/>
          <w:lang w:val="en-US"/>
        </w:rPr>
      </w:pPr>
      <w:r w:rsidRPr="00257152">
        <w:rPr>
          <w:sz w:val="20"/>
          <w:szCs w:val="20"/>
          <w:lang w:val="en-US"/>
        </w:rPr>
        <w:t xml:space="preserve">Airlines </w:t>
      </w:r>
    </w:p>
    <w:p w:rsidR="00257152" w:rsidRPr="00257152" w:rsidRDefault="00257152" w:rsidP="00257152">
      <w:pPr>
        <w:pStyle w:val="a5"/>
        <w:rPr>
          <w:sz w:val="20"/>
          <w:szCs w:val="20"/>
          <w:lang w:val="en-US"/>
        </w:rPr>
      </w:pPr>
      <w:r w:rsidRPr="00257152">
        <w:rPr>
          <w:sz w:val="20"/>
          <w:szCs w:val="20"/>
          <w:lang w:val="en-US"/>
        </w:rPr>
        <w:t xml:space="preserve">Airports </w:t>
      </w:r>
    </w:p>
    <w:p w:rsidR="00257152" w:rsidRPr="00257152" w:rsidRDefault="00257152" w:rsidP="00257152">
      <w:pPr>
        <w:pStyle w:val="a5"/>
        <w:rPr>
          <w:sz w:val="20"/>
          <w:szCs w:val="20"/>
          <w:lang w:val="en-US"/>
        </w:rPr>
      </w:pPr>
      <w:r w:rsidRPr="00257152">
        <w:rPr>
          <w:sz w:val="20"/>
          <w:szCs w:val="20"/>
          <w:lang w:val="en-US"/>
        </w:rPr>
        <w:t xml:space="preserve">Alternative energy </w:t>
      </w:r>
    </w:p>
    <w:p w:rsidR="00257152" w:rsidRPr="00257152" w:rsidRDefault="00257152" w:rsidP="00257152">
      <w:pPr>
        <w:pStyle w:val="a5"/>
        <w:rPr>
          <w:sz w:val="20"/>
          <w:szCs w:val="20"/>
          <w:lang w:val="en-US"/>
        </w:rPr>
      </w:pPr>
      <w:r w:rsidRPr="00257152">
        <w:rPr>
          <w:sz w:val="20"/>
          <w:szCs w:val="20"/>
          <w:lang w:val="en-US"/>
        </w:rPr>
        <w:t xml:space="preserve">Automobiles </w:t>
      </w:r>
    </w:p>
    <w:p w:rsidR="00257152" w:rsidRPr="00257152" w:rsidRDefault="00257152" w:rsidP="00257152">
      <w:pPr>
        <w:pStyle w:val="a5"/>
        <w:rPr>
          <w:sz w:val="20"/>
          <w:szCs w:val="20"/>
          <w:lang w:val="en-US"/>
        </w:rPr>
      </w:pPr>
      <w:r w:rsidRPr="00257152">
        <w:rPr>
          <w:sz w:val="20"/>
          <w:szCs w:val="20"/>
          <w:lang w:val="en-US"/>
        </w:rPr>
        <w:t xml:space="preserve">Banks </w:t>
      </w:r>
    </w:p>
    <w:p w:rsidR="00257152" w:rsidRPr="00257152" w:rsidRDefault="00257152" w:rsidP="00257152">
      <w:pPr>
        <w:pStyle w:val="a5"/>
        <w:rPr>
          <w:sz w:val="20"/>
          <w:szCs w:val="20"/>
          <w:lang w:val="en-US"/>
        </w:rPr>
      </w:pPr>
      <w:r w:rsidRPr="00257152">
        <w:rPr>
          <w:sz w:val="20"/>
          <w:szCs w:val="20"/>
          <w:lang w:val="en-US"/>
        </w:rPr>
        <w:t>Beverages</w:t>
      </w:r>
    </w:p>
    <w:p w:rsidR="00257152" w:rsidRPr="00257152" w:rsidRDefault="00257152" w:rsidP="00257152">
      <w:pPr>
        <w:pStyle w:val="a5"/>
        <w:rPr>
          <w:sz w:val="20"/>
          <w:szCs w:val="20"/>
          <w:lang w:val="en-US"/>
        </w:rPr>
      </w:pPr>
      <w:r w:rsidRPr="00257152">
        <w:rPr>
          <w:sz w:val="20"/>
          <w:szCs w:val="20"/>
          <w:lang w:val="en-US"/>
        </w:rPr>
        <w:t xml:space="preserve">Biotechnology </w:t>
      </w:r>
    </w:p>
    <w:p w:rsidR="00257152" w:rsidRPr="00257152" w:rsidRDefault="00257152" w:rsidP="00257152">
      <w:pPr>
        <w:pStyle w:val="a5"/>
        <w:rPr>
          <w:sz w:val="20"/>
          <w:szCs w:val="20"/>
          <w:lang w:val="en-US"/>
        </w:rPr>
      </w:pPr>
      <w:r w:rsidRPr="00257152">
        <w:rPr>
          <w:sz w:val="20"/>
          <w:szCs w:val="20"/>
          <w:lang w:val="en-US"/>
        </w:rPr>
        <w:t xml:space="preserve">Business services </w:t>
      </w:r>
    </w:p>
    <w:p w:rsidR="00257152" w:rsidRPr="00257152" w:rsidRDefault="00257152" w:rsidP="00257152">
      <w:pPr>
        <w:pStyle w:val="a5"/>
        <w:rPr>
          <w:sz w:val="20"/>
          <w:szCs w:val="20"/>
          <w:lang w:val="en-US"/>
        </w:rPr>
      </w:pPr>
      <w:r w:rsidRPr="00257152">
        <w:rPr>
          <w:sz w:val="20"/>
          <w:szCs w:val="20"/>
          <w:lang w:val="en-US"/>
        </w:rPr>
        <w:t xml:space="preserve">Chemicals </w:t>
      </w:r>
    </w:p>
    <w:p w:rsidR="00257152" w:rsidRPr="007C3FA8" w:rsidRDefault="00257152" w:rsidP="00257152">
      <w:pPr>
        <w:pStyle w:val="a5"/>
        <w:rPr>
          <w:sz w:val="20"/>
          <w:szCs w:val="20"/>
          <w:lang w:val="en-US"/>
        </w:rPr>
      </w:pPr>
      <w:r w:rsidRPr="007C3FA8">
        <w:rPr>
          <w:sz w:val="20"/>
          <w:szCs w:val="20"/>
          <w:lang w:val="en-US"/>
        </w:rPr>
        <w:t xml:space="preserve">Consumer products </w:t>
      </w:r>
    </w:p>
    <w:p w:rsidR="00257152" w:rsidRPr="007C3FA8" w:rsidRDefault="00257152" w:rsidP="00257152">
      <w:pPr>
        <w:pStyle w:val="a5"/>
        <w:rPr>
          <w:sz w:val="20"/>
          <w:szCs w:val="20"/>
          <w:lang w:val="en-US"/>
        </w:rPr>
      </w:pPr>
      <w:r w:rsidRPr="007C3FA8">
        <w:rPr>
          <w:sz w:val="20"/>
          <w:szCs w:val="20"/>
          <w:lang w:val="en-US"/>
        </w:rPr>
        <w:t xml:space="preserve">Construction </w:t>
      </w:r>
    </w:p>
    <w:p w:rsidR="00257152" w:rsidRPr="007C3FA8" w:rsidRDefault="00257152" w:rsidP="00257152">
      <w:pPr>
        <w:pStyle w:val="a5"/>
        <w:rPr>
          <w:sz w:val="20"/>
          <w:szCs w:val="20"/>
          <w:lang w:val="en-US"/>
        </w:rPr>
      </w:pPr>
      <w:r w:rsidRPr="007C3FA8">
        <w:rPr>
          <w:sz w:val="20"/>
          <w:szCs w:val="20"/>
          <w:lang w:val="en-US"/>
        </w:rPr>
        <w:t>Diversified financials</w:t>
      </w:r>
    </w:p>
    <w:p w:rsidR="00257152" w:rsidRPr="007C3FA8" w:rsidRDefault="00257152" w:rsidP="00257152">
      <w:pPr>
        <w:pStyle w:val="a5"/>
        <w:rPr>
          <w:sz w:val="20"/>
          <w:szCs w:val="20"/>
          <w:lang w:val="en-US"/>
        </w:rPr>
      </w:pPr>
      <w:r w:rsidRPr="007C3FA8">
        <w:rPr>
          <w:sz w:val="20"/>
          <w:szCs w:val="20"/>
          <w:lang w:val="en-US"/>
        </w:rPr>
        <w:t xml:space="preserve">Electrical equipment </w:t>
      </w:r>
    </w:p>
    <w:p w:rsidR="00257152" w:rsidRPr="007C3FA8" w:rsidRDefault="00257152" w:rsidP="00257152">
      <w:pPr>
        <w:pStyle w:val="a5"/>
        <w:rPr>
          <w:sz w:val="20"/>
          <w:szCs w:val="20"/>
          <w:lang w:val="en-US"/>
        </w:rPr>
      </w:pPr>
      <w:r w:rsidRPr="007C3FA8">
        <w:rPr>
          <w:sz w:val="20"/>
          <w:szCs w:val="20"/>
          <w:lang w:val="en-US"/>
        </w:rPr>
        <w:t xml:space="preserve">Entertainment/ leisure </w:t>
      </w:r>
    </w:p>
    <w:p w:rsidR="00257152" w:rsidRPr="007C3FA8" w:rsidRDefault="00257152" w:rsidP="00257152">
      <w:pPr>
        <w:pStyle w:val="a5"/>
        <w:rPr>
          <w:sz w:val="20"/>
          <w:szCs w:val="20"/>
          <w:lang w:val="en-US"/>
        </w:rPr>
      </w:pPr>
      <w:r w:rsidRPr="007C3FA8">
        <w:rPr>
          <w:sz w:val="20"/>
          <w:szCs w:val="20"/>
          <w:lang w:val="en-US"/>
        </w:rPr>
        <w:t>Environmental services</w:t>
      </w:r>
    </w:p>
    <w:p w:rsidR="00257152" w:rsidRPr="007C3FA8" w:rsidRDefault="00257152" w:rsidP="00257152">
      <w:pPr>
        <w:pStyle w:val="a5"/>
        <w:rPr>
          <w:sz w:val="20"/>
          <w:szCs w:val="20"/>
          <w:lang w:val="en-US"/>
        </w:rPr>
      </w:pPr>
      <w:r w:rsidRPr="007C3FA8">
        <w:rPr>
          <w:sz w:val="20"/>
          <w:szCs w:val="20"/>
          <w:lang w:val="en-US"/>
        </w:rPr>
        <w:t xml:space="preserve">Food </w:t>
      </w:r>
    </w:p>
    <w:p w:rsidR="00257152" w:rsidRPr="007C3FA8" w:rsidRDefault="00257152" w:rsidP="00257152">
      <w:pPr>
        <w:pStyle w:val="a5"/>
        <w:rPr>
          <w:sz w:val="20"/>
          <w:szCs w:val="20"/>
          <w:lang w:val="en-US"/>
        </w:rPr>
      </w:pPr>
      <w:r w:rsidRPr="007C3FA8">
        <w:rPr>
          <w:sz w:val="20"/>
          <w:szCs w:val="20"/>
          <w:lang w:val="en-US"/>
        </w:rPr>
        <w:t xml:space="preserve">Gaming </w:t>
      </w:r>
    </w:p>
    <w:p w:rsidR="00257152" w:rsidRPr="007C3FA8" w:rsidRDefault="00257152" w:rsidP="00257152">
      <w:pPr>
        <w:pStyle w:val="a5"/>
        <w:rPr>
          <w:sz w:val="20"/>
          <w:szCs w:val="20"/>
          <w:lang w:val="en-US"/>
        </w:rPr>
      </w:pPr>
      <w:r w:rsidRPr="007C3FA8">
        <w:rPr>
          <w:sz w:val="20"/>
          <w:szCs w:val="20"/>
          <w:lang w:val="en-US"/>
        </w:rPr>
        <w:t>Gas</w:t>
      </w:r>
    </w:p>
    <w:p w:rsidR="00257152" w:rsidRPr="007C3FA8" w:rsidRDefault="00257152" w:rsidP="00257152">
      <w:pPr>
        <w:pStyle w:val="a5"/>
        <w:rPr>
          <w:sz w:val="20"/>
          <w:szCs w:val="20"/>
          <w:lang w:val="en-US"/>
        </w:rPr>
      </w:pPr>
      <w:r w:rsidRPr="007C3FA8">
        <w:rPr>
          <w:sz w:val="20"/>
          <w:szCs w:val="20"/>
          <w:lang w:val="en-US"/>
        </w:rPr>
        <w:t xml:space="preserve">Hardware </w:t>
      </w:r>
    </w:p>
    <w:p w:rsidR="00257152" w:rsidRPr="007C3FA8" w:rsidRDefault="00257152" w:rsidP="00257152">
      <w:pPr>
        <w:pStyle w:val="a5"/>
        <w:rPr>
          <w:sz w:val="20"/>
          <w:szCs w:val="20"/>
          <w:lang w:val="en-US"/>
        </w:rPr>
      </w:pPr>
      <w:r w:rsidRPr="007C3FA8">
        <w:rPr>
          <w:sz w:val="20"/>
          <w:szCs w:val="20"/>
          <w:lang w:val="en-US"/>
        </w:rPr>
        <w:t>Healthcare services</w:t>
      </w:r>
    </w:p>
    <w:p w:rsidR="00257152" w:rsidRPr="007C3FA8" w:rsidRDefault="00257152" w:rsidP="00257152">
      <w:pPr>
        <w:pStyle w:val="a5"/>
        <w:rPr>
          <w:sz w:val="20"/>
          <w:szCs w:val="20"/>
          <w:lang w:val="en-US"/>
        </w:rPr>
      </w:pPr>
      <w:r w:rsidRPr="007C3FA8">
        <w:rPr>
          <w:sz w:val="20"/>
          <w:szCs w:val="20"/>
          <w:lang w:val="en-US"/>
        </w:rPr>
        <w:t xml:space="preserve">Industrials </w:t>
      </w:r>
    </w:p>
    <w:p w:rsidR="00257152" w:rsidRPr="007C3FA8" w:rsidRDefault="00257152" w:rsidP="00257152">
      <w:pPr>
        <w:pStyle w:val="a5"/>
        <w:rPr>
          <w:sz w:val="20"/>
          <w:szCs w:val="20"/>
          <w:lang w:val="en-US"/>
        </w:rPr>
      </w:pPr>
      <w:r w:rsidRPr="007C3FA8">
        <w:rPr>
          <w:sz w:val="20"/>
          <w:szCs w:val="20"/>
          <w:lang w:val="en-US"/>
        </w:rPr>
        <w:t>It Services</w:t>
      </w:r>
    </w:p>
    <w:p w:rsidR="00257152" w:rsidRPr="007C3FA8" w:rsidRDefault="00257152" w:rsidP="00257152">
      <w:pPr>
        <w:pStyle w:val="a5"/>
        <w:rPr>
          <w:sz w:val="20"/>
          <w:szCs w:val="20"/>
          <w:lang w:val="en-US"/>
        </w:rPr>
      </w:pPr>
      <w:r w:rsidRPr="007C3FA8">
        <w:rPr>
          <w:sz w:val="20"/>
          <w:szCs w:val="20"/>
          <w:lang w:val="en-US"/>
        </w:rPr>
        <w:t xml:space="preserve">Lodging </w:t>
      </w:r>
    </w:p>
    <w:p w:rsidR="00257152" w:rsidRPr="007C3FA8" w:rsidRDefault="00257152" w:rsidP="00257152">
      <w:pPr>
        <w:pStyle w:val="a5"/>
        <w:rPr>
          <w:sz w:val="20"/>
          <w:szCs w:val="20"/>
          <w:lang w:val="en-US"/>
        </w:rPr>
      </w:pPr>
      <w:r w:rsidRPr="007C3FA8">
        <w:rPr>
          <w:sz w:val="20"/>
          <w:szCs w:val="20"/>
          <w:lang w:val="en-US"/>
        </w:rPr>
        <w:t>Logistics</w:t>
      </w:r>
    </w:p>
    <w:p w:rsidR="00257152" w:rsidRPr="007C3FA8" w:rsidRDefault="00257152" w:rsidP="00257152">
      <w:pPr>
        <w:pStyle w:val="a5"/>
        <w:rPr>
          <w:sz w:val="20"/>
          <w:szCs w:val="20"/>
          <w:lang w:val="en-US"/>
        </w:rPr>
      </w:pPr>
      <w:r w:rsidRPr="007C3FA8">
        <w:rPr>
          <w:sz w:val="20"/>
          <w:szCs w:val="20"/>
          <w:lang w:val="en-US"/>
        </w:rPr>
        <w:t xml:space="preserve">Machinery </w:t>
      </w:r>
    </w:p>
    <w:p w:rsidR="00257152" w:rsidRPr="007C3FA8" w:rsidRDefault="00257152" w:rsidP="00257152">
      <w:pPr>
        <w:pStyle w:val="a5"/>
        <w:rPr>
          <w:sz w:val="20"/>
          <w:szCs w:val="20"/>
          <w:lang w:val="en-US"/>
        </w:rPr>
      </w:pPr>
      <w:r w:rsidRPr="007C3FA8">
        <w:rPr>
          <w:sz w:val="20"/>
          <w:szCs w:val="20"/>
          <w:lang w:val="en-US"/>
        </w:rPr>
        <w:t xml:space="preserve">Media </w:t>
      </w:r>
    </w:p>
    <w:p w:rsidR="00257152" w:rsidRPr="007C3FA8" w:rsidRDefault="00257152" w:rsidP="00257152">
      <w:pPr>
        <w:pStyle w:val="a5"/>
        <w:rPr>
          <w:sz w:val="20"/>
          <w:szCs w:val="20"/>
          <w:lang w:val="en-US"/>
        </w:rPr>
      </w:pPr>
      <w:r w:rsidRPr="007C3FA8">
        <w:rPr>
          <w:sz w:val="20"/>
          <w:szCs w:val="20"/>
          <w:lang w:val="en-US"/>
        </w:rPr>
        <w:t xml:space="preserve">Medical technology </w:t>
      </w:r>
    </w:p>
    <w:p w:rsidR="00257152" w:rsidRPr="007C3FA8" w:rsidRDefault="00257152" w:rsidP="00257152">
      <w:pPr>
        <w:pStyle w:val="a5"/>
        <w:rPr>
          <w:sz w:val="20"/>
          <w:szCs w:val="20"/>
          <w:lang w:val="en-US"/>
        </w:rPr>
      </w:pPr>
      <w:r w:rsidRPr="007C3FA8">
        <w:rPr>
          <w:sz w:val="20"/>
          <w:szCs w:val="20"/>
          <w:lang w:val="en-US"/>
        </w:rPr>
        <w:t xml:space="preserve">Metal and Mining </w:t>
      </w:r>
    </w:p>
    <w:p w:rsidR="00257152" w:rsidRPr="007C3FA8" w:rsidRDefault="00257152" w:rsidP="00257152">
      <w:pPr>
        <w:pStyle w:val="a5"/>
        <w:rPr>
          <w:sz w:val="20"/>
          <w:szCs w:val="20"/>
          <w:lang w:val="en-US"/>
        </w:rPr>
      </w:pPr>
      <w:r w:rsidRPr="007C3FA8">
        <w:rPr>
          <w:sz w:val="20"/>
          <w:szCs w:val="20"/>
          <w:lang w:val="en-US"/>
        </w:rPr>
        <w:t>Multi-Industry</w:t>
      </w:r>
    </w:p>
    <w:p w:rsidR="00257152" w:rsidRPr="007C3FA8" w:rsidRDefault="00257152" w:rsidP="00257152">
      <w:pPr>
        <w:pStyle w:val="a5"/>
        <w:rPr>
          <w:sz w:val="20"/>
          <w:szCs w:val="20"/>
          <w:lang w:val="en-US"/>
        </w:rPr>
      </w:pPr>
      <w:r w:rsidRPr="007C3FA8">
        <w:rPr>
          <w:sz w:val="20"/>
          <w:szCs w:val="20"/>
          <w:lang w:val="en-US"/>
        </w:rPr>
        <w:t>Oil</w:t>
      </w:r>
    </w:p>
    <w:p w:rsidR="00257152" w:rsidRPr="007C3FA8" w:rsidRDefault="00257152" w:rsidP="00257152">
      <w:pPr>
        <w:pStyle w:val="a5"/>
        <w:rPr>
          <w:sz w:val="20"/>
          <w:szCs w:val="20"/>
          <w:lang w:val="en-US"/>
        </w:rPr>
      </w:pPr>
      <w:r w:rsidRPr="007C3FA8">
        <w:rPr>
          <w:sz w:val="20"/>
          <w:szCs w:val="20"/>
          <w:lang w:val="en-US"/>
        </w:rPr>
        <w:t>Oil services</w:t>
      </w:r>
    </w:p>
    <w:p w:rsidR="00257152" w:rsidRPr="007C3FA8" w:rsidRDefault="00257152" w:rsidP="00257152">
      <w:pPr>
        <w:pStyle w:val="a5"/>
        <w:rPr>
          <w:sz w:val="20"/>
          <w:szCs w:val="20"/>
          <w:lang w:val="en-US"/>
        </w:rPr>
      </w:pPr>
      <w:r w:rsidRPr="007C3FA8">
        <w:rPr>
          <w:sz w:val="20"/>
          <w:szCs w:val="20"/>
          <w:lang w:val="en-US"/>
        </w:rPr>
        <w:t xml:space="preserve">Packaging </w:t>
      </w:r>
    </w:p>
    <w:p w:rsidR="00257152" w:rsidRPr="007C3FA8" w:rsidRDefault="00257152" w:rsidP="00257152">
      <w:pPr>
        <w:pStyle w:val="a5"/>
        <w:rPr>
          <w:sz w:val="20"/>
          <w:szCs w:val="20"/>
          <w:lang w:val="en-US"/>
        </w:rPr>
      </w:pPr>
      <w:r w:rsidRPr="007C3FA8">
        <w:rPr>
          <w:sz w:val="20"/>
          <w:szCs w:val="20"/>
          <w:lang w:val="en-US"/>
        </w:rPr>
        <w:t xml:space="preserve">Paper and forest </w:t>
      </w:r>
    </w:p>
    <w:p w:rsidR="00257152" w:rsidRPr="007C3FA8" w:rsidRDefault="00257152" w:rsidP="00257152">
      <w:pPr>
        <w:pStyle w:val="a5"/>
        <w:rPr>
          <w:sz w:val="20"/>
          <w:szCs w:val="20"/>
          <w:lang w:val="en-US"/>
        </w:rPr>
      </w:pPr>
      <w:r w:rsidRPr="007C3FA8">
        <w:rPr>
          <w:sz w:val="20"/>
          <w:szCs w:val="20"/>
          <w:lang w:val="en-US"/>
        </w:rPr>
        <w:t xml:space="preserve">Pharmaceuticals </w:t>
      </w:r>
    </w:p>
    <w:p w:rsidR="00257152" w:rsidRPr="007C3FA8" w:rsidRDefault="00257152" w:rsidP="00257152">
      <w:pPr>
        <w:pStyle w:val="a5"/>
        <w:rPr>
          <w:sz w:val="20"/>
          <w:szCs w:val="20"/>
          <w:lang w:val="en-US"/>
        </w:rPr>
      </w:pPr>
      <w:r w:rsidRPr="007C3FA8">
        <w:rPr>
          <w:sz w:val="20"/>
          <w:szCs w:val="20"/>
          <w:lang w:val="en-US"/>
        </w:rPr>
        <w:t>Power</w:t>
      </w:r>
    </w:p>
    <w:p w:rsidR="00257152" w:rsidRPr="007C3FA8" w:rsidRDefault="00257152" w:rsidP="00257152">
      <w:pPr>
        <w:pStyle w:val="a5"/>
        <w:rPr>
          <w:sz w:val="20"/>
          <w:szCs w:val="20"/>
          <w:lang w:val="en-US"/>
        </w:rPr>
      </w:pPr>
      <w:r w:rsidRPr="007C3FA8">
        <w:rPr>
          <w:sz w:val="20"/>
          <w:szCs w:val="20"/>
          <w:lang w:val="en-US"/>
        </w:rPr>
        <w:t>Real Estate</w:t>
      </w:r>
    </w:p>
    <w:p w:rsidR="00257152" w:rsidRPr="007C3FA8" w:rsidRDefault="00257152" w:rsidP="00257152">
      <w:pPr>
        <w:pStyle w:val="a5"/>
        <w:rPr>
          <w:sz w:val="20"/>
          <w:szCs w:val="20"/>
          <w:lang w:val="en-US"/>
        </w:rPr>
      </w:pPr>
      <w:r w:rsidRPr="007C3FA8">
        <w:rPr>
          <w:sz w:val="20"/>
          <w:szCs w:val="20"/>
          <w:lang w:val="en-US"/>
        </w:rPr>
        <w:t xml:space="preserve">Restaurants </w:t>
      </w:r>
    </w:p>
    <w:p w:rsidR="00257152" w:rsidRPr="007C3FA8" w:rsidRDefault="00257152" w:rsidP="00257152">
      <w:pPr>
        <w:pStyle w:val="a5"/>
        <w:rPr>
          <w:sz w:val="20"/>
          <w:szCs w:val="20"/>
          <w:lang w:val="en-US"/>
        </w:rPr>
      </w:pPr>
      <w:r w:rsidRPr="007C3FA8">
        <w:rPr>
          <w:sz w:val="20"/>
          <w:szCs w:val="20"/>
          <w:lang w:val="en-US"/>
        </w:rPr>
        <w:t xml:space="preserve">Retail </w:t>
      </w:r>
    </w:p>
    <w:p w:rsidR="00257152" w:rsidRPr="007C3FA8" w:rsidRDefault="00257152" w:rsidP="00257152">
      <w:pPr>
        <w:pStyle w:val="a5"/>
        <w:rPr>
          <w:sz w:val="20"/>
          <w:szCs w:val="20"/>
          <w:lang w:val="en-US"/>
        </w:rPr>
      </w:pPr>
      <w:r w:rsidRPr="007C3FA8">
        <w:rPr>
          <w:sz w:val="20"/>
          <w:szCs w:val="20"/>
          <w:lang w:val="en-US"/>
        </w:rPr>
        <w:t xml:space="preserve">Satellite </w:t>
      </w:r>
    </w:p>
    <w:p w:rsidR="00257152" w:rsidRPr="007C3FA8" w:rsidRDefault="00257152" w:rsidP="00257152">
      <w:pPr>
        <w:pStyle w:val="a5"/>
        <w:rPr>
          <w:sz w:val="20"/>
          <w:szCs w:val="20"/>
          <w:lang w:val="en-US"/>
        </w:rPr>
      </w:pPr>
      <w:r w:rsidRPr="007C3FA8">
        <w:rPr>
          <w:sz w:val="20"/>
          <w:szCs w:val="20"/>
          <w:lang w:val="en-US"/>
        </w:rPr>
        <w:t>Semiconductors</w:t>
      </w:r>
    </w:p>
    <w:p w:rsidR="00257152" w:rsidRPr="007C3FA8" w:rsidRDefault="00257152" w:rsidP="00257152">
      <w:pPr>
        <w:pStyle w:val="a5"/>
        <w:rPr>
          <w:sz w:val="20"/>
          <w:szCs w:val="20"/>
          <w:lang w:val="en-US"/>
        </w:rPr>
      </w:pPr>
      <w:r w:rsidRPr="007C3FA8">
        <w:rPr>
          <w:sz w:val="20"/>
          <w:szCs w:val="20"/>
          <w:lang w:val="en-US"/>
        </w:rPr>
        <w:t xml:space="preserve">Shipping </w:t>
      </w:r>
    </w:p>
    <w:p w:rsidR="00257152" w:rsidRPr="007C3FA8" w:rsidRDefault="00257152" w:rsidP="00257152">
      <w:pPr>
        <w:pStyle w:val="a5"/>
        <w:rPr>
          <w:sz w:val="20"/>
          <w:szCs w:val="20"/>
          <w:lang w:val="en-US"/>
        </w:rPr>
      </w:pPr>
      <w:r w:rsidRPr="007C3FA8">
        <w:rPr>
          <w:sz w:val="20"/>
          <w:szCs w:val="20"/>
          <w:lang w:val="en-US"/>
        </w:rPr>
        <w:t>Software</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Finance</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 xml:space="preserve">Steel </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 xml:space="preserve">Surface </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Telecom services</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 xml:space="preserve">Tobacco </w:t>
      </w:r>
    </w:p>
    <w:p w:rsidR="00257152" w:rsidRPr="00257152" w:rsidRDefault="00257152" w:rsidP="00257152">
      <w:pPr>
        <w:pStyle w:val="a5"/>
        <w:rPr>
          <w:rFonts w:cs="Times New Roman"/>
          <w:sz w:val="20"/>
          <w:szCs w:val="20"/>
          <w:lang w:val="en-US"/>
        </w:rPr>
      </w:pPr>
      <w:r w:rsidRPr="00257152">
        <w:rPr>
          <w:rFonts w:cs="Times New Roman"/>
          <w:sz w:val="20"/>
          <w:szCs w:val="20"/>
          <w:lang w:val="en-US"/>
        </w:rPr>
        <w:t xml:space="preserve">Travel </w:t>
      </w:r>
    </w:p>
    <w:p w:rsidR="00257152" w:rsidRPr="00257152" w:rsidRDefault="00257152" w:rsidP="00257152">
      <w:pPr>
        <w:pStyle w:val="a5"/>
        <w:rPr>
          <w:rFonts w:cs="Times New Roman"/>
          <w:sz w:val="20"/>
          <w:szCs w:val="20"/>
          <w:lang w:val="en-US"/>
        </w:rPr>
        <w:sectPr w:rsidR="00257152" w:rsidRPr="00257152" w:rsidSect="00257152">
          <w:type w:val="continuous"/>
          <w:pgSz w:w="11906" w:h="16838"/>
          <w:pgMar w:top="1134" w:right="851" w:bottom="1134" w:left="1701" w:header="709" w:footer="709" w:gutter="0"/>
          <w:cols w:num="5" w:space="96"/>
          <w:docGrid w:linePitch="360"/>
        </w:sectPr>
      </w:pPr>
    </w:p>
    <w:p w:rsidR="00257152" w:rsidRPr="00257152" w:rsidRDefault="00257152" w:rsidP="00257152">
      <w:pPr>
        <w:pStyle w:val="a5"/>
        <w:rPr>
          <w:rFonts w:cs="Times New Roman"/>
          <w:sz w:val="20"/>
          <w:szCs w:val="20"/>
          <w:lang w:val="en-US"/>
        </w:rPr>
      </w:pPr>
      <w:r w:rsidRPr="00257152">
        <w:rPr>
          <w:rFonts w:cs="Times New Roman"/>
          <w:sz w:val="20"/>
          <w:szCs w:val="20"/>
          <w:lang w:val="en-US"/>
        </w:rPr>
        <w:t>Utilities</w:t>
      </w:r>
    </w:p>
    <w:p w:rsidR="00257152" w:rsidRPr="00257152" w:rsidRDefault="00257152" w:rsidP="00257152">
      <w:pPr>
        <w:pStyle w:val="a5"/>
        <w:rPr>
          <w:rFonts w:cs="Times New Roman"/>
          <w:sz w:val="20"/>
          <w:szCs w:val="20"/>
          <w:lang w:val="en-US"/>
        </w:rPr>
        <w:sectPr w:rsidR="00257152" w:rsidRPr="00257152" w:rsidSect="00257152">
          <w:type w:val="continuous"/>
          <w:pgSz w:w="11906" w:h="16838"/>
          <w:pgMar w:top="1134" w:right="851" w:bottom="1134" w:left="1701" w:header="709" w:footer="709" w:gutter="0"/>
          <w:cols w:num="4" w:space="94"/>
          <w:docGrid w:linePitch="360"/>
        </w:sectPr>
      </w:pPr>
    </w:p>
    <w:p w:rsidR="00257152" w:rsidRDefault="00651BBF" w:rsidP="007D444D">
      <w:pPr>
        <w:pStyle w:val="a5"/>
        <w:spacing w:line="360" w:lineRule="auto"/>
        <w:ind w:firstLine="360"/>
        <w:jc w:val="both"/>
        <w:rPr>
          <w:rFonts w:cs="Times New Roman"/>
          <w:szCs w:val="24"/>
          <w:lang w:val="en-US"/>
        </w:rPr>
      </w:pPr>
      <w:r>
        <w:rPr>
          <w:rFonts w:cs="Times New Roman"/>
          <w:szCs w:val="24"/>
          <w:lang w:val="en-US"/>
        </w:rPr>
        <w:t xml:space="preserve">After </w:t>
      </w:r>
      <w:proofErr w:type="gramStart"/>
      <w:r>
        <w:rPr>
          <w:rFonts w:cs="Times New Roman"/>
          <w:szCs w:val="24"/>
          <w:lang w:val="en-US"/>
        </w:rPr>
        <w:t>collection company</w:t>
      </w:r>
      <w:proofErr w:type="gramEnd"/>
      <w:r>
        <w:rPr>
          <w:rFonts w:cs="Times New Roman"/>
          <w:szCs w:val="24"/>
          <w:lang w:val="en-US"/>
        </w:rPr>
        <w:t xml:space="preserve"> and industry data the transaction assumptions were set. As a base case were </w:t>
      </w:r>
      <w:proofErr w:type="gramStart"/>
      <w:r>
        <w:rPr>
          <w:rFonts w:cs="Times New Roman"/>
          <w:szCs w:val="24"/>
          <w:lang w:val="en-US"/>
        </w:rPr>
        <w:t>used</w:t>
      </w:r>
      <w:proofErr w:type="gramEnd"/>
      <w:r>
        <w:rPr>
          <w:rFonts w:cs="Times New Roman"/>
          <w:szCs w:val="24"/>
          <w:lang w:val="en-US"/>
        </w:rPr>
        <w:t xml:space="preserve"> most commonly used assumptions:</w:t>
      </w:r>
    </w:p>
    <w:p w:rsidR="00651BBF"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Bid premium: 20%;</w:t>
      </w:r>
    </w:p>
    <w:p w:rsidR="00057980" w:rsidRDefault="00057980" w:rsidP="008D3CCB">
      <w:pPr>
        <w:pStyle w:val="a5"/>
        <w:numPr>
          <w:ilvl w:val="0"/>
          <w:numId w:val="33"/>
        </w:numPr>
        <w:spacing w:line="360" w:lineRule="auto"/>
        <w:jc w:val="both"/>
        <w:rPr>
          <w:rFonts w:cs="Times New Roman"/>
          <w:szCs w:val="24"/>
          <w:lang w:val="en-US"/>
        </w:rPr>
      </w:pPr>
      <w:r>
        <w:rPr>
          <w:rFonts w:cs="Times New Roman"/>
          <w:szCs w:val="24"/>
          <w:lang w:val="en-US"/>
        </w:rPr>
        <w:t>Leverage: sector specific</w:t>
      </w:r>
      <w:r w:rsidR="00355E6A">
        <w:rPr>
          <w:rFonts w:cs="Times New Roman"/>
          <w:szCs w:val="24"/>
          <w:lang w:val="en-US"/>
        </w:rPr>
        <w:t>;</w:t>
      </w:r>
    </w:p>
    <w:p w:rsidR="00355E6A"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Cost of debt: 10%;</w:t>
      </w:r>
    </w:p>
    <w:p w:rsidR="00355E6A"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Exit EV/EBITDA: company historical EV/EBITDA;</w:t>
      </w:r>
    </w:p>
    <w:p w:rsidR="00355E6A"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Sales growth: current forecasts;</w:t>
      </w:r>
    </w:p>
    <w:p w:rsidR="00355E6A"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EBITDA margin: current forecasts;</w:t>
      </w:r>
    </w:p>
    <w:p w:rsidR="00355E6A" w:rsidRDefault="00355E6A" w:rsidP="008D3CCB">
      <w:pPr>
        <w:pStyle w:val="a5"/>
        <w:numPr>
          <w:ilvl w:val="0"/>
          <w:numId w:val="33"/>
        </w:numPr>
        <w:spacing w:line="360" w:lineRule="auto"/>
        <w:jc w:val="both"/>
        <w:rPr>
          <w:rFonts w:cs="Times New Roman"/>
          <w:szCs w:val="24"/>
          <w:lang w:val="en-US"/>
        </w:rPr>
      </w:pPr>
      <w:r>
        <w:rPr>
          <w:rFonts w:cs="Times New Roman"/>
          <w:szCs w:val="24"/>
          <w:lang w:val="en-US"/>
        </w:rPr>
        <w:t>CAPEX growth: current forecasts.</w:t>
      </w:r>
    </w:p>
    <w:p w:rsidR="00D87133" w:rsidRDefault="00D87133" w:rsidP="00D87133">
      <w:pPr>
        <w:pStyle w:val="a5"/>
        <w:spacing w:line="360" w:lineRule="auto"/>
        <w:ind w:left="720"/>
        <w:jc w:val="both"/>
        <w:rPr>
          <w:rFonts w:cs="Times New Roman"/>
          <w:szCs w:val="24"/>
          <w:lang w:val="en-US"/>
        </w:rPr>
      </w:pPr>
    </w:p>
    <w:p w:rsidR="006A7D29" w:rsidRDefault="00D87133" w:rsidP="00D95D00">
      <w:pPr>
        <w:jc w:val="center"/>
        <w:rPr>
          <w:lang w:val="en-US"/>
        </w:rPr>
      </w:pPr>
      <w:r>
        <w:rPr>
          <w:noProof/>
          <w:lang w:eastAsia="ru-RU"/>
        </w:rPr>
        <w:drawing>
          <wp:inline distT="0" distB="0" distL="0" distR="0" wp14:anchorId="32F403FE" wp14:editId="6D9B63EA">
            <wp:extent cx="5600700" cy="990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344"/>
                    <a:stretch/>
                  </pic:blipFill>
                  <pic:spPr bwMode="auto">
                    <a:xfrm>
                      <a:off x="0" y="0"/>
                      <a:ext cx="5600700" cy="990600"/>
                    </a:xfrm>
                    <a:prstGeom prst="rect">
                      <a:avLst/>
                    </a:prstGeom>
                    <a:ln>
                      <a:noFill/>
                    </a:ln>
                    <a:extLst>
                      <a:ext uri="{53640926-AAD7-44D8-BBD7-CCE9431645EC}">
                        <a14:shadowObscured xmlns:a14="http://schemas.microsoft.com/office/drawing/2010/main"/>
                      </a:ext>
                    </a:extLst>
                  </pic:spPr>
                </pic:pic>
              </a:graphicData>
            </a:graphic>
          </wp:inline>
        </w:drawing>
      </w:r>
    </w:p>
    <w:p w:rsidR="00D87133" w:rsidRDefault="00D87133" w:rsidP="00D87133">
      <w:pPr>
        <w:jc w:val="center"/>
        <w:rPr>
          <w:lang w:val="en-US"/>
        </w:rPr>
      </w:pPr>
      <w:r>
        <w:rPr>
          <w:lang w:val="en-US"/>
        </w:rPr>
        <w:t>Pic</w:t>
      </w:r>
      <w:r w:rsidR="005D213F">
        <w:rPr>
          <w:lang w:val="en-US"/>
        </w:rPr>
        <w:t xml:space="preserve"> 15</w:t>
      </w:r>
      <w:r>
        <w:rPr>
          <w:lang w:val="en-US"/>
        </w:rPr>
        <w:t>. Setting assumptions for LBO-screener</w:t>
      </w:r>
    </w:p>
    <w:p w:rsidR="00D87133" w:rsidRDefault="00D87133" w:rsidP="00D95D00">
      <w:pPr>
        <w:spacing w:line="360" w:lineRule="auto"/>
        <w:ind w:firstLine="708"/>
        <w:jc w:val="both"/>
        <w:rPr>
          <w:lang w:val="en-US"/>
        </w:rPr>
      </w:pPr>
      <w:r>
        <w:rPr>
          <w:lang w:val="en-US"/>
        </w:rPr>
        <w:t xml:space="preserve">After that the LBO-screener </w:t>
      </w:r>
      <w:proofErr w:type="gramStart"/>
      <w:r>
        <w:rPr>
          <w:lang w:val="en-US"/>
        </w:rPr>
        <w:t>was run</w:t>
      </w:r>
      <w:proofErr w:type="gramEnd"/>
      <w:r>
        <w:rPr>
          <w:lang w:val="en-US"/>
        </w:rPr>
        <w:t xml:space="preserve">. </w:t>
      </w:r>
      <w:r w:rsidR="00D95D00">
        <w:rPr>
          <w:lang w:val="en-US"/>
        </w:rPr>
        <w:t xml:space="preserve">As a </w:t>
      </w:r>
      <w:r w:rsidR="00A46B96">
        <w:rPr>
          <w:lang w:val="en-US"/>
        </w:rPr>
        <w:t>result,</w:t>
      </w:r>
      <w:r w:rsidR="00D95D00">
        <w:rPr>
          <w:lang w:val="en-US"/>
        </w:rPr>
        <w:t xml:space="preserve"> IRR for all of the companies </w:t>
      </w:r>
      <w:proofErr w:type="gramStart"/>
      <w:r w:rsidR="00D95D00">
        <w:rPr>
          <w:lang w:val="en-US"/>
        </w:rPr>
        <w:t>was calculated</w:t>
      </w:r>
      <w:proofErr w:type="gramEnd"/>
      <w:r w:rsidR="00D95D00">
        <w:rPr>
          <w:lang w:val="en-US"/>
        </w:rPr>
        <w:t xml:space="preserve"> and then the companies were ranked by implied IRR. The output of the LBO-screener </w:t>
      </w:r>
      <w:proofErr w:type="gramStart"/>
      <w:r w:rsidR="00D95D00">
        <w:rPr>
          <w:lang w:val="en-US"/>
        </w:rPr>
        <w:t>can be seen</w:t>
      </w:r>
      <w:proofErr w:type="gramEnd"/>
      <w:r w:rsidR="00D95D00">
        <w:rPr>
          <w:lang w:val="en-US"/>
        </w:rPr>
        <w:t xml:space="preserve"> on the screenshot below. </w:t>
      </w:r>
    </w:p>
    <w:p w:rsidR="00D95D00" w:rsidRDefault="00D95D00" w:rsidP="00D95D00">
      <w:pPr>
        <w:pStyle w:val="a5"/>
        <w:spacing w:line="360" w:lineRule="auto"/>
        <w:ind w:firstLine="360"/>
        <w:jc w:val="center"/>
        <w:rPr>
          <w:rFonts w:cs="Times New Roman"/>
          <w:szCs w:val="24"/>
          <w:lang w:val="en-US"/>
        </w:rPr>
      </w:pPr>
      <w:r>
        <w:rPr>
          <w:noProof/>
          <w:lang w:eastAsia="ru-RU"/>
        </w:rPr>
        <w:drawing>
          <wp:inline distT="0" distB="0" distL="0" distR="0">
            <wp:extent cx="5333893" cy="2095500"/>
            <wp:effectExtent l="0" t="0" r="63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45">
                      <a:extLst>
                        <a:ext uri="{28A0092B-C50C-407E-A947-70E740481C1C}">
                          <a14:useLocalDpi xmlns:a14="http://schemas.microsoft.com/office/drawing/2010/main" val="0"/>
                        </a:ext>
                      </a:extLst>
                    </a:blip>
                    <a:srcRect b="16179"/>
                    <a:stretch/>
                  </pic:blipFill>
                  <pic:spPr bwMode="auto">
                    <a:xfrm>
                      <a:off x="0" y="0"/>
                      <a:ext cx="5334000" cy="2095542"/>
                    </a:xfrm>
                    <a:prstGeom prst="rect">
                      <a:avLst/>
                    </a:prstGeom>
                    <a:noFill/>
                    <a:ln>
                      <a:noFill/>
                    </a:ln>
                    <a:extLst>
                      <a:ext uri="{53640926-AAD7-44D8-BBD7-CCE9431645EC}">
                        <a14:shadowObscured xmlns:a14="http://schemas.microsoft.com/office/drawing/2010/main"/>
                      </a:ext>
                    </a:extLst>
                  </pic:spPr>
                </pic:pic>
              </a:graphicData>
            </a:graphic>
          </wp:inline>
        </w:drawing>
      </w:r>
    </w:p>
    <w:p w:rsidR="00D95D00" w:rsidRDefault="00D95D00" w:rsidP="007A3E39">
      <w:pPr>
        <w:pStyle w:val="a5"/>
        <w:spacing w:line="360" w:lineRule="auto"/>
        <w:ind w:firstLine="360"/>
        <w:jc w:val="center"/>
        <w:rPr>
          <w:rFonts w:cs="Times New Roman"/>
          <w:szCs w:val="24"/>
          <w:lang w:val="en-US"/>
        </w:rPr>
      </w:pPr>
      <w:r w:rsidRPr="00FA0FFA">
        <w:rPr>
          <w:rFonts w:cs="Times New Roman"/>
          <w:i/>
          <w:szCs w:val="24"/>
          <w:lang w:val="en-US"/>
        </w:rPr>
        <w:lastRenderedPageBreak/>
        <w:t>Pic</w:t>
      </w:r>
      <w:r w:rsidR="005D213F">
        <w:rPr>
          <w:rFonts w:cs="Times New Roman"/>
          <w:i/>
          <w:szCs w:val="24"/>
          <w:lang w:val="en-US"/>
        </w:rPr>
        <w:t xml:space="preserve"> 16</w:t>
      </w:r>
      <w:r w:rsidRPr="00FA0FFA">
        <w:rPr>
          <w:rFonts w:cs="Times New Roman"/>
          <w:i/>
          <w:szCs w:val="24"/>
          <w:lang w:val="en-US"/>
        </w:rPr>
        <w:t>.</w:t>
      </w:r>
      <w:r>
        <w:rPr>
          <w:rFonts w:cs="Times New Roman"/>
          <w:szCs w:val="24"/>
          <w:lang w:val="en-US"/>
        </w:rPr>
        <w:t xml:space="preserve"> LBO-screener output under base case assumptions </w:t>
      </w:r>
    </w:p>
    <w:p w:rsidR="00A802EB" w:rsidRDefault="00A802EB" w:rsidP="00A802EB">
      <w:pPr>
        <w:pStyle w:val="a5"/>
        <w:spacing w:line="360" w:lineRule="auto"/>
        <w:ind w:firstLine="360"/>
        <w:jc w:val="both"/>
        <w:rPr>
          <w:lang w:val="en-US"/>
        </w:rPr>
      </w:pPr>
      <w:r>
        <w:rPr>
          <w:lang w:val="en-US"/>
        </w:rPr>
        <w:t xml:space="preserve">For the actual manipulation of the </w:t>
      </w:r>
      <w:proofErr w:type="gramStart"/>
      <w:r>
        <w:rPr>
          <w:lang w:val="en-US"/>
        </w:rPr>
        <w:t>model</w:t>
      </w:r>
      <w:proofErr w:type="gramEnd"/>
      <w:r>
        <w:rPr>
          <w:lang w:val="en-US"/>
        </w:rPr>
        <w:t xml:space="preserve"> we move to the 3</w:t>
      </w:r>
      <w:r w:rsidRPr="00A802EB">
        <w:rPr>
          <w:vertAlign w:val="superscript"/>
          <w:lang w:val="en-US"/>
        </w:rPr>
        <w:t>rd</w:t>
      </w:r>
      <w:r>
        <w:rPr>
          <w:lang w:val="en-US"/>
        </w:rPr>
        <w:t xml:space="preserve"> page of the LBO-analysis tool. It </w:t>
      </w:r>
      <w:r w:rsidR="00FA0FFA">
        <w:rPr>
          <w:lang w:val="en-US"/>
        </w:rPr>
        <w:t xml:space="preserve">also </w:t>
      </w:r>
      <w:r>
        <w:rPr>
          <w:lang w:val="en-US"/>
        </w:rPr>
        <w:t xml:space="preserve">refers to the LBO-screener. </w:t>
      </w:r>
    </w:p>
    <w:p w:rsidR="00AB43E0" w:rsidRDefault="00A802EB" w:rsidP="00AB43E0">
      <w:pPr>
        <w:pStyle w:val="a5"/>
        <w:spacing w:line="360" w:lineRule="auto"/>
        <w:ind w:firstLine="360"/>
        <w:jc w:val="both"/>
        <w:rPr>
          <w:lang w:val="en-US"/>
        </w:rPr>
      </w:pPr>
      <w:r>
        <w:rPr>
          <w:lang w:val="en-US"/>
        </w:rPr>
        <w:t xml:space="preserve">In the drop down list of the </w:t>
      </w:r>
      <w:proofErr w:type="gramStart"/>
      <w:r>
        <w:rPr>
          <w:lang w:val="en-US"/>
        </w:rPr>
        <w:t>screener</w:t>
      </w:r>
      <w:proofErr w:type="gramEnd"/>
      <w:r>
        <w:rPr>
          <w:lang w:val="en-US"/>
        </w:rPr>
        <w:t xml:space="preserve"> we should choose a company, which we would like to </w:t>
      </w:r>
      <w:r w:rsidR="00FA0FFA">
        <w:rPr>
          <w:lang w:val="en-US"/>
        </w:rPr>
        <w:t>analyze more precisely</w:t>
      </w:r>
      <w:r>
        <w:rPr>
          <w:lang w:val="en-US"/>
        </w:rPr>
        <w:t xml:space="preserve">. </w:t>
      </w:r>
      <w:r w:rsidR="00AB43E0">
        <w:rPr>
          <w:lang w:val="en-US"/>
        </w:rPr>
        <w:t xml:space="preserve">The model will immediately and automatically update all the cells with company data and forecasts and show how the calculation of investor rate of return </w:t>
      </w:r>
      <w:proofErr w:type="gramStart"/>
      <w:r w:rsidR="00AB43E0">
        <w:rPr>
          <w:lang w:val="en-US"/>
        </w:rPr>
        <w:t>was made</w:t>
      </w:r>
      <w:proofErr w:type="gramEnd"/>
      <w:r w:rsidR="00AB43E0">
        <w:rPr>
          <w:lang w:val="en-US"/>
        </w:rPr>
        <w:t xml:space="preserve">. Moreover, here is an opportunity to make a detailed IRR sensitivity analysis, which also updates depending on chosen assumptions and the chosen company. </w:t>
      </w:r>
    </w:p>
    <w:p w:rsidR="00AB43E0" w:rsidRDefault="00AB43E0" w:rsidP="00AB43E0">
      <w:pPr>
        <w:pStyle w:val="a5"/>
        <w:spacing w:line="360" w:lineRule="auto"/>
        <w:ind w:firstLine="360"/>
        <w:jc w:val="center"/>
        <w:rPr>
          <w:lang w:val="en-US"/>
        </w:rPr>
      </w:pPr>
      <w:r>
        <w:rPr>
          <w:noProof/>
          <w:lang w:eastAsia="ru-RU"/>
        </w:rPr>
        <w:drawing>
          <wp:inline distT="0" distB="0" distL="0" distR="0" wp14:anchorId="28CFBD5F" wp14:editId="503A321C">
            <wp:extent cx="3619500" cy="1828091"/>
            <wp:effectExtent l="0" t="0" r="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30825" cy="1833811"/>
                    </a:xfrm>
                    <a:prstGeom prst="rect">
                      <a:avLst/>
                    </a:prstGeom>
                  </pic:spPr>
                </pic:pic>
              </a:graphicData>
            </a:graphic>
          </wp:inline>
        </w:drawing>
      </w:r>
    </w:p>
    <w:p w:rsidR="00AB43E0" w:rsidRDefault="00AB43E0" w:rsidP="00AB43E0">
      <w:pPr>
        <w:pStyle w:val="a5"/>
        <w:spacing w:line="360" w:lineRule="auto"/>
        <w:ind w:firstLine="360"/>
        <w:jc w:val="center"/>
        <w:rPr>
          <w:lang w:val="en-US"/>
        </w:rPr>
      </w:pPr>
      <w:r w:rsidRPr="00FA0FFA">
        <w:rPr>
          <w:i/>
          <w:lang w:val="en-US"/>
        </w:rPr>
        <w:t>Pic</w:t>
      </w:r>
      <w:r w:rsidR="005D213F">
        <w:rPr>
          <w:i/>
          <w:lang w:val="en-US"/>
        </w:rPr>
        <w:t xml:space="preserve"> 17</w:t>
      </w:r>
      <w:r w:rsidRPr="00FA0FFA">
        <w:rPr>
          <w:i/>
          <w:lang w:val="en-US"/>
        </w:rPr>
        <w:t>.</w:t>
      </w:r>
      <w:r>
        <w:rPr>
          <w:lang w:val="en-US"/>
        </w:rPr>
        <w:t xml:space="preserve"> Example of IRR sensitivity analysis </w:t>
      </w:r>
    </w:p>
    <w:p w:rsidR="007A3E39" w:rsidRDefault="007A3E39" w:rsidP="00B15CED">
      <w:pPr>
        <w:pStyle w:val="a5"/>
        <w:spacing w:line="360" w:lineRule="auto"/>
        <w:ind w:firstLine="360"/>
        <w:jc w:val="both"/>
        <w:rPr>
          <w:lang w:val="en-US"/>
        </w:rPr>
      </w:pPr>
      <w:r>
        <w:rPr>
          <w:lang w:val="en-US"/>
        </w:rPr>
        <w:t xml:space="preserve">Further a decision making process has to take place regarding in which of the following companies to invest. This decision will depend on </w:t>
      </w:r>
      <w:proofErr w:type="gramStart"/>
      <w:r>
        <w:rPr>
          <w:lang w:val="en-US"/>
        </w:rPr>
        <w:t>a lot of</w:t>
      </w:r>
      <w:proofErr w:type="gramEnd"/>
      <w:r>
        <w:rPr>
          <w:lang w:val="en-US"/>
        </w:rPr>
        <w:t xml:space="preserve"> factors such as the preferences of the investor of private equity fund, the strategy of private equity fund etc. </w:t>
      </w:r>
    </w:p>
    <w:p w:rsidR="006A7D29" w:rsidRDefault="0047625A" w:rsidP="008D3CCB">
      <w:pPr>
        <w:pStyle w:val="3"/>
        <w:numPr>
          <w:ilvl w:val="2"/>
          <w:numId w:val="34"/>
        </w:numPr>
        <w:rPr>
          <w:lang w:val="en-US"/>
        </w:rPr>
      </w:pPr>
      <w:bookmarkStart w:id="22" w:name="_Toc483074652"/>
      <w:r>
        <w:rPr>
          <w:lang w:val="en-US"/>
        </w:rPr>
        <w:t xml:space="preserve">Building </w:t>
      </w:r>
      <w:r w:rsidR="006A7D29">
        <w:rPr>
          <w:lang w:val="en-US"/>
        </w:rPr>
        <w:t xml:space="preserve">LBO-model </w:t>
      </w:r>
      <w:r w:rsidR="00004C94">
        <w:rPr>
          <w:lang w:val="en-US"/>
        </w:rPr>
        <w:t>for Ingenico Group</w:t>
      </w:r>
      <w:bookmarkEnd w:id="22"/>
      <w:r w:rsidR="00004C94">
        <w:rPr>
          <w:lang w:val="en-US"/>
        </w:rPr>
        <w:t xml:space="preserve"> </w:t>
      </w:r>
    </w:p>
    <w:p w:rsidR="004E3D48" w:rsidRDefault="00A9615E" w:rsidP="007572E2">
      <w:pPr>
        <w:pStyle w:val="a5"/>
        <w:spacing w:line="360" w:lineRule="auto"/>
        <w:ind w:firstLine="708"/>
        <w:jc w:val="both"/>
        <w:rPr>
          <w:lang w:val="en-US"/>
        </w:rPr>
      </w:pPr>
      <w:r>
        <w:rPr>
          <w:lang w:val="en-US"/>
        </w:rPr>
        <w:t xml:space="preserve">In order to proceed with building an LBO-model Ingenico Company </w:t>
      </w:r>
      <w:proofErr w:type="gramStart"/>
      <w:r>
        <w:rPr>
          <w:lang w:val="en-US"/>
        </w:rPr>
        <w:t>was chosen</w:t>
      </w:r>
      <w:proofErr w:type="gramEnd"/>
      <w:r>
        <w:rPr>
          <w:lang w:val="en-US"/>
        </w:rPr>
        <w:t xml:space="preserve">. </w:t>
      </w:r>
      <w:r w:rsidR="00653B38" w:rsidRPr="00653B38">
        <w:rPr>
          <w:lang w:val="en-US"/>
        </w:rPr>
        <w:t xml:space="preserve">As it </w:t>
      </w:r>
      <w:proofErr w:type="gramStart"/>
      <w:r w:rsidR="00653B38" w:rsidRPr="00653B38">
        <w:rPr>
          <w:lang w:val="en-US"/>
        </w:rPr>
        <w:t>was already noted</w:t>
      </w:r>
      <w:proofErr w:type="gramEnd"/>
      <w:r w:rsidR="00653B38" w:rsidRPr="00653B38">
        <w:rPr>
          <w:lang w:val="en-US"/>
        </w:rPr>
        <w:t>, the success of the LBO transaction is largely based on the ability of a financial investor to find a suitable target company and to justify th</w:t>
      </w:r>
      <w:r w:rsidR="004E3D48">
        <w:rPr>
          <w:lang w:val="en-US"/>
        </w:rPr>
        <w:t>e attractiveness of investments</w:t>
      </w:r>
      <w:r w:rsidR="00653B38" w:rsidRPr="00653B38">
        <w:rPr>
          <w:lang w:val="en-US"/>
        </w:rPr>
        <w:t xml:space="preserve">. </w:t>
      </w:r>
      <w:r w:rsidR="004E3D48">
        <w:rPr>
          <w:lang w:val="en-US"/>
        </w:rPr>
        <w:t xml:space="preserve">To do this a qualitative analysis of the target company </w:t>
      </w:r>
      <w:proofErr w:type="gramStart"/>
      <w:r w:rsidR="004E3D48">
        <w:rPr>
          <w:lang w:val="en-US"/>
        </w:rPr>
        <w:t>is made</w:t>
      </w:r>
      <w:proofErr w:type="gramEnd"/>
      <w:r w:rsidR="004E3D48">
        <w:rPr>
          <w:lang w:val="en-US"/>
        </w:rPr>
        <w:t>. Here spe</w:t>
      </w:r>
      <w:r w:rsidR="00653B38" w:rsidRPr="00653B38">
        <w:rPr>
          <w:lang w:val="en-US"/>
        </w:rPr>
        <w:t xml:space="preserve">cial emphasis </w:t>
      </w:r>
      <w:proofErr w:type="gramStart"/>
      <w:r w:rsidR="00653B38" w:rsidRPr="00653B38">
        <w:rPr>
          <w:lang w:val="en-US"/>
        </w:rPr>
        <w:t xml:space="preserve">is </w:t>
      </w:r>
      <w:r w:rsidR="004E3D48">
        <w:rPr>
          <w:lang w:val="en-US"/>
        </w:rPr>
        <w:t>made</w:t>
      </w:r>
      <w:proofErr w:type="gramEnd"/>
      <w:r w:rsidR="00653B38" w:rsidRPr="00653B38">
        <w:rPr>
          <w:lang w:val="en-US"/>
        </w:rPr>
        <w:t xml:space="preserve"> on the mandatory characteristics of the LBO target, since if the analysis reveals that the company does not have sufficient potential for growth and development, then the target company's evaluation is not performed, and investors withdraw their p</w:t>
      </w:r>
      <w:r w:rsidR="004E3D48">
        <w:rPr>
          <w:lang w:val="en-US"/>
        </w:rPr>
        <w:t>articipation in the transaction</w:t>
      </w:r>
      <w:r w:rsidR="00653B38" w:rsidRPr="00653B38">
        <w:rPr>
          <w:lang w:val="en-US"/>
        </w:rPr>
        <w:t xml:space="preserve">. </w:t>
      </w:r>
    </w:p>
    <w:p w:rsidR="00A9615E" w:rsidRDefault="004E3D48" w:rsidP="004E3D48">
      <w:pPr>
        <w:pStyle w:val="a5"/>
        <w:spacing w:line="360" w:lineRule="auto"/>
        <w:ind w:firstLine="708"/>
        <w:jc w:val="both"/>
        <w:rPr>
          <w:lang w:val="en-US"/>
        </w:rPr>
      </w:pPr>
      <w:r>
        <w:rPr>
          <w:lang w:val="en-US"/>
        </w:rPr>
        <w:t xml:space="preserve">In this section, an LBO-model for Ingenico Group </w:t>
      </w:r>
      <w:proofErr w:type="gramStart"/>
      <w:r>
        <w:rPr>
          <w:lang w:val="en-US"/>
        </w:rPr>
        <w:t>company</w:t>
      </w:r>
      <w:proofErr w:type="gramEnd"/>
      <w:r>
        <w:rPr>
          <w:lang w:val="en-US"/>
        </w:rPr>
        <w:t xml:space="preserve"> is build. Before that a qualitative analysis if the company is made. </w:t>
      </w:r>
      <w:r w:rsidR="00653B38" w:rsidRPr="00653B38">
        <w:rPr>
          <w:lang w:val="en-US"/>
        </w:rPr>
        <w:t xml:space="preserve"> </w:t>
      </w:r>
      <w:r>
        <w:rPr>
          <w:lang w:val="en-US"/>
        </w:rPr>
        <w:t xml:space="preserve">All this process is structured into </w:t>
      </w:r>
      <w:proofErr w:type="gramStart"/>
      <w:r>
        <w:rPr>
          <w:lang w:val="en-US"/>
        </w:rPr>
        <w:t>6</w:t>
      </w:r>
      <w:proofErr w:type="gramEnd"/>
      <w:r>
        <w:rPr>
          <w:lang w:val="en-US"/>
        </w:rPr>
        <w:t xml:space="preserve"> main steps:</w:t>
      </w:r>
    </w:p>
    <w:p w:rsidR="004E3D48" w:rsidRDefault="004E3D48" w:rsidP="008D3CCB">
      <w:pPr>
        <w:pStyle w:val="a5"/>
        <w:numPr>
          <w:ilvl w:val="0"/>
          <w:numId w:val="40"/>
        </w:numPr>
        <w:spacing w:line="360" w:lineRule="auto"/>
        <w:jc w:val="both"/>
        <w:rPr>
          <w:lang w:val="en-US"/>
        </w:rPr>
      </w:pPr>
      <w:r>
        <w:rPr>
          <w:lang w:val="en-US"/>
        </w:rPr>
        <w:t xml:space="preserve">Locating and analyzing relevant information about Ingenico Group </w:t>
      </w:r>
    </w:p>
    <w:p w:rsidR="004E3D48" w:rsidRDefault="004E3D48" w:rsidP="008D3CCB">
      <w:pPr>
        <w:pStyle w:val="a5"/>
        <w:numPr>
          <w:ilvl w:val="0"/>
          <w:numId w:val="40"/>
        </w:numPr>
        <w:spacing w:line="360" w:lineRule="auto"/>
        <w:jc w:val="both"/>
        <w:rPr>
          <w:lang w:val="en-US"/>
        </w:rPr>
      </w:pPr>
      <w:r>
        <w:rPr>
          <w:lang w:val="en-US"/>
        </w:rPr>
        <w:t xml:space="preserve">Formulating LBO-model assumptions </w:t>
      </w:r>
    </w:p>
    <w:p w:rsidR="004E3D48" w:rsidRDefault="004E3D48" w:rsidP="008D3CCB">
      <w:pPr>
        <w:pStyle w:val="a5"/>
        <w:numPr>
          <w:ilvl w:val="0"/>
          <w:numId w:val="40"/>
        </w:numPr>
        <w:spacing w:line="360" w:lineRule="auto"/>
        <w:jc w:val="both"/>
        <w:rPr>
          <w:lang w:val="en-US"/>
        </w:rPr>
      </w:pPr>
      <w:r>
        <w:rPr>
          <w:lang w:val="en-US"/>
        </w:rPr>
        <w:t xml:space="preserve">Building preliminary LBO-model </w:t>
      </w:r>
    </w:p>
    <w:p w:rsidR="004E3D48" w:rsidRDefault="004E3D48" w:rsidP="008D3CCB">
      <w:pPr>
        <w:pStyle w:val="a5"/>
        <w:numPr>
          <w:ilvl w:val="0"/>
          <w:numId w:val="40"/>
        </w:numPr>
        <w:spacing w:line="360" w:lineRule="auto"/>
        <w:jc w:val="both"/>
        <w:rPr>
          <w:lang w:val="en-US"/>
        </w:rPr>
      </w:pPr>
      <w:r>
        <w:rPr>
          <w:lang w:val="en-US"/>
        </w:rPr>
        <w:t xml:space="preserve">Introducing the formulated model assumptions into the LBO-model </w:t>
      </w:r>
    </w:p>
    <w:p w:rsidR="004E3D48" w:rsidRDefault="004E3D48" w:rsidP="008D3CCB">
      <w:pPr>
        <w:pStyle w:val="a5"/>
        <w:numPr>
          <w:ilvl w:val="0"/>
          <w:numId w:val="40"/>
        </w:numPr>
        <w:spacing w:line="360" w:lineRule="auto"/>
        <w:jc w:val="both"/>
        <w:rPr>
          <w:lang w:val="en-US"/>
        </w:rPr>
      </w:pPr>
      <w:r>
        <w:rPr>
          <w:lang w:val="en-US"/>
        </w:rPr>
        <w:t xml:space="preserve">Building final LBO-model </w:t>
      </w:r>
    </w:p>
    <w:p w:rsidR="004E3D48" w:rsidRDefault="004E3D48" w:rsidP="008D3CCB">
      <w:pPr>
        <w:pStyle w:val="a5"/>
        <w:numPr>
          <w:ilvl w:val="0"/>
          <w:numId w:val="40"/>
        </w:numPr>
        <w:spacing w:line="360" w:lineRule="auto"/>
        <w:jc w:val="both"/>
        <w:rPr>
          <w:lang w:val="en-US"/>
        </w:rPr>
      </w:pPr>
      <w:r>
        <w:rPr>
          <w:lang w:val="en-US"/>
        </w:rPr>
        <w:t xml:space="preserve">Conducting return analysis. </w:t>
      </w:r>
    </w:p>
    <w:p w:rsidR="00171E0C" w:rsidRDefault="00171E0C" w:rsidP="00171E0C">
      <w:pPr>
        <w:pStyle w:val="a5"/>
        <w:spacing w:line="360" w:lineRule="auto"/>
        <w:jc w:val="both"/>
        <w:rPr>
          <w:lang w:val="en-US"/>
        </w:rPr>
      </w:pPr>
      <w:r>
        <w:rPr>
          <w:lang w:val="en-US"/>
        </w:rPr>
        <w:lastRenderedPageBreak/>
        <w:t xml:space="preserve">In order to build the LBO-model, year 2016 was taken as the starting point and the holding period was assumed </w:t>
      </w:r>
      <w:proofErr w:type="gramStart"/>
      <w:r>
        <w:rPr>
          <w:lang w:val="en-US"/>
        </w:rPr>
        <w:t>to be 10</w:t>
      </w:r>
      <w:proofErr w:type="gramEnd"/>
      <w:r>
        <w:rPr>
          <w:lang w:val="en-US"/>
        </w:rPr>
        <w:t xml:space="preserve"> years. </w:t>
      </w:r>
    </w:p>
    <w:p w:rsidR="004E3D48" w:rsidRDefault="004E3D48" w:rsidP="00DD4129">
      <w:pPr>
        <w:pStyle w:val="4"/>
        <w:spacing w:line="360" w:lineRule="auto"/>
        <w:jc w:val="both"/>
        <w:rPr>
          <w:lang w:val="en-US"/>
        </w:rPr>
      </w:pPr>
      <w:r>
        <w:rPr>
          <w:lang w:val="en-US"/>
        </w:rPr>
        <w:t xml:space="preserve">Step 1. Locating and analyzing relevant information about Ingenico Group </w:t>
      </w:r>
    </w:p>
    <w:p w:rsidR="00DD4129" w:rsidRDefault="002777DD" w:rsidP="00DD4129">
      <w:pPr>
        <w:pStyle w:val="a5"/>
        <w:spacing w:line="360" w:lineRule="auto"/>
        <w:ind w:firstLine="708"/>
        <w:jc w:val="both"/>
        <w:rPr>
          <w:lang w:val="en-US"/>
        </w:rPr>
      </w:pPr>
      <w:r>
        <w:rPr>
          <w:lang w:val="en-US"/>
        </w:rPr>
        <w:t>I</w:t>
      </w:r>
      <w:r w:rsidRPr="002777DD">
        <w:rPr>
          <w:lang w:val="en-US"/>
        </w:rPr>
        <w:t>ngenico Group SA, founded in 1980, is a leading global provider of solutions in the field of payment technologies and acquiring services</w:t>
      </w:r>
      <w:r w:rsidR="00DD4129">
        <w:rPr>
          <w:lang w:val="en-US"/>
        </w:rPr>
        <w:t xml:space="preserve">. Its main operation areas are </w:t>
      </w:r>
      <w:r w:rsidRPr="002777DD">
        <w:rPr>
          <w:lang w:val="en-US"/>
        </w:rPr>
        <w:t xml:space="preserve">development and sale of electronic payment terminals and related software, </w:t>
      </w:r>
      <w:r w:rsidR="00DD4129">
        <w:rPr>
          <w:lang w:val="en-US"/>
        </w:rPr>
        <w:t xml:space="preserve">terminal maintenance, security services, consulting services, value added services. </w:t>
      </w:r>
      <w:r w:rsidR="00DD4129" w:rsidRPr="00DD4129">
        <w:rPr>
          <w:lang w:val="en-US"/>
        </w:rPr>
        <w:t xml:space="preserve">Ingenico Group is a suitable candidate for an LBO transaction, as it meets all the basic requirements </w:t>
      </w:r>
      <w:r w:rsidR="00DD4129">
        <w:rPr>
          <w:lang w:val="en-US"/>
        </w:rPr>
        <w:t>of</w:t>
      </w:r>
      <w:r w:rsidR="00DD4129" w:rsidRPr="00DD4129">
        <w:rPr>
          <w:lang w:val="en-US"/>
        </w:rPr>
        <w:t xml:space="preserve"> a</w:t>
      </w:r>
      <w:r w:rsidR="00DD4129">
        <w:rPr>
          <w:lang w:val="en-US"/>
        </w:rPr>
        <w:t xml:space="preserve"> strong LBO target</w:t>
      </w:r>
      <w:r w:rsidR="00DD4129" w:rsidRPr="00DD4129">
        <w:rPr>
          <w:lang w:val="en-US"/>
        </w:rPr>
        <w:t>. Summary tables with corresponding calculations of financial indicat</w:t>
      </w:r>
      <w:r w:rsidR="00DD4129">
        <w:rPr>
          <w:lang w:val="en-US"/>
        </w:rPr>
        <w:t xml:space="preserve">ors </w:t>
      </w:r>
      <w:proofErr w:type="gramStart"/>
      <w:r w:rsidR="00DD4129">
        <w:rPr>
          <w:lang w:val="en-US"/>
        </w:rPr>
        <w:t>are presented</w:t>
      </w:r>
      <w:proofErr w:type="gramEnd"/>
      <w:r w:rsidR="00DD4129">
        <w:rPr>
          <w:lang w:val="en-US"/>
        </w:rPr>
        <w:t xml:space="preserve"> in Appendices. </w:t>
      </w:r>
      <w:r w:rsidR="001B5A80">
        <w:rPr>
          <w:lang w:val="en-US"/>
        </w:rPr>
        <w:t xml:space="preserve">Certainly, this kind of analysis has to </w:t>
      </w:r>
      <w:proofErr w:type="gramStart"/>
      <w:r w:rsidR="001B5A80">
        <w:rPr>
          <w:lang w:val="en-US"/>
        </w:rPr>
        <w:t>be done</w:t>
      </w:r>
      <w:proofErr w:type="gramEnd"/>
      <w:r w:rsidR="001B5A80">
        <w:rPr>
          <w:lang w:val="en-US"/>
        </w:rPr>
        <w:t xml:space="preserve"> in a grate detail. However, as soon as qualitative assessment of the company is not the topic of this master thesis, only preliminary qualitative analysis </w:t>
      </w:r>
      <w:proofErr w:type="gramStart"/>
      <w:r w:rsidR="001B5A80">
        <w:rPr>
          <w:lang w:val="en-US"/>
        </w:rPr>
        <w:t>is made</w:t>
      </w:r>
      <w:proofErr w:type="gramEnd"/>
      <w:r w:rsidR="001B5A80">
        <w:rPr>
          <w:lang w:val="en-US"/>
        </w:rPr>
        <w:t xml:space="preserve">. </w:t>
      </w:r>
    </w:p>
    <w:p w:rsidR="00DD4129" w:rsidRDefault="00DD4129" w:rsidP="00DD4129">
      <w:pPr>
        <w:pStyle w:val="a5"/>
        <w:spacing w:line="360" w:lineRule="auto"/>
        <w:ind w:firstLine="708"/>
        <w:jc w:val="both"/>
        <w:rPr>
          <w:lang w:val="en-US"/>
        </w:rPr>
      </w:pPr>
      <w:r w:rsidRPr="00DD4129">
        <w:rPr>
          <w:lang w:val="en-US"/>
        </w:rPr>
        <w:t xml:space="preserve">The company was </w:t>
      </w:r>
      <w:r w:rsidR="00475EAE">
        <w:rPr>
          <w:lang w:val="en-US"/>
        </w:rPr>
        <w:t xml:space="preserve">analyzed </w:t>
      </w:r>
      <w:r w:rsidRPr="00DD4129">
        <w:rPr>
          <w:lang w:val="en-US"/>
        </w:rPr>
        <w:t xml:space="preserve">on the subject of </w:t>
      </w:r>
      <w:r w:rsidR="00475EAE" w:rsidRPr="00DD4129">
        <w:rPr>
          <w:lang w:val="en-US"/>
        </w:rPr>
        <w:t>correspondence</w:t>
      </w:r>
      <w:r w:rsidRPr="00DD4129">
        <w:rPr>
          <w:lang w:val="en-US"/>
        </w:rPr>
        <w:t xml:space="preserve"> to the main criteria of a strong LBO candidate: the ability to generate stable cash flows, a leading and stable competitive position, </w:t>
      </w:r>
      <w:proofErr w:type="gramStart"/>
      <w:r w:rsidRPr="00DD4129">
        <w:rPr>
          <w:lang w:val="en-US"/>
        </w:rPr>
        <w:t>the</w:t>
      </w:r>
      <w:proofErr w:type="gramEnd"/>
      <w:r w:rsidRPr="00DD4129">
        <w:rPr>
          <w:lang w:val="en-US"/>
        </w:rPr>
        <w:t xml:space="preserve"> potential for increasing the efficiency of operations, growth potential, low CAPEX </w:t>
      </w:r>
      <w:r w:rsidR="00475EAE" w:rsidRPr="00DD4129">
        <w:rPr>
          <w:lang w:val="en-US"/>
        </w:rPr>
        <w:t>requirements</w:t>
      </w:r>
      <w:r w:rsidRPr="00DD4129">
        <w:rPr>
          <w:lang w:val="en-US"/>
        </w:rPr>
        <w:t xml:space="preserve"> and the reliability of the management team. The ability to generate net cash flows </w:t>
      </w:r>
      <w:proofErr w:type="gramStart"/>
      <w:r w:rsidRPr="00DD4129">
        <w:rPr>
          <w:lang w:val="en-US"/>
        </w:rPr>
        <w:t>is proved</w:t>
      </w:r>
      <w:proofErr w:type="gramEnd"/>
      <w:r w:rsidRPr="00DD4129">
        <w:rPr>
          <w:lang w:val="en-US"/>
        </w:rPr>
        <w:t xml:space="preserve"> by sustained revenue CAGR at 17% over the past 10 years, stable and </w:t>
      </w:r>
      <w:r w:rsidR="00455A31" w:rsidRPr="00DD4129">
        <w:rPr>
          <w:lang w:val="en-US"/>
        </w:rPr>
        <w:t>increasing</w:t>
      </w:r>
      <w:r w:rsidRPr="00DD4129">
        <w:rPr>
          <w:lang w:val="en-US"/>
        </w:rPr>
        <w:t xml:space="preserve"> cash flows, high proportion of operating profit margins, and outstanding financial performance</w:t>
      </w:r>
      <w:r w:rsidR="00455A31">
        <w:rPr>
          <w:lang w:val="en-US"/>
        </w:rPr>
        <w:t xml:space="preserve"> (Appendix </w:t>
      </w:r>
      <w:r w:rsidR="00405102">
        <w:rPr>
          <w:lang w:val="en-US"/>
        </w:rPr>
        <w:t>7</w:t>
      </w:r>
      <w:r w:rsidR="00455A31">
        <w:rPr>
          <w:lang w:val="en-US"/>
        </w:rPr>
        <w:t>)</w:t>
      </w:r>
      <w:r w:rsidRPr="00DD4129">
        <w:rPr>
          <w:lang w:val="en-US"/>
        </w:rPr>
        <w:t xml:space="preserve"> and financial position. Leadership positions are confirmed by the presence of </w:t>
      </w:r>
      <w:r w:rsidR="001B5A80">
        <w:rPr>
          <w:lang w:val="en-US"/>
        </w:rPr>
        <w:t xml:space="preserve">strong </w:t>
      </w:r>
      <w:r w:rsidRPr="00DD4129">
        <w:rPr>
          <w:lang w:val="en-US"/>
        </w:rPr>
        <w:t>competitive advantages in market share</w:t>
      </w:r>
      <w:r w:rsidR="001B5A80">
        <w:rPr>
          <w:lang w:val="en-US"/>
        </w:rPr>
        <w:t xml:space="preserve"> (47%)</w:t>
      </w:r>
      <w:r w:rsidRPr="00DD4129">
        <w:rPr>
          <w:lang w:val="en-US"/>
        </w:rPr>
        <w:t>, operational efficiency</w:t>
      </w:r>
      <w:r w:rsidR="001B5A80">
        <w:rPr>
          <w:lang w:val="en-US"/>
        </w:rPr>
        <w:t xml:space="preserve"> (above industry profit margin, significantly less costs in the sales structure)</w:t>
      </w:r>
      <w:r w:rsidRPr="00DD4129">
        <w:rPr>
          <w:lang w:val="en-US"/>
        </w:rPr>
        <w:t xml:space="preserve">, and relations with consumers, which contributes to the stability of product sales and, consequently, to the stability of cash flows. The company's growth potential </w:t>
      </w:r>
      <w:proofErr w:type="gramStart"/>
      <w:r w:rsidRPr="00DD4129">
        <w:rPr>
          <w:lang w:val="en-US"/>
        </w:rPr>
        <w:t xml:space="preserve">is </w:t>
      </w:r>
      <w:r w:rsidR="001B5A80">
        <w:rPr>
          <w:lang w:val="en-US"/>
        </w:rPr>
        <w:t>supported</w:t>
      </w:r>
      <w:proofErr w:type="gramEnd"/>
      <w:r w:rsidR="001B5A80">
        <w:rPr>
          <w:lang w:val="en-US"/>
        </w:rPr>
        <w:t xml:space="preserve"> by</w:t>
      </w:r>
      <w:r w:rsidRPr="00DD4129">
        <w:rPr>
          <w:lang w:val="en-US"/>
        </w:rPr>
        <w:t xml:space="preserve"> growth of the electronic payment systems market, in particular in emerging markets, the synerg</w:t>
      </w:r>
      <w:r w:rsidR="001B5A80">
        <w:rPr>
          <w:lang w:val="en-US"/>
        </w:rPr>
        <w:t>y</w:t>
      </w:r>
      <w:r w:rsidRPr="00DD4129">
        <w:rPr>
          <w:lang w:val="en-US"/>
        </w:rPr>
        <w:t xml:space="preserve"> effect from the recent </w:t>
      </w:r>
      <w:r w:rsidR="001B5A80" w:rsidRPr="00DD4129">
        <w:rPr>
          <w:lang w:val="en-US"/>
        </w:rPr>
        <w:t>a</w:t>
      </w:r>
      <w:r w:rsidR="001B5A80">
        <w:rPr>
          <w:lang w:val="en-US"/>
        </w:rPr>
        <w:t>cquisition</w:t>
      </w:r>
      <w:r w:rsidRPr="00DD4129">
        <w:rPr>
          <w:lang w:val="en-US"/>
        </w:rPr>
        <w:t xml:space="preserve"> of Globalcollect, the optimization of the product portfolio and the </w:t>
      </w:r>
      <w:r w:rsidR="001B5A80">
        <w:rPr>
          <w:lang w:val="en-US"/>
        </w:rPr>
        <w:t>upcoming intruduction</w:t>
      </w:r>
      <w:r w:rsidRPr="00DD4129">
        <w:rPr>
          <w:lang w:val="en-US"/>
        </w:rPr>
        <w:t xml:space="preserve"> of new products and services. The potential for increasing the efficiency of operations </w:t>
      </w:r>
      <w:proofErr w:type="gramStart"/>
      <w:r w:rsidRPr="00DD4129">
        <w:rPr>
          <w:lang w:val="en-US"/>
        </w:rPr>
        <w:t>is confirmed</w:t>
      </w:r>
      <w:proofErr w:type="gramEnd"/>
      <w:r w:rsidRPr="00DD4129">
        <w:rPr>
          <w:lang w:val="en-US"/>
        </w:rPr>
        <w:t xml:space="preserve"> by the tendency to reduce general and administrative expenses. In general, it </w:t>
      </w:r>
      <w:proofErr w:type="gramStart"/>
      <w:r w:rsidRPr="00DD4129">
        <w:rPr>
          <w:lang w:val="en-US"/>
        </w:rPr>
        <w:t xml:space="preserve">can be </w:t>
      </w:r>
      <w:r w:rsidR="001B5A80">
        <w:rPr>
          <w:lang w:val="en-US"/>
        </w:rPr>
        <w:t>concluded</w:t>
      </w:r>
      <w:proofErr w:type="gramEnd"/>
      <w:r w:rsidRPr="00DD4129">
        <w:rPr>
          <w:lang w:val="en-US"/>
        </w:rPr>
        <w:t xml:space="preserve"> that the Ingenico Group is a suitable target candidate for the LBO deal.</w:t>
      </w:r>
    </w:p>
    <w:p w:rsidR="004E3D48" w:rsidRDefault="001B5A80" w:rsidP="004E3D48">
      <w:pPr>
        <w:pStyle w:val="a5"/>
        <w:spacing w:line="360" w:lineRule="auto"/>
        <w:ind w:firstLine="708"/>
        <w:jc w:val="both"/>
        <w:rPr>
          <w:lang w:val="en-US"/>
        </w:rPr>
      </w:pPr>
      <w:r>
        <w:rPr>
          <w:lang w:val="en-US"/>
        </w:rPr>
        <w:t>On this step</w:t>
      </w:r>
      <w:r w:rsidR="00E74478">
        <w:rPr>
          <w:lang w:val="en-US"/>
        </w:rPr>
        <w:t>, all</w:t>
      </w:r>
      <w:r w:rsidR="001F7BFC">
        <w:rPr>
          <w:lang w:val="en-US"/>
        </w:rPr>
        <w:t xml:space="preserve"> the </w:t>
      </w:r>
      <w:r w:rsidR="008B22BC">
        <w:rPr>
          <w:lang w:val="en-US"/>
        </w:rPr>
        <w:t xml:space="preserve">necessary information about the company </w:t>
      </w:r>
      <w:proofErr w:type="gramStart"/>
      <w:r w:rsidR="008B22BC">
        <w:rPr>
          <w:lang w:val="en-US"/>
        </w:rPr>
        <w:t>was collected</w:t>
      </w:r>
      <w:proofErr w:type="gramEnd"/>
      <w:r w:rsidR="008B22BC">
        <w:rPr>
          <w:lang w:val="en-US"/>
        </w:rPr>
        <w:t xml:space="preserve">: balance sheet, income statement, cash flow statement. All data </w:t>
      </w:r>
      <w:proofErr w:type="gramStart"/>
      <w:r w:rsidR="008B22BC">
        <w:rPr>
          <w:lang w:val="en-US"/>
        </w:rPr>
        <w:t>was collected</w:t>
      </w:r>
      <w:proofErr w:type="gramEnd"/>
      <w:r w:rsidR="008B22BC">
        <w:rPr>
          <w:lang w:val="en-US"/>
        </w:rPr>
        <w:t xml:space="preserve"> for the prior three years.</w:t>
      </w:r>
    </w:p>
    <w:p w:rsidR="008B22BC" w:rsidRDefault="008B22BC" w:rsidP="00756956">
      <w:pPr>
        <w:pStyle w:val="4"/>
        <w:rPr>
          <w:lang w:val="en-US"/>
        </w:rPr>
      </w:pPr>
      <w:r>
        <w:rPr>
          <w:lang w:val="en-US"/>
        </w:rPr>
        <w:t xml:space="preserve">Step 2. Formulating the model assumptions </w:t>
      </w:r>
    </w:p>
    <w:p w:rsidR="00756956" w:rsidRDefault="00756956" w:rsidP="00756956">
      <w:pPr>
        <w:pStyle w:val="a5"/>
        <w:spacing w:line="360" w:lineRule="auto"/>
        <w:ind w:firstLine="708"/>
        <w:rPr>
          <w:lang w:val="en-US"/>
        </w:rPr>
      </w:pPr>
      <w:r>
        <w:rPr>
          <w:lang w:val="en-US"/>
        </w:rPr>
        <w:t xml:space="preserve">All assumptions </w:t>
      </w:r>
      <w:proofErr w:type="gramStart"/>
      <w:r>
        <w:rPr>
          <w:lang w:val="en-US"/>
        </w:rPr>
        <w:t>were classified</w:t>
      </w:r>
      <w:proofErr w:type="gramEnd"/>
      <w:r>
        <w:rPr>
          <w:lang w:val="en-US"/>
        </w:rPr>
        <w:t xml:space="preserve"> into three categories: basic model assumptions, assumptions about the uses of funds and about the sources of funds. </w:t>
      </w:r>
    </w:p>
    <w:p w:rsidR="00756956" w:rsidRPr="00756956" w:rsidRDefault="00756956" w:rsidP="00756956">
      <w:pPr>
        <w:pStyle w:val="a5"/>
        <w:spacing w:line="360" w:lineRule="auto"/>
        <w:ind w:firstLine="708"/>
        <w:rPr>
          <w:i/>
          <w:lang w:val="en-US"/>
        </w:rPr>
      </w:pPr>
      <w:r w:rsidRPr="00756956">
        <w:rPr>
          <w:i/>
          <w:lang w:val="en-US"/>
        </w:rPr>
        <w:t>Uses of funds assumptions</w:t>
      </w:r>
    </w:p>
    <w:p w:rsidR="00B54D1D" w:rsidRDefault="00756956" w:rsidP="00B54D1D">
      <w:pPr>
        <w:pStyle w:val="a5"/>
        <w:spacing w:line="360" w:lineRule="auto"/>
        <w:ind w:firstLine="567"/>
        <w:jc w:val="both"/>
        <w:rPr>
          <w:rFonts w:cs="Times New Roman"/>
          <w:szCs w:val="24"/>
          <w:lang w:val="en-US"/>
        </w:rPr>
      </w:pPr>
      <w:r>
        <w:rPr>
          <w:lang w:val="en-US"/>
        </w:rPr>
        <w:t xml:space="preserve">In this case, the uses of funds are comprised of company purchase price, financing fees and the transaction fees. The purchase price </w:t>
      </w:r>
      <w:proofErr w:type="gramStart"/>
      <w:r>
        <w:rPr>
          <w:lang w:val="en-US"/>
        </w:rPr>
        <w:t>is found</w:t>
      </w:r>
      <w:proofErr w:type="gramEnd"/>
      <w:r>
        <w:rPr>
          <w:lang w:val="en-US"/>
        </w:rPr>
        <w:t xml:space="preserve"> with use of formula for the public companies </w:t>
      </w:r>
      <w:r>
        <w:rPr>
          <w:lang w:val="en-US"/>
        </w:rPr>
        <w:lastRenderedPageBreak/>
        <w:t xml:space="preserve">(including the market premium). </w:t>
      </w:r>
      <w:r w:rsidR="00B54D1D">
        <w:rPr>
          <w:lang w:val="en-US"/>
        </w:rPr>
        <w:t xml:space="preserve">The </w:t>
      </w:r>
      <w:r w:rsidR="00171E0C">
        <w:rPr>
          <w:lang w:val="en-US"/>
        </w:rPr>
        <w:t>at the end of 2016 was</w:t>
      </w:r>
      <w:r w:rsidR="00B54D1D">
        <w:rPr>
          <w:lang w:val="en-US"/>
        </w:rPr>
        <w:t xml:space="preserve"> 87</w:t>
      </w:r>
      <w:proofErr w:type="gramStart"/>
      <w:r w:rsidR="00B54D1D">
        <w:rPr>
          <w:lang w:val="en-US"/>
        </w:rPr>
        <w:t>,28</w:t>
      </w:r>
      <w:proofErr w:type="gramEnd"/>
      <w:r w:rsidR="00B54D1D">
        <w:rPr>
          <w:lang w:val="en-US"/>
        </w:rPr>
        <w:t xml:space="preserve"> euros. </w:t>
      </w:r>
      <w:r w:rsidR="00B54D1D">
        <w:rPr>
          <w:rFonts w:cs="Times New Roman"/>
          <w:szCs w:val="24"/>
          <w:lang w:val="en-US"/>
        </w:rPr>
        <w:t xml:space="preserve">When estimating the market premium for Ingenico Group, the following information </w:t>
      </w:r>
      <w:proofErr w:type="gramStart"/>
      <w:r w:rsidR="00B54D1D">
        <w:rPr>
          <w:rFonts w:cs="Times New Roman"/>
          <w:szCs w:val="24"/>
          <w:lang w:val="en-US"/>
        </w:rPr>
        <w:t>was taken</w:t>
      </w:r>
      <w:proofErr w:type="gramEnd"/>
      <w:r w:rsidR="00B54D1D">
        <w:rPr>
          <w:rFonts w:cs="Times New Roman"/>
          <w:szCs w:val="24"/>
          <w:lang w:val="en-US"/>
        </w:rPr>
        <w:t xml:space="preserve"> in</w:t>
      </w:r>
      <w:r w:rsidR="00405102">
        <w:rPr>
          <w:rFonts w:cs="Times New Roman"/>
          <w:szCs w:val="24"/>
          <w:lang w:val="en-US"/>
        </w:rPr>
        <w:t>to consideration (see Appendix 8</w:t>
      </w:r>
      <w:r w:rsidR="00B54D1D">
        <w:rPr>
          <w:rFonts w:cs="Times New Roman"/>
          <w:szCs w:val="24"/>
          <w:lang w:val="en-US"/>
        </w:rPr>
        <w:t>):</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The median market premium in the electronics industry amounted to 38.4% from the Mergerstat study and 39% from the RSM Bird Cameron survey (Figures 1 and 2);</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The median value of the control award for transactions financed by both debt and equity is 29.4% (Figure 3);</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The buyer does not own the company's property, which corresponds to a 24% premium to the market (Figure 4);</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The premium to the market for companies with a market capitalization of more than $ 500 million is on average 21.4% (Figures 5 and 6);</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Median and average control premium for countries with a developed stock market are in the range of 30-40%;</w:t>
      </w:r>
    </w:p>
    <w:p w:rsidR="00B54D1D" w:rsidRDefault="00B54D1D" w:rsidP="008D3CCB">
      <w:pPr>
        <w:pStyle w:val="a5"/>
        <w:numPr>
          <w:ilvl w:val="0"/>
          <w:numId w:val="41"/>
        </w:numPr>
        <w:spacing w:line="360" w:lineRule="auto"/>
        <w:jc w:val="both"/>
        <w:rPr>
          <w:rFonts w:cs="Times New Roman"/>
          <w:szCs w:val="24"/>
          <w:lang w:val="en-US"/>
        </w:rPr>
      </w:pPr>
      <w:r>
        <w:rPr>
          <w:rFonts w:cs="Times New Roman"/>
          <w:szCs w:val="24"/>
          <w:lang w:val="en-US"/>
        </w:rPr>
        <w:t>The size of the acquired stake in the company is 100%, in the ownership structure there are shareholders with shares of more than 10%.</w:t>
      </w:r>
    </w:p>
    <w:p w:rsidR="00B54D1D" w:rsidRDefault="00B54D1D" w:rsidP="00B54D1D">
      <w:pPr>
        <w:pStyle w:val="a5"/>
        <w:spacing w:line="360" w:lineRule="auto"/>
        <w:ind w:firstLine="567"/>
        <w:jc w:val="both"/>
        <w:rPr>
          <w:rFonts w:cs="Times New Roman"/>
          <w:szCs w:val="24"/>
          <w:lang w:val="en-US"/>
        </w:rPr>
      </w:pPr>
      <w:r>
        <w:rPr>
          <w:rFonts w:cs="Times New Roman"/>
          <w:szCs w:val="24"/>
          <w:lang w:val="en-US"/>
        </w:rPr>
        <w:t xml:space="preserve">Based on this information, a premium of 28% was set for Ingenico Group as one of the model assumptions, and the acquisition price of the company's stock </w:t>
      </w:r>
      <w:proofErr w:type="gramStart"/>
      <w:r>
        <w:rPr>
          <w:rFonts w:cs="Times New Roman"/>
          <w:szCs w:val="24"/>
          <w:lang w:val="en-US"/>
        </w:rPr>
        <w:t>was calculated</w:t>
      </w:r>
      <w:proofErr w:type="gramEnd"/>
      <w:r>
        <w:rPr>
          <w:rFonts w:cs="Times New Roman"/>
          <w:szCs w:val="24"/>
          <w:lang w:val="en-US"/>
        </w:rPr>
        <w:t xml:space="preserve"> at $ 111.72 (</w:t>
      </w:r>
      <w:r w:rsidR="00171E0C">
        <w:rPr>
          <w:rFonts w:cs="Times New Roman"/>
          <w:szCs w:val="24"/>
          <w:lang w:val="en-US"/>
        </w:rPr>
        <w:t>Pic</w:t>
      </w:r>
      <w:r>
        <w:rPr>
          <w:rFonts w:cs="Times New Roman"/>
          <w:szCs w:val="24"/>
          <w:lang w:val="en-US"/>
        </w:rPr>
        <w:t xml:space="preserve"> 18). After completing the LBO analysis, the model design allows manipulating this assumption to analyze the sensitivity of the IRR.</w:t>
      </w:r>
    </w:p>
    <w:p w:rsidR="00B54D1D" w:rsidRDefault="00201D86" w:rsidP="00B54D1D">
      <w:pPr>
        <w:pStyle w:val="a5"/>
        <w:spacing w:line="360" w:lineRule="auto"/>
        <w:jc w:val="center"/>
        <w:rPr>
          <w:rFonts w:cs="Times New Roman"/>
          <w:szCs w:val="24"/>
        </w:rPr>
      </w:pPr>
      <w:r w:rsidRPr="00201D86">
        <w:rPr>
          <w:noProof/>
          <w:lang w:eastAsia="ru-RU"/>
        </w:rPr>
        <w:drawing>
          <wp:inline distT="0" distB="0" distL="0" distR="0">
            <wp:extent cx="4468385" cy="63298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3387" cy="640773"/>
                    </a:xfrm>
                    <a:prstGeom prst="rect">
                      <a:avLst/>
                    </a:prstGeom>
                    <a:noFill/>
                    <a:ln>
                      <a:noFill/>
                    </a:ln>
                  </pic:spPr>
                </pic:pic>
              </a:graphicData>
            </a:graphic>
          </wp:inline>
        </w:drawing>
      </w:r>
    </w:p>
    <w:p w:rsidR="00B54D1D" w:rsidRDefault="00B54D1D" w:rsidP="00B54D1D">
      <w:pPr>
        <w:pStyle w:val="a5"/>
        <w:spacing w:line="360" w:lineRule="auto"/>
        <w:ind w:firstLine="567"/>
        <w:jc w:val="center"/>
        <w:rPr>
          <w:rFonts w:cs="Times New Roman"/>
          <w:szCs w:val="24"/>
          <w:lang w:val="en-US"/>
        </w:rPr>
      </w:pPr>
      <w:r>
        <w:rPr>
          <w:rFonts w:cs="Times New Roman"/>
          <w:szCs w:val="24"/>
          <w:lang w:val="en-US"/>
        </w:rPr>
        <w:t>Pic</w:t>
      </w:r>
      <w:r w:rsidR="005D213F">
        <w:rPr>
          <w:rFonts w:cs="Times New Roman"/>
          <w:szCs w:val="24"/>
          <w:lang w:val="en-US"/>
        </w:rPr>
        <w:t xml:space="preserve"> 18</w:t>
      </w:r>
      <w:r>
        <w:rPr>
          <w:rFonts w:cs="Times New Roman"/>
          <w:szCs w:val="24"/>
          <w:lang w:val="en-US"/>
        </w:rPr>
        <w:t>. Share price valuation</w:t>
      </w:r>
    </w:p>
    <w:p w:rsidR="00B54D1D" w:rsidRDefault="00B54D1D" w:rsidP="00B54D1D">
      <w:pPr>
        <w:pStyle w:val="a5"/>
        <w:spacing w:line="360" w:lineRule="auto"/>
        <w:ind w:firstLine="567"/>
        <w:jc w:val="center"/>
        <w:rPr>
          <w:rFonts w:cs="Times New Roman"/>
          <w:szCs w:val="24"/>
          <w:lang w:val="en-US"/>
        </w:rPr>
      </w:pPr>
      <w:r>
        <w:rPr>
          <w:rFonts w:cs="Times New Roman"/>
          <w:szCs w:val="24"/>
          <w:lang w:val="en-US"/>
        </w:rPr>
        <w:t>[Created by author]</w:t>
      </w:r>
    </w:p>
    <w:p w:rsidR="00201D86" w:rsidRDefault="00201D86" w:rsidP="00201D86">
      <w:pPr>
        <w:pStyle w:val="a5"/>
        <w:spacing w:line="360" w:lineRule="auto"/>
        <w:ind w:firstLine="567"/>
        <w:jc w:val="both"/>
        <w:rPr>
          <w:rFonts w:cs="Times New Roman"/>
          <w:szCs w:val="24"/>
          <w:lang w:val="en-US"/>
        </w:rPr>
      </w:pPr>
      <w:r>
        <w:rPr>
          <w:rFonts w:cs="Times New Roman"/>
          <w:szCs w:val="24"/>
          <w:lang w:val="en-US"/>
        </w:rPr>
        <w:t xml:space="preserve">Valuation of equity </w:t>
      </w:r>
      <w:proofErr w:type="gramStart"/>
      <w:r>
        <w:rPr>
          <w:rFonts w:cs="Times New Roman"/>
          <w:szCs w:val="24"/>
          <w:lang w:val="en-US"/>
        </w:rPr>
        <w:t>is based</w:t>
      </w:r>
      <w:proofErr w:type="gramEnd"/>
      <w:r>
        <w:rPr>
          <w:rFonts w:cs="Times New Roman"/>
          <w:szCs w:val="24"/>
          <w:lang w:val="en-US"/>
        </w:rPr>
        <w:t xml:space="preserve"> on the company's market capitalization (MV) and is calculated as the current share price multiplied by the total number of fully diluted shares (15).</w:t>
      </w:r>
    </w:p>
    <w:p w:rsidR="00201D86" w:rsidRDefault="00201D86" w:rsidP="00201D86">
      <w:pPr>
        <w:pStyle w:val="a5"/>
        <w:spacing w:line="360" w:lineRule="auto"/>
        <w:ind w:firstLine="567"/>
        <w:jc w:val="both"/>
        <w:rPr>
          <w:rFonts w:cs="Times New Roman"/>
          <w:szCs w:val="24"/>
          <w:lang w:val="en-US"/>
        </w:rPr>
      </w:pPr>
      <w:r>
        <w:rPr>
          <w:rFonts w:cs="Times New Roman"/>
          <w:szCs w:val="24"/>
          <w:lang w:val="en-US"/>
        </w:rPr>
        <w:t xml:space="preserve">As it </w:t>
      </w:r>
      <w:proofErr w:type="gramStart"/>
      <w:r>
        <w:rPr>
          <w:rFonts w:cs="Times New Roman"/>
          <w:szCs w:val="24"/>
          <w:lang w:val="en-US"/>
        </w:rPr>
        <w:t>is known</w:t>
      </w:r>
      <w:proofErr w:type="gramEnd"/>
      <w:r>
        <w:rPr>
          <w:rFonts w:cs="Times New Roman"/>
          <w:szCs w:val="24"/>
          <w:lang w:val="en-US"/>
        </w:rPr>
        <w:t xml:space="preserve">, the number of shares presented in the company's profit and loss statement can be either basic or diluted. The basic shares outstanding are all issued and outstanding shares, both in the hands of investors and in free float. Unlike basic outstanding shares, fully diluted shares include all possible sources of conversion to outstanding shares, such as convertible bonds, stock options, stock warrants and convertible preferred stock or debt, assuming these securities </w:t>
      </w:r>
      <w:proofErr w:type="gramStart"/>
      <w:r>
        <w:rPr>
          <w:rFonts w:cs="Times New Roman"/>
          <w:szCs w:val="24"/>
          <w:lang w:val="en-US"/>
        </w:rPr>
        <w:t>were exercised</w:t>
      </w:r>
      <w:proofErr w:type="gramEnd"/>
      <w:r>
        <w:rPr>
          <w:rFonts w:cs="Times New Roman"/>
          <w:szCs w:val="24"/>
          <w:lang w:val="en-US"/>
        </w:rPr>
        <w:t>.</w:t>
      </w:r>
      <w:r>
        <w:rPr>
          <w:rStyle w:val="a9"/>
          <w:rFonts w:cs="Times New Roman"/>
          <w:szCs w:val="24"/>
          <w:lang w:val="en-US"/>
        </w:rPr>
        <w:footnoteReference w:id="55"/>
      </w:r>
      <w:r>
        <w:rPr>
          <w:rFonts w:cs="Times New Roman"/>
          <w:szCs w:val="24"/>
          <w:lang w:val="en-US"/>
        </w:rPr>
        <w:t xml:space="preserve"> Using the number of diluted shares to calculate the purchase price of the company seems to be the most appropriate, since it allows you to take into account the dilution of capital as </w:t>
      </w:r>
      <w:r>
        <w:rPr>
          <w:rFonts w:cs="Times New Roman"/>
          <w:szCs w:val="24"/>
          <w:lang w:val="en-US"/>
        </w:rPr>
        <w:lastRenderedPageBreak/>
        <w:t>a result of the realization of all rights, and provides the worst estimate of the value of the stock (for the buyer) in terms of scenario analysis.</w:t>
      </w:r>
    </w:p>
    <w:p w:rsidR="00201D86" w:rsidRDefault="00201D86" w:rsidP="00201D86">
      <w:pPr>
        <w:pStyle w:val="a5"/>
        <w:spacing w:line="360" w:lineRule="auto"/>
        <w:ind w:firstLine="567"/>
        <w:jc w:val="both"/>
        <w:rPr>
          <w:rFonts w:cs="Times New Roman"/>
          <w:szCs w:val="24"/>
          <w:lang w:val="en-US"/>
        </w:rPr>
      </w:pPr>
      <w:r w:rsidRPr="00201D86">
        <w:rPr>
          <w:rFonts w:cs="Times New Roman"/>
          <w:szCs w:val="24"/>
          <w:lang w:val="en-US"/>
        </w:rPr>
        <w:t>The number of diluted shares</w:t>
      </w:r>
      <w:r w:rsidR="00915F47">
        <w:rPr>
          <w:rFonts w:cs="Times New Roman"/>
          <w:szCs w:val="24"/>
          <w:lang w:val="en-US"/>
        </w:rPr>
        <w:t xml:space="preserve"> outstanding</w:t>
      </w:r>
      <w:r w:rsidRPr="00201D86">
        <w:rPr>
          <w:rFonts w:cs="Times New Roman"/>
          <w:szCs w:val="24"/>
          <w:lang w:val="en-US"/>
        </w:rPr>
        <w:t xml:space="preserve"> as of </w:t>
      </w:r>
      <w:r w:rsidR="00915F47">
        <w:rPr>
          <w:rFonts w:cs="Times New Roman"/>
          <w:szCs w:val="24"/>
          <w:lang w:val="en-US"/>
        </w:rPr>
        <w:t>the end of 2016</w:t>
      </w:r>
      <w:r w:rsidRPr="00201D86">
        <w:rPr>
          <w:rFonts w:cs="Times New Roman"/>
          <w:szCs w:val="24"/>
          <w:lang w:val="en-US"/>
        </w:rPr>
        <w:t xml:space="preserve"> was 60,001,095, of which 5,743,984 shares consisting of rewarded shares (0.013%) and convert</w:t>
      </w:r>
      <w:r w:rsidR="00915F47">
        <w:rPr>
          <w:rFonts w:cs="Times New Roman"/>
          <w:szCs w:val="24"/>
          <w:lang w:val="en-US"/>
        </w:rPr>
        <w:t>ible bonds (0.98%) are "diluted</w:t>
      </w:r>
      <w:r w:rsidRPr="00201D86">
        <w:rPr>
          <w:rFonts w:cs="Times New Roman"/>
          <w:szCs w:val="24"/>
          <w:lang w:val="en-US"/>
        </w:rPr>
        <w:t>". Thus, based on the information on the number of shares and the purchase price of the share, the purchase price (the company's equity</w:t>
      </w:r>
      <w:r w:rsidR="00915F47">
        <w:rPr>
          <w:rFonts w:cs="Times New Roman"/>
          <w:szCs w:val="24"/>
          <w:lang w:val="en-US"/>
        </w:rPr>
        <w:t xml:space="preserve"> estimate) </w:t>
      </w:r>
      <w:proofErr w:type="gramStart"/>
      <w:r w:rsidR="00915F47">
        <w:rPr>
          <w:rFonts w:cs="Times New Roman"/>
          <w:szCs w:val="24"/>
          <w:lang w:val="en-US"/>
        </w:rPr>
        <w:t>was found</w:t>
      </w:r>
      <w:proofErr w:type="gramEnd"/>
      <w:r w:rsidR="00915F47">
        <w:rPr>
          <w:rFonts w:cs="Times New Roman"/>
          <w:szCs w:val="24"/>
          <w:lang w:val="en-US"/>
        </w:rPr>
        <w:t>:</w:t>
      </w:r>
    </w:p>
    <w:p w:rsidR="00201D86" w:rsidRDefault="00915F47" w:rsidP="00201D86">
      <w:pPr>
        <w:pStyle w:val="a5"/>
        <w:spacing w:line="360" w:lineRule="auto"/>
        <w:ind w:firstLine="360"/>
        <w:jc w:val="center"/>
        <w:rPr>
          <w:rFonts w:cs="Times New Roman"/>
          <w:szCs w:val="24"/>
        </w:rPr>
      </w:pPr>
      <w:r w:rsidRPr="00915F47">
        <w:rPr>
          <w:noProof/>
          <w:lang w:eastAsia="ru-RU"/>
        </w:rPr>
        <w:drawing>
          <wp:inline distT="0" distB="0" distL="0" distR="0">
            <wp:extent cx="4301407" cy="1073722"/>
            <wp:effectExtent l="0" t="0" r="444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8117" cy="1075397"/>
                    </a:xfrm>
                    <a:prstGeom prst="rect">
                      <a:avLst/>
                    </a:prstGeom>
                    <a:noFill/>
                    <a:ln>
                      <a:noFill/>
                    </a:ln>
                  </pic:spPr>
                </pic:pic>
              </a:graphicData>
            </a:graphic>
          </wp:inline>
        </w:drawing>
      </w:r>
    </w:p>
    <w:p w:rsidR="00201D86" w:rsidRDefault="00915F47" w:rsidP="00201D86">
      <w:pPr>
        <w:pStyle w:val="a5"/>
        <w:spacing w:line="360" w:lineRule="auto"/>
        <w:ind w:firstLine="360"/>
        <w:jc w:val="center"/>
        <w:rPr>
          <w:rFonts w:cs="Times New Roman"/>
          <w:szCs w:val="24"/>
          <w:lang w:val="en-US"/>
        </w:rPr>
      </w:pPr>
      <w:r w:rsidRPr="00915F47">
        <w:rPr>
          <w:rFonts w:cs="Times New Roman"/>
          <w:i/>
          <w:szCs w:val="24"/>
          <w:lang w:val="en-US"/>
        </w:rPr>
        <w:t>Pic</w:t>
      </w:r>
      <w:r w:rsidR="005D213F">
        <w:rPr>
          <w:rFonts w:cs="Times New Roman"/>
          <w:i/>
          <w:szCs w:val="24"/>
          <w:lang w:val="en-US"/>
        </w:rPr>
        <w:t xml:space="preserve"> 19</w:t>
      </w:r>
      <w:r w:rsidRPr="00915F47">
        <w:rPr>
          <w:rFonts w:cs="Times New Roman"/>
          <w:i/>
          <w:szCs w:val="24"/>
          <w:lang w:val="en-US"/>
        </w:rPr>
        <w:t>.</w:t>
      </w:r>
      <w:r w:rsidR="00201D86">
        <w:rPr>
          <w:rFonts w:cs="Times New Roman"/>
          <w:szCs w:val="24"/>
          <w:lang w:val="en-US"/>
        </w:rPr>
        <w:t xml:space="preserve"> Equity valuation for Ingenico</w:t>
      </w:r>
    </w:p>
    <w:p w:rsidR="00201D86" w:rsidRDefault="00201D86" w:rsidP="00201D86">
      <w:pPr>
        <w:pStyle w:val="a5"/>
        <w:spacing w:line="360" w:lineRule="auto"/>
        <w:ind w:firstLine="360"/>
        <w:jc w:val="center"/>
        <w:rPr>
          <w:rFonts w:cs="Times New Roman"/>
          <w:szCs w:val="24"/>
          <w:lang w:val="en-US"/>
        </w:rPr>
      </w:pPr>
      <w:r>
        <w:rPr>
          <w:rFonts w:cs="Times New Roman"/>
          <w:szCs w:val="24"/>
          <w:lang w:val="en-US"/>
        </w:rPr>
        <w:t>[Created by author]</w:t>
      </w:r>
    </w:p>
    <w:p w:rsidR="00DB1706" w:rsidRDefault="00DB1706" w:rsidP="00DB1706">
      <w:pPr>
        <w:pStyle w:val="a5"/>
        <w:spacing w:line="360" w:lineRule="auto"/>
        <w:ind w:firstLine="360"/>
        <w:rPr>
          <w:rFonts w:cs="Times New Roman"/>
          <w:szCs w:val="24"/>
          <w:lang w:val="en-US"/>
        </w:rPr>
      </w:pPr>
      <w:r>
        <w:rPr>
          <w:rFonts w:cs="Times New Roman"/>
          <w:szCs w:val="24"/>
          <w:lang w:val="en-US"/>
        </w:rPr>
        <w:t>After, the m</w:t>
      </w:r>
      <w:r w:rsidR="009C6EDD">
        <w:rPr>
          <w:rFonts w:cs="Times New Roman"/>
          <w:szCs w:val="24"/>
          <w:lang w:val="en-US"/>
        </w:rPr>
        <w:t xml:space="preserve">arket value of the company was calculated. </w:t>
      </w:r>
    </w:p>
    <w:p w:rsidR="009C6EDD" w:rsidRDefault="009C6EDD" w:rsidP="009C6EDD">
      <w:pPr>
        <w:pStyle w:val="a5"/>
        <w:spacing w:line="360" w:lineRule="auto"/>
        <w:ind w:firstLine="360"/>
        <w:jc w:val="center"/>
        <w:rPr>
          <w:rFonts w:cs="Times New Roman"/>
          <w:szCs w:val="24"/>
          <w:lang w:val="en-US"/>
        </w:rPr>
      </w:pPr>
      <w:r w:rsidRPr="009C6EDD">
        <w:rPr>
          <w:noProof/>
          <w:lang w:eastAsia="ru-RU"/>
        </w:rPr>
        <w:drawing>
          <wp:inline distT="0" distB="0" distL="0" distR="0">
            <wp:extent cx="4317310" cy="775173"/>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759" cy="781538"/>
                    </a:xfrm>
                    <a:prstGeom prst="rect">
                      <a:avLst/>
                    </a:prstGeom>
                    <a:noFill/>
                    <a:ln>
                      <a:noFill/>
                    </a:ln>
                  </pic:spPr>
                </pic:pic>
              </a:graphicData>
            </a:graphic>
          </wp:inline>
        </w:drawing>
      </w:r>
    </w:p>
    <w:p w:rsidR="009C6EDD" w:rsidRDefault="009C6EDD" w:rsidP="009C6EDD">
      <w:pPr>
        <w:pStyle w:val="a5"/>
        <w:spacing w:line="360" w:lineRule="auto"/>
        <w:ind w:firstLine="360"/>
        <w:jc w:val="center"/>
        <w:rPr>
          <w:rFonts w:cs="Times New Roman"/>
          <w:szCs w:val="24"/>
          <w:lang w:val="en-US"/>
        </w:rPr>
      </w:pPr>
      <w:r w:rsidRPr="00915F47">
        <w:rPr>
          <w:rFonts w:cs="Times New Roman"/>
          <w:i/>
          <w:szCs w:val="24"/>
          <w:lang w:val="en-US"/>
        </w:rPr>
        <w:t>Pic</w:t>
      </w:r>
      <w:r w:rsidR="005D213F">
        <w:rPr>
          <w:rFonts w:cs="Times New Roman"/>
          <w:i/>
          <w:szCs w:val="24"/>
          <w:lang w:val="en-US"/>
        </w:rPr>
        <w:t xml:space="preserve"> 20</w:t>
      </w:r>
      <w:r w:rsidRPr="00915F47">
        <w:rPr>
          <w:rFonts w:cs="Times New Roman"/>
          <w:i/>
          <w:szCs w:val="24"/>
          <w:lang w:val="en-US"/>
        </w:rPr>
        <w:t>.</w:t>
      </w:r>
      <w:r>
        <w:rPr>
          <w:rFonts w:cs="Times New Roman"/>
          <w:szCs w:val="24"/>
          <w:lang w:val="en-US"/>
        </w:rPr>
        <w:t xml:space="preserve"> EV valuation for Ingenico</w:t>
      </w:r>
    </w:p>
    <w:p w:rsidR="009C6EDD" w:rsidRDefault="009C6EDD" w:rsidP="009C6EDD">
      <w:pPr>
        <w:pStyle w:val="a5"/>
        <w:spacing w:line="360" w:lineRule="auto"/>
        <w:ind w:firstLine="360"/>
        <w:jc w:val="center"/>
        <w:rPr>
          <w:rFonts w:cs="Times New Roman"/>
          <w:szCs w:val="24"/>
          <w:lang w:val="en-US"/>
        </w:rPr>
      </w:pPr>
      <w:r>
        <w:rPr>
          <w:rFonts w:cs="Times New Roman"/>
          <w:szCs w:val="24"/>
          <w:lang w:val="en-US"/>
        </w:rPr>
        <w:t>[Created by author]</w:t>
      </w:r>
    </w:p>
    <w:p w:rsidR="009C6EDD" w:rsidRDefault="009C6EDD" w:rsidP="009C6EDD">
      <w:pPr>
        <w:pStyle w:val="a5"/>
        <w:spacing w:line="360" w:lineRule="auto"/>
        <w:ind w:firstLine="360"/>
        <w:rPr>
          <w:rFonts w:cs="Times New Roman"/>
          <w:szCs w:val="24"/>
          <w:lang w:val="en-US"/>
        </w:rPr>
      </w:pPr>
    </w:p>
    <w:p w:rsidR="009C6EDD" w:rsidRPr="009C6EDD" w:rsidRDefault="009C6EDD" w:rsidP="009C6EDD">
      <w:pPr>
        <w:pStyle w:val="a5"/>
        <w:spacing w:line="360" w:lineRule="auto"/>
        <w:ind w:firstLine="360"/>
        <w:jc w:val="both"/>
        <w:rPr>
          <w:i/>
          <w:lang w:val="en-US"/>
        </w:rPr>
      </w:pPr>
      <w:r w:rsidRPr="009C6EDD">
        <w:rPr>
          <w:i/>
          <w:lang w:val="en-US"/>
        </w:rPr>
        <w:t>Exit of EV / EBITDA multiple assumption</w:t>
      </w:r>
    </w:p>
    <w:p w:rsidR="009C6EDD" w:rsidRPr="009C6EDD" w:rsidRDefault="009C6EDD" w:rsidP="009C6EDD">
      <w:pPr>
        <w:pStyle w:val="a5"/>
        <w:spacing w:line="360" w:lineRule="auto"/>
        <w:ind w:firstLine="708"/>
        <w:jc w:val="both"/>
        <w:rPr>
          <w:lang w:val="en-US"/>
        </w:rPr>
      </w:pPr>
      <w:r w:rsidRPr="009C6EDD">
        <w:rPr>
          <w:lang w:val="en-US"/>
        </w:rPr>
        <w:t xml:space="preserve">Very often, when building an LBO-model, it is assumed that when a deal is </w:t>
      </w:r>
      <w:proofErr w:type="gramStart"/>
      <w:r w:rsidRPr="009C6EDD">
        <w:rPr>
          <w:lang w:val="en-US"/>
        </w:rPr>
        <w:t>closed,</w:t>
      </w:r>
      <w:proofErr w:type="gramEnd"/>
      <w:r w:rsidRPr="009C6EDD">
        <w:rPr>
          <w:lang w:val="en-US"/>
        </w:rPr>
        <w:t xml:space="preserve"> the company will be sold </w:t>
      </w:r>
      <w:r>
        <w:rPr>
          <w:lang w:val="en-US"/>
        </w:rPr>
        <w:t>at least with the same multiple</w:t>
      </w:r>
      <w:r w:rsidRPr="009C6EDD">
        <w:rPr>
          <w:lang w:val="en-US"/>
        </w:rPr>
        <w:t xml:space="preserve"> as it was purchased. EBITDA of the company for 201</w:t>
      </w:r>
      <w:r>
        <w:rPr>
          <w:lang w:val="en-US"/>
        </w:rPr>
        <w:t>6</w:t>
      </w:r>
      <w:r w:rsidRPr="009C6EDD">
        <w:rPr>
          <w:lang w:val="en-US"/>
        </w:rPr>
        <w:t xml:space="preserve"> amounted to 345 million euros,</w:t>
      </w:r>
      <w:r>
        <w:rPr>
          <w:lang w:val="en-US"/>
        </w:rPr>
        <w:t xml:space="preserve"> so the purchase EV/EBITDA is 19</w:t>
      </w:r>
      <w:proofErr w:type="gramStart"/>
      <w:r>
        <w:rPr>
          <w:lang w:val="en-US"/>
        </w:rPr>
        <w:t>,4</w:t>
      </w:r>
      <w:proofErr w:type="gramEnd"/>
      <w:r>
        <w:rPr>
          <w:lang w:val="en-US"/>
        </w:rPr>
        <w:t xml:space="preserve">. </w:t>
      </w:r>
      <w:r w:rsidRPr="009C6EDD">
        <w:rPr>
          <w:lang w:val="en-US"/>
        </w:rPr>
        <w:t xml:space="preserve">However, taking into account that today Ingenico is overvalued, an adjustment was made to the value at the close of the transaction, and it is assumed that the company will be sold at a price of 15x EBITDA. It should be noted that this is a </w:t>
      </w:r>
      <w:proofErr w:type="gramStart"/>
      <w:r w:rsidRPr="009C6EDD">
        <w:rPr>
          <w:lang w:val="en-US"/>
        </w:rPr>
        <w:t>fairly bold</w:t>
      </w:r>
      <w:proofErr w:type="gramEnd"/>
      <w:r w:rsidRPr="009C6EDD">
        <w:rPr>
          <w:lang w:val="en-US"/>
        </w:rPr>
        <w:t xml:space="preserve"> correction, usually the EBITDA multiplier corrections are in the range of ± 2 points.</w:t>
      </w:r>
    </w:p>
    <w:p w:rsidR="009C6EDD" w:rsidRPr="009C6EDD" w:rsidRDefault="009C6EDD" w:rsidP="009C6EDD">
      <w:pPr>
        <w:pStyle w:val="a5"/>
        <w:spacing w:line="360" w:lineRule="auto"/>
        <w:ind w:firstLine="708"/>
        <w:jc w:val="both"/>
        <w:rPr>
          <w:i/>
          <w:lang w:val="en-US"/>
        </w:rPr>
      </w:pPr>
      <w:r w:rsidRPr="009C6EDD">
        <w:rPr>
          <w:i/>
          <w:lang w:val="en-US"/>
        </w:rPr>
        <w:t>Holding period assumption</w:t>
      </w:r>
    </w:p>
    <w:p w:rsidR="00756956" w:rsidRDefault="009C6EDD" w:rsidP="009C6EDD">
      <w:pPr>
        <w:pStyle w:val="a5"/>
        <w:spacing w:line="360" w:lineRule="auto"/>
        <w:ind w:firstLine="708"/>
        <w:jc w:val="both"/>
        <w:rPr>
          <w:lang w:val="en-US"/>
        </w:rPr>
      </w:pPr>
      <w:r>
        <w:rPr>
          <w:lang w:val="en-US"/>
        </w:rPr>
        <w:t>It was</w:t>
      </w:r>
      <w:r w:rsidRPr="009C6EDD">
        <w:rPr>
          <w:lang w:val="en-US"/>
        </w:rPr>
        <w:t xml:space="preserve"> assumed that the management of the PE fund </w:t>
      </w:r>
      <w:proofErr w:type="gramStart"/>
      <w:r w:rsidRPr="009C6EDD">
        <w:rPr>
          <w:lang w:val="en-US"/>
        </w:rPr>
        <w:t>will</w:t>
      </w:r>
      <w:proofErr w:type="gramEnd"/>
      <w:r w:rsidRPr="009C6EDD">
        <w:rPr>
          <w:lang w:val="en-US"/>
        </w:rPr>
        <w:t xml:space="preserve"> be carried out for 10 years and the year of closing of the deal 202</w:t>
      </w:r>
      <w:r w:rsidR="00BF2EF4">
        <w:rPr>
          <w:lang w:val="en-US"/>
        </w:rPr>
        <w:t>6</w:t>
      </w:r>
      <w:r w:rsidRPr="009C6EDD">
        <w:rPr>
          <w:lang w:val="en-US"/>
        </w:rPr>
        <w:t xml:space="preserve">. Among the basic assumptions of the model, we also note that during the period of ownership of the company, investors will not receive dividends for invested capital, other additional outflows and inflows </w:t>
      </w:r>
      <w:proofErr w:type="gramStart"/>
      <w:r w:rsidR="00BF2EF4">
        <w:rPr>
          <w:lang w:val="en-US"/>
        </w:rPr>
        <w:t>will be made</w:t>
      </w:r>
      <w:proofErr w:type="gramEnd"/>
      <w:r w:rsidRPr="009C6EDD">
        <w:rPr>
          <w:lang w:val="en-US"/>
        </w:rPr>
        <w:t>.</w:t>
      </w:r>
    </w:p>
    <w:p w:rsidR="00BF2EF4" w:rsidRDefault="00BF2EF4" w:rsidP="00BF2EF4">
      <w:pPr>
        <w:pStyle w:val="a5"/>
        <w:spacing w:line="360" w:lineRule="auto"/>
        <w:ind w:firstLine="708"/>
        <w:jc w:val="both"/>
        <w:rPr>
          <w:i/>
          <w:lang w:val="en-US"/>
        </w:rPr>
      </w:pPr>
      <w:r w:rsidRPr="00BF2EF4">
        <w:rPr>
          <w:i/>
          <w:lang w:val="en-US"/>
        </w:rPr>
        <w:t>Sources of funds assumptions</w:t>
      </w:r>
    </w:p>
    <w:p w:rsidR="00BF2EF4" w:rsidRPr="00BF2EF4" w:rsidRDefault="00BF2EF4" w:rsidP="00BF2EF4">
      <w:pPr>
        <w:pStyle w:val="a5"/>
        <w:spacing w:line="360" w:lineRule="auto"/>
        <w:ind w:firstLine="708"/>
        <w:jc w:val="both"/>
        <w:rPr>
          <w:lang w:val="en-US"/>
        </w:rPr>
      </w:pPr>
      <w:r w:rsidRPr="00BF2EF4">
        <w:rPr>
          <w:lang w:val="en-US"/>
        </w:rPr>
        <w:t xml:space="preserve">In this paper, the following structure of financing </w:t>
      </w:r>
      <w:proofErr w:type="gramStart"/>
      <w:r>
        <w:rPr>
          <w:lang w:val="en-US"/>
        </w:rPr>
        <w:t>was assumed</w:t>
      </w:r>
      <w:proofErr w:type="gramEnd"/>
      <w:r>
        <w:rPr>
          <w:lang w:val="en-US"/>
        </w:rPr>
        <w:t>:</w:t>
      </w:r>
    </w:p>
    <w:p w:rsidR="00BF2EF4" w:rsidRPr="007C3FA8" w:rsidRDefault="005D213F" w:rsidP="00BF2EF4">
      <w:pPr>
        <w:pStyle w:val="a5"/>
        <w:spacing w:line="360" w:lineRule="auto"/>
        <w:ind w:firstLine="708"/>
        <w:jc w:val="both"/>
        <w:rPr>
          <w:rFonts w:cs="Times New Roman"/>
          <w:szCs w:val="24"/>
          <w:lang w:val="en-US"/>
        </w:rPr>
      </w:pPr>
      <w:r>
        <w:rPr>
          <w:noProof/>
          <w:lang w:eastAsia="ru-RU"/>
        </w:rPr>
        <w:lastRenderedPageBreak/>
        <mc:AlternateContent>
          <mc:Choice Requires="wps">
            <w:drawing>
              <wp:anchor distT="0" distB="0" distL="114300" distR="114300" simplePos="0" relativeHeight="251783168" behindDoc="0" locked="0" layoutInCell="1" allowOverlap="1" wp14:anchorId="0F4809AC" wp14:editId="59A7CBEC">
                <wp:simplePos x="0" y="0"/>
                <wp:positionH relativeFrom="column">
                  <wp:posOffset>5342586</wp:posOffset>
                </wp:positionH>
                <wp:positionV relativeFrom="paragraph">
                  <wp:posOffset>220980</wp:posOffset>
                </wp:positionV>
                <wp:extent cx="651510" cy="285750"/>
                <wp:effectExtent l="0" t="0" r="0" b="0"/>
                <wp:wrapNone/>
                <wp:docPr id="176" name="Надпись 176"/>
                <wp:cNvGraphicFramePr/>
                <a:graphic xmlns:a="http://schemas.openxmlformats.org/drawingml/2006/main">
                  <a:graphicData uri="http://schemas.microsoft.com/office/word/2010/wordprocessingShape">
                    <wps:wsp>
                      <wps:cNvSpPr txBox="1"/>
                      <wps:spPr>
                        <a:xfrm>
                          <a:off x="0" y="0"/>
                          <a:ext cx="6515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20"/>
                                <w:szCs w:val="20"/>
                                <w:lang w:val="en-US"/>
                              </w:rPr>
                            </w:pPr>
                            <w:r w:rsidRPr="005D213F">
                              <w:rPr>
                                <w:sz w:val="20"/>
                                <w:szCs w:val="20"/>
                                <w:lang w:val="en-US"/>
                              </w:rPr>
                              <w:t xml:space="preserve">Total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09AC" id="Надпись 176" o:spid="_x0000_s1064" type="#_x0000_t202" style="position:absolute;left:0;text-align:left;margin-left:420.7pt;margin-top:17.4pt;width:51.3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WLmAIAAHMFAAAOAAAAZHJzL2Uyb0RvYy54bWysVM1uEzEQviPxDpbvdJO0aUvUTRVaFSFV&#10;bUWLena8drLC9hjbyW649c4r8A4cOHDjFdI3YuzdTUPgUsRldzzzzf/PyWmtFVkK50swOe3v9SgR&#10;hkNRmllOP9xdvDqmxAdmCqbAiJyuhKen45cvTio7EgOYgyqEI2jE+FFlczoPwY6yzPO50MzvgRUG&#10;hRKcZgGfbpYVjlVoXats0OsdZhW4wjrgwnvknjdCOk72pRQ8XEvpRSAqpxhbSF+XvtP4zcYnbDRz&#10;zM5L3obB/iEKzUqDTjemzllgZOHKP0zpkjvwIMMeB52BlCUXKQfMpt/byeZ2zqxIuWBxvN2Uyf8/&#10;s/xqeeNIWWDvjg4pMUxjk9Zf19/W39c/1z8eHx6/kCjBOlXWjxB+a1Eh1G+gRp2O75EZ06+l0/GP&#10;iRGUY8VXmyqLOhCOzMNhf9hHCUfR4Hh4NExdyJ6UrfPhrQBNIpFTh01MtWXLSx8wEIR2kOjLwEWp&#10;VGqkMqRCB/to8jcJaigTOSKNRGsmJtQEnqiwUiJilHkvJJYkxR8ZaRjFmXJkyXCMGOfChJR6sovo&#10;iJIYxHMUW/xTVM9RbvLoPIMJG2VdGnAp+52wi49dyLLBYyG38o5kqKd1moX9466xUyhW2G8HzeZ4&#10;yy9K7Mol8+GGOVwVbCSuf7jGj1SA1YeWomQO7vPf+BGPE4xSSipcvZz6TwvmBCXqncHZft0/OIi7&#10;mh4Hw6MBPty2ZLotMQt9BtiWPh4ayxMZ8UF1pHSg7/FKTKJXFDHD0XdOQ0eeheYg4JXhYjJJINxO&#10;y8KlubU8mo5dijN3V98zZ9vBDDjRV9AtKRvtzGeDjZoGJosAskzDGwvdVLVtAG52mun2CsXTsf1O&#10;qKdbOf4FAAD//wMAUEsDBBQABgAIAAAAIQAb4cXc4QAAAAkBAAAPAAAAZHJzL2Rvd25yZXYueG1s&#10;TI/BTsMwEETvSPyDtUjcqNNiIA3ZVFWkCgnBoaUXbk7sJhHxOsRuG/h6lhMcVzuaeS9fTa4XJzuG&#10;zhPCfJaAsFR701GDsH/b3KQgQtRkdO/JInzZAKvi8iLXmfFn2trTLjaCSyhkGqGNccikDHVrnQ4z&#10;P1ji38GPTkc+x0aaUZ+53PVykST30umOeKHVgy1bW3/sjg7hudy86m21cOl3Xz69HNbD5/79DvH6&#10;alo/goh2in9h+MVndCiYqfJHMkH0CKmaK44i3CpW4MBSKZarEB6WKcgil/8Nih8AAAD//wMAUEsB&#10;Ai0AFAAGAAgAAAAhALaDOJL+AAAA4QEAABMAAAAAAAAAAAAAAAAAAAAAAFtDb250ZW50X1R5cGVz&#10;XS54bWxQSwECLQAUAAYACAAAACEAOP0h/9YAAACUAQAACwAAAAAAAAAAAAAAAAAvAQAAX3JlbHMv&#10;LnJlbHNQSwECLQAUAAYACAAAACEAKKUFi5gCAABzBQAADgAAAAAAAAAAAAAAAAAuAgAAZHJzL2Uy&#10;b0RvYy54bWxQSwECLQAUAAYACAAAACEAG+HF3OEAAAAJAQAADwAAAAAAAAAAAAAAAADyBAAAZHJz&#10;L2Rvd25yZXYueG1sUEsFBgAAAAAEAAQA8wAAAAAGAAAAAA==&#10;" filled="f" stroked="f" strokeweight=".5pt">
                <v:textbox>
                  <w:txbxContent>
                    <w:p w:rsidR="00C16B02" w:rsidRPr="005D213F" w:rsidRDefault="00C16B02" w:rsidP="005D213F">
                      <w:pPr>
                        <w:rPr>
                          <w:sz w:val="20"/>
                          <w:szCs w:val="20"/>
                          <w:lang w:val="en-US"/>
                        </w:rPr>
                      </w:pPr>
                      <w:r w:rsidRPr="005D213F">
                        <w:rPr>
                          <w:sz w:val="20"/>
                          <w:szCs w:val="20"/>
                          <w:lang w:val="en-US"/>
                        </w:rPr>
                        <w:t xml:space="preserve">Total </w:t>
                      </w:r>
                    </w:p>
                  </w:txbxContent>
                </v:textbox>
              </v:shape>
            </w:pict>
          </mc:Fallback>
        </mc:AlternateContent>
      </w:r>
      <w:r>
        <w:rPr>
          <w:noProof/>
          <w:lang w:eastAsia="ru-RU"/>
        </w:rPr>
        <mc:AlternateContent>
          <mc:Choice Requires="wps">
            <w:drawing>
              <wp:anchor distT="0" distB="0" distL="114300" distR="114300" simplePos="0" relativeHeight="251781120" behindDoc="0" locked="0" layoutInCell="1" allowOverlap="1">
                <wp:simplePos x="0" y="0"/>
                <wp:positionH relativeFrom="column">
                  <wp:posOffset>1964745</wp:posOffset>
                </wp:positionH>
                <wp:positionV relativeFrom="paragraph">
                  <wp:posOffset>221035</wp:posOffset>
                </wp:positionV>
                <wp:extent cx="652007" cy="286247"/>
                <wp:effectExtent l="0" t="0" r="0" b="0"/>
                <wp:wrapNone/>
                <wp:docPr id="162" name="Надпись 162"/>
                <wp:cNvGraphicFramePr/>
                <a:graphic xmlns:a="http://schemas.openxmlformats.org/drawingml/2006/main">
                  <a:graphicData uri="http://schemas.microsoft.com/office/word/2010/wordprocessingShape">
                    <wps:wsp>
                      <wps:cNvSpPr txBox="1"/>
                      <wps:spPr>
                        <a:xfrm>
                          <a:off x="0" y="0"/>
                          <a:ext cx="65200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pPr>
                              <w:rPr>
                                <w:sz w:val="20"/>
                                <w:szCs w:val="20"/>
                                <w:lang w:val="en-US"/>
                              </w:rPr>
                            </w:pPr>
                            <w:r w:rsidRPr="005D213F">
                              <w:rPr>
                                <w:sz w:val="20"/>
                                <w:szCs w:val="20"/>
                                <w:lang w:val="en-US"/>
                              </w:rPr>
                              <w:t xml:space="preserve">Total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2" o:spid="_x0000_s1065" type="#_x0000_t202" style="position:absolute;left:0;text-align:left;margin-left:154.7pt;margin-top:17.4pt;width:51.35pt;height:2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TtmQIAAHMFAAAOAAAAZHJzL2Uyb0RvYy54bWysVM1OGzEQvlfqO1i+l01CCBCxQSmIqhIC&#10;1FBxdrw2WdX2uLaT3fTGva/Qd+ihh976CuGNOvbuhoj2QtXL7njmm/+fk9NaK7ISzpdgctrf61Ei&#10;DIeiNPc5/Xh78eaIEh+YKZgCI3K6Fp6eTl6/OqnsWAxgAaoQjqAR48eVzekiBDvOMs8XQjO/B1YY&#10;FEpwmgV8uvuscKxC61plg15vlFXgCuuAC++Re94I6STZl1LwcC2lF4GonGJsIX1d+s7jN5ucsPG9&#10;Y3ZR8jYM9g9RaFYadLo1dc4CI0tX/mFKl9yBBxn2OOgMpCy5SDlgNv3es2xmC2ZFygWL4+22TP7/&#10;meVXqxtHygJ7NxpQYpjGJm2+bb5vfmx+bX4+Pjx+JVGCdaqsHyN8ZlEh1G+hRp2O75EZ06+l0/GP&#10;iRGUY8XX2yqLOhCOzNEBNu6QEo6iwdFoMDyMVrInZet8eCdAk0jk1GETU23Z6tKHBtpBoi8DF6VS&#10;qZHKkAod7B/0ksJWgsaViViRRqI1ExNqAk9UWCsRMcp8EBJLkuKPjDSM4kw5smI4RoxzYUJKPdlF&#10;dERJDOIlii3+KaqXKDd5dJ7BhK2yLg24lP2zsItPXciywWPNd/KOZKjndZqF/eOusXMo1thvB83m&#10;eMsvSuzKJfPhhjlcFWwxrn+4xo9UgNWHlqJkAe7L3/gRjxOMUkoqXL2c+s9L5gQl6r3B2T7uD4dx&#10;V9NjeHA4wIfblcx3JWapzwDb0sdDY3kiIz6ojpQO9B1eiWn0iiJmOPrOaejIs9AcBLwyXEynCYTb&#10;aVm4NDPLo+nYpThzt/Udc7YdzIATfQXdkrLxs/lssFHTwHQZQJZpeGOhm6q2DcDNTuPfXqF4Onbf&#10;CfV0Kye/AQAA//8DAFBLAwQUAAYACAAAACEAP8373+EAAAAJAQAADwAAAGRycy9kb3ducmV2Lnht&#10;bEyPwU6DQBCG7ya+w2ZMvNkFRC3I0jQkjYnRQ2sv3hZ2CkR2Ftltiz6940lvM5kv/3x/sZrtIE44&#10;+d6RgngRgUBqnOmpVbB/29wsQfigyejBESr4Qg+r8vKi0LlxZ9riaRdawSHkc62gC2HMpfRNh1b7&#10;hRuR+HZwk9WB16mVZtJnDreDTKLoXlrdE3/o9IhVh83H7mgVPFebV72tE7v8Hqqnl8N6/Ny/3yl1&#10;fTWvH0EEnMMfDL/6rA4lO9XuSMaLQcFtlKWM8pByBQbSOIlB1AoesgxkWcj/DcofAAAA//8DAFBL&#10;AQItABQABgAIAAAAIQC2gziS/gAAAOEBAAATAAAAAAAAAAAAAAAAAAAAAABbQ29udGVudF9UeXBl&#10;c10ueG1sUEsBAi0AFAAGAAgAAAAhADj9If/WAAAAlAEAAAsAAAAAAAAAAAAAAAAALwEAAF9yZWxz&#10;Ly5yZWxzUEsBAi0AFAAGAAgAAAAhAOYJJO2ZAgAAcwUAAA4AAAAAAAAAAAAAAAAALgIAAGRycy9l&#10;Mm9Eb2MueG1sUEsBAi0AFAAGAAgAAAAhAD/N+9/hAAAACQEAAA8AAAAAAAAAAAAAAAAA8wQAAGRy&#10;cy9kb3ducmV2LnhtbFBLBQYAAAAABAAEAPMAAAABBgAAAAA=&#10;" filled="f" stroked="f" strokeweight=".5pt">
                <v:textbox>
                  <w:txbxContent>
                    <w:p w:rsidR="00C16B02" w:rsidRPr="005D213F" w:rsidRDefault="00C16B02">
                      <w:pPr>
                        <w:rPr>
                          <w:sz w:val="20"/>
                          <w:szCs w:val="20"/>
                          <w:lang w:val="en-US"/>
                        </w:rPr>
                      </w:pPr>
                      <w:r w:rsidRPr="005D213F">
                        <w:rPr>
                          <w:sz w:val="20"/>
                          <w:szCs w:val="20"/>
                          <w:lang w:val="en-US"/>
                        </w:rPr>
                        <w:t xml:space="preserve">Total </w:t>
                      </w:r>
                    </w:p>
                  </w:txbxContent>
                </v:textbox>
              </v:shape>
            </w:pict>
          </mc:Fallback>
        </mc:AlternateContent>
      </w:r>
      <w:r w:rsidR="00BF2EF4" w:rsidRPr="00BF2EF4">
        <w:rPr>
          <w:lang w:val="en-US"/>
        </w:rPr>
        <w:t> </w:t>
      </w:r>
    </w:p>
    <w:p w:rsidR="00BF2EF4" w:rsidRDefault="005D213F" w:rsidP="00BF2EF4">
      <w:pPr>
        <w:pStyle w:val="a5"/>
        <w:spacing w:line="360" w:lineRule="auto"/>
        <w:jc w:val="center"/>
        <w:rPr>
          <w:rFonts w:cs="Times New Roman"/>
          <w:szCs w:val="24"/>
          <w:lang w:val="en-US"/>
        </w:rPr>
      </w:pPr>
      <w:r>
        <w:rPr>
          <w:i/>
          <w:noProof/>
          <w:lang w:eastAsia="ru-RU"/>
        </w:rPr>
        <mc:AlternateContent>
          <mc:Choice Requires="wps">
            <w:drawing>
              <wp:anchor distT="0" distB="0" distL="114300" distR="114300" simplePos="0" relativeHeight="251780096" behindDoc="0" locked="0" layoutInCell="1" allowOverlap="1" wp14:anchorId="64966F67" wp14:editId="7A3C9E0D">
                <wp:simplePos x="0" y="0"/>
                <wp:positionH relativeFrom="margin">
                  <wp:posOffset>5153688</wp:posOffset>
                </wp:positionH>
                <wp:positionV relativeFrom="paragraph">
                  <wp:posOffset>22362</wp:posOffset>
                </wp:positionV>
                <wp:extent cx="739471" cy="126669"/>
                <wp:effectExtent l="0" t="0" r="3810" b="6985"/>
                <wp:wrapNone/>
                <wp:docPr id="142" name="Надпись 142"/>
                <wp:cNvGraphicFramePr/>
                <a:graphic xmlns:a="http://schemas.openxmlformats.org/drawingml/2006/main">
                  <a:graphicData uri="http://schemas.microsoft.com/office/word/2010/wordprocessingShape">
                    <wps:wsp>
                      <wps:cNvSpPr txBox="1"/>
                      <wps:spPr>
                        <a:xfrm>
                          <a:off x="0" y="0"/>
                          <a:ext cx="739471" cy="126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6F67" id="Надпись 142" o:spid="_x0000_s1066" type="#_x0000_t202" style="position:absolute;left:0;text-align:left;margin-left:405.8pt;margin-top:1.75pt;width:58.25pt;height:9.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s4pQIAAJsFAAAOAAAAZHJzL2Uyb0RvYy54bWysVM1uEzEQviPxDpbvdJM0TWnUTRVSBSFV&#10;bUWLena8drPC9hjbyW64cecVeAcOHLjxCukbMfZufii9FHHZHc988/9zelZrRZbC+RJMTrsHHUqE&#10;4VCU5j6nH26nr15T4gMzBVNgRE5XwtOz0csXp5Udih7MQRXCETRi/LCyOZ2HYIdZ5vlcaOYPwAqD&#10;QglOs4BPd58VjlVoXaus1+kMsgpcYR1w4T1yzxshHSX7UgoerqT0IhCVU4wtpK9L31n8ZqNTNrx3&#10;zM5L3obB/iEKzUqDTremzllgZOHKv0zpkjvwIMMBB52BlCUXKQfMptt5lM3NnFmRcsHieLstk/9/&#10;Zvnl8tqRssDe9XuUGKaxSetv6+/rH+tf658PXx6+kijBOlXWDxF+Y1Eh1G+gRp0N3yMzpl9Lp+Mf&#10;EyMox4qvtlUWdSAcmceHJ/3jLiUcRd3eYDA4iVaynbJ1PrwVoEkkcuqwiam2bHnhQwPdQKIvD6os&#10;pqVS6REHR0yUI0uGLVchhYjG/0ApQ6qcDg6POsmwgajeWFYmmhFpdFp3MfEmwUSFlRIRo8x7IbF0&#10;Kc8nfDPOhdn6T+iIkujqOYotfhfVc5SbPFAjeQYTtsq6NOBS9mnXdiUrPm5KJhs89mYv70iGelan&#10;memnBYqsGRQrnAsHzYZ5y6cldu+C+XDNHK4UjgKeiXCFH6kAqw8tRckc3Oen+BGPk45SSipc0Zz6&#10;TwvmBCXqncEdOOn2MQAS0qN/dNzDh9uXzPYlZqEngCOBk4fRJTLig9qQ0oG+w2syjl5RxAxH3zkN&#10;G3ISmsOB14iL8TiBcIstCxfmxvJoOpY5zuZtfcecbQc44ORfwmaZ2fDRHDfYqGlgvAggyzTku6q2&#10;DcALkNakvVbxxOy/E2p3U0e/AQAA//8DAFBLAwQUAAYACAAAACEA/cxbyOAAAAAIAQAADwAAAGRy&#10;cy9kb3ducmV2LnhtbEyPS0/DMBCE70j8B2uRuCDqPGgJIZsKIR4SNxoe4ubGSxIRr6PYTcK/x5zg&#10;OJrRzDfFdjG9mGh0nWWEeBWBIK6t7rhBeKnuzzMQzivWqrdMCN/kYFseHxUq13bmZ5p2vhGhhF2u&#10;EFrvh1xKV7dklFvZgTh4n3Y0ygc5NlKPag7lppdJFG2kUR2HhVYNdNtS/bU7GISPs+b9yS0Pr3O6&#10;Toe7x6m6fNMV4unJcnMNwtPi/8Lwix/QoQxMe3tg7USPkMXxJkQR0jWI4F8lWQxij5CkFyDLQv4/&#10;UP4AAAD//wMAUEsBAi0AFAAGAAgAAAAhALaDOJL+AAAA4QEAABMAAAAAAAAAAAAAAAAAAAAAAFtD&#10;b250ZW50X1R5cGVzXS54bWxQSwECLQAUAAYACAAAACEAOP0h/9YAAACUAQAACwAAAAAAAAAAAAAA&#10;AAAvAQAAX3JlbHMvLnJlbHNQSwECLQAUAAYACAAAACEAak7rOKUCAACbBQAADgAAAAAAAAAAAAAA&#10;AAAuAgAAZHJzL2Uyb0RvYy54bWxQSwECLQAUAAYACAAAACEA/cxbyOAAAAAIAQAADwAAAAAAAAAA&#10;AAAAAAD/BAAAZHJzL2Rvd25yZXYueG1sUEsFBgAAAAAEAAQA8wAAAAwGAAAAAA==&#10;" fillcolor="white [3201]" stroked="f" strokeweight=".5pt">
                <v:textbox>
                  <w:txbxContent>
                    <w:p w:rsidR="00C16B02" w:rsidRPr="005D213F" w:rsidRDefault="00C16B02" w:rsidP="005D213F">
                      <w:pPr>
                        <w:rPr>
                          <w:sz w:val="16"/>
                          <w:szCs w:val="16"/>
                          <w:lang w:val="en-US"/>
                        </w:rPr>
                      </w:pPr>
                    </w:p>
                  </w:txbxContent>
                </v:textbox>
                <w10:wrap anchorx="margin"/>
              </v:shape>
            </w:pict>
          </mc:Fallback>
        </mc:AlternateContent>
      </w:r>
      <w:r>
        <w:rPr>
          <w:i/>
          <w:noProof/>
          <w:lang w:eastAsia="ru-RU"/>
        </w:rPr>
        <mc:AlternateContent>
          <mc:Choice Requires="wps">
            <w:drawing>
              <wp:anchor distT="0" distB="0" distL="114300" distR="114300" simplePos="0" relativeHeight="251778048" behindDoc="0" locked="0" layoutInCell="1" allowOverlap="1">
                <wp:simplePos x="0" y="0"/>
                <wp:positionH relativeFrom="margin">
                  <wp:posOffset>1742577</wp:posOffset>
                </wp:positionH>
                <wp:positionV relativeFrom="paragraph">
                  <wp:posOffset>6461</wp:posOffset>
                </wp:positionV>
                <wp:extent cx="1041621" cy="143124"/>
                <wp:effectExtent l="0" t="0" r="6350" b="9525"/>
                <wp:wrapNone/>
                <wp:docPr id="140" name="Надпись 140"/>
                <wp:cNvGraphicFramePr/>
                <a:graphic xmlns:a="http://schemas.openxmlformats.org/drawingml/2006/main">
                  <a:graphicData uri="http://schemas.microsoft.com/office/word/2010/wordprocessingShape">
                    <wps:wsp>
                      <wps:cNvSpPr txBox="1"/>
                      <wps:spPr>
                        <a:xfrm>
                          <a:off x="0" y="0"/>
                          <a:ext cx="1041621" cy="143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0" o:spid="_x0000_s1067" type="#_x0000_t202" style="position:absolute;left:0;text-align:left;margin-left:137.2pt;margin-top:.5pt;width:82pt;height:11.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bpgIAAJwFAAAOAAAAZHJzL2Uyb0RvYy54bWysVM1u1DAQviPxDpbvNJttWmDVbLW0KkKq&#10;2ooW9ex17K6F4zG2d5Plxp1X4B04cODGK2zfiLGT/aH0UsQlGXu+mfHMfDNHx22tyUI4r8CUNN8b&#10;UCIMh0qZu5J+uDl78YoSH5ipmAYjSroUnh6Pnz87auxIDGEGuhKOoBPjR40t6SwEO8oyz2eiZn4P&#10;rDColOBqFvDo7rLKsQa91zobDgaHWQOusg648B5vTzslHSf/UgoeLqX0IhBdUnxbSF+XvtP4zcZH&#10;bHTnmJ0p3j+D/cMraqYMBt24OmWBkblTf7mqFXfgQYY9DnUGUiouUg6YTT54kM31jFmRcsHieLsp&#10;k/9/bvnF4soRVWHvCqyPYTU2afVt9X31Y/Vr9fP+y/1XEjVYp8b6EcKvLRqE9g20aLO+93gZ02+l&#10;q+MfEyOoR4/LTZVFGwiPRoMiPxzmlHDU5cV+Piyim2xrbZ0PbwXUJAolddjFVFy2OPehg64hMZgH&#10;raozpXU6ROaIE+3IgmHPdUhvROd/oLQhTUkP9w8GybGBaN551ia6EYk7fbiYeZdhksJSi4jR5r2Q&#10;WLuU6COxGefCbOIndERJDPUUwx6/fdVTjLs80CJFBhM2xrUy4FL2adi2Jas+rksmOzz2ZifvKIZ2&#10;2ibSFBsGTKFaIjEcdCPmLT9T2L1z5sMVczhTyAXcE+ESP1IDVh96iZIZuM+P3Uc8Uh21lDQ4oyX1&#10;n+bMCUr0O4ND8DovImlDOhQHL4d4cLua6a7GzOsTQEog8/B1SYz4oNeidFDf4jqZxKioYoZj7JKG&#10;tXgSus2B64iLySSBcIwtC+fm2vLoOpY5cvOmvWXO9gQOSP0LWE8zGz3gcYeNlgYm8wBSJZLHQndV&#10;7RuAKyCNSb+u4o7ZPSfUdqmOfwMAAP//AwBQSwMEFAAGAAgAAAAhANseUzXeAAAACAEAAA8AAABk&#10;cnMvZG93bnJldi54bWxMj0tLw0AUhfdC/8NwC27ETmxSW2ImRcQHdGejlu6mmWsSzNwJmWkS/73X&#10;lS4P3+E8su1kWzFg7xtHCm4WEQik0pmGKgVvxdP1BoQPmoxuHaGCb/SwzWcXmU6NG+kVh32oBIeQ&#10;T7WCOoQuldKXNVrtF65DYvbpeqsDy76Sptcjh9tWLqPoVlrdEDfUusOHGsuv/dkqOF5Vh52fnt/H&#10;eBV3jy9Dsf4whVKX8+n+DkTAKfyZ4Xc+T4ecN53cmYwXrYLlOknYyoAvMU/iDesTg3gFMs/k/wP5&#10;DwAAAP//AwBQSwECLQAUAAYACAAAACEAtoM4kv4AAADhAQAAEwAAAAAAAAAAAAAAAAAAAAAAW0Nv&#10;bnRlbnRfVHlwZXNdLnhtbFBLAQItABQABgAIAAAAIQA4/SH/1gAAAJQBAAALAAAAAAAAAAAAAAAA&#10;AC8BAABfcmVscy8ucmVsc1BLAQItABQABgAIAAAAIQC+x5HbpgIAAJwFAAAOAAAAAAAAAAAAAAAA&#10;AC4CAABkcnMvZTJvRG9jLnhtbFBLAQItABQABgAIAAAAIQDbHlM13gAAAAgBAAAPAAAAAAAAAAAA&#10;AAAAAAAFAABkcnMvZG93bnJldi54bWxQSwUGAAAAAAQABADzAAAACwYAAAAA&#10;" fillcolor="white [3201]" stroked="f" strokeweight=".5pt">
                <v:textbox>
                  <w:txbxContent>
                    <w:p w:rsidR="00C16B02" w:rsidRPr="005D213F" w:rsidRDefault="00C16B02">
                      <w:pPr>
                        <w:rPr>
                          <w:sz w:val="16"/>
                          <w:szCs w:val="16"/>
                          <w:lang w:val="en-US"/>
                        </w:rPr>
                      </w:pPr>
                    </w:p>
                  </w:txbxContent>
                </v:textbox>
                <w10:wrap anchorx="margin"/>
              </v:shape>
            </w:pict>
          </mc:Fallback>
        </mc:AlternateContent>
      </w:r>
      <w:r w:rsidR="00BF2EF4">
        <w:rPr>
          <w:noProof/>
          <w:lang w:eastAsia="ru-RU"/>
        </w:rPr>
        <w:drawing>
          <wp:inline distT="0" distB="0" distL="0" distR="0">
            <wp:extent cx="5947410" cy="160591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7410" cy="1605915"/>
                    </a:xfrm>
                    <a:prstGeom prst="rect">
                      <a:avLst/>
                    </a:prstGeom>
                    <a:noFill/>
                    <a:ln>
                      <a:noFill/>
                    </a:ln>
                  </pic:spPr>
                </pic:pic>
              </a:graphicData>
            </a:graphic>
          </wp:inline>
        </w:drawing>
      </w:r>
    </w:p>
    <w:p w:rsidR="00BF2EF4" w:rsidRPr="00BF2EF4" w:rsidRDefault="00BF2EF4" w:rsidP="00BF2EF4">
      <w:pPr>
        <w:pStyle w:val="a5"/>
        <w:spacing w:line="360" w:lineRule="auto"/>
        <w:jc w:val="center"/>
        <w:rPr>
          <w:rFonts w:cs="Times New Roman"/>
          <w:szCs w:val="24"/>
          <w:lang w:val="en-US"/>
        </w:rPr>
      </w:pPr>
      <w:r>
        <w:rPr>
          <w:rFonts w:cs="Times New Roman"/>
          <w:szCs w:val="24"/>
          <w:lang w:val="en-US"/>
        </w:rPr>
        <w:t>Pic</w:t>
      </w:r>
      <w:r w:rsidR="005D213F">
        <w:rPr>
          <w:rFonts w:cs="Times New Roman"/>
          <w:szCs w:val="24"/>
          <w:lang w:val="en-US"/>
        </w:rPr>
        <w:t xml:space="preserve"> 21</w:t>
      </w:r>
      <w:r w:rsidRPr="00BF2EF4">
        <w:rPr>
          <w:rFonts w:cs="Times New Roman"/>
          <w:szCs w:val="24"/>
          <w:lang w:val="en-US"/>
        </w:rPr>
        <w:t xml:space="preserve">. </w:t>
      </w:r>
      <w:r>
        <w:rPr>
          <w:rFonts w:cs="Times New Roman"/>
          <w:szCs w:val="24"/>
          <w:lang w:val="en-US"/>
        </w:rPr>
        <w:t>Sources of funds and uses of funds</w:t>
      </w:r>
    </w:p>
    <w:p w:rsidR="00BF2EF4" w:rsidRPr="00BF2EF4" w:rsidRDefault="00BF2EF4" w:rsidP="00BF2EF4">
      <w:pPr>
        <w:pStyle w:val="a5"/>
        <w:spacing w:line="360" w:lineRule="auto"/>
        <w:ind w:firstLine="708"/>
        <w:jc w:val="both"/>
        <w:rPr>
          <w:lang w:val="en-US"/>
        </w:rPr>
      </w:pPr>
      <w:r w:rsidRPr="00BF2EF4">
        <w:rPr>
          <w:lang w:val="en-US"/>
        </w:rPr>
        <w:t xml:space="preserve">Other characteristics of the debt financing </w:t>
      </w:r>
      <w:proofErr w:type="gramStart"/>
      <w:r w:rsidRPr="00BF2EF4">
        <w:rPr>
          <w:lang w:val="en-US"/>
        </w:rPr>
        <w:t>are shown</w:t>
      </w:r>
      <w:proofErr w:type="gramEnd"/>
      <w:r w:rsidRPr="00BF2EF4">
        <w:rPr>
          <w:lang w:val="en-US"/>
        </w:rPr>
        <w:t xml:space="preserve"> in </w:t>
      </w:r>
      <w:r w:rsidR="00171E0C">
        <w:rPr>
          <w:lang w:val="en-US"/>
        </w:rPr>
        <w:t>Pic</w:t>
      </w:r>
      <w:r w:rsidRPr="00BF2EF4">
        <w:rPr>
          <w:lang w:val="en-US"/>
        </w:rPr>
        <w:t xml:space="preserve">. 22. Among them - the share of each instrument in the overall structure of </w:t>
      </w:r>
      <w:proofErr w:type="gramStart"/>
      <w:r w:rsidRPr="00BF2EF4">
        <w:rPr>
          <w:lang w:val="en-US"/>
        </w:rPr>
        <w:t>financing,</w:t>
      </w:r>
      <w:proofErr w:type="gramEnd"/>
      <w:r w:rsidRPr="00BF2EF4">
        <w:rPr>
          <w:lang w:val="en-US"/>
        </w:rPr>
        <w:t xml:space="preserve"> </w:t>
      </w:r>
      <w:r>
        <w:rPr>
          <w:lang w:val="en-US"/>
        </w:rPr>
        <w:t xml:space="preserve">cost of debt, financing fees, </w:t>
      </w:r>
      <w:r w:rsidRPr="00BF2EF4">
        <w:rPr>
          <w:lang w:val="en-US"/>
        </w:rPr>
        <w:t>the repayment rate of the body of the loan.</w:t>
      </w:r>
      <w:r w:rsidR="005D213F" w:rsidRPr="005D213F">
        <w:rPr>
          <w:i/>
          <w:noProof/>
          <w:lang w:val="en-US" w:eastAsia="ru-RU"/>
        </w:rPr>
        <w:t xml:space="preserve"> </w:t>
      </w:r>
    </w:p>
    <w:p w:rsidR="00BF2EF4" w:rsidRPr="00BF2EF4" w:rsidRDefault="00EE2A3F" w:rsidP="00BF2EF4">
      <w:pPr>
        <w:pStyle w:val="a5"/>
        <w:spacing w:line="360" w:lineRule="auto"/>
        <w:jc w:val="center"/>
        <w:rPr>
          <w:lang w:val="en-US"/>
        </w:rPr>
      </w:pPr>
      <w:r>
        <w:rPr>
          <w:noProof/>
          <w:lang w:eastAsia="ru-RU"/>
        </w:rPr>
        <mc:AlternateContent>
          <mc:Choice Requires="wps">
            <w:drawing>
              <wp:anchor distT="0" distB="0" distL="114300" distR="114300" simplePos="0" relativeHeight="251806720" behindDoc="0" locked="0" layoutInCell="1" allowOverlap="1" wp14:anchorId="7C5B6AF0" wp14:editId="5A227531">
                <wp:simplePos x="0" y="0"/>
                <wp:positionH relativeFrom="margin">
                  <wp:posOffset>208556</wp:posOffset>
                </wp:positionH>
                <wp:positionV relativeFrom="paragraph">
                  <wp:posOffset>1363566</wp:posOffset>
                </wp:positionV>
                <wp:extent cx="1031709" cy="285750"/>
                <wp:effectExtent l="0" t="0" r="0" b="0"/>
                <wp:wrapNone/>
                <wp:docPr id="200" name="Надпись 200"/>
                <wp:cNvGraphicFramePr/>
                <a:graphic xmlns:a="http://schemas.openxmlformats.org/drawingml/2006/main">
                  <a:graphicData uri="http://schemas.microsoft.com/office/word/2010/wordprocessingShape">
                    <wps:wsp>
                      <wps:cNvSpPr txBox="1"/>
                      <wps:spPr>
                        <a:xfrm>
                          <a:off x="0" y="0"/>
                          <a:ext cx="103170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EE2A3F">
                            <w:pPr>
                              <w:jc w:val="center"/>
                              <w:rPr>
                                <w:sz w:val="16"/>
                                <w:szCs w:val="16"/>
                                <w:lang w:val="en-US"/>
                              </w:rPr>
                            </w:pPr>
                            <w:r>
                              <w:rPr>
                                <w:sz w:val="16"/>
                                <w:szCs w:val="16"/>
                                <w:lang w:val="en-US"/>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6AF0" id="Надпись 200" o:spid="_x0000_s1068" type="#_x0000_t202" style="position:absolute;left:0;text-align:left;margin-left:16.4pt;margin-top:107.35pt;width:81.25pt;height:2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gmwIAAHQFAAAOAAAAZHJzL2Uyb0RvYy54bWysVM1uEzEQviPxDpbvdJM0/Yu6qUKrIqSq&#10;rWhRz47XblbYHmM72Q037rwC78CBAzdeIX0jxt7dJAQuRVx2x55vxvPzzZye1VqRhXC+BJPT/l6P&#10;EmE4FKV5zOn7+8tXx5T4wEzBFBiR06Xw9Gz88sVpZUdiADNQhXAEnRg/qmxOZyHYUZZ5PhOa+T2w&#10;wqBSgtMs4NE9ZoVjFXrXKhv0eodZBa6wDrjwHm8vGiUdJ/9SCh5upPQiEJVTjC2kr0vfafxm41M2&#10;enTMzkrehsH+IQrNSoOPrl1dsMDI3JV/uNIld+BBhj0OOgMpSy5SDphNv7eTzd2MWZFyweJ4uy6T&#10;/39u+fXi1pGyyClWkxLDNDZp9XX1bfV99XP14+nz0xcSNVinyvoRwu8sGoT6NdTY7+7e42VMv5ZO&#10;xz8mRlCPHpfrKos6EB6Nevv9o94JJRx1g+ODo4PkPttYW+fDGwGaRCGnDruYissWVz5gJAjtIPEx&#10;A5elUqmTypAqp4f76PI3DVooE29E4kTrJmbURJ6ksFQiYpR5JyTWJCUQLxIbxblyZMGQR4xzYULK&#10;PflFdERJDOI5hi1+E9VzjJs8upfBhLWxLg24lP1O2MWHLmTZ4LGQW3lHMdTTOpFhOOg6O4ViiQ13&#10;0IyOt/yyxK5cMR9umcNZwR7j/Icb/EgFWH1oJUpm4D797T7ikcKopaTC2cup/zhnTlCi3hok90l/&#10;OIzDmg7Dg6MBHty2ZrqtMXN9DtiWPm4ay5MY8UF1onSgH3BNTOKrqGKG49s5DZ14HpqNgGuGi8kk&#10;gXA8LQtX5s7y6Dp2KXLuvn5gzrbEDEjpa+imlI12+Nlgo6WByTyALBN5Y6GbqrYNwNFOnG7XUNwd&#10;2+eE2izL8S8AAAD//wMAUEsDBBQABgAIAAAAIQACjd+U4gAAAAoBAAAPAAAAZHJzL2Rvd25yZXYu&#10;eG1sTI9BT8JAEIXvJv6HzZh4ky3FCtRuCWlCTIwcQC7ept2hbezO1u4C1V/vctLjvHl573vZajSd&#10;ONPgWssKppMIBHFldcu1gsP75mEBwnlkjZ1lUvBNDlb57U2GqbYX3tF572sRQtilqKDxvk+ldFVD&#10;Bt3E9sThd7SDQR/OoZZ6wEsIN52Mo+hJGmw5NDTYU9FQ9bk/GQWvxWaLuzI2i5+ueHk7rvuvw0ei&#10;1P3duH4G4Wn0f2a44gd0yANTaU+snegUzOJA7hXE08c5iKthmcxAlEFJlnOQeSb/T8h/AQAA//8D&#10;AFBLAQItABQABgAIAAAAIQC2gziS/gAAAOEBAAATAAAAAAAAAAAAAAAAAAAAAABbQ29udGVudF9U&#10;eXBlc10ueG1sUEsBAi0AFAAGAAgAAAAhADj9If/WAAAAlAEAAAsAAAAAAAAAAAAAAAAALwEAAF9y&#10;ZWxzLy5yZWxzUEsBAi0AFAAGAAgAAAAhAD+F1OCbAgAAdAUAAA4AAAAAAAAAAAAAAAAALgIAAGRy&#10;cy9lMm9Eb2MueG1sUEsBAi0AFAAGAAgAAAAhAAKN35TiAAAACgEAAA8AAAAAAAAAAAAAAAAA9QQA&#10;AGRycy9kb3ducmV2LnhtbFBLBQYAAAAABAAEAPMAAAAEBgAAAAA=&#10;" filled="f" stroked="f" strokeweight=".5pt">
                <v:textbox>
                  <w:txbxContent>
                    <w:p w:rsidR="00C16B02" w:rsidRPr="005D213F" w:rsidRDefault="00C16B02" w:rsidP="00EE2A3F">
                      <w:pPr>
                        <w:jc w:val="center"/>
                        <w:rPr>
                          <w:sz w:val="16"/>
                          <w:szCs w:val="16"/>
                          <w:lang w:val="en-US"/>
                        </w:rPr>
                      </w:pPr>
                      <w:r>
                        <w:rPr>
                          <w:sz w:val="16"/>
                          <w:szCs w:val="16"/>
                          <w:lang w:val="en-US"/>
                        </w:rPr>
                        <w:t>Total</w:t>
                      </w:r>
                    </w:p>
                  </w:txbxContent>
                </v:textbox>
                <w10:wrap anchorx="margin"/>
              </v:shape>
            </w:pict>
          </mc:Fallback>
        </mc:AlternateContent>
      </w:r>
      <w:r>
        <w:rPr>
          <w:i/>
          <w:noProof/>
          <w:lang w:eastAsia="ru-RU"/>
        </w:rPr>
        <mc:AlternateContent>
          <mc:Choice Requires="wps">
            <w:drawing>
              <wp:anchor distT="0" distB="0" distL="114300" distR="114300" simplePos="0" relativeHeight="251804672" behindDoc="0" locked="0" layoutInCell="1" allowOverlap="1" wp14:anchorId="349071A5" wp14:editId="2464989E">
                <wp:simplePos x="0" y="0"/>
                <wp:positionH relativeFrom="margin">
                  <wp:posOffset>319295</wp:posOffset>
                </wp:positionH>
                <wp:positionV relativeFrom="paragraph">
                  <wp:posOffset>1412571</wp:posOffset>
                </wp:positionV>
                <wp:extent cx="1121133" cy="119270"/>
                <wp:effectExtent l="0" t="0" r="3175" b="0"/>
                <wp:wrapNone/>
                <wp:docPr id="199" name="Надпись 199"/>
                <wp:cNvGraphicFramePr/>
                <a:graphic xmlns:a="http://schemas.openxmlformats.org/drawingml/2006/main">
                  <a:graphicData uri="http://schemas.microsoft.com/office/word/2010/wordprocessingShape">
                    <wps:wsp>
                      <wps:cNvSpPr txBox="1"/>
                      <wps:spPr>
                        <a:xfrm>
                          <a:off x="0" y="0"/>
                          <a:ext cx="1121133" cy="11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EE2A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71A5" id="Надпись 199" o:spid="_x0000_s1069" type="#_x0000_t202" style="position:absolute;left:0;text-align:left;margin-left:25.15pt;margin-top:111.25pt;width:88.3pt;height:9.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QtqgIAAJwFAAAOAAAAZHJzL2Uyb0RvYy54bWysVMFu2zAMvQ/YPwi6r46TtF2COkXWosOA&#10;oi2WDj0rstQYk0VNUmJnt933C/uHHXbYbb+Q/tEo2U6yrpcOu9iU+EiK5CNPTutSkZWwrgCd0fSg&#10;R4nQHPJC32f0w+3Fq9eUOM90zhRokdG1cPR08vLFSWXGog8LULmwBJ1oN65MRhfem3GSOL4QJXMH&#10;YIRGpQRbMo9He5/kllXovVRJv9c7SiqwubHAhXN4e94o6ST6l1Jwfy2lE56ojOLbfPza+J2HbzI5&#10;YeN7y8yi4O0z2D+8omSFxqBbV+fMM7K0xV+uyoJbcCD9AYcyASkLLmIOmE3ae5TNbMGMiLlgcZzZ&#10;lsn9P7f8anVjSZFj70YjSjQrsUmbb5vvmx+bX5ufD18evpKgwTpVxo0RPjNo4Os3UKNNd+/wMqRf&#10;S1uGPyZGUI8VX2+rLGpPeDBK+2k6GFDCUZemo/5xbEOyszbW+bcCShKEjFrsYiwuW106jy9BaAcJ&#10;wRyoIr8olIqHwBxxpixZMey58vGNaPEHSmlSZfRocNiLjjUE88az0sGNiNxpw4XMmwyj5NdKBIzS&#10;74XE2sVEn4jNOBd6Gz+iA0piqOcYtvjdq55j3OSBFjEyaL81LgsNNmYfh21XsvxjVzLZ4LHge3kH&#10;0dfzOpJmOOgYMId8jcSw0IyYM/yiwO5dMudvmMWZQi7gnvDX+JEKsPrQSpQswH5+6j7gkeqopaTC&#10;Gc2o+7RkVlCi3mkcglE6HIahjofh4XEfD3ZfM9/X6GV5BkiJFDeS4VEMeK86UVoo73CdTENUVDHN&#10;MXZGfSee+WZz4DriYjqNIBxjw/ylnhkeXIcyB27e1nfMmpbAHql/Bd00s/EjHjfYYKlhuvQgi0jy&#10;UOimqm0DcAVE7rfrKuyY/XNE7Zbq5DcAAAD//wMAUEsDBBQABgAIAAAAIQAChMOU4QAAAAoBAAAP&#10;AAAAZHJzL2Rvd25yZXYueG1sTI9NT8MwDIbvSPyHyEhcEEuX0gGl6YQQMIkbKx/iljWmrWicqsm6&#10;8u8xJ7jZ8qPXz1usZ9eLCcfQedKwXCQgkGpvO2o0vFQP51cgQjRkTe8JNXxjgHV5fFSY3PoDPeO0&#10;jY3gEAq50dDGOORShrpFZ8LCD0h8+/SjM5HXsZF2NAcOd71USbKSznTEH1oz4F2L9dd27zR8nDXv&#10;T2F+fD2kWTrcb6bq8s1WWp+ezLc3ICLO8Q+GX31Wh5Kddn5PNoheQ5akTGpQSmUgGFBqdQ1ix8PF&#10;MgVZFvJ/hfIHAAD//wMAUEsBAi0AFAAGAAgAAAAhALaDOJL+AAAA4QEAABMAAAAAAAAAAAAAAAAA&#10;AAAAAFtDb250ZW50X1R5cGVzXS54bWxQSwECLQAUAAYACAAAACEAOP0h/9YAAACUAQAACwAAAAAA&#10;AAAAAAAAAAAvAQAAX3JlbHMvLnJlbHNQSwECLQAUAAYACAAAACEAEcFELaoCAACcBQAADgAAAAAA&#10;AAAAAAAAAAAuAgAAZHJzL2Uyb0RvYy54bWxQSwECLQAUAAYACAAAACEAAoTDlOEAAAAKAQAADwAA&#10;AAAAAAAAAAAAAAAEBQAAZHJzL2Rvd25yZXYueG1sUEsFBgAAAAAEAAQA8wAAABIGAAAAAA==&#10;" fillcolor="white [3201]" stroked="f" strokeweight=".5pt">
                <v:textbox>
                  <w:txbxContent>
                    <w:p w:rsidR="00C16B02" w:rsidRPr="005D213F" w:rsidRDefault="00C16B02" w:rsidP="00EE2A3F">
                      <w:pPr>
                        <w:rPr>
                          <w:sz w:val="16"/>
                          <w:szCs w:val="16"/>
                          <w:lang w:val="en-US"/>
                        </w:rPr>
                      </w:pPr>
                    </w:p>
                  </w:txbxContent>
                </v:textbox>
                <w10:wrap anchorx="margin"/>
              </v:shape>
            </w:pict>
          </mc:Fallback>
        </mc:AlternateContent>
      </w:r>
      <w:r>
        <w:rPr>
          <w:noProof/>
          <w:lang w:eastAsia="ru-RU"/>
        </w:rPr>
        <mc:AlternateContent>
          <mc:Choice Requires="wps">
            <w:drawing>
              <wp:anchor distT="0" distB="0" distL="114300" distR="114300" simplePos="0" relativeHeight="251802624" behindDoc="0" locked="0" layoutInCell="1" allowOverlap="1" wp14:anchorId="246ABB8D" wp14:editId="2DA9CC2B">
                <wp:simplePos x="0" y="0"/>
                <wp:positionH relativeFrom="margin">
                  <wp:posOffset>646126</wp:posOffset>
                </wp:positionH>
                <wp:positionV relativeFrom="paragraph">
                  <wp:posOffset>1357685</wp:posOffset>
                </wp:positionV>
                <wp:extent cx="882098" cy="285750"/>
                <wp:effectExtent l="0" t="0" r="0" b="0"/>
                <wp:wrapNone/>
                <wp:docPr id="198" name="Надпись 198"/>
                <wp:cNvGraphicFramePr/>
                <a:graphic xmlns:a="http://schemas.openxmlformats.org/drawingml/2006/main">
                  <a:graphicData uri="http://schemas.microsoft.com/office/word/2010/wordprocessingShape">
                    <wps:wsp>
                      <wps:cNvSpPr txBox="1"/>
                      <wps:spPr>
                        <a:xfrm>
                          <a:off x="0" y="0"/>
                          <a:ext cx="882098"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EE2A3F">
                            <w:pPr>
                              <w:jc w:val="center"/>
                              <w:rPr>
                                <w:sz w:val="16"/>
                                <w:szCs w:val="16"/>
                                <w:lang w:val="en-US"/>
                              </w:rPr>
                            </w:pPr>
                            <w:r w:rsidRPr="005D213F">
                              <w:rPr>
                                <w:sz w:val="16"/>
                                <w:szCs w:val="16"/>
                                <w:lang w:val="en-US"/>
                              </w:rPr>
                              <w:t>Cost of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BB8D" id="Надпись 198" o:spid="_x0000_s1070" type="#_x0000_t202" style="position:absolute;left:0;text-align:left;margin-left:50.9pt;margin-top:106.9pt;width:69.45pt;height:2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MMmAIAAHMFAAAOAAAAZHJzL2Uyb0RvYy54bWysVM1uEzEQviPxDpbvdJOQtmnUTRVaFSFV&#10;bUWKena8drPC9hjbyW649c4r8A4cOHDjFdI3YuzdTUPhUsRldzz/M9/MHJ/UWpGVcL4Ek9P+Xo8S&#10;YTgUpbnL6Yeb81cjSnxgpmAKjMjpWnh6Mnn54riyYzGABahCOIJOjB9XNqeLEOw4yzxfCM38Hlhh&#10;UCjBaRbw6e6ywrEKvWuVDXq9g6wCV1gHXHiP3LNGSCfJv5SChyspvQhE5RRzC+nr0ncev9nkmI3v&#10;HLOLkrdpsH/IQrPSYNCtqzMWGFm68g9XuuQOPMiwx0FnIGXJRaoBq+n3nlQzWzArUi3YHG+3bfL/&#10;zy2/XF07UhaI3RFCZZhGkDZfN9823zc/Nz8e7h++kCjBPlXWj1F9ZtEg1G+gRpuO75EZy6+l0/GP&#10;hRGUY8fX2y6LOhCOzNFo0IuxOIoGo/3D/YRC9mhsnQ9vBWgSiZw6BDH1lq0ufMBEULVTibEMnJdK&#10;JSCVIVVOD16jy98kaKFM5Ig0Eq2bWFCTeKLCWomoo8x7IbElKf/ISMMoTpUjK4ZjxDgXJqTSk1/U&#10;jloSk3iOYav/mNVzjJs6ushgwtZYlwZcqv5J2sXHLmXZ6GMjd+qOZKjndZqF4bADdg7FGvF20GyO&#10;t/y8RFQumA/XzOGqIMS4/uEKP1IBdh9aipIFuM9/40d9nGCUUlLh6uXUf1oyJyhR7wzO9lF/OIy7&#10;mh7D/cMBPtyuZL4rMUt9CghLHw+N5YmM+kF1pHSgb/FKTGNUFDHDMXZOQ0eehuYg4JXhYjpNSrid&#10;loULM7M8uo4oxZm7qW+Zs+1gBpzoS+iWlI2fzGejGy0NTJcBZJmGNza66WoLAG52mun2CsXTsftO&#10;Wo+3cvILAAD//wMAUEsDBBQABgAIAAAAIQDw7ExI4QAAAAsBAAAPAAAAZHJzL2Rvd25yZXYueG1s&#10;TI/BTsMwEETvSPyDtUjcqJ1AIQpxqipShYTg0NILNyfeJhHxOsRuG/h6lhPcZrSj2TfFanaDOOEU&#10;ek8akoUCgdR421OrYf+2uclAhGjImsETavjCAKvy8qIwufVn2uJpF1vBJRRyo6GLccylDE2HzoSF&#10;H5H4dvCTM5Ht1Eo7mTOXu0GmSt1LZ3riD50Zseqw+dgdnYbnavNqtnXqsu+heno5rMfP/ftS6+ur&#10;ef0IIuIc/8Lwi8/oUDJT7Y9kgxjYq4TRo4Y0uWXBifROPYCoWSyzDGRZyP8byh8AAAD//wMAUEsB&#10;Ai0AFAAGAAgAAAAhALaDOJL+AAAA4QEAABMAAAAAAAAAAAAAAAAAAAAAAFtDb250ZW50X1R5cGVz&#10;XS54bWxQSwECLQAUAAYACAAAACEAOP0h/9YAAACUAQAACwAAAAAAAAAAAAAAAAAvAQAAX3JlbHMv&#10;LnJlbHNQSwECLQAUAAYACAAAACEAjttDDJgCAABzBQAADgAAAAAAAAAAAAAAAAAuAgAAZHJzL2Uy&#10;b0RvYy54bWxQSwECLQAUAAYACAAAACEA8OxMSOEAAAALAQAADwAAAAAAAAAAAAAAAADyBAAAZHJz&#10;L2Rvd25yZXYueG1sUEsFBgAAAAAEAAQA8wAAAAAGAAAAAA==&#10;" filled="f" stroked="f" strokeweight=".5pt">
                <v:textbox>
                  <w:txbxContent>
                    <w:p w:rsidR="00C16B02" w:rsidRPr="005D213F" w:rsidRDefault="00C16B02" w:rsidP="00EE2A3F">
                      <w:pPr>
                        <w:jc w:val="center"/>
                        <w:rPr>
                          <w:sz w:val="16"/>
                          <w:szCs w:val="16"/>
                          <w:lang w:val="en-US"/>
                        </w:rPr>
                      </w:pPr>
                      <w:r w:rsidRPr="005D213F">
                        <w:rPr>
                          <w:sz w:val="16"/>
                          <w:szCs w:val="16"/>
                          <w:lang w:val="en-US"/>
                        </w:rPr>
                        <w:t>Cost of debt</w:t>
                      </w:r>
                    </w:p>
                  </w:txbxContent>
                </v:textbox>
                <w10:wrap anchorx="margin"/>
              </v:shape>
            </w:pict>
          </mc:Fallback>
        </mc:AlternateContent>
      </w:r>
      <w:r w:rsidR="005D213F">
        <w:rPr>
          <w:noProof/>
          <w:lang w:eastAsia="ru-RU"/>
        </w:rPr>
        <mc:AlternateContent>
          <mc:Choice Requires="wps">
            <w:drawing>
              <wp:anchor distT="0" distB="0" distL="114300" distR="114300" simplePos="0" relativeHeight="251800576" behindDoc="0" locked="0" layoutInCell="1" allowOverlap="1" wp14:anchorId="500D0092" wp14:editId="1DDBCFDC">
                <wp:simplePos x="0" y="0"/>
                <wp:positionH relativeFrom="margin">
                  <wp:posOffset>4605048</wp:posOffset>
                </wp:positionH>
                <wp:positionV relativeFrom="paragraph">
                  <wp:posOffset>68801</wp:posOffset>
                </wp:positionV>
                <wp:extent cx="1031709" cy="285750"/>
                <wp:effectExtent l="0" t="0" r="0" b="0"/>
                <wp:wrapNone/>
                <wp:docPr id="196" name="Надпись 196"/>
                <wp:cNvGraphicFramePr/>
                <a:graphic xmlns:a="http://schemas.openxmlformats.org/drawingml/2006/main">
                  <a:graphicData uri="http://schemas.microsoft.com/office/word/2010/wordprocessingShape">
                    <wps:wsp>
                      <wps:cNvSpPr txBox="1"/>
                      <wps:spPr>
                        <a:xfrm>
                          <a:off x="0" y="0"/>
                          <a:ext cx="103170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jc w:val="center"/>
                              <w:rPr>
                                <w:sz w:val="16"/>
                                <w:szCs w:val="16"/>
                                <w:lang w:val="en-US"/>
                              </w:rPr>
                            </w:pPr>
                            <w:r w:rsidRPr="005D213F">
                              <w:rPr>
                                <w:sz w:val="16"/>
                                <w:szCs w:val="16"/>
                                <w:lang w:val="en-US"/>
                              </w:rPr>
                              <w:t>Principal repayment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0092" id="Надпись 196" o:spid="_x0000_s1071" type="#_x0000_t202" style="position:absolute;left:0;text-align:left;margin-left:362.6pt;margin-top:5.4pt;width:81.25pt;height:2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YnAIAAHQFAAAOAAAAZHJzL2Uyb0RvYy54bWysVMFuEzEQvSPxD5bvdJM0aZuomyq0KkKq&#10;2ooW9ex47WaF7TG2k91w484v8A8cOHDjF9I/YuzdTUPhUsRld+x5M56ZNzPHJ7VWZCWcL8HktL/X&#10;o0QYDkVp7nP6/vb81RElPjBTMAVG5HQtPD2ZvnxxXNmJGMACVCEcQSfGTyqb00UIdpJlni+EZn4P&#10;rDColOA0C3h091nhWIXetcoGvd5BVoErrAMuvMfbs0ZJp8m/lIKHKym9CETlFGML6evSdx6/2fSY&#10;Te4ds4uSt2Gwf4hCs9Lgo1tXZywwsnTlH650yR14kGGPg85AypKLlANm0+89yeZmwaxIuWBxvN2W&#10;yf8/t/xyde1IWSB34wNKDNNI0ubr5tvm++bn5sfD54cvJGqwTpX1E4TfWDQI9Wuo0aa793gZ06+l&#10;0/GPiRHUY8XX2yqLOhAejXr7/cPemBKOusHR6HCUaMgera3z4Y0ATaKQU4cspuKy1YUPGAlCO0h8&#10;zMB5qVRiUhlS5fRgH13+pkELZeKNSD3RuokZNZEnKayViBhl3gmJNUkJxIvUjeJUObJi2EeMc2FC&#10;yj35RXRESQziOYYt/jGq5xg3eXQvgwlbY10acCn7J2EXH7qQZYPHQu7kHcVQz+vUDMNRx+wcijUS&#10;7qAZHW/5eYmsXDAfrpnDWUGOcf7DFX6kAqw+tBIlC3Cf/nYf8djCqKWkwtnLqf+4ZE5Qot4abO5x&#10;fziMw5oOw9HhAA9uVzPf1ZilPgWkpY+bxvIkRnxQnSgd6DtcE7P4KqqY4fh2TkMnnoZmI+Ca4WI2&#10;SyAcT8vChbmxPLqOLMWeu63vmLNtYwZs6UvoppRNnvRng42WBmbLALJMzRsL3VS1JQBHO/V0u4bi&#10;7tg9J9Tjspz+AgAA//8DAFBLAwQUAAYACAAAACEAKXcWrN8AAAAJAQAADwAAAGRycy9kb3ducmV2&#10;LnhtbEyPQUvDQBCF74L/YRnBm90YiAkxm1ICRRA9tPbibZOdJsHd2ZjdttFf73jS4/A+3nyvWi/O&#10;ijPOYfSk4H6VgEDqvBmpV3B4294VIELUZLT1hAq+MMC6vr6qdGn8hXZ43sdecAmFUisYYpxKKUM3&#10;oNNh5Sckzo5+djryOffSzPrC5c7KNEkepNMj8YdBT9gM2H3sT07Bc7N91bs2dcW3bZ5ejpvp8/Ce&#10;KXV7s2weQURc4h8Mv/qsDjU7tf5EJgirIE+zlFEOEp7AQFHkOYhWQZYVIOtK/l9Q/wAAAP//AwBQ&#10;SwECLQAUAAYACAAAACEAtoM4kv4AAADhAQAAEwAAAAAAAAAAAAAAAAAAAAAAW0NvbnRlbnRfVHlw&#10;ZXNdLnhtbFBLAQItABQABgAIAAAAIQA4/SH/1gAAAJQBAAALAAAAAAAAAAAAAAAAAC8BAABfcmVs&#10;cy8ucmVsc1BLAQItABQABgAIAAAAIQDsE/wYnAIAAHQFAAAOAAAAAAAAAAAAAAAAAC4CAABkcnMv&#10;ZTJvRG9jLnhtbFBLAQItABQABgAIAAAAIQApdxas3wAAAAkBAAAPAAAAAAAAAAAAAAAAAPYEAABk&#10;cnMvZG93bnJldi54bWxQSwUGAAAAAAQABADzAAAAAgYAAAAA&#10;" filled="f" stroked="f" strokeweight=".5pt">
                <v:textbox>
                  <w:txbxContent>
                    <w:p w:rsidR="00C16B02" w:rsidRPr="005D213F" w:rsidRDefault="00C16B02" w:rsidP="005D213F">
                      <w:pPr>
                        <w:jc w:val="center"/>
                        <w:rPr>
                          <w:sz w:val="16"/>
                          <w:szCs w:val="16"/>
                          <w:lang w:val="en-US"/>
                        </w:rPr>
                      </w:pPr>
                      <w:r w:rsidRPr="005D213F">
                        <w:rPr>
                          <w:sz w:val="16"/>
                          <w:szCs w:val="16"/>
                          <w:lang w:val="en-US"/>
                        </w:rPr>
                        <w:t>Principal repayment</w:t>
                      </w:r>
                    </w:p>
                  </w:txbxContent>
                </v:textbox>
                <w10:wrap anchorx="margin"/>
              </v:shape>
            </w:pict>
          </mc:Fallback>
        </mc:AlternateContent>
      </w:r>
      <w:r w:rsidR="005D213F">
        <w:rPr>
          <w:i/>
          <w:noProof/>
          <w:lang w:eastAsia="ru-RU"/>
        </w:rPr>
        <mc:AlternateContent>
          <mc:Choice Requires="wps">
            <w:drawing>
              <wp:anchor distT="0" distB="0" distL="114300" distR="114300" simplePos="0" relativeHeight="251799552" behindDoc="0" locked="0" layoutInCell="1" allowOverlap="1" wp14:anchorId="2E471355" wp14:editId="77BD7B51">
                <wp:simplePos x="0" y="0"/>
                <wp:positionH relativeFrom="margin">
                  <wp:posOffset>4517584</wp:posOffset>
                </wp:positionH>
                <wp:positionV relativeFrom="paragraph">
                  <wp:posOffset>21093</wp:posOffset>
                </wp:positionV>
                <wp:extent cx="1081378" cy="357808"/>
                <wp:effectExtent l="0" t="0" r="5080" b="4445"/>
                <wp:wrapNone/>
                <wp:docPr id="197" name="Надпись 197"/>
                <wp:cNvGraphicFramePr/>
                <a:graphic xmlns:a="http://schemas.openxmlformats.org/drawingml/2006/main">
                  <a:graphicData uri="http://schemas.microsoft.com/office/word/2010/wordprocessingShape">
                    <wps:wsp>
                      <wps:cNvSpPr txBox="1"/>
                      <wps:spPr>
                        <a:xfrm>
                          <a:off x="0" y="0"/>
                          <a:ext cx="1081378" cy="357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1355" id="Надпись 197" o:spid="_x0000_s1072" type="#_x0000_t202" style="position:absolute;left:0;text-align:left;margin-left:355.7pt;margin-top:1.65pt;width:85.15pt;height:28.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dSqQIAAJwFAAAOAAAAZHJzL2Uyb0RvYy54bWysVMFu2zAMvQ/YPwi6r3batEmDOkXWosOA&#10;oi2WDj0rstQYk0VNUmJnt973C/uHHXbYbb+Q/tEo2U6yrpcOu9iU+EiK5CNPTutSkaWwrgCd0d5e&#10;SonQHPJC32f04+3FmyElzjOdMwVaZHQlHD0dv351UpmR2Ic5qFxYgk60G1Umo3PvzShJHJ+Lkrk9&#10;MEKjUoItmcejvU9yyyr0XqpkP02Pkgpsbixw4RzenjdKOo7+pRTcX0vphCcqo/g2H782fmfhm4xP&#10;2OjeMjMvePsM9g+vKFmhMejG1TnzjCxs8ZersuAWHEi/x6FMQMqCi5gDZtNLn2QznTMjYi5YHGc2&#10;ZXL/zy2/Wt5YUuTYu+MBJZqV2KT1t/X39Y/1r/XPx4fHryRosE6VcSOETw0a+Pot1GjT3Tu8DOnX&#10;0pbhj4kR1GPFV5sqi9oTHozSYe9ggLzgqDs4HAzTYXCTbK2Ndf6dgJIEIaMWuxiLy5aXzjfQDhKC&#10;OVBFflEoFQ+BOeJMWbJk2HPl4xvR+R8opUmV0aODwzQ61hDMG89KBzcicqcNFzJvMoySXykRMEp/&#10;EBJrFxN9JjbjXOhN/IgOKImhXmLY4reveolxkwdaxMig/ca4LDTYmH0ctm3J8k9dyWSDx97s5B1E&#10;X8/qSJr+UceAGeQrJIaFZsSc4RcFdu+SOX/DLM4UcgH3hL/Gj1SA1YdWomQO9stz9wGPVEctJRXO&#10;aEbd5wWzghL1XuMQHPf6/TDU8dA/HOzjwe5qZrsavSjPACnRw41keBQD3qtOlBbKO1wnkxAVVUxz&#10;jJ1R34lnvtkcuI64mEwiCMfYMH+pp4YH16HMgZu39R2zpiWwR+pfQTfNbPSExw02WGqYLDzIIpI8&#10;FLqpatsAXAFxTNp1FXbM7jmitkt1/BsAAP//AwBQSwMEFAAGAAgAAAAhABI+qc3gAAAACAEAAA8A&#10;AABkcnMvZG93bnJldi54bWxMj0tPhEAQhO8m/odJm3gx7oC4CyLNxhgfiTcXH/E2y7RAZHoIMwv4&#10;7x1PeqxUpeqrYruYXkw0us4yQryKQBDXVnfcILxU9+cZCOcVa9VbJoRvcrAtj48KlWs78zNNO9+I&#10;UMIuVwit90MupatbMsqt7EAcvE87GuWDHBupRzWHctPLiyjaSKM6DgutGui2pfprdzAIH2fN+5Nb&#10;Hl7nZJ0Md49Tlb7pCvH0ZLm5BuFp8X9h+MUP6FAGpr09sHaiR0jj+DJEEZIERPCzLE5B7BHWVxuQ&#10;ZSH/Hyh/AAAA//8DAFBLAQItABQABgAIAAAAIQC2gziS/gAAAOEBAAATAAAAAAAAAAAAAAAAAAAA&#10;AABbQ29udGVudF9UeXBlc10ueG1sUEsBAi0AFAAGAAgAAAAhADj9If/WAAAAlAEAAAsAAAAAAAAA&#10;AAAAAAAALwEAAF9yZWxzLy5yZWxzUEsBAi0AFAAGAAgAAAAhAJ14d1KpAgAAnAUAAA4AAAAAAAAA&#10;AAAAAAAALgIAAGRycy9lMm9Eb2MueG1sUEsBAi0AFAAGAAgAAAAhABI+qc3gAAAACAEAAA8AAAAA&#10;AAAAAAAAAAAAAwUAAGRycy9kb3ducmV2LnhtbFBLBQYAAAAABAAEAPMAAAAQBgAAAAA=&#10;" fillcolor="white [3201]" stroked="f" strokeweight=".5pt">
                <v:textbox>
                  <w:txbxContent>
                    <w:p w:rsidR="00C16B02" w:rsidRPr="005D213F" w:rsidRDefault="00C16B02" w:rsidP="005D213F">
                      <w:pPr>
                        <w:rPr>
                          <w:sz w:val="16"/>
                          <w:szCs w:val="16"/>
                          <w:lang w:val="en-US"/>
                        </w:rPr>
                      </w:pPr>
                    </w:p>
                  </w:txbxContent>
                </v:textbox>
                <w10:wrap anchorx="margin"/>
              </v:shape>
            </w:pict>
          </mc:Fallback>
        </mc:AlternateContent>
      </w:r>
      <w:r w:rsidR="005D213F">
        <w:rPr>
          <w:noProof/>
          <w:lang w:eastAsia="ru-RU"/>
        </w:rPr>
        <mc:AlternateContent>
          <mc:Choice Requires="wps">
            <w:drawing>
              <wp:anchor distT="0" distB="0" distL="114300" distR="114300" simplePos="0" relativeHeight="251795456" behindDoc="0" locked="0" layoutInCell="1" allowOverlap="1" wp14:anchorId="500D0092" wp14:editId="1DDBCFDC">
                <wp:simplePos x="0" y="0"/>
                <wp:positionH relativeFrom="margin">
                  <wp:posOffset>3595922</wp:posOffset>
                </wp:positionH>
                <wp:positionV relativeFrom="paragraph">
                  <wp:posOffset>77525</wp:posOffset>
                </wp:positionV>
                <wp:extent cx="882098" cy="285750"/>
                <wp:effectExtent l="0" t="0" r="0" b="0"/>
                <wp:wrapNone/>
                <wp:docPr id="195" name="Надпись 195"/>
                <wp:cNvGraphicFramePr/>
                <a:graphic xmlns:a="http://schemas.openxmlformats.org/drawingml/2006/main">
                  <a:graphicData uri="http://schemas.microsoft.com/office/word/2010/wordprocessingShape">
                    <wps:wsp>
                      <wps:cNvSpPr txBox="1"/>
                      <wps:spPr>
                        <a:xfrm>
                          <a:off x="0" y="0"/>
                          <a:ext cx="882098"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jc w:val="center"/>
                              <w:rPr>
                                <w:sz w:val="16"/>
                                <w:szCs w:val="16"/>
                                <w:lang w:val="en-US"/>
                              </w:rPr>
                            </w:pPr>
                            <w:r w:rsidRPr="005D213F">
                              <w:rPr>
                                <w:sz w:val="16"/>
                                <w:szCs w:val="16"/>
                                <w:lang w:val="en-US"/>
                              </w:rPr>
                              <w:t>Cost of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0092" id="Надпись 195" o:spid="_x0000_s1073" type="#_x0000_t202" style="position:absolute;left:0;text-align:left;margin-left:283.15pt;margin-top:6.1pt;width:69.45pt;height:2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9dmwIAAHMFAAAOAAAAZHJzL2Uyb0RvYy54bWysVM1uEzEQviPxDpbvdJOQtGnUTRVaFSFV&#10;bUWLena8drPC9hjbyW649c4r8A4cOHDjFdI3YuzdTUPhUsRl1575Zjw/38zRca0VWQnnSzA57e/1&#10;KBGGQ1Gau5x+uDl7NabEB2YKpsCInK6Fp8fTly+OKjsRA1iAKoQj6MT4SWVzugjBTrLM84XQzO+B&#10;FQaVEpxmAa/uLiscq9C7Vtmg19vPKnCFdcCF9yg9bZR0mvxLKXi4lNKLQFROMbaQvi595/GbTY/Y&#10;5M4xuyh5Gwb7hyg0Kw0+unV1ygIjS1f+4UqX3IEHGfY46AykLLlIOWA2/d6TbK4XzIqUCxbH222Z&#10;/P9zyy9WV46UBfbucESJYRqbtPm6+bb5vvm5+fFw//CFRA3WqbJ+gvBriwahfgM12nRyj8KYfi2d&#10;jn9MjKAeK77eVlnUgXAUjseD3iHSgqNqMB4djFIXskdj63x4K0CTeMipwyam2rLVuQ8YCEI7SHzL&#10;wFmpVGqkMqTK6f5rdPmbBi2UiRKRKNG6iQk1gadTWCsRMcq8FxJLkuKPgkRGcaIcWTGkEeNcmJBS&#10;T34RHVESg3iOYYt/jOo5xk0e3ctgwtZYlwZcyv5J2MXHLmTZ4LGQO3nHY6jndeLC8KBr7ByKNfbb&#10;QTM53vKzErtyzny4Yg5HBVuM4x8u8SMVYPWhPVGyAPf5b/KIRwajlpIKRy+n/tOSOUGJemeQ24f9&#10;4TDOaroMRwcDvLhdzXxXY5b6BLAtfVw0lqdjxAfVHaUDfYtbYhZfRRUzHN/OaeiOJ6FZCLhluJjN&#10;Egin07Jwbq4tj65jlyLnbupb5mxLzICMvoBuSNnkCT8bbLQ0MFsGkGUibyx0U9W2ATjZidPtFoqr&#10;Y/eeUI+7cvoLAAD//wMAUEsDBBQABgAIAAAAIQB+7ASM3wAAAAkBAAAPAAAAZHJzL2Rvd25yZXYu&#10;eG1sTI/BTsMwDIbvSLxDZCRuLCWo3VSaTlOlCQnBYWMXbm7jtRVNUppsKzw95gQ3W9+v35+L9WwH&#10;caYp9N5puF8kIMg13vSu1XB4296tQISIzuDgHWn4ogDr8vqqwNz4i9vReR9bwSUu5Kihi3HMpQxN&#10;RxbDwo/kmB39ZDHyOrXSTHjhcjtIlSSZtNg7vtDhSFVHzcf+ZDU8V9tX3NXKrr6H6unluBk/D++p&#10;1rc38+YRRKQ5/oXhV5/VoWSn2p+cCWLQkGbZA0cZKAWCA8sk5aFmslQgy0L+/6D8AQAA//8DAFBL&#10;AQItABQABgAIAAAAIQC2gziS/gAAAOEBAAATAAAAAAAAAAAAAAAAAAAAAABbQ29udGVudF9UeXBl&#10;c10ueG1sUEsBAi0AFAAGAAgAAAAhADj9If/WAAAAlAEAAAsAAAAAAAAAAAAAAAAALwEAAF9yZWxz&#10;Ly5yZWxzUEsBAi0AFAAGAAgAAAAhANt9T12bAgAAcwUAAA4AAAAAAAAAAAAAAAAALgIAAGRycy9l&#10;Mm9Eb2MueG1sUEsBAi0AFAAGAAgAAAAhAH7sBIzfAAAACQEAAA8AAAAAAAAAAAAAAAAA9QQAAGRy&#10;cy9kb3ducmV2LnhtbFBLBQYAAAAABAAEAPMAAAABBgAAAAA=&#10;" filled="f" stroked="f" strokeweight=".5pt">
                <v:textbox>
                  <w:txbxContent>
                    <w:p w:rsidR="00C16B02" w:rsidRPr="005D213F" w:rsidRDefault="00C16B02" w:rsidP="005D213F">
                      <w:pPr>
                        <w:jc w:val="center"/>
                        <w:rPr>
                          <w:sz w:val="16"/>
                          <w:szCs w:val="16"/>
                          <w:lang w:val="en-US"/>
                        </w:rPr>
                      </w:pPr>
                      <w:r w:rsidRPr="005D213F">
                        <w:rPr>
                          <w:sz w:val="16"/>
                          <w:szCs w:val="16"/>
                          <w:lang w:val="en-US"/>
                        </w:rPr>
                        <w:t>Cost of debt</w:t>
                      </w:r>
                    </w:p>
                  </w:txbxContent>
                </v:textbox>
                <w10:wrap anchorx="margin"/>
              </v:shape>
            </w:pict>
          </mc:Fallback>
        </mc:AlternateContent>
      </w:r>
      <w:r w:rsidR="005D213F">
        <w:rPr>
          <w:i/>
          <w:noProof/>
          <w:lang w:eastAsia="ru-RU"/>
        </w:rPr>
        <mc:AlternateContent>
          <mc:Choice Requires="wps">
            <w:drawing>
              <wp:anchor distT="0" distB="0" distL="114300" distR="114300" simplePos="0" relativeHeight="251793408" behindDoc="0" locked="0" layoutInCell="1" allowOverlap="1" wp14:anchorId="02CFF748" wp14:editId="7F4E2A64">
                <wp:simplePos x="0" y="0"/>
                <wp:positionH relativeFrom="margin">
                  <wp:posOffset>3666794</wp:posOffset>
                </wp:positionH>
                <wp:positionV relativeFrom="paragraph">
                  <wp:posOffset>92655</wp:posOffset>
                </wp:positionV>
                <wp:extent cx="763325" cy="277992"/>
                <wp:effectExtent l="0" t="0" r="0" b="8255"/>
                <wp:wrapNone/>
                <wp:docPr id="194" name="Надпись 194"/>
                <wp:cNvGraphicFramePr/>
                <a:graphic xmlns:a="http://schemas.openxmlformats.org/drawingml/2006/main">
                  <a:graphicData uri="http://schemas.microsoft.com/office/word/2010/wordprocessingShape">
                    <wps:wsp>
                      <wps:cNvSpPr txBox="1"/>
                      <wps:spPr>
                        <a:xfrm>
                          <a:off x="0" y="0"/>
                          <a:ext cx="763325" cy="277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F748" id="Надпись 194" o:spid="_x0000_s1074" type="#_x0000_t202" style="position:absolute;left:0;text-align:left;margin-left:288.7pt;margin-top:7.3pt;width:60.1pt;height:21.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hHqQIAAJsFAAAOAAAAZHJzL2Uyb0RvYy54bWysVL1u2zAQ3gv0HQjujfyXODYiB26CFAWC&#10;JGhSZKYp0hZK8ViStuRu2fsKfYcOHbr1FZw36pGSbDfNkqKLdOR9d8f77ufktCoUWQnrctAp7R50&#10;KBGaQ5breUo/3l28OabEeaYzpkCLlK6Fo6eT169OSjMWPViAyoQl6ES7cWlSuvDejJPE8YUomDsA&#10;IzQqJdiCeTzaeZJZVqL3QiW9TucoKcFmxgIXzuHtea2kk+hfSsH9tZROeKJSim/z8Wvjdxa+yeSE&#10;jeeWmUXOm2ewf3hFwXKNQbeuzplnZGnzv1wVObfgQPoDDkUCUuZcxBwwm27nSTa3C2ZEzAXJcWZL&#10;k/t/bvnV6saSPMPajQaUaFZgkTbfNt83Pza/Nj8fHx6/kqBBnkrjxgi/NWjgq7dQoU177/AypF9J&#10;W4Q/JkZQj4yvtyyLyhOOl8Ojfr93SAlHVW84HI16wUuyMzbW+XcCChKElFosYuSWrS6dr6EtJMRy&#10;oPLsIlcqHkLjiDNlyYphyZWPT0Tnf6CUJmVKj/qHnehYQzCvPSsd3IjYOk24kHidYJT8WomAUfqD&#10;kEhdzPOZ2IxzobfxIzqgJIZ6iWGD373qJcZ1HmgRI4P2W+Mi12Bj9nHWdpRln1rKZI3H2uzlHURf&#10;zarYM4PjtgFmkK2xLyzUE+YMv8ixepfM+RtmcaSwFXBN+Gv8SAXIPjQSJQuwX567D3jsdNRSUuKI&#10;ptR9XjIrKFHvNc7AqDsYhJmOh8HhsIcHu6+Z7Wv0sjgDbIkuLiTDoxjwXrWitFDc4zaZhqioYppj&#10;7JT6Vjzz9eLAbcTFdBpBOMWG+Ut9a3hwHWgOvXlX3TNrmgb22PlX0A4zGz/p4xobLDVMlx5kHps8&#10;EF2z2hQAN0Ack2ZbhRWzf46o3U6d/AYAAP//AwBQSwMEFAAGAAgAAAAhAOCs9ingAAAACQEAAA8A&#10;AABkcnMvZG93bnJldi54bWxMj01Pg0AQhu8m/ofNmHgxdtFSqMjSGONH4s3Sarxt2RGI7Cxht4D/&#10;3vGkt5k8b955Jt/MthMjDr51pOBqEYFAqpxpqVawKx8v1yB80GR05wgVfKOHTXF6kuvMuIlecdyG&#10;WnAJ+UwraELoMyl91aDVfuF6JGafbrA68DrU0gx64nLbyesoSqTVLfGFRvd432D1tT1aBR8X9fuL&#10;n5/203K17B+exzJ9M6VS52fz3S2IgHP4C8OvPqtDwU4HdyTjRadglaYxRxnECQgOJDcpDwcm6xhk&#10;kcv/HxQ/AAAA//8DAFBLAQItABQABgAIAAAAIQC2gziS/gAAAOEBAAATAAAAAAAAAAAAAAAAAAAA&#10;AABbQ29udGVudF9UeXBlc10ueG1sUEsBAi0AFAAGAAgAAAAhADj9If/WAAAAlAEAAAsAAAAAAAAA&#10;AAAAAAAALwEAAF9yZWxzLy5yZWxzUEsBAi0AFAAGAAgAAAAhAAPdqEepAgAAmwUAAA4AAAAAAAAA&#10;AAAAAAAALgIAAGRycy9lMm9Eb2MueG1sUEsBAi0AFAAGAAgAAAAhAOCs9ingAAAACQEAAA8AAAAA&#10;AAAAAAAAAAAAAwUAAGRycy9kb3ducmV2LnhtbFBLBQYAAAAABAAEAPMAAAAQBgAAAAA=&#10;" fillcolor="white [3201]" stroked="f" strokeweight=".5pt">
                <v:textbox>
                  <w:txbxContent>
                    <w:p w:rsidR="00C16B02" w:rsidRPr="005D213F" w:rsidRDefault="00C16B02" w:rsidP="005D213F">
                      <w:pPr>
                        <w:rPr>
                          <w:sz w:val="16"/>
                          <w:szCs w:val="16"/>
                          <w:lang w:val="en-US"/>
                        </w:rPr>
                      </w:pPr>
                    </w:p>
                  </w:txbxContent>
                </v:textbox>
                <w10:wrap anchorx="margin"/>
              </v:shape>
            </w:pict>
          </mc:Fallback>
        </mc:AlternateContent>
      </w:r>
      <w:r w:rsidR="005D213F">
        <w:rPr>
          <w:noProof/>
          <w:lang w:eastAsia="ru-RU"/>
        </w:rPr>
        <mc:AlternateContent>
          <mc:Choice Requires="wps">
            <w:drawing>
              <wp:anchor distT="0" distB="0" distL="114300" distR="114300" simplePos="0" relativeHeight="251791360" behindDoc="0" locked="0" layoutInCell="1" allowOverlap="1" wp14:anchorId="5073B8FA" wp14:editId="028C24EB">
                <wp:simplePos x="0" y="0"/>
                <wp:positionH relativeFrom="margin">
                  <wp:align>center</wp:align>
                </wp:positionH>
                <wp:positionV relativeFrom="paragraph">
                  <wp:posOffset>77525</wp:posOffset>
                </wp:positionV>
                <wp:extent cx="882098" cy="285750"/>
                <wp:effectExtent l="0" t="0" r="0" b="0"/>
                <wp:wrapNone/>
                <wp:docPr id="192" name="Надпись 192"/>
                <wp:cNvGraphicFramePr/>
                <a:graphic xmlns:a="http://schemas.openxmlformats.org/drawingml/2006/main">
                  <a:graphicData uri="http://schemas.microsoft.com/office/word/2010/wordprocessingShape">
                    <wps:wsp>
                      <wps:cNvSpPr txBox="1"/>
                      <wps:spPr>
                        <a:xfrm>
                          <a:off x="0" y="0"/>
                          <a:ext cx="882098"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jc w:val="center"/>
                              <w:rPr>
                                <w:sz w:val="16"/>
                                <w:szCs w:val="16"/>
                                <w:lang w:val="en-US"/>
                              </w:rPr>
                            </w:pPr>
                            <w:r w:rsidRPr="005D213F">
                              <w:rPr>
                                <w:sz w:val="16"/>
                                <w:szCs w:val="16"/>
                                <w:lang w:val="en-US"/>
                              </w:rPr>
                              <w:t>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B8FA" id="Надпись 192" o:spid="_x0000_s1075" type="#_x0000_t202" style="position:absolute;left:0;text-align:left;margin-left:0;margin-top:6.1pt;width:69.45pt;height:22.5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9NmwIAAHMFAAAOAAAAZHJzL2Uyb0RvYy54bWysVM1uEzEQviPxDpbvdJOQtknUTRVaFSFV&#10;bUWLena8drPC9hjbyW649c4r8A4cOHDjFdI3YuzdTUPhUsRl1575Zjw/38zRca0VWQnnSzA57e/1&#10;KBGGQ1Gau5x+uDl7NaLEB2YKpsCInK6Fp8fTly+OKjsRA1iAKoQj6MT4SWVzugjBTrLM84XQzO+B&#10;FQaVEpxmAa/uLiscq9C7Vtmg1zvIKnCFdcCF9yg9bZR0mvxLKXi4lNKLQFROMbaQvi595/GbTY/Y&#10;5M4xuyh5Gwb7hyg0Kw0+unV1ygIjS1f+4UqX3IEHGfY46AykLLlIOWA2/d6TbK4XzIqUCxbH222Z&#10;/P9zyy9WV46UBfZuPKDEMI1N2nzdfNt83/zc/Hi4f/hCogbrVFk/Qfi1RYNQv4EabTq5R2FMv5ZO&#10;xz8mRlCPFV9vqyzqQDgKR6NBb4y04KgajPYP91MXskdj63x4K0CTeMipwyam2rLVuQ8YCEI7SHzL&#10;wFmpVGqkMqTK6cFrdPmbBi2UiRKRKNG6iQk1gadTWCsRMcq8FxJLkuKPgkRGcaIcWTGkEeNcmJBS&#10;T34RHVESg3iOYYt/jOo5xk0e3ctgwtZYlwZcyv5J2MXHLmTZ4LGQO3nHY6jndeLCcNw1dg7FGvvt&#10;oJkcb/lZiV05Zz5cMYejgi3G8Q+X+JEKsPrQnihZgPv8N3nEI4NRS0mFo5dT/2nJnKBEvTPI7XF/&#10;OIyzmi7D/cMBXtyuZr6rMUt9AtiWPi4ay9Mx4oPqjtKBvsUtMYuvoooZjm/nNHTHk9AsBNwyXMxm&#10;CYTTaVk4N9eWR9exS5FzN/Utc7YlZkBGX0A3pGzyhJ8NNloamC0DyDKRNxa6qWrbAJzsxOl2C8XV&#10;sXtPqMddOf0FAAD//wMAUEsDBBQABgAIAAAAIQBCbXMi3gAAAAYBAAAPAAAAZHJzL2Rvd25yZXYu&#10;eG1sTI/BTsMwEETvSPyDtUjcqENQIYQ4VRWpQkLl0NILt028TSLsdYjdNvD1dU9w3JnRzNtiMVkj&#10;jjT63rGC+1kCgrhxuudWwe5jdZeB8AFZo3FMCn7Iw6K8viow1+7EGzpuQytiCfscFXQhDLmUvunI&#10;op+5gTh6ezdaDPEcW6lHPMVya2SaJI/SYs9xocOBqo6ar+3BKnirVu+4qVOb/Zrqdb1fDt+7z7lS&#10;tzfT8gVEoCn8heGCH9GhjEy1O7D2wiiIj4SopimIi/uQPYOoFcyfUpBlIf/jl2cAAAD//wMAUEsB&#10;Ai0AFAAGAAgAAAAhALaDOJL+AAAA4QEAABMAAAAAAAAAAAAAAAAAAAAAAFtDb250ZW50X1R5cGVz&#10;XS54bWxQSwECLQAUAAYACAAAACEAOP0h/9YAAACUAQAACwAAAAAAAAAAAAAAAAAvAQAAX3JlbHMv&#10;LnJlbHNQSwECLQAUAAYACAAAACEARsZvTZsCAABzBQAADgAAAAAAAAAAAAAAAAAuAgAAZHJzL2Uy&#10;b0RvYy54bWxQSwECLQAUAAYACAAAACEAQm1zIt4AAAAGAQAADwAAAAAAAAAAAAAAAAD1BAAAZHJz&#10;L2Rvd25yZXYueG1sUEsFBgAAAAAEAAQA8wAAAAAGAAAAAA==&#10;" filled="f" stroked="f" strokeweight=".5pt">
                <v:textbox>
                  <w:txbxContent>
                    <w:p w:rsidR="00C16B02" w:rsidRPr="005D213F" w:rsidRDefault="00C16B02" w:rsidP="005D213F">
                      <w:pPr>
                        <w:jc w:val="center"/>
                        <w:rPr>
                          <w:sz w:val="16"/>
                          <w:szCs w:val="16"/>
                          <w:lang w:val="en-US"/>
                        </w:rPr>
                      </w:pPr>
                      <w:r w:rsidRPr="005D213F">
                        <w:rPr>
                          <w:sz w:val="16"/>
                          <w:szCs w:val="16"/>
                          <w:lang w:val="en-US"/>
                        </w:rPr>
                        <w:t>Debt</w:t>
                      </w:r>
                    </w:p>
                  </w:txbxContent>
                </v:textbox>
                <w10:wrap anchorx="margin"/>
              </v:shape>
            </w:pict>
          </mc:Fallback>
        </mc:AlternateContent>
      </w:r>
      <w:r w:rsidR="005D213F">
        <w:rPr>
          <w:i/>
          <w:noProof/>
          <w:lang w:eastAsia="ru-RU"/>
        </w:rPr>
        <mc:AlternateContent>
          <mc:Choice Requires="wps">
            <w:drawing>
              <wp:anchor distT="0" distB="0" distL="114300" distR="114300" simplePos="0" relativeHeight="251789312" behindDoc="0" locked="0" layoutInCell="1" allowOverlap="1" wp14:anchorId="0067F4BB" wp14:editId="2F2451CC">
                <wp:simplePos x="0" y="0"/>
                <wp:positionH relativeFrom="margin">
                  <wp:posOffset>2450244</wp:posOffset>
                </wp:positionH>
                <wp:positionV relativeFrom="paragraph">
                  <wp:posOffset>29044</wp:posOffset>
                </wp:positionV>
                <wp:extent cx="1144988" cy="357808"/>
                <wp:effectExtent l="0" t="0" r="0" b="4445"/>
                <wp:wrapNone/>
                <wp:docPr id="187" name="Надпись 187"/>
                <wp:cNvGraphicFramePr/>
                <a:graphic xmlns:a="http://schemas.openxmlformats.org/drawingml/2006/main">
                  <a:graphicData uri="http://schemas.microsoft.com/office/word/2010/wordprocessingShape">
                    <wps:wsp>
                      <wps:cNvSpPr txBox="1"/>
                      <wps:spPr>
                        <a:xfrm>
                          <a:off x="0" y="0"/>
                          <a:ext cx="1144988" cy="357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F4BB" id="Надпись 187" o:spid="_x0000_s1076" type="#_x0000_t202" style="position:absolute;left:0;text-align:left;margin-left:192.95pt;margin-top:2.3pt;width:90.15pt;height:28.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CpgIAAJwFAAAOAAAAZHJzL2Uyb0RvYy54bWysVM1uEzEQviPxDpbvdJP+plE3VWhVhFTR&#10;ihb17HjtxsL2GNvJbrhx5xV4Bw4cuPEK6Rsx9m5+KL0Ucdkde/4833wzJ6eN0WQufFBgS9rf6VEi&#10;LIdK2fuSfri9eDWgJERmK6bBipIuRKCno5cvTmo3FLswBV0JTzCIDcPalXQaoxsWReBTYVjYAScs&#10;KiV4wyIe/X1ReVZjdKOL3V7vsKjBV84DFyHg7XmrpKMcX0rB45WUQUSiS4pvi/nr83eSvsXohA3v&#10;PXNTxbtnsH94hWHKYtJ1qHMWGZl59Vcoo7iHADLucDAFSKm4yDVgNf3eo2pupsyJXAuCE9wapvD/&#10;wvJ382tPVIW9GxxRYpnBJi2/Lb8vfyx/LX8+fHn4SpIGcapdGKL5jUOH2LyGBn1W9wEvU/mN9Cb9&#10;sTCCekR8sUZZNJHw5NTf3z8eIC846vYOjga9QQpTbLydD/GNAEOSUFKPXczgsvlliK3pyiQlC6BV&#10;daG0zofEHHGmPZkz7LmO+Y0Y/A8rbUld0sO9g14ObCG5t5G1TWFE5k6XLlXeVpiluNAi2Wj7XkjE&#10;Lhf6RG7GubDr/Nk6WUlM9RzHzn7zquc4t3WgR84MNq6djbLgc/V52DaQVR9XkMnWHnuzVXcSYzNp&#10;MmkQv44ZE6gWSAwP7YgFxy8Udu+ShXjNPM4UcgH3RLzCj9SA6EMnUTIF//mp+2SPVEctJTXOaEnD&#10;pxnzghL91uIQHCOT0lDnw/7B0S4e/LZmsq2xM3MGSIk+biTHs5jso16J0oO5w3UyTllRxSzH3CWN&#10;K/EstpsD1xEX43E2wjF2LF7aG8dT6ARz4uZtc8e86wgckfrvYDXNbPiIx61t8rQwnkWQKpM8Ad2i&#10;2jUAV0Aek25dpR2zfc5Wm6U6+g0AAP//AwBQSwMEFAAGAAgAAAAhAHCjzLPgAAAACAEAAA8AAABk&#10;cnMvZG93bnJldi54bWxMj09Pg0AUxO8mfofNM/Fi7GIR2iKPxhj/JN4sVeNtyz6ByL4l7Bbw27ue&#10;9DiZycxv8u1sOjHS4FrLCFeLCARxZXXLNcK+fLhcg3BesVadZUL4Jgfb4vQkV5m2E7/QuPO1CCXs&#10;MoXQeN9nUrqqIaPcwvbEwfu0g1E+yKGWelBTKDedXEZRKo1qOSw0qqe7hqqv3dEgfFzU789ufnyd&#10;4iTu75/GcvWmS8Tzs/n2BoSn2f+F4Rc/oEMRmA72yNqJDiFeJ5sQRbhOQQQ/SdMliANCGm1AFrn8&#10;f6D4AQAA//8DAFBLAQItABQABgAIAAAAIQC2gziS/gAAAOEBAAATAAAAAAAAAAAAAAAAAAAAAABb&#10;Q29udGVudF9UeXBlc10ueG1sUEsBAi0AFAAGAAgAAAAhADj9If/WAAAAlAEAAAsAAAAAAAAAAAAA&#10;AAAALwEAAF9yZWxzLy5yZWxzUEsBAi0AFAAGAAgAAAAhAH4uuoKmAgAAnAUAAA4AAAAAAAAAAAAA&#10;AAAALgIAAGRycy9lMm9Eb2MueG1sUEsBAi0AFAAGAAgAAAAhAHCjzLPgAAAACAEAAA8AAAAAAAAA&#10;AAAAAAAAAAUAAGRycy9kb3ducmV2LnhtbFBLBQYAAAAABAAEAPMAAAANBgAAAAA=&#10;" fillcolor="white [3201]" stroked="f" strokeweight=".5pt">
                <v:textbox>
                  <w:txbxContent>
                    <w:p w:rsidR="00C16B02" w:rsidRPr="005D213F" w:rsidRDefault="00C16B02" w:rsidP="005D213F">
                      <w:pPr>
                        <w:rPr>
                          <w:sz w:val="16"/>
                          <w:szCs w:val="16"/>
                          <w:lang w:val="en-US"/>
                        </w:rPr>
                      </w:pPr>
                    </w:p>
                  </w:txbxContent>
                </v:textbox>
                <w10:wrap anchorx="margin"/>
              </v:shape>
            </w:pict>
          </mc:Fallback>
        </mc:AlternateContent>
      </w:r>
      <w:r w:rsidR="005D213F">
        <w:rPr>
          <w:noProof/>
          <w:lang w:eastAsia="ru-RU"/>
        </w:rPr>
        <mc:AlternateContent>
          <mc:Choice Requires="wps">
            <w:drawing>
              <wp:anchor distT="0" distB="0" distL="114300" distR="114300" simplePos="0" relativeHeight="251787264" behindDoc="0" locked="0" layoutInCell="1" allowOverlap="1" wp14:anchorId="1D0D3EF5" wp14:editId="2034FD12">
                <wp:simplePos x="0" y="0"/>
                <wp:positionH relativeFrom="column">
                  <wp:posOffset>1488136</wp:posOffset>
                </wp:positionH>
                <wp:positionV relativeFrom="paragraph">
                  <wp:posOffset>76752</wp:posOffset>
                </wp:positionV>
                <wp:extent cx="882098" cy="285750"/>
                <wp:effectExtent l="0" t="0" r="0" b="0"/>
                <wp:wrapNone/>
                <wp:docPr id="184" name="Надпись 184"/>
                <wp:cNvGraphicFramePr/>
                <a:graphic xmlns:a="http://schemas.openxmlformats.org/drawingml/2006/main">
                  <a:graphicData uri="http://schemas.microsoft.com/office/word/2010/wordprocessingShape">
                    <wps:wsp>
                      <wps:cNvSpPr txBox="1"/>
                      <wps:spPr>
                        <a:xfrm>
                          <a:off x="0" y="0"/>
                          <a:ext cx="882098"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jc w:val="center"/>
                              <w:rPr>
                                <w:sz w:val="16"/>
                                <w:szCs w:val="16"/>
                                <w:lang w:val="en-US"/>
                              </w:rPr>
                            </w:pPr>
                            <w:r w:rsidRPr="005D213F">
                              <w:rPr>
                                <w:sz w:val="16"/>
                                <w:szCs w:val="16"/>
                                <w:lang w:val="en-US"/>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3EF5" id="Надпись 184" o:spid="_x0000_s1077" type="#_x0000_t202" style="position:absolute;left:0;text-align:left;margin-left:117.2pt;margin-top:6.05pt;width:69.45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dSmgIAAHMFAAAOAAAAZHJzL2Uyb0RvYy54bWysVM1uEzEQviPxDpbvdJOQtGnUTRVaFSFV&#10;bUWLena8drPC9hjbyW649c4r8A4cOHDjFdI3YuzdTUPhUsRl1575Zjw/38zRca0VWQnnSzA57e/1&#10;KBGGQ1Gau5x+uDl7NabEB2YKpsCInK6Fp8fTly+OKjsRA1iAKoQj6MT4SWVzugjBTrLM84XQzO+B&#10;FQaVEpxmAa/uLiscq9C7Vtmg19vPKnCFdcCF9yg9bZR0mvxLKXi4lNKLQFROMbaQvi595/GbTY/Y&#10;5M4xuyh5Gwb7hyg0Kw0+unV1ygIjS1f+4UqX3IEHGfY46AykLLlIOWA2/d6TbK4XzIqUCxbH222Z&#10;/P9zyy9WV46UBfZuPKTEMI1N2nzdfNt83/zc/Hi4f/hCogbrVFk/Qfi1RYNQv4EabTq5R2FMv5ZO&#10;xz8mRlCPFV9vqyzqQDgKx+NB7xBpwVE1GI8ORqkL2aOxdT68FaBJPOTUYRNTbdnq3AcMBKEdJL5l&#10;4KxUKjVSGVLldP81uvxNgxbKRIlIlGjdxISawNMprJWIGGXeC4klSfFHQSKjOFGOrBjSiHEuTEip&#10;J7+IjiiJQTzHsMU/RvUc4yaP7mUwYWusSwMuZf8k7OJjF7Js8FjInbzjMdTzOnFhtG3sHIo19ttB&#10;Mzne8rMSu3LOfLhiDkcFW4zjHy7xIxVg9aE9UbIA9/lv8ohHBqOWkgpHL6f+05I5QYl6Z5Dbh/3h&#10;MM5qugxHBwO8uF3NfFdjlvoEsC19XDSWp2PEB9UdpQN9i1tiFl9FFTMc385p6I4noVkIuGW4mM0S&#10;CKfTsnBuri2PrmOXIudu6lvmbEvMgIy+gG5I2eQJPxtstDQwWwaQZSJvLHRT1bYBONmJ0+0Wiqtj&#10;955Qj7ty+gsAAP//AwBQSwMEFAAGAAgAAAAhAKi7YvfhAAAACQEAAA8AAABkcnMvZG93bnJldi54&#10;bWxMj8tOwzAQRfdI/IM1SOyo82hpFeJUVaQKCcGipRt2k3iaRMR2iN028PUMq7Ic3aN7z+TryfTi&#10;TKPvnFUQzyIQZGunO9soOLxvH1YgfECrsXeWFHyTh3Vxe5Njpt3F7ui8D43gEuszVNCGMGRS+rol&#10;g37mBrKcHd1oMPA5NlKPeOFy08skih6lwc7yQosDlS3Vn/uTUfBSbt9wVyVm9dOXz6/HzfB1+Fgo&#10;dX83bZ5ABJrCFYY/fVaHgp0qd7Lai15Bks7njHKQxCAYSJdpCqJSsFjGIItc/v+g+AUAAP//AwBQ&#10;SwECLQAUAAYACAAAACEAtoM4kv4AAADhAQAAEwAAAAAAAAAAAAAAAAAAAAAAW0NvbnRlbnRfVHlw&#10;ZXNdLnhtbFBLAQItABQABgAIAAAAIQA4/SH/1gAAAJQBAAALAAAAAAAAAAAAAAAAAC8BAABfcmVs&#10;cy8ucmVsc1BLAQItABQABgAIAAAAIQD3fXdSmgIAAHMFAAAOAAAAAAAAAAAAAAAAAC4CAABkcnMv&#10;ZTJvRG9jLnhtbFBLAQItABQABgAIAAAAIQCou2L34QAAAAkBAAAPAAAAAAAAAAAAAAAAAPQEAABk&#10;cnMvZG93bnJldi54bWxQSwUGAAAAAAQABADzAAAAAgYAAAAA&#10;" filled="f" stroked="f" strokeweight=".5pt">
                <v:textbox>
                  <w:txbxContent>
                    <w:p w:rsidR="00C16B02" w:rsidRPr="005D213F" w:rsidRDefault="00C16B02" w:rsidP="005D213F">
                      <w:pPr>
                        <w:jc w:val="center"/>
                        <w:rPr>
                          <w:sz w:val="16"/>
                          <w:szCs w:val="16"/>
                          <w:lang w:val="en-US"/>
                        </w:rPr>
                      </w:pPr>
                      <w:r w:rsidRPr="005D213F">
                        <w:rPr>
                          <w:sz w:val="16"/>
                          <w:szCs w:val="16"/>
                          <w:lang w:val="en-US"/>
                        </w:rPr>
                        <w:t>Fees</w:t>
                      </w:r>
                    </w:p>
                  </w:txbxContent>
                </v:textbox>
              </v:shape>
            </w:pict>
          </mc:Fallback>
        </mc:AlternateContent>
      </w:r>
      <w:r w:rsidR="005D213F">
        <w:rPr>
          <w:i/>
          <w:noProof/>
          <w:lang w:eastAsia="ru-RU"/>
        </w:rPr>
        <mc:AlternateContent>
          <mc:Choice Requires="wps">
            <w:drawing>
              <wp:anchor distT="0" distB="0" distL="114300" distR="114300" simplePos="0" relativeHeight="251785216" behindDoc="0" locked="0" layoutInCell="1" allowOverlap="1" wp14:anchorId="728A3E56" wp14:editId="3C866446">
                <wp:simplePos x="0" y="0"/>
                <wp:positionH relativeFrom="margin">
                  <wp:posOffset>1511990</wp:posOffset>
                </wp:positionH>
                <wp:positionV relativeFrom="paragraph">
                  <wp:posOffset>36996</wp:posOffset>
                </wp:positionV>
                <wp:extent cx="834390" cy="357808"/>
                <wp:effectExtent l="0" t="0" r="3810" b="4445"/>
                <wp:wrapNone/>
                <wp:docPr id="177" name="Надпись 177"/>
                <wp:cNvGraphicFramePr/>
                <a:graphic xmlns:a="http://schemas.openxmlformats.org/drawingml/2006/main">
                  <a:graphicData uri="http://schemas.microsoft.com/office/word/2010/wordprocessingShape">
                    <wps:wsp>
                      <wps:cNvSpPr txBox="1"/>
                      <wps:spPr>
                        <a:xfrm>
                          <a:off x="0" y="0"/>
                          <a:ext cx="834390" cy="357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5D213F">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A3E56" id="Надпись 177" o:spid="_x0000_s1078" type="#_x0000_t202" style="position:absolute;left:0;text-align:left;margin-left:119.05pt;margin-top:2.9pt;width:65.7pt;height:28.1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tmqAIAAJsFAAAOAAAAZHJzL2Uyb0RvYy54bWysVL1u2zAQ3gv0HQjujfwbO0bkwE2QokCQ&#10;BE2KzDRFxkIpHkvSltwte1+h79ChQ7e+gvNGPVKS7aZZUnSRjrzv7njf/RyfVIUiK2FdDjql3YMO&#10;JUJzyHJ9n9KPt+dvxpQ4z3TGFGiR0rVw9GT6+tVxaSaiBwtQmbAEnWg3KU1KF96bSZI4vhAFcwdg&#10;hEalBFswj0d7n2SWlei9UEmv0zlMSrCZscCFc3h7VivpNPqXUnB/JaUTnqiU4tt8/Nr4nYdvMj1m&#10;k3vLzCLnzTPYP7yiYLnGoFtXZ8wzsrT5X66KnFtwIP0BhyIBKXMuYg6YTbfzJJubBTMi5oLkOLOl&#10;yf0/t/xydW1JnmHtRiNKNCuwSJtvm++bH5tfm5+PD49fSdAgT6VxE4TfGDTw1Vuo0Ka9d3gZ0q+k&#10;LcIfEyOoR8bXW5ZF5QnHy3F/0D9CDUdVfzgad8bBS7IzNtb5dwIKEoSUWixi5JatLpyvoS0kxHKg&#10;8uw8VyoeQuOIU2XJimHJlY9PROd/oJQmZUoP+8NOdKwhmNeelQ5uRGydJlxIvE4wSn6tRMAo/UFI&#10;pC7m+UxsxrnQ2/gRHVASQ73EsMHvXvUS4zoPtIiRQfutcZFrsDH7OGs7yrJPLWWyxmNt9vIOoq/m&#10;VeyZYa9tgDlka+wLC/WEOcPPc6zeBXP+mlkcKSw4rgl/hR+pANmHRqJkAfbLc/cBj52OWkpKHNGU&#10;us9LZgUl6r3GGTjqDgZhpuNhMBz18GD3NfN9jV4Wp4At0cWFZHgUA96rVpQWijvcJrMQFVVMc4yd&#10;Ut+Kp75eHLiNuJjNIgin2DB/oW8MD64DzaE3b6s7Zk3TwB47/xLaYWaTJ31cY4OlhtnSg8xjkwei&#10;a1abAuAGiGPSbKuwYvbPEbXbqdPfAAAA//8DAFBLAwQUAAYACAAAACEAuJtSGuAAAAAIAQAADwAA&#10;AGRycy9kb3ducmV2LnhtbEyPS0/DMBCE70j8B2uRuCDqPNRQQjYVQjyk3mh4iJsbL0lEvI5iNwn/&#10;HnOC42hGM98U28X0YqLRdZYR4lUEgri2uuMG4aV6uNyAcF6xVr1lQvgmB9vy9KRQubYzP9O0940I&#10;JexyhdB6P+RSurolo9zKDsTB+7SjUT7IsZF6VHMoN71MoiiTRnUcFlo10F1L9df+aBA+Lpr3nVse&#10;X+d0nQ73T1N19aYrxPOz5fYGhKfF/4XhFz+gQxmYDvbI2okeIUk3cYgirMOD4KfZ9RrEASFLYpBl&#10;If8fKH8AAAD//wMAUEsBAi0AFAAGAAgAAAAhALaDOJL+AAAA4QEAABMAAAAAAAAAAAAAAAAAAAAA&#10;AFtDb250ZW50X1R5cGVzXS54bWxQSwECLQAUAAYACAAAACEAOP0h/9YAAACUAQAACwAAAAAAAAAA&#10;AAAAAAAvAQAAX3JlbHMvLnJlbHNQSwECLQAUAAYACAAAACEAiKOLZqgCAACbBQAADgAAAAAAAAAA&#10;AAAAAAAuAgAAZHJzL2Uyb0RvYy54bWxQSwECLQAUAAYACAAAACEAuJtSGuAAAAAIAQAADwAAAAAA&#10;AAAAAAAAAAACBQAAZHJzL2Rvd25yZXYueG1sUEsFBgAAAAAEAAQA8wAAAA8GAAAAAA==&#10;" fillcolor="white [3201]" stroked="f" strokeweight=".5pt">
                <v:textbox>
                  <w:txbxContent>
                    <w:p w:rsidR="00C16B02" w:rsidRPr="005D213F" w:rsidRDefault="00C16B02" w:rsidP="005D213F">
                      <w:pPr>
                        <w:rPr>
                          <w:sz w:val="16"/>
                          <w:szCs w:val="16"/>
                          <w:lang w:val="en-US"/>
                        </w:rPr>
                      </w:pPr>
                    </w:p>
                  </w:txbxContent>
                </v:textbox>
                <w10:wrap anchorx="margin"/>
              </v:shape>
            </w:pict>
          </mc:Fallback>
        </mc:AlternateContent>
      </w:r>
      <w:r w:rsidR="00BF2EF4">
        <w:rPr>
          <w:noProof/>
          <w:lang w:eastAsia="ru-RU"/>
        </w:rPr>
        <w:drawing>
          <wp:inline distT="0" distB="0" distL="0" distR="0" wp14:anchorId="57600DEE" wp14:editId="67E032CC">
            <wp:extent cx="5333365" cy="1570355"/>
            <wp:effectExtent l="0" t="0" r="635" b="0"/>
            <wp:docPr id="185" name="Рисунок 185"/>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3365" cy="1570355"/>
                    </a:xfrm>
                    <a:prstGeom prst="rect">
                      <a:avLst/>
                    </a:prstGeom>
                    <a:noFill/>
                    <a:ln>
                      <a:noFill/>
                    </a:ln>
                  </pic:spPr>
                </pic:pic>
              </a:graphicData>
            </a:graphic>
          </wp:inline>
        </w:drawing>
      </w:r>
    </w:p>
    <w:p w:rsidR="00BF2EF4" w:rsidRPr="00BF2EF4" w:rsidRDefault="00171E0C" w:rsidP="00BF2EF4">
      <w:pPr>
        <w:pStyle w:val="a5"/>
        <w:spacing w:line="360" w:lineRule="auto"/>
        <w:jc w:val="center"/>
        <w:rPr>
          <w:lang w:val="en-US"/>
        </w:rPr>
      </w:pPr>
      <w:r>
        <w:rPr>
          <w:lang w:val="en-US"/>
        </w:rPr>
        <w:t>Pic</w:t>
      </w:r>
      <w:r w:rsidR="00BF2EF4" w:rsidRPr="00BF2EF4">
        <w:rPr>
          <w:lang w:val="en-US"/>
        </w:rPr>
        <w:t xml:space="preserve">. </w:t>
      </w:r>
      <w:proofErr w:type="gramStart"/>
      <w:r w:rsidR="00BF2EF4" w:rsidRPr="00BF2EF4">
        <w:rPr>
          <w:lang w:val="en-US"/>
        </w:rPr>
        <w:t>22</w:t>
      </w:r>
      <w:proofErr w:type="gramEnd"/>
      <w:r w:rsidR="00BF2EF4" w:rsidRPr="00BF2EF4">
        <w:rPr>
          <w:lang w:val="en-US"/>
        </w:rPr>
        <w:t xml:space="preserve"> Characteristics of the </w:t>
      </w:r>
      <w:r w:rsidR="00BF2EF4">
        <w:rPr>
          <w:lang w:val="en-US"/>
        </w:rPr>
        <w:t>financing structure</w:t>
      </w:r>
    </w:p>
    <w:p w:rsidR="00BF2EF4" w:rsidRDefault="00BF2EF4" w:rsidP="00094EBB">
      <w:pPr>
        <w:pStyle w:val="a5"/>
        <w:spacing w:line="360" w:lineRule="auto"/>
        <w:ind w:firstLine="708"/>
        <w:jc w:val="both"/>
        <w:rPr>
          <w:noProof/>
          <w:lang w:eastAsia="ru-RU"/>
        </w:rPr>
      </w:pPr>
      <w:r w:rsidRPr="00BF2EF4">
        <w:rPr>
          <w:lang w:val="en-US"/>
        </w:rPr>
        <w:t xml:space="preserve">Among the main directions </w:t>
      </w:r>
      <w:r>
        <w:rPr>
          <w:lang w:val="en-US"/>
        </w:rPr>
        <w:t xml:space="preserve">uses </w:t>
      </w:r>
      <w:r w:rsidRPr="00BF2EF4">
        <w:rPr>
          <w:lang w:val="en-US"/>
        </w:rPr>
        <w:t xml:space="preserve">of funds, we note the </w:t>
      </w:r>
      <w:r>
        <w:rPr>
          <w:lang w:val="en-US"/>
        </w:rPr>
        <w:t xml:space="preserve">company </w:t>
      </w:r>
      <w:r w:rsidRPr="00BF2EF4">
        <w:rPr>
          <w:lang w:val="en-US"/>
        </w:rPr>
        <w:t>purchase</w:t>
      </w:r>
      <w:r>
        <w:rPr>
          <w:lang w:val="en-US"/>
        </w:rPr>
        <w:t xml:space="preserve"> price</w:t>
      </w:r>
      <w:r w:rsidRPr="00BF2EF4">
        <w:rPr>
          <w:lang w:val="en-US"/>
        </w:rPr>
        <w:t xml:space="preserve">, the repayment of the long-term debt (repay existing debt), </w:t>
      </w:r>
      <w:proofErr w:type="gramStart"/>
      <w:r w:rsidRPr="00BF2EF4">
        <w:rPr>
          <w:lang w:val="en-US"/>
        </w:rPr>
        <w:t>the</w:t>
      </w:r>
      <w:proofErr w:type="gramEnd"/>
      <w:r w:rsidRPr="00BF2EF4">
        <w:rPr>
          <w:lang w:val="en-US"/>
        </w:rPr>
        <w:t xml:space="preserve"> payment of advisory services to the investment</w:t>
      </w:r>
      <w:r>
        <w:rPr>
          <w:lang w:val="en-US"/>
        </w:rPr>
        <w:t xml:space="preserve"> bank (other fees and expenses)</w:t>
      </w:r>
      <w:r w:rsidRPr="00BF2EF4">
        <w:rPr>
          <w:lang w:val="en-US"/>
        </w:rPr>
        <w:t xml:space="preserve">. The total amount of required investment is $ 7,859,989,375. It is important that the commission and costs of raising funds </w:t>
      </w:r>
      <w:proofErr w:type="gramStart"/>
      <w:r w:rsidRPr="00BF2EF4">
        <w:rPr>
          <w:lang w:val="en-US"/>
        </w:rPr>
        <w:t>are</w:t>
      </w:r>
      <w:proofErr w:type="gramEnd"/>
      <w:r w:rsidRPr="00BF2EF4">
        <w:rPr>
          <w:lang w:val="en-US"/>
        </w:rPr>
        <w:t xml:space="preserve"> depreciated. In</w:t>
      </w:r>
      <w:r w:rsidR="00171E0C">
        <w:rPr>
          <w:lang w:val="en-US"/>
        </w:rPr>
        <w:t xml:space="preserve"> Pic</w:t>
      </w:r>
      <w:r w:rsidRPr="00BF2EF4">
        <w:rPr>
          <w:lang w:val="en-US"/>
        </w:rPr>
        <w:t xml:space="preserve">. </w:t>
      </w:r>
      <w:proofErr w:type="gramStart"/>
      <w:r w:rsidRPr="00BF2EF4">
        <w:rPr>
          <w:lang w:val="en-US"/>
        </w:rPr>
        <w:t>23</w:t>
      </w:r>
      <w:proofErr w:type="gramEnd"/>
      <w:r w:rsidRPr="00BF2EF4">
        <w:rPr>
          <w:lang w:val="en-US"/>
        </w:rPr>
        <w:t xml:space="preserve"> depicts the depreciation schedule for these model variables, taking into account the long-term nature of each of the instruments. The linear method of depreciation is used.</w:t>
      </w:r>
      <w:r w:rsidR="00094EBB">
        <w:rPr>
          <w:lang w:val="en-US"/>
        </w:rPr>
        <w:t xml:space="preserve"> </w:t>
      </w:r>
      <w:r w:rsidRPr="00BF2EF4">
        <w:rPr>
          <w:lang w:val="en-US"/>
        </w:rPr>
        <w:t> </w:t>
      </w:r>
    </w:p>
    <w:p w:rsidR="00C12012" w:rsidRPr="00BF2EF4" w:rsidRDefault="00C12012" w:rsidP="00C12012">
      <w:pPr>
        <w:pStyle w:val="a5"/>
        <w:spacing w:line="360" w:lineRule="auto"/>
        <w:jc w:val="both"/>
        <w:rPr>
          <w:lang w:val="en-US"/>
        </w:rPr>
      </w:pPr>
      <w:r w:rsidRPr="00C12012">
        <w:rPr>
          <w:noProof/>
          <w:lang w:eastAsia="ru-RU"/>
        </w:rPr>
        <w:drawing>
          <wp:inline distT="0" distB="0" distL="0" distR="0">
            <wp:extent cx="5939790" cy="1902150"/>
            <wp:effectExtent l="0" t="0" r="3810" b="317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1902150"/>
                    </a:xfrm>
                    <a:prstGeom prst="rect">
                      <a:avLst/>
                    </a:prstGeom>
                    <a:noFill/>
                    <a:ln>
                      <a:noFill/>
                    </a:ln>
                  </pic:spPr>
                </pic:pic>
              </a:graphicData>
            </a:graphic>
          </wp:inline>
        </w:drawing>
      </w:r>
    </w:p>
    <w:p w:rsidR="00BF2EF4" w:rsidRPr="00BF2EF4" w:rsidRDefault="00094EBB" w:rsidP="00094EBB">
      <w:pPr>
        <w:pStyle w:val="a5"/>
        <w:spacing w:line="360" w:lineRule="auto"/>
        <w:jc w:val="center"/>
        <w:rPr>
          <w:lang w:val="en-US"/>
        </w:rPr>
      </w:pPr>
      <w:r>
        <w:rPr>
          <w:lang w:val="en-US"/>
        </w:rPr>
        <w:t>Pic</w:t>
      </w:r>
      <w:r w:rsidR="009B7B03">
        <w:rPr>
          <w:lang w:val="en-US"/>
        </w:rPr>
        <w:t xml:space="preserve"> 23</w:t>
      </w:r>
      <w:r>
        <w:rPr>
          <w:lang w:val="en-US"/>
        </w:rPr>
        <w:t>. Depreciation schedule of financing fees</w:t>
      </w:r>
    </w:p>
    <w:p w:rsidR="00BF2EF4" w:rsidRPr="00BF2EF4" w:rsidRDefault="00BF2EF4" w:rsidP="00BF2EF4">
      <w:pPr>
        <w:pStyle w:val="a5"/>
        <w:spacing w:line="360" w:lineRule="auto"/>
        <w:jc w:val="both"/>
        <w:rPr>
          <w:lang w:val="en-US"/>
        </w:rPr>
      </w:pPr>
      <w:r w:rsidRPr="00BF2EF4">
        <w:rPr>
          <w:lang w:val="en-US"/>
        </w:rPr>
        <w:t xml:space="preserve">The total amount of the use of funds should be equal to the amount of sources </w:t>
      </w:r>
      <w:r w:rsidR="00094EBB">
        <w:rPr>
          <w:lang w:val="en-US"/>
        </w:rPr>
        <w:t xml:space="preserve">of funds. </w:t>
      </w:r>
    </w:p>
    <w:p w:rsidR="00756956" w:rsidRPr="00094EBB" w:rsidRDefault="00094EBB" w:rsidP="00756956">
      <w:pPr>
        <w:pStyle w:val="a5"/>
        <w:spacing w:line="360" w:lineRule="auto"/>
        <w:rPr>
          <w:i/>
          <w:lang w:val="en-US"/>
        </w:rPr>
      </w:pPr>
      <w:r w:rsidRPr="00094EBB">
        <w:rPr>
          <w:i/>
          <w:lang w:val="en-US"/>
        </w:rPr>
        <w:lastRenderedPageBreak/>
        <w:t xml:space="preserve">Operational assumptions </w:t>
      </w:r>
    </w:p>
    <w:p w:rsidR="00094EBB" w:rsidRPr="00094EBB" w:rsidRDefault="00094EBB" w:rsidP="00094EBB">
      <w:pPr>
        <w:pStyle w:val="a5"/>
        <w:spacing w:line="360" w:lineRule="auto"/>
        <w:jc w:val="both"/>
        <w:rPr>
          <w:lang w:val="en-US"/>
        </w:rPr>
      </w:pPr>
      <w:r>
        <w:rPr>
          <w:lang w:val="en-US"/>
        </w:rPr>
        <w:t xml:space="preserve">The fill set of operational assumptions of </w:t>
      </w:r>
      <w:r w:rsidRPr="00094EBB">
        <w:rPr>
          <w:lang w:val="en-US"/>
        </w:rPr>
        <w:t>financial state</w:t>
      </w:r>
      <w:r>
        <w:rPr>
          <w:lang w:val="en-US"/>
        </w:rPr>
        <w:t>ments with estimated values ​​</w:t>
      </w:r>
      <w:proofErr w:type="gramStart"/>
      <w:r>
        <w:rPr>
          <w:lang w:val="en-US"/>
        </w:rPr>
        <w:t>are</w:t>
      </w:r>
      <w:r w:rsidRPr="00094EBB">
        <w:rPr>
          <w:lang w:val="en-US"/>
        </w:rPr>
        <w:t xml:space="preserve"> presented</w:t>
      </w:r>
      <w:proofErr w:type="gramEnd"/>
      <w:r w:rsidRPr="00094EBB">
        <w:rPr>
          <w:lang w:val="en-US"/>
        </w:rPr>
        <w:t xml:space="preserve"> on the corresponding </w:t>
      </w:r>
      <w:r>
        <w:rPr>
          <w:lang w:val="en-US"/>
        </w:rPr>
        <w:t xml:space="preserve">appendix. </w:t>
      </w:r>
      <w:r w:rsidRPr="00094EBB">
        <w:rPr>
          <w:lang w:val="en-US"/>
        </w:rPr>
        <w:t xml:space="preserve">When predicting the growth rates of individual drivers, the </w:t>
      </w:r>
      <w:r>
        <w:rPr>
          <w:lang w:val="en-US"/>
        </w:rPr>
        <w:t xml:space="preserve">following facts </w:t>
      </w:r>
      <w:proofErr w:type="gramStart"/>
      <w:r>
        <w:rPr>
          <w:lang w:val="en-US"/>
        </w:rPr>
        <w:t>were taken</w:t>
      </w:r>
      <w:proofErr w:type="gramEnd"/>
      <w:r>
        <w:rPr>
          <w:lang w:val="en-US"/>
        </w:rPr>
        <w:t xml:space="preserve"> into account:</w:t>
      </w:r>
    </w:p>
    <w:p w:rsidR="00094EBB" w:rsidRPr="00094EBB" w:rsidRDefault="00094EBB" w:rsidP="008D3CCB">
      <w:pPr>
        <w:pStyle w:val="a5"/>
        <w:numPr>
          <w:ilvl w:val="0"/>
          <w:numId w:val="41"/>
        </w:numPr>
        <w:spacing w:line="360" w:lineRule="auto"/>
        <w:jc w:val="both"/>
        <w:rPr>
          <w:lang w:val="en-US"/>
        </w:rPr>
      </w:pPr>
      <w:r w:rsidRPr="00094EBB">
        <w:rPr>
          <w:lang w:val="en-US"/>
        </w:rPr>
        <w:t>According to the information provided in the company's press release on February</w:t>
      </w:r>
      <w:r w:rsidR="00171E0C">
        <w:rPr>
          <w:lang w:val="en-US"/>
        </w:rPr>
        <w:t xml:space="preserve"> 14, 2017</w:t>
      </w:r>
      <w:r w:rsidRPr="00094EBB">
        <w:rPr>
          <w:lang w:val="en-US"/>
        </w:rPr>
        <w:t xml:space="preserve">, Ingenico has set quite ambitious KPIs to increase the main indicators of financial performance for the next three years. Thus, the company expects a significant </w:t>
      </w:r>
      <w:r w:rsidR="00171E0C">
        <w:rPr>
          <w:lang w:val="en-US"/>
        </w:rPr>
        <w:t>growth in all indicators in 2017</w:t>
      </w:r>
      <w:r w:rsidRPr="00094EBB">
        <w:rPr>
          <w:lang w:val="en-US"/>
        </w:rPr>
        <w:t>, caused by a synergistic eff</w:t>
      </w:r>
      <w:r>
        <w:rPr>
          <w:lang w:val="en-US"/>
        </w:rPr>
        <w:t>ect from the merger with Global</w:t>
      </w:r>
      <w:r w:rsidRPr="00094EBB">
        <w:rPr>
          <w:lang w:val="en-US"/>
        </w:rPr>
        <w:t>Collect, which, according to analysts' forecasts, will ful</w:t>
      </w:r>
      <w:r>
        <w:rPr>
          <w:lang w:val="en-US"/>
        </w:rPr>
        <w:t>ly reveal itself within 5 years;</w:t>
      </w:r>
    </w:p>
    <w:p w:rsidR="00094EBB" w:rsidRPr="00094EBB" w:rsidRDefault="00094EBB" w:rsidP="008D3CCB">
      <w:pPr>
        <w:pStyle w:val="a5"/>
        <w:numPr>
          <w:ilvl w:val="0"/>
          <w:numId w:val="41"/>
        </w:numPr>
        <w:spacing w:line="360" w:lineRule="auto"/>
        <w:jc w:val="both"/>
        <w:rPr>
          <w:lang w:val="en-US"/>
        </w:rPr>
      </w:pPr>
      <w:r w:rsidRPr="00094EBB">
        <w:rPr>
          <w:lang w:val="en-US"/>
        </w:rPr>
        <w:t>Among the main drivers of short-term and long-term growth are the growth potential of the e-commerce market, including in developing regions and the introducti</w:t>
      </w:r>
      <w:r>
        <w:rPr>
          <w:lang w:val="en-US"/>
        </w:rPr>
        <w:t>on of new products and services;</w:t>
      </w:r>
    </w:p>
    <w:p w:rsidR="00094EBB" w:rsidRPr="00094EBB" w:rsidRDefault="00094EBB" w:rsidP="008D3CCB">
      <w:pPr>
        <w:pStyle w:val="a5"/>
        <w:numPr>
          <w:ilvl w:val="0"/>
          <w:numId w:val="41"/>
        </w:numPr>
        <w:spacing w:line="360" w:lineRule="auto"/>
        <w:jc w:val="both"/>
        <w:rPr>
          <w:lang w:val="en-US"/>
        </w:rPr>
      </w:pPr>
      <w:r w:rsidRPr="00094EBB">
        <w:rPr>
          <w:lang w:val="en-US"/>
        </w:rPr>
        <w:t>Forecasting of various indicators takes into account the historical tren</w:t>
      </w:r>
      <w:r>
        <w:rPr>
          <w:lang w:val="en-US"/>
        </w:rPr>
        <w:t>d of growth of these indicators;</w:t>
      </w:r>
    </w:p>
    <w:p w:rsidR="00094EBB" w:rsidRPr="00094EBB" w:rsidRDefault="00094EBB" w:rsidP="008D3CCB">
      <w:pPr>
        <w:pStyle w:val="a5"/>
        <w:numPr>
          <w:ilvl w:val="0"/>
          <w:numId w:val="41"/>
        </w:numPr>
        <w:spacing w:line="360" w:lineRule="auto"/>
        <w:jc w:val="both"/>
        <w:rPr>
          <w:lang w:val="en-US"/>
        </w:rPr>
      </w:pPr>
      <w:r w:rsidRPr="00094EBB">
        <w:rPr>
          <w:lang w:val="en-US"/>
        </w:rPr>
        <w:t xml:space="preserve">Forecasting of all balance sheet items and the profit and loss statement </w:t>
      </w:r>
      <w:proofErr w:type="gramStart"/>
      <w:r w:rsidRPr="00094EBB">
        <w:rPr>
          <w:lang w:val="en-US"/>
        </w:rPr>
        <w:t>is based</w:t>
      </w:r>
      <w:proofErr w:type="gramEnd"/>
      <w:r w:rsidRPr="00094EBB">
        <w:rPr>
          <w:lang w:val="en-US"/>
        </w:rPr>
        <w:t xml:space="preserve"> on the forecasts of analysts.</w:t>
      </w:r>
    </w:p>
    <w:p w:rsidR="00094EBB" w:rsidRDefault="00094EBB" w:rsidP="00094EBB">
      <w:pPr>
        <w:pStyle w:val="a5"/>
        <w:spacing w:line="360" w:lineRule="auto"/>
        <w:ind w:firstLine="708"/>
        <w:jc w:val="both"/>
        <w:rPr>
          <w:lang w:val="en-US"/>
        </w:rPr>
      </w:pPr>
      <w:r w:rsidRPr="00094EBB">
        <w:rPr>
          <w:lang w:val="en-US"/>
        </w:rPr>
        <w:t xml:space="preserve">Usually, the predictions of the effectiveness of determining measures to increase the value of a company within the LBO process </w:t>
      </w:r>
      <w:proofErr w:type="gramStart"/>
      <w:r w:rsidRPr="00094EBB">
        <w:rPr>
          <w:lang w:val="en-US"/>
        </w:rPr>
        <w:t>are based</w:t>
      </w:r>
      <w:proofErr w:type="gramEnd"/>
      <w:r w:rsidRPr="00094EBB">
        <w:rPr>
          <w:lang w:val="en-US"/>
        </w:rPr>
        <w:t xml:space="preserve"> on the opinions of analysts and information presented in a special document, which in terms of the M &amp; A market is called a confidential information memorandum of the company. </w:t>
      </w:r>
      <w:proofErr w:type="gramStart"/>
      <w:r w:rsidRPr="00094EBB">
        <w:rPr>
          <w:lang w:val="en-US"/>
        </w:rPr>
        <w:t>This document is used by the selling party to interact in the M &amp; A market with potential buyers</w:t>
      </w:r>
      <w:proofErr w:type="gramEnd"/>
      <w:r w:rsidRPr="00094EBB">
        <w:rPr>
          <w:lang w:val="en-US"/>
        </w:rPr>
        <w:t>. Usually this document includes a detailed description of the business and activities of the company, information about the industry and opportunities in the market, financial information, including analysis of historical results and forecasts for the future. Since the forecasts are usually up to the next five years, within the framework of the LBO analysis it is customary to freeze the growth rate of 5 years, assuming it remains unchanged until the end of the investment horizon.</w:t>
      </w:r>
    </w:p>
    <w:p w:rsidR="00CB224D" w:rsidRDefault="00CB224D" w:rsidP="00094EBB">
      <w:pPr>
        <w:pStyle w:val="a5"/>
        <w:spacing w:line="360" w:lineRule="auto"/>
        <w:ind w:firstLine="708"/>
        <w:jc w:val="both"/>
        <w:rPr>
          <w:lang w:val="en-US"/>
        </w:rPr>
      </w:pPr>
      <w:r>
        <w:rPr>
          <w:lang w:val="en-US"/>
        </w:rPr>
        <w:t xml:space="preserve">For making assumptions three cases of assumptions </w:t>
      </w:r>
      <w:proofErr w:type="gramStart"/>
      <w:r>
        <w:rPr>
          <w:lang w:val="en-US"/>
        </w:rPr>
        <w:t>were developed</w:t>
      </w:r>
      <w:proofErr w:type="gramEnd"/>
      <w:r>
        <w:rPr>
          <w:lang w:val="en-US"/>
        </w:rPr>
        <w:t xml:space="preserve">: base case, management case, sponsor case. For </w:t>
      </w:r>
      <w:proofErr w:type="gramStart"/>
      <w:r>
        <w:rPr>
          <w:lang w:val="en-US"/>
        </w:rPr>
        <w:t>LBO-analysis</w:t>
      </w:r>
      <w:proofErr w:type="gramEnd"/>
      <w:r>
        <w:rPr>
          <w:lang w:val="en-US"/>
        </w:rPr>
        <w:t xml:space="preserve"> the base case was used. </w:t>
      </w:r>
    </w:p>
    <w:p w:rsidR="00CB224D" w:rsidRPr="00756956" w:rsidRDefault="00CB224D" w:rsidP="00CB224D">
      <w:pPr>
        <w:pStyle w:val="4"/>
        <w:rPr>
          <w:lang w:val="en-US"/>
        </w:rPr>
      </w:pPr>
      <w:r>
        <w:rPr>
          <w:lang w:val="en-US"/>
        </w:rPr>
        <w:t>Step 3. Building</w:t>
      </w:r>
      <w:r w:rsidR="00CB20FF">
        <w:rPr>
          <w:lang w:val="en-US"/>
        </w:rPr>
        <w:t xml:space="preserve"> preliminary</w:t>
      </w:r>
      <w:r>
        <w:rPr>
          <w:lang w:val="en-US"/>
        </w:rPr>
        <w:t xml:space="preserve"> LBO-model </w:t>
      </w:r>
    </w:p>
    <w:p w:rsidR="008B22BC" w:rsidRDefault="00CD0D98" w:rsidP="00CD0D98">
      <w:pPr>
        <w:pStyle w:val="a5"/>
        <w:spacing w:line="360" w:lineRule="auto"/>
        <w:ind w:firstLine="708"/>
        <w:jc w:val="both"/>
        <w:rPr>
          <w:lang w:val="en-US"/>
        </w:rPr>
      </w:pPr>
      <w:r w:rsidRPr="00CD0D98">
        <w:rPr>
          <w:lang w:val="en-US"/>
        </w:rPr>
        <w:t xml:space="preserve">At this stage, we mean the construction of three main financial statements of the target company - the balance sheet, the profit and loss statement and the cash flow statement, excluding the effect of the LBO transaction. Forecasting of the articles </w:t>
      </w:r>
      <w:proofErr w:type="gramStart"/>
      <w:r w:rsidRPr="00CD0D98">
        <w:rPr>
          <w:lang w:val="en-US"/>
        </w:rPr>
        <w:t>was carried out</w:t>
      </w:r>
      <w:proofErr w:type="gramEnd"/>
      <w:r w:rsidRPr="00CD0D98">
        <w:rPr>
          <w:lang w:val="en-US"/>
        </w:rPr>
        <w:t xml:space="preserve"> for 10 years, since, according to the assumptions of the model formulated in Step 2, the management of the PE fund company will </w:t>
      </w:r>
      <w:r>
        <w:rPr>
          <w:lang w:val="en-US"/>
        </w:rPr>
        <w:t>keep the company for 10 years</w:t>
      </w:r>
      <w:r w:rsidRPr="00CD0D98">
        <w:rPr>
          <w:lang w:val="en-US"/>
        </w:rPr>
        <w:t xml:space="preserve">. The result at this stage was the completed tables of </w:t>
      </w:r>
      <w:r w:rsidRPr="00CD0D98">
        <w:rPr>
          <w:lang w:val="en-US"/>
        </w:rPr>
        <w:lastRenderedPageBreak/>
        <w:t xml:space="preserve">the company's financial statements, minus the amendments to the funding involved. To build each of the financial reports, in addition to the traditional articles, lines </w:t>
      </w:r>
      <w:proofErr w:type="gramStart"/>
      <w:r w:rsidRPr="00CD0D98">
        <w:rPr>
          <w:lang w:val="en-US"/>
        </w:rPr>
        <w:t>were added</w:t>
      </w:r>
      <w:proofErr w:type="gramEnd"/>
      <w:r w:rsidRPr="00CD0D98">
        <w:rPr>
          <w:lang w:val="en-US"/>
        </w:rPr>
        <w:t xml:space="preserve"> that are relevant to each specific funding instrument. The reporting area corresponding to information on debts and interest paid in applications with reports </w:t>
      </w:r>
      <w:proofErr w:type="gramStart"/>
      <w:r w:rsidRPr="00CD0D98">
        <w:rPr>
          <w:lang w:val="en-US"/>
        </w:rPr>
        <w:t>is colored</w:t>
      </w:r>
      <w:proofErr w:type="gramEnd"/>
      <w:r w:rsidRPr="00CD0D98">
        <w:rPr>
          <w:lang w:val="en-US"/>
        </w:rPr>
        <w:t xml:space="preserve"> in gray. </w:t>
      </w:r>
    </w:p>
    <w:p w:rsidR="00CB20FF" w:rsidRDefault="00CB20FF" w:rsidP="00CB20FF">
      <w:pPr>
        <w:pStyle w:val="4"/>
        <w:rPr>
          <w:lang w:val="en-US"/>
        </w:rPr>
      </w:pPr>
      <w:r>
        <w:rPr>
          <w:lang w:val="en-US"/>
        </w:rPr>
        <w:t xml:space="preserve">Step 4. </w:t>
      </w:r>
      <w:r w:rsidRPr="00CB20FF">
        <w:rPr>
          <w:lang w:val="en-US"/>
        </w:rPr>
        <w:t>Introducing the formulated model assumptions into the LBO-model</w:t>
      </w:r>
    </w:p>
    <w:p w:rsidR="00CB20FF" w:rsidRDefault="00CB20FF" w:rsidP="00CB20FF">
      <w:pPr>
        <w:pStyle w:val="a5"/>
        <w:spacing w:line="360" w:lineRule="auto"/>
        <w:ind w:firstLine="567"/>
        <w:rPr>
          <w:lang w:val="en-US"/>
        </w:rPr>
      </w:pPr>
      <w:r w:rsidRPr="00CB20FF">
        <w:rPr>
          <w:lang w:val="en-US"/>
        </w:rPr>
        <w:t>The most important step in forecasting the company's balance sheet is the introduction of corrections related to the acquisition of the company. In other words, we are interested in the structure of the balance sheet at the time of the acquisition of the company.</w:t>
      </w:r>
      <w:r>
        <w:rPr>
          <w:lang w:val="en-US"/>
        </w:rPr>
        <w:t xml:space="preserve"> </w:t>
      </w:r>
      <w:r w:rsidRPr="00CB20FF">
        <w:rPr>
          <w:lang w:val="en-US"/>
        </w:rPr>
        <w:t xml:space="preserve">For this </w:t>
      </w:r>
      <w:proofErr w:type="gramStart"/>
      <w:r w:rsidRPr="00CB20FF">
        <w:rPr>
          <w:lang w:val="en-US"/>
        </w:rPr>
        <w:t>purpose</w:t>
      </w:r>
      <w:proofErr w:type="gramEnd"/>
      <w:r w:rsidRPr="00CB20FF">
        <w:rPr>
          <w:lang w:val="en-US"/>
        </w:rPr>
        <w:t xml:space="preserve"> a separate column was created in the model, where these corrections were later introduced. They </w:t>
      </w:r>
      <w:proofErr w:type="gramStart"/>
      <w:r w:rsidRPr="00CB20FF">
        <w:rPr>
          <w:lang w:val="en-US"/>
        </w:rPr>
        <w:t>were taken</w:t>
      </w:r>
      <w:proofErr w:type="gramEnd"/>
      <w:r w:rsidRPr="00CB20FF">
        <w:rPr>
          <w:lang w:val="en-US"/>
        </w:rPr>
        <w:t xml:space="preserve"> from the data on the sources of financing the transaction and the uses of funds. Since the use of funds and sources of financing are equal, after the amendments the balance should equ</w:t>
      </w:r>
      <w:r w:rsidR="00405102">
        <w:rPr>
          <w:lang w:val="en-US"/>
        </w:rPr>
        <w:t>al, as can be seen in Appendix 11</w:t>
      </w:r>
      <w:r w:rsidRPr="00CB20FF">
        <w:rPr>
          <w:lang w:val="en-US"/>
        </w:rPr>
        <w:t>. The main corrections were the following:</w:t>
      </w:r>
      <w:r>
        <w:rPr>
          <w:lang w:val="en-US"/>
        </w:rPr>
        <w:t xml:space="preserve"> </w:t>
      </w:r>
    </w:p>
    <w:p w:rsidR="00CB20FF" w:rsidRPr="00CB20FF" w:rsidRDefault="00CB20FF" w:rsidP="008D3CCB">
      <w:pPr>
        <w:pStyle w:val="a5"/>
        <w:numPr>
          <w:ilvl w:val="0"/>
          <w:numId w:val="42"/>
        </w:numPr>
        <w:spacing w:line="360" w:lineRule="auto"/>
        <w:ind w:left="993"/>
        <w:rPr>
          <w:lang w:val="en-US"/>
        </w:rPr>
      </w:pPr>
      <w:r w:rsidRPr="00CB20FF">
        <w:rPr>
          <w:lang w:val="en-US"/>
        </w:rPr>
        <w:t>The company's cash was used to pay off its long-term debt, so the existing 426 million euros are recorded under the "-" column in the correction area (-426);</w:t>
      </w:r>
    </w:p>
    <w:p w:rsidR="00CB20FF" w:rsidRPr="00CB20FF" w:rsidRDefault="00CB20FF" w:rsidP="008D3CCB">
      <w:pPr>
        <w:pStyle w:val="a5"/>
        <w:numPr>
          <w:ilvl w:val="0"/>
          <w:numId w:val="42"/>
        </w:numPr>
        <w:spacing w:line="360" w:lineRule="auto"/>
        <w:ind w:left="993"/>
        <w:rPr>
          <w:lang w:val="en-US"/>
        </w:rPr>
      </w:pPr>
      <w:r w:rsidRPr="00CB20FF">
        <w:rPr>
          <w:lang w:val="en-US"/>
        </w:rPr>
        <w:t>The company generates goodwill equal to the difference between the carrying amount of equity and the acquisition price of the company's equity (+5 629.4);</w:t>
      </w:r>
    </w:p>
    <w:p w:rsidR="00CB20FF" w:rsidRPr="00CB20FF" w:rsidRDefault="00CB20FF" w:rsidP="008D3CCB">
      <w:pPr>
        <w:pStyle w:val="a5"/>
        <w:numPr>
          <w:ilvl w:val="0"/>
          <w:numId w:val="42"/>
        </w:numPr>
        <w:spacing w:line="360" w:lineRule="auto"/>
        <w:ind w:left="993"/>
        <w:rPr>
          <w:lang w:val="en-US"/>
        </w:rPr>
      </w:pPr>
      <w:r w:rsidRPr="00CB20FF">
        <w:rPr>
          <w:lang w:val="en-US"/>
        </w:rPr>
        <w:t>There are deferred financial assets equal to the total amount of required investments, minus the cost of the company itself: commissions, financing costs, etc. (+120.6);</w:t>
      </w:r>
    </w:p>
    <w:p w:rsidR="00CB20FF" w:rsidRPr="00CB20FF" w:rsidRDefault="00CB20FF" w:rsidP="008D3CCB">
      <w:pPr>
        <w:pStyle w:val="a5"/>
        <w:numPr>
          <w:ilvl w:val="0"/>
          <w:numId w:val="42"/>
        </w:numPr>
        <w:spacing w:line="360" w:lineRule="auto"/>
        <w:ind w:left="993"/>
        <w:rPr>
          <w:lang w:val="en-US"/>
        </w:rPr>
      </w:pPr>
      <w:r w:rsidRPr="00CB20FF">
        <w:rPr>
          <w:lang w:val="en-US"/>
        </w:rPr>
        <w:t>The Company's current long-term debt (-1,036.1)</w:t>
      </w:r>
    </w:p>
    <w:p w:rsidR="00CB20FF" w:rsidRPr="00CB20FF" w:rsidRDefault="00CB20FF" w:rsidP="008D3CCB">
      <w:pPr>
        <w:pStyle w:val="a5"/>
        <w:numPr>
          <w:ilvl w:val="0"/>
          <w:numId w:val="42"/>
        </w:numPr>
        <w:spacing w:line="360" w:lineRule="auto"/>
        <w:ind w:left="993"/>
        <w:rPr>
          <w:lang w:val="en-US"/>
        </w:rPr>
      </w:pPr>
      <w:r w:rsidRPr="00CB20FF">
        <w:rPr>
          <w:lang w:val="en-US"/>
        </w:rPr>
        <w:t xml:space="preserve">There are additional debts in connection with the attraction of loans. </w:t>
      </w:r>
      <w:r>
        <w:rPr>
          <w:lang w:val="en-US"/>
        </w:rPr>
        <w:t>These d</w:t>
      </w:r>
      <w:r w:rsidRPr="00CB20FF">
        <w:rPr>
          <w:lang w:val="en-US"/>
        </w:rPr>
        <w:t>ebt</w:t>
      </w:r>
      <w:r>
        <w:rPr>
          <w:lang w:val="en-US"/>
        </w:rPr>
        <w:t>s</w:t>
      </w:r>
      <w:r w:rsidRPr="00CB20FF">
        <w:rPr>
          <w:lang w:val="en-US"/>
        </w:rPr>
        <w:t xml:space="preserve"> are included in the lines corresponding to each of the elements of the debt under the sign "+";</w:t>
      </w:r>
    </w:p>
    <w:p w:rsidR="00CB20FF" w:rsidRPr="00CB20FF" w:rsidRDefault="00CB20FF" w:rsidP="008D3CCB">
      <w:pPr>
        <w:pStyle w:val="a5"/>
        <w:numPr>
          <w:ilvl w:val="0"/>
          <w:numId w:val="42"/>
        </w:numPr>
        <w:spacing w:line="360" w:lineRule="auto"/>
        <w:ind w:left="993"/>
        <w:rPr>
          <w:lang w:val="en-US"/>
        </w:rPr>
      </w:pPr>
      <w:r w:rsidRPr="00CB20FF">
        <w:rPr>
          <w:lang w:val="en-US"/>
        </w:rPr>
        <w:t>Own capital is reduced by the current equity -1,073.3) and the company is increased by an amount equal to the invested capital from financial investors (+ 1,948).</w:t>
      </w:r>
    </w:p>
    <w:p w:rsidR="00CB20FF" w:rsidRPr="00CB20FF" w:rsidRDefault="00CB20FF" w:rsidP="00CB20FF">
      <w:pPr>
        <w:pStyle w:val="a5"/>
        <w:spacing w:line="360" w:lineRule="auto"/>
        <w:ind w:firstLine="567"/>
        <w:rPr>
          <w:lang w:val="en-US"/>
        </w:rPr>
      </w:pPr>
      <w:r w:rsidRPr="00CB20FF">
        <w:rPr>
          <w:lang w:val="en-US"/>
        </w:rPr>
        <w:t>After the amendments, the balance of the company "After the transaction" converges, as well as "Before the transaction" (</w:t>
      </w:r>
      <w:r>
        <w:rPr>
          <w:lang w:val="en-US"/>
        </w:rPr>
        <w:t>Pic</w:t>
      </w:r>
      <w:r w:rsidR="009B7B03">
        <w:rPr>
          <w:lang w:val="en-US"/>
        </w:rPr>
        <w:t xml:space="preserve"> 24</w:t>
      </w:r>
      <w:r>
        <w:rPr>
          <w:lang w:val="en-US"/>
        </w:rPr>
        <w:t>).</w:t>
      </w:r>
      <w:r w:rsidR="009B7B03" w:rsidRPr="009B7B03">
        <w:rPr>
          <w:noProof/>
          <w:lang w:val="en-US" w:eastAsia="ru-RU"/>
        </w:rPr>
        <w:t xml:space="preserve"> </w:t>
      </w:r>
    </w:p>
    <w:p w:rsidR="00CB20FF" w:rsidRPr="00CB20FF" w:rsidRDefault="00A542DE" w:rsidP="00CB20FF">
      <w:pPr>
        <w:pStyle w:val="a5"/>
        <w:spacing w:line="360" w:lineRule="auto"/>
        <w:ind w:firstLine="567"/>
        <w:rPr>
          <w:lang w:val="en-US"/>
        </w:rPr>
      </w:pPr>
      <w:r>
        <w:rPr>
          <w:noProof/>
          <w:lang w:eastAsia="ru-RU"/>
        </w:rPr>
        <w:lastRenderedPageBreak/>
        <mc:AlternateContent>
          <mc:Choice Requires="wps">
            <w:drawing>
              <wp:anchor distT="0" distB="0" distL="114300" distR="114300" simplePos="0" relativeHeight="251823104" behindDoc="0" locked="0" layoutInCell="1" allowOverlap="1" wp14:anchorId="302C3F92" wp14:editId="2C8FA3B9">
                <wp:simplePos x="0" y="0"/>
                <wp:positionH relativeFrom="column">
                  <wp:posOffset>5273675</wp:posOffset>
                </wp:positionH>
                <wp:positionV relativeFrom="paragraph">
                  <wp:posOffset>779145</wp:posOffset>
                </wp:positionV>
                <wp:extent cx="564515" cy="238125"/>
                <wp:effectExtent l="0" t="0" r="6985" b="9525"/>
                <wp:wrapNone/>
                <wp:docPr id="211" name="Надпись 211"/>
                <wp:cNvGraphicFramePr/>
                <a:graphic xmlns:a="http://schemas.openxmlformats.org/drawingml/2006/main">
                  <a:graphicData uri="http://schemas.microsoft.com/office/word/2010/wordprocessingShape">
                    <wps:wsp>
                      <wps:cNvSpPr txBox="1"/>
                      <wps:spPr>
                        <a:xfrm>
                          <a:off x="0" y="0"/>
                          <a:ext cx="56451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542DE" w:rsidRDefault="00C16B02" w:rsidP="00A542DE">
                            <w:pPr>
                              <w:rPr>
                                <w:b/>
                                <w:sz w:val="20"/>
                                <w:szCs w:val="20"/>
                                <w:lang w:val="en-US"/>
                              </w:rPr>
                            </w:pPr>
                            <w:r w:rsidRPr="00A542DE">
                              <w:rPr>
                                <w:b/>
                                <w:sz w:val="20"/>
                                <w:szCs w:val="20"/>
                                <w:lang w:val="en-U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3F92" id="Надпись 211" o:spid="_x0000_s1079" type="#_x0000_t202" style="position:absolute;left:0;text-align:left;margin-left:415.25pt;margin-top:61.35pt;width:44.45pt;height:1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FUqQIAAJsFAAAOAAAAZHJzL2Uyb0RvYy54bWysVMFu2zAMvQ/YPwi6r47TuOuCOkXWosOA&#10;oi3WDj0rstQYk0VNUmJnt973C/uHHXbYbb+Q/tEo2U6yrpcOu9iU+EiK5COPjptKkaWwrgSd03Rv&#10;QInQHIpS3+X0483Zq0NKnGe6YAq0yOlKOHo8efniqDZjMYQ5qEJYgk60G9cmp3PvzThJHJ+Lirk9&#10;MEKjUoKtmMejvUsKy2r0XqlkOBgcJDXYwljgwjm8PW2VdBL9Sym4v5TSCU9UTvFtPn5t/M7CN5kc&#10;sfGdZWZe8u4Z7B9eUbFSY9CNq1PmGVnY8i9XVcktOJB+j0OVgJQlFzEHzCYdPMrmes6MiLlgcZzZ&#10;lMn9P7f8YnllSVnkdJimlGhWYZPW39bf1z/Wv9Y/H+4fvpKgwTrVxo0Rfm3QwDdvocF+9/cOL0P6&#10;jbRV+GNiBPVY8dWmyqLxhONldjDK0owSjqrh/mE6zIKXZGtsrPPvBFQkCDm12MRYW7Y8d76F9pAQ&#10;y4Eqi7NSqXgIxBEnypIlw5YrH5+Izv9AKU3qnB7sZ4PoWEMwbz0rHdyISJ0uXEi8TTBKfqVEwCj9&#10;QUgsXczzidiMc6E38SM6oCSGeo5hh9++6jnGbR5oESOD9hvjqtRgY/Zx1rYlKz71JZMtHnuzk3cQ&#10;fTNrImey/Z4AMyhWyAsL7YQ5w89K7N45c/6KWRwppAKuCX+JH6kAqw+dRMkc7Jen7gMemY5aSmoc&#10;0Zy6zwtmBSXqvcYZeJOORmGm42GUvR7iwe5qZrsavahOACmBLMfXRTHgvepFaaG6xW0yDVFRxTTH&#10;2Dn1vXji28WB24iL6TSCcIoN8+f62vDgOpQ5cPOmuWXWdAT2yPwL6IeZjR/xuMUGSw3ThQdZRpKH&#10;QrdV7RqAGyCOSbetworZPUfUdqdOfgMAAP//AwBQSwMEFAAGAAgAAAAhAOB/LMHiAAAACwEAAA8A&#10;AABkcnMvZG93bnJldi54bWxMj8tOwzAQRfdI/IM1SGwQdZrQV4hTIcRDYkfTgti58ZBExOModpPw&#10;9wwrWM7coztnsu1kWzFg7xtHCuazCARS6UxDlYJ98Xi9BuGDJqNbR6jgGz1s8/OzTKfGjfSKwy5U&#10;gkvIp1pBHUKXSunLGq32M9chcfbpeqsDj30lTa9HLretjKNoKa1uiC/UusP7Gsuv3ckq+Liq3l/8&#10;9HQYk0XSPTwPxerNFEpdXkx3tyACTuEPhl99VoecnY7uRMaLVsE6iRaMchDHKxBMbOabGxBH3iyj&#10;GGSeyf8/5D8AAAD//wMAUEsBAi0AFAAGAAgAAAAhALaDOJL+AAAA4QEAABMAAAAAAAAAAAAAAAAA&#10;AAAAAFtDb250ZW50X1R5cGVzXS54bWxQSwECLQAUAAYACAAAACEAOP0h/9YAAACUAQAACwAAAAAA&#10;AAAAAAAAAAAvAQAAX3JlbHMvLnJlbHNQSwECLQAUAAYACAAAACEAV5lhVKkCAACbBQAADgAAAAAA&#10;AAAAAAAAAAAuAgAAZHJzL2Uyb0RvYy54bWxQSwECLQAUAAYACAAAACEA4H8sweIAAAALAQAADwAA&#10;AAAAAAAAAAAAAAADBQAAZHJzL2Rvd25yZXYueG1sUEsFBgAAAAAEAAQA8wAAABIGAAAAAA==&#10;" fillcolor="white [3201]" stroked="f" strokeweight=".5pt">
                <v:textbox>
                  <w:txbxContent>
                    <w:p w:rsidR="00C16B02" w:rsidRPr="00A542DE" w:rsidRDefault="00C16B02" w:rsidP="00A542DE">
                      <w:pPr>
                        <w:rPr>
                          <w:b/>
                          <w:sz w:val="20"/>
                          <w:szCs w:val="20"/>
                          <w:lang w:val="en-US"/>
                        </w:rPr>
                      </w:pPr>
                      <w:r w:rsidRPr="00A542DE">
                        <w:rPr>
                          <w:b/>
                          <w:sz w:val="20"/>
                          <w:szCs w:val="20"/>
                          <w:lang w:val="en-US"/>
                        </w:rPr>
                        <w:t>2016</w:t>
                      </w:r>
                    </w:p>
                  </w:txbxContent>
                </v:textbox>
              </v:shape>
            </w:pict>
          </mc:Fallback>
        </mc:AlternateContent>
      </w:r>
      <w:r>
        <w:rPr>
          <w:noProof/>
          <w:lang w:eastAsia="ru-RU"/>
        </w:rPr>
        <mc:AlternateContent>
          <mc:Choice Requires="wps">
            <w:drawing>
              <wp:anchor distT="0" distB="0" distL="114300" distR="114300" simplePos="0" relativeHeight="251821056" behindDoc="0" locked="0" layoutInCell="1" allowOverlap="1">
                <wp:simplePos x="0" y="0"/>
                <wp:positionH relativeFrom="column">
                  <wp:posOffset>2480945</wp:posOffset>
                </wp:positionH>
                <wp:positionV relativeFrom="paragraph">
                  <wp:posOffset>770586</wp:posOffset>
                </wp:positionV>
                <wp:extent cx="564515" cy="238125"/>
                <wp:effectExtent l="0" t="0" r="6985" b="9525"/>
                <wp:wrapNone/>
                <wp:docPr id="210" name="Надпись 210"/>
                <wp:cNvGraphicFramePr/>
                <a:graphic xmlns:a="http://schemas.openxmlformats.org/drawingml/2006/main">
                  <a:graphicData uri="http://schemas.microsoft.com/office/word/2010/wordprocessingShape">
                    <wps:wsp>
                      <wps:cNvSpPr txBox="1"/>
                      <wps:spPr>
                        <a:xfrm>
                          <a:off x="0" y="0"/>
                          <a:ext cx="56451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A542DE" w:rsidRDefault="00C16B02">
                            <w:pPr>
                              <w:rPr>
                                <w:b/>
                                <w:sz w:val="20"/>
                                <w:szCs w:val="20"/>
                                <w:lang w:val="en-US"/>
                              </w:rPr>
                            </w:pPr>
                            <w:r w:rsidRPr="00A542DE">
                              <w:rPr>
                                <w:b/>
                                <w:sz w:val="20"/>
                                <w:szCs w:val="20"/>
                                <w:lang w:val="en-U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0" o:spid="_x0000_s1080" type="#_x0000_t202" style="position:absolute;left:0;text-align:left;margin-left:195.35pt;margin-top:60.7pt;width:44.45pt;height:1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IaqQIAAJsFAAAOAAAAZHJzL2Uyb0RvYy54bWysVMFu2zAMvQ/YPwi6r47TuOuCOkXWosOA&#10;oi3WDj0rstQYk0VNUmJnt973C/uHHXbYbb+Q/tEo2U6yrpcOu9iU+EiK5COPjptKkaWwrgSd03Rv&#10;QInQHIpS3+X0483Zq0NKnGe6YAq0yOlKOHo8efniqDZjMYQ5qEJYgk60G9cmp3PvzThJHJ+Lirk9&#10;MEKjUoKtmMejvUsKy2r0XqlkOBgcJDXYwljgwjm8PW2VdBL9Sym4v5TSCU9UTvFtPn5t/M7CN5kc&#10;sfGdZWZe8u4Z7B9eUbFSY9CNq1PmGVnY8i9XVcktOJB+j0OVgJQlFzEHzCYdPMrmes6MiLlgcZzZ&#10;lMn9P7f8YnllSVnkdJhifTSrsEnrb+vv6x/rX+ufD/cPX0nQYJ1q48YIvzZo4Ju30GC/+3uHlyH9&#10;Rtoq/DExgnr0uNpUWTSecLzMDkZZmlHCUTXcP0yHWfCSbI2Ndf6dgIoEIacWmxhry5bnzrfQHhJi&#10;OVBlcVYqFQ+BOOJEWbJk2HLl4xPR+R8opUmd04P9bBAdawjmrWelgxsRqdOFC4m3CUbJr5QIGKU/&#10;CImli3k+EZtxLvQmfkQHlMRQzzHs8NtXPce4zQMtYmTQfmNclRpszD7O2rZkxae+ZLLFY2928g6i&#10;b2ZN5Ew26gkwg2KFvLDQTpgz/KzE7p0z56+YxZFCKuCa8Jf4kQqw+tBJlMzBfnnqPuCR6ailpMYR&#10;zan7vGBWUKLea5yBN+loFGY6HkbZ6yEe7K5mtqvRi+oEkBIpLiTDoxjwXvWitFDd4jaZhqioYppj&#10;7Jz6Xjzx7eLAbcTFdBpBOMWG+XN9bXhwHcocuHnT3DJrOgJ7ZP4F9MPMxo943GKDpYbpwoMsI8lD&#10;oduqdg3ADRDHpNtWYcXsniNqu1MnvwEAAP//AwBQSwMEFAAGAAgAAAAhANimiQviAAAACwEAAA8A&#10;AABkcnMvZG93bnJldi54bWxMj01PhDAQhu8m/odmTLwYt+wnC1I2xqibeHPxI966dAQinRLaBfz3&#10;jic9zrxP3nkm2022FQP2vnGkYD6LQCCVzjRUKXgpHq63IHzQZHTrCBV8o4ddfn6W6dS4kZ5xOIRK&#10;cAn5VCuoQ+hSKX1Zo9V+5jokzj5db3Xgsa+k6fXI5baViyjaSKsb4gu17vCuxvLrcLIKPq6q9yc/&#10;Pb6Oy/Wyu98PRfxmCqUuL6bbGxABp/AHw68+q0POTkd3IuNFq2CZRDGjHCzmKxBMrOJkA+LIm/U2&#10;AZln8v8P+Q8AAAD//wMAUEsBAi0AFAAGAAgAAAAhALaDOJL+AAAA4QEAABMAAAAAAAAAAAAAAAAA&#10;AAAAAFtDb250ZW50X1R5cGVzXS54bWxQSwECLQAUAAYACAAAACEAOP0h/9YAAACUAQAACwAAAAAA&#10;AAAAAAAAAAAvAQAAX3JlbHMvLnJlbHNQSwECLQAUAAYACAAAACEALWRiGqkCAACbBQAADgAAAAAA&#10;AAAAAAAAAAAuAgAAZHJzL2Uyb0RvYy54bWxQSwECLQAUAAYACAAAACEA2KaJC+IAAAALAQAADwAA&#10;AAAAAAAAAAAAAAADBQAAZHJzL2Rvd25yZXYueG1sUEsFBgAAAAAEAAQA8wAAABIGAAAAAA==&#10;" fillcolor="white [3201]" stroked="f" strokeweight=".5pt">
                <v:textbox>
                  <w:txbxContent>
                    <w:p w:rsidR="00C16B02" w:rsidRPr="00A542DE" w:rsidRDefault="00C16B02">
                      <w:pPr>
                        <w:rPr>
                          <w:b/>
                          <w:sz w:val="20"/>
                          <w:szCs w:val="20"/>
                          <w:lang w:val="en-US"/>
                        </w:rPr>
                      </w:pPr>
                      <w:r w:rsidRPr="00A542DE">
                        <w:rPr>
                          <w:b/>
                          <w:sz w:val="20"/>
                          <w:szCs w:val="20"/>
                          <w:lang w:val="en-US"/>
                        </w:rPr>
                        <w:t>2016</w:t>
                      </w:r>
                    </w:p>
                  </w:txbxContent>
                </v:textbox>
              </v:shape>
            </w:pict>
          </mc:Fallback>
        </mc:AlternateContent>
      </w:r>
      <w:r w:rsidR="009B7B03">
        <w:rPr>
          <w:noProof/>
          <w:lang w:eastAsia="ru-RU"/>
        </w:rPr>
        <mc:AlternateContent>
          <mc:Choice Requires="wps">
            <w:drawing>
              <wp:anchor distT="0" distB="0" distL="114300" distR="114300" simplePos="0" relativeHeight="251820032" behindDoc="0" locked="0" layoutInCell="1" allowOverlap="1" wp14:anchorId="1E8E31CF" wp14:editId="50199988">
                <wp:simplePos x="0" y="0"/>
                <wp:positionH relativeFrom="column">
                  <wp:posOffset>5153688</wp:posOffset>
                </wp:positionH>
                <wp:positionV relativeFrom="paragraph">
                  <wp:posOffset>764816</wp:posOffset>
                </wp:positionV>
                <wp:extent cx="699549" cy="110214"/>
                <wp:effectExtent l="0" t="0" r="5715" b="4445"/>
                <wp:wrapNone/>
                <wp:docPr id="207" name="Прямоугольник 207"/>
                <wp:cNvGraphicFramePr/>
                <a:graphic xmlns:a="http://schemas.openxmlformats.org/drawingml/2006/main">
                  <a:graphicData uri="http://schemas.microsoft.com/office/word/2010/wordprocessingShape">
                    <wps:wsp>
                      <wps:cNvSpPr/>
                      <wps:spPr>
                        <a:xfrm>
                          <a:off x="0" y="0"/>
                          <a:ext cx="699549" cy="110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C68B0" id="Прямоугольник 207" o:spid="_x0000_s1026" style="position:absolute;margin-left:405.8pt;margin-top:60.2pt;width:55.1pt;height:8.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EIugIAAJgFAAAOAAAAZHJzL2Uyb0RvYy54bWysVM1u2zAMvg/YOwi6r7aDtF2COkXQosOA&#10;oi3WDj0rspQYkCVNUuJkpwG7Dugj7CF2GfbTZ3DeaJRkO11X7DAsB0UUyY/kZ5JHx+tKoBUztlQy&#10;x9leihGTVBWlnOf47c3Zi5cYWUdkQYSSLMcbZvHx5Pmzo1qP2UAtlCiYQQAi7bjWOV44p8dJYumC&#10;VcTuKc0kKLkyFXEgmnlSGFIDeiWSQZoeJLUyhTaKMmvh9TQq8STgc86ou+TcModEjiE3F04Tzpk/&#10;k8kRGc8N0YuStmmQf8iiIqWEoD3UKXEELU35B1RVUqOs4m6PqipRnJeUhRqgmix9VM31gmgWagFy&#10;rO5psv8Pll6srgwqixwP0kOMJKngIzWftx+2d82P5n77sfnS3Dfft5+an83X5hvyVsBZre0YXK/1&#10;lWklC1dPwJqbyv9DaWgdeN70PLO1QxQeD0aj/eEIIwqqLEsH2dBjJjtnbax7xVSF/CXHBj5jYJes&#10;zq2Lpp2Jj2WVKIuzUogg+NZhJ8KgFYGPPptnLfhvVkJ6W6m8VwT0L4mvK1YSbm4jmLcT8g3jwBLk&#10;PgiJhP7cBSGUMumyqFqQgsXY+yn8uuhdWqHQAOiROcTvsVuAzjKCdNgxy9beu7LQ3r1z+rfEonPv&#10;ESIr6XrnqpTKPAUgoKo2crTvSIrUeJZmqthADxkVh8tqelbCZzsn1l0RA9MEcwcbwl3CwYWqc6za&#10;G0YLZd4/9e7toclBi1EN05lj+25JDMNIvJbQ/qNsOPTjHITh/uEABPNQM3uokcvqREEvZLCLNA1X&#10;b+9Ed+VGVbewSKY+KqiIpBA7x9SZTjhxcWvAKqJsOg1mMMKauHN5rakH96z6trxZ3xKj29510PQX&#10;qptkMn7UwtHWe0o1XTrFy9DfO15bvmH8Q+O0q8rvl4dysNot1MkvAAAA//8DAFBLAwQUAAYACAAA&#10;ACEAuDxUN+EAAAALAQAADwAAAGRycy9kb3ducmV2LnhtbEyPwU7DMBBE70j8g7VIXBB1EqMSQpwK&#10;kJC4cKBUiKMbL7HV2I5iN0n5epYTHHfmaXam3iyuZxOO0QYvIV9lwNC3QVvfSdi9P1+XwGJSXqs+&#10;eJRwwgib5vysVpUOs3/DaZs6RiE+VkqCSWmoOI+tQafiKgzoyfsKo1OJzrHjelQzhbueF1m25k5Z&#10;Tx+MGvDJYHvYHp2E15MQL9OVOMw7Kzr7zT8fP0yQ8vJiebgHlnBJfzD81qfq0FCnfTh6HVkvoczz&#10;NaFkFNkNMCLuipzG7EkRtyXwpub/NzQ/AAAA//8DAFBLAQItABQABgAIAAAAIQC2gziS/gAAAOEB&#10;AAATAAAAAAAAAAAAAAAAAAAAAABbQ29udGVudF9UeXBlc10ueG1sUEsBAi0AFAAGAAgAAAAhADj9&#10;If/WAAAAlAEAAAsAAAAAAAAAAAAAAAAALwEAAF9yZWxzLy5yZWxzUEsBAi0AFAAGAAgAAAAhADx4&#10;cQi6AgAAmAUAAA4AAAAAAAAAAAAAAAAALgIAAGRycy9lMm9Eb2MueG1sUEsBAi0AFAAGAAgAAAAh&#10;ALg8VDfhAAAACwEAAA8AAAAAAAAAAAAAAAAAFAUAAGRycy9kb3ducmV2LnhtbFBLBQYAAAAABAAE&#10;APMAAAAiBgAAAAA=&#10;" fillcolor="white [3212]" stroked="f" strokeweight="1pt"/>
            </w:pict>
          </mc:Fallback>
        </mc:AlternateContent>
      </w:r>
      <w:r w:rsidR="009B7B03">
        <w:rPr>
          <w:noProof/>
          <w:lang w:eastAsia="ru-RU"/>
        </w:rPr>
        <mc:AlternateContent>
          <mc:Choice Requires="wps">
            <w:drawing>
              <wp:anchor distT="0" distB="0" distL="114300" distR="114300" simplePos="0" relativeHeight="251813888" behindDoc="0" locked="0" layoutInCell="1" allowOverlap="1">
                <wp:simplePos x="0" y="0"/>
                <wp:positionH relativeFrom="column">
                  <wp:posOffset>2457809</wp:posOffset>
                </wp:positionH>
                <wp:positionV relativeFrom="paragraph">
                  <wp:posOffset>772187</wp:posOffset>
                </wp:positionV>
                <wp:extent cx="643890" cy="109938"/>
                <wp:effectExtent l="0" t="0" r="3810" b="4445"/>
                <wp:wrapNone/>
                <wp:docPr id="204" name="Прямоугольник 204"/>
                <wp:cNvGraphicFramePr/>
                <a:graphic xmlns:a="http://schemas.openxmlformats.org/drawingml/2006/main">
                  <a:graphicData uri="http://schemas.microsoft.com/office/word/2010/wordprocessingShape">
                    <wps:wsp>
                      <wps:cNvSpPr/>
                      <wps:spPr>
                        <a:xfrm>
                          <a:off x="0" y="0"/>
                          <a:ext cx="643890" cy="109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37BDF" id="Прямоугольник 204" o:spid="_x0000_s1026" style="position:absolute;margin-left:193.55pt;margin-top:60.8pt;width:50.7pt;height:8.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qugIAAJgFAAAOAAAAZHJzL2Uyb0RvYy54bWysVM1u1DAQviPxDpbvNMl2W7qrZqtVqyKk&#10;qq1oUc9ex95Ecmxje/84IXFF4hF4CC6Inz5D9o0Y20m2FMQBsQevJzPzzcznmTk+WdcCLZmxlZI5&#10;zvZSjJikqqjkPMevb8+fHWFkHZEFEUqyHG+YxSeTp0+OV3rMBqpUomAGAYi045XOcemcHieJpSWr&#10;id1TmklQcmVq4kA086QwZAXotUgGaXqYrJQptFGUWQtfz6ISTwI+54y6K84tc0jkGHJz4TThnPkz&#10;mRyT8dwQXVa0TYP8QxY1qSQE7aHOiCNoYarfoOqKGmUVd3tU1YnivKIs1ADVZOmjam5KolmoBcix&#10;uqfJ/j9Yerm8NqgqcjxIhxhJUsMjNZ+277Yfm+/N/fZ987m5b75tPzQ/mi/NV+StgLOVtmNwvdHX&#10;ppUsXD0Ba25q/w+loXXgedPzzNYOUfh4ONw/GsFrUFBl6Wi0f+Qxk52zNta9YKpG/pJjA88Y2CXL&#10;C+uiaWfiY1klquK8EiIIvnXYqTBoSeDRZ/OsBf/FSkhvK5X3ioD+S+LripWEm9sI5u2EfMU4sAS5&#10;D0IioT93QQilTLosqkpSsBj7IIVfF71LKxQaAD0yh/g9dgvQWUaQDjtm2dp7Vxbau3dO/5ZYdO49&#10;QmQlXe9cV1KZPwEIqKqNHO07kiI1nqWZKjbQQ0bF4bKanlfwbBfEumtiYJrgpWFDuCs4uFCrHKv2&#10;hlGpzNs/fff20OSgxWgF05lj+2ZBDMNIvJTQ/qNsOPTjHIThwfMBCOahZvZQIxf1qYJeyGAXaRqu&#10;3t6J7sqNqu9gkUx9VFARSSF2jqkznXDq4taAVUTZdBrMYIQ1cRfyRlMP7ln1bXm7viNGt73roOkv&#10;VTfJZPyohaOt95RqunCKV6G/d7y2fMP4h8ZpV5XfLw/lYLVbqJOfAAAA//8DAFBLAwQUAAYACAAA&#10;ACEA516N5uEAAAALAQAADwAAAGRycy9kb3ducmV2LnhtbEyPwU7DMAyG70i8Q2QkLoilXWCE0nQC&#10;JCQuOzAmxDFrTROtSaomazueHnOCo/1/+v25XM+uYyMO0QavIF9kwNDXobG+VbB7f7mWwGLSvtFd&#10;8KjghBHW1flZqYsmTP4Nx21qGZX4WGgFJqW+4DzWBp2Oi9Cjp+wrDE4nGoeWN4OeqNx1fJllK+60&#10;9XTB6B6fDdaH7dEp2JyEeB2vxGHaWdHab/759GGCUpcX8+MDsIRz+oPhV5/UoSKnfTj6JrJOgZB3&#10;OaEULPMVMCJupLwFtqeNkPfAq5L//6H6AQAA//8DAFBLAQItABQABgAIAAAAIQC2gziS/gAAAOEB&#10;AAATAAAAAAAAAAAAAAAAAAAAAABbQ29udGVudF9UeXBlc10ueG1sUEsBAi0AFAAGAAgAAAAhADj9&#10;If/WAAAAlAEAAAsAAAAAAAAAAAAAAAAALwEAAF9yZWxzLy5yZWxzUEsBAi0AFAAGAAgAAAAhAIH8&#10;G6q6AgAAmAUAAA4AAAAAAAAAAAAAAAAALgIAAGRycy9lMm9Eb2MueG1sUEsBAi0AFAAGAAgAAAAh&#10;AOdejebhAAAACwEAAA8AAAAAAAAAAAAAAAAAFAUAAGRycy9kb3ducmV2LnhtbFBLBQYAAAAABAAE&#10;APMAAAAiBgAAAAA=&#10;" fillcolor="white [3212]" stroked="f" strokeweight="1pt"/>
            </w:pict>
          </mc:Fallback>
        </mc:AlternateContent>
      </w:r>
      <w:r w:rsidR="009B7B03">
        <w:rPr>
          <w:noProof/>
          <w:lang w:eastAsia="ru-RU"/>
        </w:rPr>
        <mc:AlternateContent>
          <mc:Choice Requires="wps">
            <w:drawing>
              <wp:anchor distT="0" distB="0" distL="114300" distR="114300" simplePos="0" relativeHeight="251815936" behindDoc="0" locked="0" layoutInCell="1" allowOverlap="1" wp14:anchorId="1E8E31CF" wp14:editId="50199988">
                <wp:simplePos x="0" y="0"/>
                <wp:positionH relativeFrom="column">
                  <wp:posOffset>3841722</wp:posOffset>
                </wp:positionH>
                <wp:positionV relativeFrom="paragraph">
                  <wp:posOffset>772767</wp:posOffset>
                </wp:positionV>
                <wp:extent cx="643890" cy="119270"/>
                <wp:effectExtent l="0" t="0" r="3810" b="0"/>
                <wp:wrapNone/>
                <wp:docPr id="205" name="Прямоугольник 205"/>
                <wp:cNvGraphicFramePr/>
                <a:graphic xmlns:a="http://schemas.openxmlformats.org/drawingml/2006/main">
                  <a:graphicData uri="http://schemas.microsoft.com/office/word/2010/wordprocessingShape">
                    <wps:wsp>
                      <wps:cNvSpPr/>
                      <wps:spPr>
                        <a:xfrm>
                          <a:off x="0" y="0"/>
                          <a:ext cx="643890" cy="11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8006B" id="Прямоугольник 205" o:spid="_x0000_s1026" style="position:absolute;margin-left:302.5pt;margin-top:60.85pt;width:50.7pt;height:9.4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ervAIAAJgFAAAOAAAAZHJzL2Uyb0RvYy54bWysVM1u2zAMvg/YOwi6r7az9C+oUwQtOgwo&#10;2mLt0LMiy4kBWdQkJU52GrBrgT3CHmKXYT99BueNRsk/6bpih2E5KKJJfiQ/kTw6XpWSLIWxBaiU&#10;JjsxJUJxyAo1S+nbm7MXB5RYx1TGJCiR0rWw9Hj8/NlRpUdiAHOQmTAEQZQdVTqlc+f0KIosn4uS&#10;2R3QQqEyB1Myh6KZRZlhFaKXMhrE8V5Ugcm0AS6sxa+njZKOA36eC+4u89wKR2RKMTcXThPOqT+j&#10;8REbzQzT84K3abB/yKJkhcKgPdQpc4wsTPEHVFlwAxZyt8OhjCDPCy5CDVhNEj+q5nrOtAi1IDlW&#10;9zTZ/wfLL5ZXhhRZSgfxLiWKlfhI9efNh82n+kd9v/lYf6nv6++bu/pn/bX+RrwVclZpO0LXa31l&#10;Wsni1ROwyk3p/7E0sgo8r3uexcoRjh/3hi8PDvE1OKqS5HCwH94h2jprY90rASXxl5QafMbALlue&#10;W4cB0bQz8bEsyCI7K6QMgm8dcSINWTJ89Oks8Qmjx29WUnlbBd6rUfsvka+rqSTc3FoKbyfVG5Ej&#10;S5j7ICQS+nMbhHEulEsa1Zxloom9G+Ovi96lFXIJgB45x/g9dgvQWTYgHXaTZWvvXUVo7945/lti&#10;jXPvESKDcr1zWSgwTwFIrKqN3Nh3JDXUeJamkK2xhww0w2U1Pyvw2c6ZdVfM4DThS+OGcJd45BKq&#10;lEJ7o2QO5v1T3709NjlqKalwOlNq3y2YEZTI1wrb/zAZDv04B2G4uz9AwTzUTB9q1KI8AeyFBHeR&#10;5uHq7Z3srrmB8hYXycRHRRVTHGOnlDvTCSeu2Rq4iriYTIIZjrBm7lxda+7BPau+LW9Wt8zotncd&#10;Nv0FdJPMRo9auLH1ngomCwd5Efp7y2vLN45/aJx2Vfn98lAOVtuFOv4FAAD//wMAUEsDBBQABgAI&#10;AAAAIQBFsrAj4gAAAAsBAAAPAAAAZHJzL2Rvd25yZXYueG1sTI/BTsMwEETvSPyDtUhcELXbtCkK&#10;cSpAQuLCgVJVPbqxia3G6yh2k5SvZznBcWdGs2/KzeRbNpg+uoAS5jMBzGAdtMNGwu7z9f4BWEwK&#10;tWoDGgkXE2FTXV+VqtBhxA8zbFPDqARjoSTYlLqC81hb41Wchc4geV+h9yrR2Tdc92qkct/yhRA5&#10;98ohfbCqMy/W1Kft2Ut4v2TZ23CXncadyxr3zQ/PexukvL2Znh6BJTOlvzD84hM6VMR0DGfUkbUS&#10;crGiLYmMxXwNjBJrkS+BHUlZihXwquT/N1Q/AAAA//8DAFBLAQItABQABgAIAAAAIQC2gziS/gAA&#10;AOEBAAATAAAAAAAAAAAAAAAAAAAAAABbQ29udGVudF9UeXBlc10ueG1sUEsBAi0AFAAGAAgAAAAh&#10;ADj9If/WAAAAlAEAAAsAAAAAAAAAAAAAAAAALwEAAF9yZWxzLy5yZWxzUEsBAi0AFAAGAAgAAAAh&#10;AEyZh6u8AgAAmAUAAA4AAAAAAAAAAAAAAAAALgIAAGRycy9lMm9Eb2MueG1sUEsBAi0AFAAGAAgA&#10;AAAhAEWysCPiAAAACwEAAA8AAAAAAAAAAAAAAAAAFgUAAGRycy9kb3ducmV2LnhtbFBLBQYAAAAA&#10;BAAEAPMAAAAlBgAAAAA=&#10;" fillcolor="white [3212]" stroked="f" strokeweight="1pt"/>
            </w:pict>
          </mc:Fallback>
        </mc:AlternateContent>
      </w:r>
      <w:r w:rsidR="009B7B03">
        <w:rPr>
          <w:noProof/>
          <w:lang w:eastAsia="ru-RU"/>
        </w:rPr>
        <mc:AlternateContent>
          <mc:Choice Requires="wps">
            <w:drawing>
              <wp:anchor distT="0" distB="0" distL="114300" distR="114300" simplePos="0" relativeHeight="251817984" behindDoc="0" locked="0" layoutInCell="1" allowOverlap="1" wp14:anchorId="1E8E31CF" wp14:editId="50199988">
                <wp:simplePos x="0" y="0"/>
                <wp:positionH relativeFrom="column">
                  <wp:posOffset>3994122</wp:posOffset>
                </wp:positionH>
                <wp:positionV relativeFrom="paragraph">
                  <wp:posOffset>925167</wp:posOffset>
                </wp:positionV>
                <wp:extent cx="644055" cy="79016"/>
                <wp:effectExtent l="0" t="0" r="3810" b="0"/>
                <wp:wrapNone/>
                <wp:docPr id="206" name="Прямоугольник 206"/>
                <wp:cNvGraphicFramePr/>
                <a:graphic xmlns:a="http://schemas.openxmlformats.org/drawingml/2006/main">
                  <a:graphicData uri="http://schemas.microsoft.com/office/word/2010/wordprocessingShape">
                    <wps:wsp>
                      <wps:cNvSpPr/>
                      <wps:spPr>
                        <a:xfrm>
                          <a:off x="0" y="0"/>
                          <a:ext cx="644055" cy="79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BEB43" id="Прямоугольник 206" o:spid="_x0000_s1026" style="position:absolute;margin-left:314.5pt;margin-top:72.85pt;width:50.7pt;height:6.2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sNugIAAJcFAAAOAAAAZHJzL2Uyb0RvYy54bWysVM1uEzEQviPxDpbvdHejpqVRN1XUqgip&#10;KhUt6tnxerMreT3GdrIJJySuSDwCD8EF8dNn2LwRY+9PSqk4IHJwPJ6Zb372mzk+WVeSrISxJaiU&#10;JnsxJUJxyEq1SOmbm/NnzymxjqmMSVAipRth6cn06ZPjWk/ECAqQmTAEQZSd1DqlhXN6EkWWF6Ji&#10;dg+0UKjMwVTMoWgWUWZYjeiVjEZxfBDVYDJtgAtr8fWsVdJpwM9zwd2rPLfCEZlSzM2F04Rz7s9o&#10;eswmC8N0UfIuDfYPWVSsVBh0gDpjjpGlKf+AqkpuwELu9jhUEeR5yUWoAatJ4gfVXBdMi1ALNsfq&#10;oU32/8Hyy9WVIWWW0lF8QIliFX6k5vP2/fZT86O5235ovjR3zfftx+Zn87X5RrwV9qzWdoKu1/rK&#10;dJLFq2/AOjeV/8fSyDr0eTP0Wawd4fh4sL8fj8eUcFQdHsVJgIx2vtpY90JARfwlpQa/YmguW11Y&#10;h/HQtDfxoSzIMjsvpQyCZ444lYasGH7z+SLx+aLHb1ZSeVsF3qtV+5fIl9UWEm5uI4W3k+q1yLFJ&#10;mPooJBLouQvCOBfKJa2qYJloY49j/PXR+7RCLgHQI+cYf8DuAHrLFqTHbrPs7L2rCOwenOO/JdY6&#10;Dx4hMig3OFelAvMYgMSqusitfd+ktjW+S3PINkghA+1sWc3PS/xsF8y6K2ZwmHDscEG4V3jkEuqU&#10;QnejpADz7rF3b48cRy0lNQ5nSu3bJTOCEvlSIfuPEmQQTnMQ9seHIxTMfc38vkYtq1NALiS4ijQP&#10;V2/vZH/NDVS3uEdmPiqqmOIYO6XcmV44de3SwE3ExWwWzHCCNXMX6lpzD+676ml5s75lRnfcdcj5&#10;S+gHmU0eULi19Z4KZksHeRn4vetr12+c/kCcblP59XJfDla7fTr9BQAA//8DAFBLAwQUAAYACAAA&#10;ACEAMXgywuIAAAALAQAADwAAAGRycy9kb3ducmV2LnhtbEyPzU7DMBCE70i8g7VIXBB1Wvc3xKkA&#10;CYkLB0qFenTjJbYa21HsJilPz3KC486MZr8ptqNrWI9dtMFLmE4yYOiroK2vJew/Xu7XwGJSXqsm&#10;eJRwwQjb8vqqULkOg3/HfpdqRiU+5kqCSanNOY+VQafiJLToyfsKnVOJzq7mulMDlbuGz7JsyZ2y&#10;nj4Y1eKzweq0OzsJbxchXvs7cRr2VtT2mx+ePk2Q8vZmfHwAlnBMf2H4xSd0KInpGM5eR9ZIWM42&#10;tCWRMV+sgFFiJbI5sCMpi/UUeFnw/xvKHwAAAP//AwBQSwECLQAUAAYACAAAACEAtoM4kv4AAADh&#10;AQAAEwAAAAAAAAAAAAAAAAAAAAAAW0NvbnRlbnRfVHlwZXNdLnhtbFBLAQItABQABgAIAAAAIQA4&#10;/SH/1gAAAJQBAAALAAAAAAAAAAAAAAAAAC8BAABfcmVscy8ucmVsc1BLAQItABQABgAIAAAAIQCI&#10;8qsNugIAAJcFAAAOAAAAAAAAAAAAAAAAAC4CAABkcnMvZTJvRG9jLnhtbFBLAQItABQABgAIAAAA&#10;IQAxeDLC4gAAAAsBAAAPAAAAAAAAAAAAAAAAABQFAABkcnMvZG93bnJldi54bWxQSwUGAAAAAAQA&#10;BADzAAAAIwYAAAAA&#10;" fillcolor="white [3212]" stroked="f" strokeweight="1pt"/>
            </w:pict>
          </mc:Fallback>
        </mc:AlternateContent>
      </w:r>
      <w:r w:rsidR="009B7B03">
        <w:rPr>
          <w:noProof/>
          <w:lang w:eastAsia="ru-RU"/>
        </w:rPr>
        <mc:AlternateContent>
          <mc:Choice Requires="wps">
            <w:drawing>
              <wp:anchor distT="0" distB="0" distL="114300" distR="114300" simplePos="0" relativeHeight="251812864" behindDoc="0" locked="0" layoutInCell="1" allowOverlap="1" wp14:anchorId="0379950F" wp14:editId="6A5824EE">
                <wp:simplePos x="0" y="0"/>
                <wp:positionH relativeFrom="margin">
                  <wp:posOffset>4931741</wp:posOffset>
                </wp:positionH>
                <wp:positionV relativeFrom="paragraph">
                  <wp:posOffset>582295</wp:posOffset>
                </wp:positionV>
                <wp:extent cx="1031709" cy="285750"/>
                <wp:effectExtent l="0" t="0" r="0" b="0"/>
                <wp:wrapNone/>
                <wp:docPr id="203" name="Надпись 203"/>
                <wp:cNvGraphicFramePr/>
                <a:graphic xmlns:a="http://schemas.openxmlformats.org/drawingml/2006/main">
                  <a:graphicData uri="http://schemas.microsoft.com/office/word/2010/wordprocessingShape">
                    <wps:wsp>
                      <wps:cNvSpPr txBox="1"/>
                      <wps:spPr>
                        <a:xfrm>
                          <a:off x="0" y="0"/>
                          <a:ext cx="103170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9B7B03">
                            <w:pPr>
                              <w:jc w:val="center"/>
                              <w:rPr>
                                <w:sz w:val="16"/>
                                <w:szCs w:val="16"/>
                                <w:lang w:val="en-US"/>
                              </w:rPr>
                            </w:pPr>
                            <w:r>
                              <w:rPr>
                                <w:sz w:val="16"/>
                                <w:szCs w:val="16"/>
                                <w:lang w:val="en-US"/>
                              </w:rPr>
                              <w:t xml:space="preserve">After deal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950F" id="Надпись 203" o:spid="_x0000_s1081" type="#_x0000_t202" style="position:absolute;left:0;text-align:left;margin-left:388.35pt;margin-top:45.85pt;width:81.25pt;height:2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GTnAIAAHQFAAAOAAAAZHJzL2Uyb0RvYy54bWysVM1uEzEQviPxDpbvdDdp05+omyq0KkKq&#10;2ooW9ex47WaF7TG2k91w484r8A4cOHDjFdI3YuzdTUPhUsRld+z5Zjzf/B2fNFqRpXC+AlPQwU5O&#10;iTAcysrcF/T97fmrQ0p8YKZkCowo6Ep4ejJ5+eK4tmMxhDmoUjiCTowf17ag8xDsOMs8nwvN/A5Y&#10;YVApwWkW8Ojus9KxGr1rlQ3zfD+rwZXWARfe4+1Zq6ST5F9KwcOVlF4EogqKsYX0dek7i99scszG&#10;947ZecW7MNg/RKFZZfDRjaszFhhZuOoPV7riDjzIsMNBZyBlxUXigGwG+RM2N3NmReKCyfF2kyb/&#10;/9zyy+W1I1VZ0GG+S4lhGou0/rr+tv6+/rn+8fD54QuJGsxTbf0Y4TcWDULzGhqsd3/v8TLSb6TT&#10;8Y/ECOox46tNlkUTCI9G+e7gID+ihKNueDg6GKUyZI/W1vnwRoAmUSiowyqm5LLlhQ8YCUJ7SHzM&#10;wHmlVKqkMqQu6P4uuvxNgxbKxBuReqJzExm1kScprJSIGGXeCYk5SQTiRepGcaocWTLsI8a5MCFx&#10;T34RHVESg3iOYYd/jOo5xi2P/mUwYWOsKwMusX8SdvmhD1m2eEzkFu8ohmbWpGYYjfrKzqBcYcEd&#10;tKPjLT+vsCoXzIdr5nBWsMY4/+EKP1IBZh86iZI5uE9/u494bGHUUlLj7BXUf1wwJyhRbw0299Fg&#10;by8OazrsjQ6GeHDbmtm2xiz0KWBZBrhpLE9ixAfVi9KBvsM1MY2voooZjm8XNPTiaWg3Aq4ZLqbT&#10;BMLxtCxcmBvLo+tYpdhzt80dc7ZrzIAtfQn9lLLxk/5ssdHSwHQRQFapeWOi26x2BcDRTj3draG4&#10;O7bPCfW4LCe/AAAA//8DAFBLAwQUAAYACAAAACEAm4TYQuEAAAAKAQAADwAAAGRycy9kb3ducmV2&#10;LnhtbEyPwUrDQBCG74LvsIzgzW6aYtPEbEoJFEH00NqLt0l2mgSzuzG7baNP73iqp2H4P/75Jl9P&#10;phdnGn3nrIL5LAJBtna6s42Cw/v2YQXCB7Qae2dJwTd5WBe3Nzlm2l3sjs770AgusT5DBW0IQyal&#10;r1sy6GduIMvZ0Y0GA69jI/WIFy43vYyjaCkNdpYvtDhQ2VL9uT8ZBS/l9g13VWxWP335/HrcDF+H&#10;j0el7u+mzROIQFO4wvCnz+pQsFPlTlZ70StIkmXCqIJ0zpOBdJHGIComF5zIIpf/Xyh+AQAA//8D&#10;AFBLAQItABQABgAIAAAAIQC2gziS/gAAAOEBAAATAAAAAAAAAAAAAAAAAAAAAABbQ29udGVudF9U&#10;eXBlc10ueG1sUEsBAi0AFAAGAAgAAAAhADj9If/WAAAAlAEAAAsAAAAAAAAAAAAAAAAALwEAAF9y&#10;ZWxzLy5yZWxzUEsBAi0AFAAGAAgAAAAhAJ5vAZOcAgAAdAUAAA4AAAAAAAAAAAAAAAAALgIAAGRy&#10;cy9lMm9Eb2MueG1sUEsBAi0AFAAGAAgAAAAhAJuE2ELhAAAACgEAAA8AAAAAAAAAAAAAAAAA9gQA&#10;AGRycy9kb3ducmV2LnhtbFBLBQYAAAAABAAEAPMAAAAEBgAAAAA=&#10;" filled="f" stroked="f" strokeweight=".5pt">
                <v:textbox>
                  <w:txbxContent>
                    <w:p w:rsidR="00C16B02" w:rsidRPr="005D213F" w:rsidRDefault="00C16B02" w:rsidP="009B7B03">
                      <w:pPr>
                        <w:jc w:val="center"/>
                        <w:rPr>
                          <w:sz w:val="16"/>
                          <w:szCs w:val="16"/>
                          <w:lang w:val="en-US"/>
                        </w:rPr>
                      </w:pPr>
                      <w:r>
                        <w:rPr>
                          <w:sz w:val="16"/>
                          <w:szCs w:val="16"/>
                          <w:lang w:val="en-US"/>
                        </w:rPr>
                        <w:t xml:space="preserve">After deal </w:t>
                      </w:r>
                    </w:p>
                  </w:txbxContent>
                </v:textbox>
                <w10:wrap anchorx="margin"/>
              </v:shape>
            </w:pict>
          </mc:Fallback>
        </mc:AlternateContent>
      </w:r>
      <w:r w:rsidR="009B7B03">
        <w:rPr>
          <w:noProof/>
          <w:lang w:eastAsia="ru-RU"/>
        </w:rPr>
        <mc:AlternateContent>
          <mc:Choice Requires="wps">
            <w:drawing>
              <wp:anchor distT="0" distB="0" distL="114300" distR="114300" simplePos="0" relativeHeight="251810816" behindDoc="0" locked="0" layoutInCell="1" allowOverlap="1" wp14:anchorId="21DFC450" wp14:editId="207AF1BA">
                <wp:simplePos x="0" y="0"/>
                <wp:positionH relativeFrom="margin">
                  <wp:posOffset>3675711</wp:posOffset>
                </wp:positionH>
                <wp:positionV relativeFrom="paragraph">
                  <wp:posOffset>582654</wp:posOffset>
                </wp:positionV>
                <wp:extent cx="1031709" cy="285750"/>
                <wp:effectExtent l="0" t="0" r="0" b="0"/>
                <wp:wrapNone/>
                <wp:docPr id="202" name="Надпись 202"/>
                <wp:cNvGraphicFramePr/>
                <a:graphic xmlns:a="http://schemas.openxmlformats.org/drawingml/2006/main">
                  <a:graphicData uri="http://schemas.microsoft.com/office/word/2010/wordprocessingShape">
                    <wps:wsp>
                      <wps:cNvSpPr txBox="1"/>
                      <wps:spPr>
                        <a:xfrm>
                          <a:off x="0" y="0"/>
                          <a:ext cx="103170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9B7B03">
                            <w:pPr>
                              <w:jc w:val="center"/>
                              <w:rPr>
                                <w:sz w:val="16"/>
                                <w:szCs w:val="16"/>
                                <w:lang w:val="en-US"/>
                              </w:rPr>
                            </w:pPr>
                            <w:r>
                              <w:rPr>
                                <w:sz w:val="16"/>
                                <w:szCs w:val="16"/>
                                <w:lang w:val="en-US"/>
                              </w:rPr>
                              <w:t xml:space="preserve">Adjustments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C450" id="Надпись 202" o:spid="_x0000_s1082" type="#_x0000_t202" style="position:absolute;left:0;text-align:left;margin-left:289.45pt;margin-top:45.9pt;width:81.25pt;height:2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3SnAIAAHQFAAAOAAAAZHJzL2Uyb0RvYy54bWysVM1uEzEQviPxDpbvdDdp05+omyq0KkKq&#10;2ooW9ex47WaF7TG2k91w484r8A4cOHDjFdI3YuzdTUPhUsRld+z5Zjzf/B2fNFqRpXC+AlPQwU5O&#10;iTAcysrcF/T97fmrQ0p8YKZkCowo6Ep4ejJ5+eK4tmMxhDmoUjiCTowf17ag8xDsOMs8nwvN/A5Y&#10;YVApwWkW8Ojus9KxGr1rlQ3zfD+rwZXWARfe4+1Zq6ST5F9KwcOVlF4EogqKsYX0dek7i99scszG&#10;947ZecW7MNg/RKFZZfDRjaszFhhZuOoPV7riDjzIsMNBZyBlxUXigGwG+RM2N3NmReKCyfF2kyb/&#10;/9zyy+W1I1VZ0GE+pMQwjUVaf11/W39f/1z/ePj88IVEDeaptn6M8BuLBqF5DQ3Wu7/3eBnpN9Lp&#10;+EdiBPWY8dUmy6IJhEejfHdwkB9RwlE3PBwdjFIZskdr63x4I0CTKBTUYRVTctnywgeMBKE9JD5m&#10;4LxSKlVSGVIXdH8XXf6mQQtl4o1IPdG5iYzayJMUVkpEjDLvhMScJALxInWjOFWOLBn2EeNcmJC4&#10;J7+IjiiJQTzHsMM/RvUc45ZH/zKYsDHWlQGX2D8Ju/zQhyxbPCZyi3cUQzNrUjOM9vvKzqBcYcEd&#10;tKPjLT+vsCoXzIdr5nBWsMY4/+EKP1IBZh86iZI5uE9/u494bGHUUlLj7BXUf1wwJyhRbw0299Fg&#10;by8OazrsjQ6GeHDbmtm2xiz0KWBZBrhpLE9ixAfVi9KBvsM1MY2voooZjm8XNPTiaWg3Aq4ZLqbT&#10;BMLxtCxcmBvLo+tYpdhzt80dc7ZrzIAtfQn9lLLxk/5ssdHSwHQRQFapeWOi26x2BcDRTj3draG4&#10;O7bPCfW4LCe/AAAA//8DAFBLAwQUAAYACAAAACEASnqHLeIAAAAKAQAADwAAAGRycy9kb3ducmV2&#10;LnhtbEyPy07DMBBF90j8gzVI7KiT0kca4lRVpAoJ0UVLN+yceJpExOMQu23g6xlWsBzN0b3nZuvR&#10;duKCg28dKYgnEQikypmWagXHt+1DAsIHTUZ3jlDBF3pY57c3mU6Nu9IeL4dQCw4hn2oFTQh9KqWv&#10;GrTaT1yPxL+TG6wOfA61NIO+crjt5DSKFtLqlrih0T0WDVYfh7NV8FJsd3pfTm3y3RXPr6dN/3l8&#10;nyt1fzdunkAEHMMfDL/6rA45O5XuTMaLTsF8mawYVbCKeQIDy1k8A1Ey+bhIQOaZ/D8h/wEAAP//&#10;AwBQSwECLQAUAAYACAAAACEAtoM4kv4AAADhAQAAEwAAAAAAAAAAAAAAAAAAAAAAW0NvbnRlbnRf&#10;VHlwZXNdLnhtbFBLAQItABQABgAIAAAAIQA4/SH/1gAAAJQBAAALAAAAAAAAAAAAAAAAAC8BAABf&#10;cmVscy8ucmVsc1BLAQItABQABgAIAAAAIQBhCc3SnAIAAHQFAAAOAAAAAAAAAAAAAAAAAC4CAABk&#10;cnMvZTJvRG9jLnhtbFBLAQItABQABgAIAAAAIQBKeoct4gAAAAoBAAAPAAAAAAAAAAAAAAAAAPYE&#10;AABkcnMvZG93bnJldi54bWxQSwUGAAAAAAQABADzAAAABQYAAAAA&#10;" filled="f" stroked="f" strokeweight=".5pt">
                <v:textbox>
                  <w:txbxContent>
                    <w:p w:rsidR="00C16B02" w:rsidRPr="005D213F" w:rsidRDefault="00C16B02" w:rsidP="009B7B03">
                      <w:pPr>
                        <w:jc w:val="center"/>
                        <w:rPr>
                          <w:sz w:val="16"/>
                          <w:szCs w:val="16"/>
                          <w:lang w:val="en-US"/>
                        </w:rPr>
                      </w:pPr>
                      <w:r>
                        <w:rPr>
                          <w:sz w:val="16"/>
                          <w:szCs w:val="16"/>
                          <w:lang w:val="en-US"/>
                        </w:rPr>
                        <w:t xml:space="preserve">Adjustments </w:t>
                      </w:r>
                    </w:p>
                  </w:txbxContent>
                </v:textbox>
                <w10:wrap anchorx="margin"/>
              </v:shape>
            </w:pict>
          </mc:Fallback>
        </mc:AlternateContent>
      </w:r>
      <w:r w:rsidR="009B7B03">
        <w:rPr>
          <w:noProof/>
          <w:lang w:eastAsia="ru-RU"/>
        </w:rPr>
        <mc:AlternateContent>
          <mc:Choice Requires="wps">
            <w:drawing>
              <wp:anchor distT="0" distB="0" distL="114300" distR="114300" simplePos="0" relativeHeight="251808768" behindDoc="0" locked="0" layoutInCell="1" allowOverlap="1" wp14:anchorId="7C5B6AF0" wp14:editId="5A227531">
                <wp:simplePos x="0" y="0"/>
                <wp:positionH relativeFrom="margin">
                  <wp:posOffset>2233709</wp:posOffset>
                </wp:positionH>
                <wp:positionV relativeFrom="paragraph">
                  <wp:posOffset>586740</wp:posOffset>
                </wp:positionV>
                <wp:extent cx="1031709" cy="285750"/>
                <wp:effectExtent l="0" t="0" r="0" b="0"/>
                <wp:wrapNone/>
                <wp:docPr id="201" name="Надпись 201"/>
                <wp:cNvGraphicFramePr/>
                <a:graphic xmlns:a="http://schemas.openxmlformats.org/drawingml/2006/main">
                  <a:graphicData uri="http://schemas.microsoft.com/office/word/2010/wordprocessingShape">
                    <wps:wsp>
                      <wps:cNvSpPr txBox="1"/>
                      <wps:spPr>
                        <a:xfrm>
                          <a:off x="0" y="0"/>
                          <a:ext cx="103170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5D213F" w:rsidRDefault="00C16B02" w:rsidP="009B7B03">
                            <w:pPr>
                              <w:jc w:val="center"/>
                              <w:rPr>
                                <w:sz w:val="16"/>
                                <w:szCs w:val="16"/>
                                <w:lang w:val="en-US"/>
                              </w:rPr>
                            </w:pPr>
                            <w:r>
                              <w:rPr>
                                <w:sz w:val="16"/>
                                <w:szCs w:val="16"/>
                                <w:lang w:val="en-US"/>
                              </w:rPr>
                              <w:t>Before 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6AF0" id="Надпись 201" o:spid="_x0000_s1083" type="#_x0000_t202" style="position:absolute;left:0;text-align:left;margin-left:175.9pt;margin-top:46.2pt;width:81.25pt;height:2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XzmwIAAHQFAAAOAAAAZHJzL2Uyb0RvYy54bWysVM1uEzEQviPxDpbvdJO0adqomyq0KkKq&#10;2ooU9ex47WaF7TG2k91w484r8A4cOHDjFdI3YuzdTUPhUsRld+z5Zjw/38zJaa0VWQnnSzA57e/1&#10;KBGGQ1Ga+5y+v714dUSJD8wUTIEROV0LT08nL1+cVHYsBrAAVQhH0Inx48rmdBGCHWeZ5wuhmd8D&#10;KwwqJTjNAh7dfVY4VqF3rbJBr3eYVeAK64AL7/H2vFHSSfIvpeDhWkovAlE5xdhC+rr0ncdvNjlh&#10;43vH7KLkbRjsH6LQrDT46NbVOQuMLF35hytdcgceZNjjoDOQsuQi5YDZ9HtPspktmBUpFyyOt9sy&#10;+f/nll+tbhwpi5zi+5QYprFJm6+bb5vvm5+bHw+fH76QqME6VdaPET6zaBDq11Bjv7t7j5cx/Vo6&#10;Hf+YGEE9Vny9rbKoA+HRqLffH/WOKeGoGxwNR8PUhuzR2jof3gjQJAo5ddjFVFy2uvQBI0FoB4mP&#10;GbgolUqdVIZUOT3cR5e/adBCmXgjEidaNzGjJvIkhbUSEaPMOyGxJimBeJHYKM6UIyuGPGKcCxNS&#10;7skvoiNKYhDPMWzxj1E9x7jJo3sZTNga69KAS9k/Cbv40IUsGzwWcifvKIZ6XicyDEddZ+dQrLHh&#10;DprR8ZZflNiVS+bDDXM4K9hjnP9wjR+pAKsPrUTJAtynv91HPFIYtZRUOHs59R+XzAlK1FuD5D7u&#10;HxzEYU2Hg+FogAe3q5nvasxSnwG2BemL0SUx4oPqROlA3+GamMZXUcUMx7dzGjrxLDQbAdcMF9Np&#10;AuF4WhYuzczy6Dp2KXLutr5jzrbEDEjpK+imlI2f8LPBRksD02UAWSbyxkI3VW0bgKOdON2uobg7&#10;ds8J9bgsJ78AAAD//wMAUEsDBBQABgAIAAAAIQAmQ9984QAAAAoBAAAPAAAAZHJzL2Rvd25yZXYu&#10;eG1sTI/LTsMwEEX3SPyDNUjsqPOEEuJUVaQKCdFFSzfsJrGbRNjjELtt4OsxK1iO7tG9Z8rVbDQ7&#10;q8kNlgTEiwiYotbKgToBh7fN3RKY80gStSUl4Es5WFXXVyUW0l5op85737FQQq5AAb33Y8G5a3tl&#10;0C3sqChkRzsZ9OGcOi4nvIRyo3kSRffc4EBhocdR1b1qP/YnI+Cl3mxx1yRm+a3r59fjevw8vOdC&#10;3N7M6ydgXs3+D4Zf/aAOVXBq7ImkY1pAmsdB3Qt4TDJgAcjjLAXWBDJ9yIBXJf//QvUDAAD//wMA&#10;UEsBAi0AFAAGAAgAAAAhALaDOJL+AAAA4QEAABMAAAAAAAAAAAAAAAAAAAAAAFtDb250ZW50X1R5&#10;cGVzXS54bWxQSwECLQAUAAYACAAAACEAOP0h/9YAAACUAQAACwAAAAAAAAAAAAAAAAAvAQAAX3Jl&#10;bHMvLnJlbHNQSwECLQAUAAYACAAAACEAHmdF85sCAAB0BQAADgAAAAAAAAAAAAAAAAAuAgAAZHJz&#10;L2Uyb0RvYy54bWxQSwECLQAUAAYACAAAACEAJkPffOEAAAAKAQAADwAAAAAAAAAAAAAAAAD1BAAA&#10;ZHJzL2Rvd25yZXYueG1sUEsFBgAAAAAEAAQA8wAAAAMGAAAAAA==&#10;" filled="f" stroked="f" strokeweight=".5pt">
                <v:textbox>
                  <w:txbxContent>
                    <w:p w:rsidR="00C16B02" w:rsidRPr="005D213F" w:rsidRDefault="00C16B02" w:rsidP="009B7B03">
                      <w:pPr>
                        <w:jc w:val="center"/>
                        <w:rPr>
                          <w:sz w:val="16"/>
                          <w:szCs w:val="16"/>
                          <w:lang w:val="en-US"/>
                        </w:rPr>
                      </w:pPr>
                      <w:r>
                        <w:rPr>
                          <w:sz w:val="16"/>
                          <w:szCs w:val="16"/>
                          <w:lang w:val="en-US"/>
                        </w:rPr>
                        <w:t>Before deal</w:t>
                      </w:r>
                    </w:p>
                  </w:txbxContent>
                </v:textbox>
                <w10:wrap anchorx="margin"/>
              </v:shape>
            </w:pict>
          </mc:Fallback>
        </mc:AlternateContent>
      </w:r>
      <w:r w:rsidR="00CB20FF" w:rsidRPr="00CB20FF">
        <w:rPr>
          <w:lang w:val="en-US"/>
        </w:rPr>
        <w:t> </w:t>
      </w:r>
      <w:r w:rsidR="00CB20FF">
        <w:rPr>
          <w:noProof/>
          <w:lang w:eastAsia="ru-RU"/>
        </w:rPr>
        <w:drawing>
          <wp:inline distT="0" distB="0" distL="0" distR="0" wp14:anchorId="6F0D2BD0" wp14:editId="04019D2B">
            <wp:extent cx="5939790" cy="5438775"/>
            <wp:effectExtent l="0" t="0" r="3810" b="9525"/>
            <wp:docPr id="181" name="Рисунок 181"/>
            <wp:cNvGraphicFramePr/>
            <a:graphic xmlns:a="http://schemas.openxmlformats.org/drawingml/2006/main">
              <a:graphicData uri="http://schemas.openxmlformats.org/drawingml/2006/picture">
                <pic:pic xmlns:pic="http://schemas.openxmlformats.org/drawingml/2006/picture">
                  <pic:nvPicPr>
                    <pic:cNvPr id="158" name="Рисунок 158"/>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5438775"/>
                    </a:xfrm>
                    <a:prstGeom prst="rect">
                      <a:avLst/>
                    </a:prstGeom>
                    <a:noFill/>
                    <a:ln>
                      <a:noFill/>
                    </a:ln>
                  </pic:spPr>
                </pic:pic>
              </a:graphicData>
            </a:graphic>
          </wp:inline>
        </w:drawing>
      </w:r>
    </w:p>
    <w:p w:rsidR="00CB20FF" w:rsidRPr="00CB20FF" w:rsidRDefault="00171E0C" w:rsidP="00CB20FF">
      <w:pPr>
        <w:pStyle w:val="a5"/>
        <w:spacing w:line="360" w:lineRule="auto"/>
        <w:ind w:firstLine="567"/>
        <w:jc w:val="center"/>
        <w:rPr>
          <w:lang w:val="en-US"/>
        </w:rPr>
      </w:pPr>
      <w:r>
        <w:rPr>
          <w:lang w:val="en-US"/>
        </w:rPr>
        <w:t>Pic</w:t>
      </w:r>
      <w:r w:rsidR="00CB20FF" w:rsidRPr="00CB20FF">
        <w:rPr>
          <w:lang w:val="en-US"/>
        </w:rPr>
        <w:t xml:space="preserve">. 24. </w:t>
      </w:r>
      <w:r w:rsidR="00CB20FF">
        <w:rPr>
          <w:lang w:val="en-US"/>
        </w:rPr>
        <w:t>Corrections introduced into the balance sheet</w:t>
      </w:r>
    </w:p>
    <w:p w:rsidR="00CB20FF" w:rsidRPr="00CB20FF" w:rsidRDefault="00CB20FF" w:rsidP="00CB20FF">
      <w:pPr>
        <w:pStyle w:val="a5"/>
        <w:spacing w:line="360" w:lineRule="auto"/>
        <w:ind w:firstLine="567"/>
        <w:jc w:val="center"/>
        <w:rPr>
          <w:lang w:val="en-US"/>
        </w:rPr>
      </w:pPr>
      <w:r w:rsidRPr="00CB20FF">
        <w:rPr>
          <w:lang w:val="en-US"/>
        </w:rPr>
        <w:t>[Compiled by the author]</w:t>
      </w:r>
    </w:p>
    <w:p w:rsidR="00CB20FF" w:rsidRDefault="00CB20FF" w:rsidP="00CB20FF">
      <w:pPr>
        <w:pStyle w:val="a5"/>
        <w:spacing w:line="360" w:lineRule="auto"/>
        <w:ind w:firstLine="567"/>
        <w:jc w:val="both"/>
        <w:rPr>
          <w:lang w:val="en-US"/>
        </w:rPr>
      </w:pPr>
      <w:r w:rsidRPr="00CB20FF">
        <w:rPr>
          <w:lang w:val="en-US"/>
        </w:rPr>
        <w:t xml:space="preserve">The final balance sheet of the company, taking into account the amendments introduced, </w:t>
      </w:r>
      <w:proofErr w:type="gramStart"/>
      <w:r w:rsidRPr="00CB20FF">
        <w:rPr>
          <w:lang w:val="en-US"/>
        </w:rPr>
        <w:t>is presented</w:t>
      </w:r>
      <w:proofErr w:type="gramEnd"/>
      <w:r w:rsidRPr="00CB20FF">
        <w:rPr>
          <w:lang w:val="en-US"/>
        </w:rPr>
        <w:t xml:space="preserve"> in Appe</w:t>
      </w:r>
      <w:r w:rsidR="00405102">
        <w:rPr>
          <w:lang w:val="en-US"/>
        </w:rPr>
        <w:t>ndix 11</w:t>
      </w:r>
      <w:r w:rsidRPr="00CB20FF">
        <w:rPr>
          <w:lang w:val="en-US"/>
        </w:rPr>
        <w:t xml:space="preserve">. In the period from 2015-2024, the balance does not converge. This is </w:t>
      </w:r>
      <w:proofErr w:type="gramStart"/>
      <w:r w:rsidRPr="00CB20FF">
        <w:rPr>
          <w:lang w:val="en-US"/>
        </w:rPr>
        <w:t>due to the fact that</w:t>
      </w:r>
      <w:proofErr w:type="gramEnd"/>
      <w:r w:rsidRPr="00CB20FF">
        <w:rPr>
          <w:lang w:val="en-US"/>
        </w:rPr>
        <w:t xml:space="preserve"> the </w:t>
      </w:r>
      <w:r>
        <w:rPr>
          <w:lang w:val="en-US"/>
        </w:rPr>
        <w:t xml:space="preserve">debt repayment schedule is not created yet. </w:t>
      </w:r>
    </w:p>
    <w:p w:rsidR="00CB20FF" w:rsidRDefault="00CB20FF" w:rsidP="00CB20FF">
      <w:pPr>
        <w:pStyle w:val="4"/>
        <w:rPr>
          <w:lang w:val="en-US"/>
        </w:rPr>
      </w:pPr>
      <w:r>
        <w:rPr>
          <w:lang w:val="en-US"/>
        </w:rPr>
        <w:t>Step 5. Building LBO-model</w:t>
      </w:r>
    </w:p>
    <w:p w:rsidR="005930B3" w:rsidRPr="005930B3" w:rsidRDefault="005930B3" w:rsidP="005930B3">
      <w:pPr>
        <w:pStyle w:val="a5"/>
        <w:spacing w:line="360" w:lineRule="auto"/>
        <w:ind w:firstLine="708"/>
        <w:jc w:val="both"/>
        <w:rPr>
          <w:i/>
          <w:lang w:val="en-US"/>
        </w:rPr>
      </w:pPr>
      <w:proofErr w:type="gramStart"/>
      <w:r w:rsidRPr="005930B3">
        <w:rPr>
          <w:i/>
          <w:lang w:val="en-US"/>
        </w:rPr>
        <w:t>Building debt repayment schedule</w:t>
      </w:r>
      <w:proofErr w:type="gramEnd"/>
      <w:r w:rsidRPr="005930B3">
        <w:rPr>
          <w:i/>
          <w:lang w:val="en-US"/>
        </w:rPr>
        <w:t xml:space="preserve"> </w:t>
      </w:r>
    </w:p>
    <w:p w:rsidR="00CB20FF" w:rsidRDefault="00CB20FF" w:rsidP="005930B3">
      <w:pPr>
        <w:pStyle w:val="a5"/>
        <w:spacing w:line="360" w:lineRule="auto"/>
        <w:ind w:firstLine="708"/>
        <w:jc w:val="both"/>
        <w:rPr>
          <w:lang w:val="en-US"/>
        </w:rPr>
      </w:pPr>
      <w:r w:rsidRPr="00CB20FF">
        <w:rPr>
          <w:lang w:val="en-US"/>
        </w:rPr>
        <w:t>The debt repayment schedule is a scheme f</w:t>
      </w:r>
      <w:r w:rsidR="0095500D">
        <w:rPr>
          <w:lang w:val="en-US"/>
        </w:rPr>
        <w:t xml:space="preserve">or repaying the company's debt. </w:t>
      </w:r>
      <w:r w:rsidRPr="00CB20FF">
        <w:rPr>
          <w:lang w:val="en-US"/>
        </w:rPr>
        <w:t xml:space="preserve">For each of the elements of the financing structure, an individual repayment schedule </w:t>
      </w:r>
      <w:proofErr w:type="gramStart"/>
      <w:r w:rsidRPr="00CB20FF">
        <w:rPr>
          <w:lang w:val="en-US"/>
        </w:rPr>
        <w:t xml:space="preserve">was </w:t>
      </w:r>
      <w:r w:rsidR="0095500D">
        <w:rPr>
          <w:lang w:val="en-US"/>
        </w:rPr>
        <w:t>created</w:t>
      </w:r>
      <w:proofErr w:type="gramEnd"/>
      <w:r w:rsidRPr="00CB20FF">
        <w:rPr>
          <w:lang w:val="en-US"/>
        </w:rPr>
        <w:t xml:space="preserve">. </w:t>
      </w:r>
      <w:proofErr w:type="gramStart"/>
      <w:r w:rsidRPr="00CB20FF">
        <w:rPr>
          <w:lang w:val="en-US"/>
        </w:rPr>
        <w:t>Also</w:t>
      </w:r>
      <w:proofErr w:type="gramEnd"/>
      <w:r w:rsidRPr="00CB20FF">
        <w:rPr>
          <w:lang w:val="en-US"/>
        </w:rPr>
        <w:t xml:space="preserve">, for each of the elements of the financing structure, the amount that would be subsequently entered in the "interest </w:t>
      </w:r>
      <w:r w:rsidR="0095500D">
        <w:rPr>
          <w:lang w:val="en-US"/>
        </w:rPr>
        <w:t>expense</w:t>
      </w:r>
      <w:r w:rsidRPr="00CB20FF">
        <w:rPr>
          <w:lang w:val="en-US"/>
        </w:rPr>
        <w:t>" columns in the cash flow statement</w:t>
      </w:r>
      <w:r w:rsidR="0095500D">
        <w:rPr>
          <w:lang w:val="en-US"/>
        </w:rPr>
        <w:t>,</w:t>
      </w:r>
      <w:r w:rsidRPr="00CB20FF">
        <w:rPr>
          <w:lang w:val="en-US"/>
        </w:rPr>
        <w:t xml:space="preserve"> and the</w:t>
      </w:r>
      <w:r w:rsidR="0095500D">
        <w:rPr>
          <w:lang w:val="en-US"/>
        </w:rPr>
        <w:t xml:space="preserve"> end</w:t>
      </w:r>
      <w:r w:rsidRPr="00CB20FF">
        <w:rPr>
          <w:lang w:val="en-US"/>
        </w:rPr>
        <w:t xml:space="preserve"> balance of the debt </w:t>
      </w:r>
      <w:r w:rsidR="0095500D">
        <w:rPr>
          <w:lang w:val="en-US"/>
        </w:rPr>
        <w:t>were</w:t>
      </w:r>
      <w:r w:rsidRPr="00CB20FF">
        <w:rPr>
          <w:lang w:val="en-US"/>
        </w:rPr>
        <w:t xml:space="preserve"> calculated. The constructed debt repayment schedules </w:t>
      </w:r>
      <w:proofErr w:type="gramStart"/>
      <w:r w:rsidRPr="00CB20FF">
        <w:rPr>
          <w:lang w:val="en-US"/>
        </w:rPr>
        <w:t>are presented</w:t>
      </w:r>
      <w:proofErr w:type="gramEnd"/>
      <w:r w:rsidRPr="00CB20FF">
        <w:rPr>
          <w:lang w:val="en-US"/>
        </w:rPr>
        <w:t xml:space="preserve"> in Appendices 11-12.</w:t>
      </w:r>
    </w:p>
    <w:p w:rsidR="00B165B8" w:rsidRDefault="00B165B8" w:rsidP="005930B3">
      <w:pPr>
        <w:pStyle w:val="a5"/>
        <w:spacing w:line="360" w:lineRule="auto"/>
        <w:ind w:firstLine="708"/>
        <w:jc w:val="both"/>
        <w:rPr>
          <w:lang w:val="en-US"/>
        </w:rPr>
      </w:pPr>
    </w:p>
    <w:p w:rsidR="005930B3" w:rsidRPr="005930B3" w:rsidRDefault="005930B3" w:rsidP="005930B3">
      <w:pPr>
        <w:pStyle w:val="a5"/>
        <w:spacing w:line="360" w:lineRule="auto"/>
        <w:ind w:firstLine="708"/>
        <w:jc w:val="both"/>
        <w:rPr>
          <w:i/>
          <w:lang w:val="en-US"/>
        </w:rPr>
      </w:pPr>
      <w:r w:rsidRPr="005930B3">
        <w:rPr>
          <w:i/>
          <w:lang w:val="en-US"/>
        </w:rPr>
        <w:lastRenderedPageBreak/>
        <w:t xml:space="preserve">Building final financial statements </w:t>
      </w:r>
    </w:p>
    <w:p w:rsidR="005930B3" w:rsidRPr="005930B3" w:rsidRDefault="005930B3" w:rsidP="0045677C">
      <w:pPr>
        <w:pStyle w:val="a5"/>
        <w:spacing w:line="360" w:lineRule="auto"/>
        <w:ind w:firstLine="708"/>
        <w:jc w:val="both"/>
        <w:rPr>
          <w:lang w:val="en-US"/>
        </w:rPr>
      </w:pPr>
      <w:r>
        <w:rPr>
          <w:lang w:val="en-US"/>
        </w:rPr>
        <w:t xml:space="preserve">After the debt repayment schedule </w:t>
      </w:r>
      <w:proofErr w:type="gramStart"/>
      <w:r>
        <w:rPr>
          <w:lang w:val="en-US"/>
        </w:rPr>
        <w:t>was created</w:t>
      </w:r>
      <w:proofErr w:type="gramEnd"/>
      <w:r>
        <w:rPr>
          <w:lang w:val="en-US"/>
        </w:rPr>
        <w:t>, i</w:t>
      </w:r>
      <w:r w:rsidRPr="005930B3">
        <w:rPr>
          <w:lang w:val="en-US"/>
        </w:rPr>
        <w:t xml:space="preserve">t is important to pay attention to how the </w:t>
      </w:r>
      <w:r>
        <w:rPr>
          <w:lang w:val="en-US"/>
        </w:rPr>
        <w:t xml:space="preserve">financial statements change. </w:t>
      </w:r>
      <w:r w:rsidRPr="005930B3">
        <w:rPr>
          <w:lang w:val="en-US"/>
        </w:rPr>
        <w:t>The company's profit and loss report shows that despite the debts, the company is able to provide a stable income to its owners, as the profit in</w:t>
      </w:r>
      <w:r w:rsidR="0045677C">
        <w:rPr>
          <w:lang w:val="en-US"/>
        </w:rPr>
        <w:t xml:space="preserve"> all years between 2016 and 2026</w:t>
      </w:r>
      <w:r w:rsidRPr="005930B3">
        <w:rPr>
          <w:lang w:val="en-US"/>
        </w:rPr>
        <w:t xml:space="preserve"> is positive (Appe</w:t>
      </w:r>
      <w:r w:rsidR="00405102">
        <w:rPr>
          <w:lang w:val="en-US"/>
        </w:rPr>
        <w:t>ndix 10</w:t>
      </w:r>
      <w:r w:rsidRPr="005930B3">
        <w:rPr>
          <w:lang w:val="en-US"/>
        </w:rPr>
        <w:t>).</w:t>
      </w:r>
    </w:p>
    <w:p w:rsidR="005930B3" w:rsidRDefault="005930B3" w:rsidP="005930B3">
      <w:pPr>
        <w:pStyle w:val="a5"/>
        <w:spacing w:line="360" w:lineRule="auto"/>
        <w:ind w:firstLine="708"/>
        <w:jc w:val="both"/>
        <w:rPr>
          <w:lang w:val="en-US"/>
        </w:rPr>
      </w:pPr>
      <w:r w:rsidRPr="005930B3">
        <w:rPr>
          <w:lang w:val="en-US"/>
        </w:rPr>
        <w:t xml:space="preserve">In the cash flow statement (ODDS), </w:t>
      </w:r>
      <w:r w:rsidR="0045677C">
        <w:rPr>
          <w:lang w:val="en-US"/>
        </w:rPr>
        <w:t>one</w:t>
      </w:r>
      <w:r w:rsidRPr="005930B3">
        <w:rPr>
          <w:lang w:val="en-US"/>
        </w:rPr>
        <w:t xml:space="preserve"> should pay attention to the last </w:t>
      </w:r>
      <w:r w:rsidR="0045677C">
        <w:rPr>
          <w:lang w:val="en-US"/>
        </w:rPr>
        <w:t>item</w:t>
      </w:r>
      <w:r w:rsidRPr="005930B3">
        <w:rPr>
          <w:lang w:val="en-US"/>
        </w:rPr>
        <w:t xml:space="preserve"> - cash at </w:t>
      </w:r>
      <w:r w:rsidR="00405102">
        <w:rPr>
          <w:lang w:val="en-US"/>
        </w:rPr>
        <w:t>the end of the year (Appendix 12</w:t>
      </w:r>
      <w:r w:rsidRPr="005930B3">
        <w:rPr>
          <w:lang w:val="en-US"/>
        </w:rPr>
        <w:t>). In the first, 201</w:t>
      </w:r>
      <w:r w:rsidR="00171E0C">
        <w:rPr>
          <w:lang w:val="en-US"/>
        </w:rPr>
        <w:t>6</w:t>
      </w:r>
      <w:r w:rsidRPr="005930B3">
        <w:rPr>
          <w:lang w:val="en-US"/>
        </w:rPr>
        <w:t xml:space="preserve">, Ingenico could not cope with the increased credit load - the value of cash in this year is negative. This may be </w:t>
      </w:r>
      <w:proofErr w:type="gramStart"/>
      <w:r w:rsidRPr="005930B3">
        <w:rPr>
          <w:lang w:val="en-US"/>
        </w:rPr>
        <w:t>due to the fact that</w:t>
      </w:r>
      <w:proofErr w:type="gramEnd"/>
      <w:r w:rsidRPr="005930B3">
        <w:rPr>
          <w:lang w:val="en-US"/>
        </w:rPr>
        <w:t xml:space="preserve"> all the company's money, according to the assumptions of the model, during the zero period </w:t>
      </w:r>
      <w:r w:rsidR="0045677C">
        <w:rPr>
          <w:lang w:val="en-US"/>
        </w:rPr>
        <w:t xml:space="preserve">were used to repay the debt. </w:t>
      </w:r>
      <w:r w:rsidRPr="005930B3">
        <w:rPr>
          <w:lang w:val="en-US"/>
        </w:rPr>
        <w:t>In this regard, in the coming year, the company did not have enough working capital to finance its normal operations, so we see a negative value. Nevertheless, in the period from 2016-2024, taking into account the need to pay interest on loans and repay the body of debt, the company has positive cash flows, which indicates the company's solvency and the ability t</w:t>
      </w:r>
      <w:r w:rsidR="0045677C">
        <w:rPr>
          <w:lang w:val="en-US"/>
        </w:rPr>
        <w:t xml:space="preserve">o timely and fully pay interest. </w:t>
      </w:r>
      <w:r w:rsidRPr="005930B3">
        <w:rPr>
          <w:lang w:val="en-US"/>
        </w:rPr>
        <w:t xml:space="preserve">The area corresponding to the balance of debts on the balance accounts </w:t>
      </w:r>
      <w:proofErr w:type="gramStart"/>
      <w:r w:rsidRPr="005930B3">
        <w:rPr>
          <w:lang w:val="en-US"/>
        </w:rPr>
        <w:t>was also filled</w:t>
      </w:r>
      <w:proofErr w:type="gramEnd"/>
      <w:r w:rsidRPr="005930B3">
        <w:rPr>
          <w:lang w:val="en-US"/>
        </w:rPr>
        <w:t xml:space="preserve">. Here it is necessary to pay attention to the fact that the balance </w:t>
      </w:r>
      <w:r w:rsidR="0045677C">
        <w:rPr>
          <w:lang w:val="en-US"/>
        </w:rPr>
        <w:t>equals</w:t>
      </w:r>
      <w:r w:rsidR="00405102">
        <w:rPr>
          <w:lang w:val="en-US"/>
        </w:rPr>
        <w:t>.</w:t>
      </w:r>
    </w:p>
    <w:p w:rsidR="00BA26C1" w:rsidRDefault="00BA26C1" w:rsidP="00BA26C1">
      <w:pPr>
        <w:pStyle w:val="4"/>
        <w:rPr>
          <w:lang w:val="en-US"/>
        </w:rPr>
      </w:pPr>
      <w:r>
        <w:rPr>
          <w:lang w:val="en-US"/>
        </w:rPr>
        <w:t xml:space="preserve">Step 6. Return analysis </w:t>
      </w:r>
    </w:p>
    <w:p w:rsidR="00BA26C1" w:rsidRDefault="005300B5" w:rsidP="005300B5">
      <w:pPr>
        <w:spacing w:line="360" w:lineRule="auto"/>
        <w:ind w:firstLine="708"/>
        <w:jc w:val="both"/>
        <w:rPr>
          <w:lang w:val="en-US"/>
        </w:rPr>
      </w:pPr>
      <w:r>
        <w:rPr>
          <w:lang w:val="en-US"/>
        </w:rPr>
        <w:t>This step assumes the analysis of return on</w:t>
      </w:r>
      <w:r w:rsidRPr="005300B5">
        <w:rPr>
          <w:lang w:val="en-US"/>
        </w:rPr>
        <w:t xml:space="preserve"> inve</w:t>
      </w:r>
      <w:r>
        <w:rPr>
          <w:lang w:val="en-US"/>
        </w:rPr>
        <w:t>stments from the point of view for the</w:t>
      </w:r>
      <w:r w:rsidRPr="005300B5">
        <w:rPr>
          <w:lang w:val="en-US"/>
        </w:rPr>
        <w:t xml:space="preserve"> </w:t>
      </w:r>
      <w:r w:rsidR="00405102">
        <w:rPr>
          <w:lang w:val="en-US"/>
        </w:rPr>
        <w:t>financial investors (Appendix 13</w:t>
      </w:r>
      <w:r w:rsidRPr="005300B5">
        <w:rPr>
          <w:lang w:val="en-US"/>
        </w:rPr>
        <w:t>). As it was r</w:t>
      </w:r>
      <w:r>
        <w:rPr>
          <w:lang w:val="en-US"/>
        </w:rPr>
        <w:t xml:space="preserve"> noted, investors usually aim on IRR of at </w:t>
      </w:r>
      <w:r w:rsidRPr="005300B5">
        <w:rPr>
          <w:lang w:val="en-US"/>
        </w:rPr>
        <w:t xml:space="preserve">least 20%. </w:t>
      </w:r>
      <w:r>
        <w:rPr>
          <w:lang w:val="en-US"/>
        </w:rPr>
        <w:t>If</w:t>
      </w:r>
      <w:r w:rsidRPr="005300B5">
        <w:rPr>
          <w:lang w:val="en-US"/>
        </w:rPr>
        <w:t xml:space="preserve"> the return on investment is below the specified value, this is a signal to investors that it is necessary to review the financing structure and the acquisition price of the company. To do this, the opposite task of determining the </w:t>
      </w:r>
      <w:r>
        <w:rPr>
          <w:lang w:val="en-US"/>
        </w:rPr>
        <w:t>purchase EV/</w:t>
      </w:r>
      <w:r w:rsidRPr="005300B5">
        <w:rPr>
          <w:lang w:val="en-US"/>
        </w:rPr>
        <w:t xml:space="preserve"> EBITDA </w:t>
      </w:r>
      <w:proofErr w:type="gramStart"/>
      <w:r>
        <w:rPr>
          <w:lang w:val="en-US"/>
        </w:rPr>
        <w:t>should be solved</w:t>
      </w:r>
      <w:proofErr w:type="gramEnd"/>
      <w:r w:rsidRPr="005300B5">
        <w:rPr>
          <w:lang w:val="en-US"/>
        </w:rPr>
        <w:t>. Taking as a basi</w:t>
      </w:r>
      <w:r>
        <w:rPr>
          <w:lang w:val="en-US"/>
        </w:rPr>
        <w:t>s that the value of exit multiple</w:t>
      </w:r>
      <w:r w:rsidRPr="005300B5">
        <w:rPr>
          <w:lang w:val="en-US"/>
        </w:rPr>
        <w:t xml:space="preserve"> is equal to 15x EBITDA (according to the assumptions of the model), the company's value at the output in each year was determined as the product of the EBITDA of the corresponding year by the </w:t>
      </w:r>
      <w:r>
        <w:rPr>
          <w:lang w:val="en-US"/>
        </w:rPr>
        <w:t>set multiple</w:t>
      </w:r>
      <w:r w:rsidRPr="005300B5">
        <w:rPr>
          <w:lang w:val="en-US"/>
        </w:rPr>
        <w:t xml:space="preserve">. Then, based on the data on the balance of cash and debts on the balance accounts, the value of the company's equity capital at the closing date </w:t>
      </w:r>
      <w:proofErr w:type="gramStart"/>
      <w:r w:rsidRPr="005300B5">
        <w:rPr>
          <w:lang w:val="en-US"/>
        </w:rPr>
        <w:t>was calculated</w:t>
      </w:r>
      <w:proofErr w:type="gramEnd"/>
      <w:r w:rsidRPr="005300B5">
        <w:rPr>
          <w:lang w:val="en-US"/>
        </w:rPr>
        <w:t xml:space="preserve"> as the difference between the company's value and net debt (</w:t>
      </w:r>
      <w:r w:rsidR="00171E0C">
        <w:rPr>
          <w:lang w:val="en-US"/>
        </w:rPr>
        <w:t xml:space="preserve">Pic </w:t>
      </w:r>
      <w:r w:rsidRPr="005300B5">
        <w:rPr>
          <w:lang w:val="en-US"/>
        </w:rPr>
        <w:t>24)</w:t>
      </w:r>
      <w:r>
        <w:rPr>
          <w:lang w:val="en-US"/>
        </w:rPr>
        <w:t>.</w:t>
      </w:r>
    </w:p>
    <w:p w:rsidR="00A542DE" w:rsidRDefault="00A542DE" w:rsidP="005300B5">
      <w:pPr>
        <w:spacing w:line="360" w:lineRule="auto"/>
        <w:ind w:firstLine="708"/>
        <w:jc w:val="both"/>
        <w:rPr>
          <w:lang w:val="en-US"/>
        </w:rPr>
      </w:pPr>
    </w:p>
    <w:p w:rsidR="005300B5" w:rsidRDefault="00A542DE" w:rsidP="005300B5">
      <w:pPr>
        <w:spacing w:line="360" w:lineRule="auto"/>
        <w:jc w:val="both"/>
        <w:rPr>
          <w:lang w:val="en-US"/>
        </w:rPr>
      </w:pPr>
      <w:r w:rsidRPr="00A542DE">
        <w:rPr>
          <w:noProof/>
          <w:lang w:eastAsia="ru-RU"/>
        </w:rPr>
        <w:drawing>
          <wp:inline distT="0" distB="0" distL="0" distR="0">
            <wp:extent cx="5939790" cy="1394095"/>
            <wp:effectExtent l="0" t="0" r="381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1394095"/>
                    </a:xfrm>
                    <a:prstGeom prst="rect">
                      <a:avLst/>
                    </a:prstGeom>
                    <a:noFill/>
                    <a:ln>
                      <a:noFill/>
                    </a:ln>
                  </pic:spPr>
                </pic:pic>
              </a:graphicData>
            </a:graphic>
          </wp:inline>
        </w:drawing>
      </w:r>
    </w:p>
    <w:p w:rsidR="005300B5" w:rsidRDefault="009B7B03" w:rsidP="005300B5">
      <w:pPr>
        <w:spacing w:line="360" w:lineRule="auto"/>
        <w:jc w:val="center"/>
        <w:rPr>
          <w:lang w:val="en-US"/>
        </w:rPr>
      </w:pPr>
      <w:r>
        <w:rPr>
          <w:lang w:val="en-US"/>
        </w:rPr>
        <w:t>Pic 25.</w:t>
      </w:r>
      <w:r w:rsidR="005300B5" w:rsidRPr="005300B5">
        <w:rPr>
          <w:lang w:val="en-US"/>
        </w:rPr>
        <w:t xml:space="preserve"> Calculation of </w:t>
      </w:r>
      <w:r w:rsidR="005300B5">
        <w:rPr>
          <w:lang w:val="en-US"/>
        </w:rPr>
        <w:t>the exit equity value</w:t>
      </w:r>
    </w:p>
    <w:p w:rsidR="005300B5" w:rsidRDefault="005300B5" w:rsidP="005300B5">
      <w:pPr>
        <w:pStyle w:val="a5"/>
        <w:spacing w:line="360" w:lineRule="auto"/>
        <w:ind w:firstLine="708"/>
        <w:rPr>
          <w:lang w:val="en-US"/>
        </w:rPr>
      </w:pPr>
      <w:r w:rsidRPr="005300B5">
        <w:rPr>
          <w:lang w:val="en-US"/>
        </w:rPr>
        <w:lastRenderedPageBreak/>
        <w:t xml:space="preserve">Further, the return on investment </w:t>
      </w:r>
      <w:proofErr w:type="gramStart"/>
      <w:r w:rsidRPr="005300B5">
        <w:rPr>
          <w:lang w:val="en-US"/>
        </w:rPr>
        <w:t>was calculated</w:t>
      </w:r>
      <w:proofErr w:type="gramEnd"/>
      <w:r w:rsidRPr="005300B5">
        <w:rPr>
          <w:lang w:val="en-US"/>
        </w:rPr>
        <w:t xml:space="preserve"> for each of the exit scenarios (</w:t>
      </w:r>
      <w:r w:rsidR="009B7B03">
        <w:rPr>
          <w:lang w:val="en-US"/>
        </w:rPr>
        <w:t>Pic 26)</w:t>
      </w:r>
      <w:r w:rsidRPr="005300B5">
        <w:rPr>
          <w:lang w:val="en-US"/>
        </w:rPr>
        <w:t xml:space="preserve"> </w:t>
      </w:r>
    </w:p>
    <w:p w:rsidR="005300B5" w:rsidRDefault="00A542DE" w:rsidP="005300B5">
      <w:pPr>
        <w:pStyle w:val="a5"/>
        <w:spacing w:line="360" w:lineRule="auto"/>
        <w:rPr>
          <w:lang w:val="en-US"/>
        </w:rPr>
      </w:pPr>
      <w:r w:rsidRPr="00A542DE">
        <w:rPr>
          <w:noProof/>
          <w:lang w:eastAsia="ru-RU"/>
        </w:rPr>
        <w:drawing>
          <wp:inline distT="0" distB="0" distL="0" distR="0">
            <wp:extent cx="5939790" cy="1339699"/>
            <wp:effectExtent l="0" t="0" r="381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1339699"/>
                    </a:xfrm>
                    <a:prstGeom prst="rect">
                      <a:avLst/>
                    </a:prstGeom>
                    <a:noFill/>
                    <a:ln>
                      <a:noFill/>
                    </a:ln>
                  </pic:spPr>
                </pic:pic>
              </a:graphicData>
            </a:graphic>
          </wp:inline>
        </w:drawing>
      </w:r>
    </w:p>
    <w:p w:rsidR="009B7B03" w:rsidRDefault="009B7B03" w:rsidP="009B7B03">
      <w:pPr>
        <w:pStyle w:val="a5"/>
        <w:spacing w:line="360" w:lineRule="auto"/>
        <w:jc w:val="center"/>
        <w:rPr>
          <w:lang w:val="en-US"/>
        </w:rPr>
      </w:pPr>
      <w:r>
        <w:rPr>
          <w:lang w:val="en-US"/>
        </w:rPr>
        <w:t>Pic 36. IRR calculation</w:t>
      </w:r>
    </w:p>
    <w:p w:rsidR="005300B5" w:rsidRPr="005300B5" w:rsidRDefault="005300B5" w:rsidP="005300B5">
      <w:pPr>
        <w:pStyle w:val="a5"/>
        <w:spacing w:line="360" w:lineRule="auto"/>
        <w:ind w:firstLine="567"/>
        <w:jc w:val="both"/>
        <w:rPr>
          <w:lang w:val="en-US"/>
        </w:rPr>
      </w:pPr>
      <w:r w:rsidRPr="005300B5">
        <w:rPr>
          <w:lang w:val="en-US"/>
        </w:rPr>
        <w:t xml:space="preserve">Based on the results of the LBO analysis, it </w:t>
      </w:r>
      <w:proofErr w:type="gramStart"/>
      <w:r w:rsidRPr="005300B5">
        <w:rPr>
          <w:lang w:val="en-US"/>
        </w:rPr>
        <w:t>was concluded</w:t>
      </w:r>
      <w:proofErr w:type="gramEnd"/>
      <w:r w:rsidRPr="005300B5">
        <w:rPr>
          <w:lang w:val="en-US"/>
        </w:rPr>
        <w:t xml:space="preserve"> that investing in Ingenico Group is </w:t>
      </w:r>
      <w:r>
        <w:rPr>
          <w:lang w:val="en-US"/>
        </w:rPr>
        <w:t>attractive</w:t>
      </w:r>
      <w:r w:rsidRPr="005300B5">
        <w:rPr>
          <w:lang w:val="en-US"/>
        </w:rPr>
        <w:t>. The most favorable exit</w:t>
      </w:r>
      <w:r>
        <w:rPr>
          <w:lang w:val="en-US"/>
        </w:rPr>
        <w:t xml:space="preserve"> year</w:t>
      </w:r>
      <w:r w:rsidRPr="005300B5">
        <w:rPr>
          <w:lang w:val="en-US"/>
        </w:rPr>
        <w:t xml:space="preserve">, which provides the maximum return on investment, is 2020. </w:t>
      </w:r>
      <w:r>
        <w:rPr>
          <w:lang w:val="en-US"/>
        </w:rPr>
        <w:t>Investing in the company in 2016</w:t>
      </w:r>
      <w:r w:rsidRPr="005300B5">
        <w:rPr>
          <w:lang w:val="en-US"/>
        </w:rPr>
        <w:t xml:space="preserve"> and closing the deal in 2020 will provide IRR investors with a level of 31.96% (</w:t>
      </w:r>
      <w:r w:rsidR="00171E0C">
        <w:rPr>
          <w:lang w:val="en-US"/>
        </w:rPr>
        <w:t>Pic 36</w:t>
      </w:r>
      <w:r w:rsidRPr="005300B5">
        <w:rPr>
          <w:lang w:val="en-US"/>
        </w:rPr>
        <w:t>), given the assumptions of the model.</w:t>
      </w:r>
    </w:p>
    <w:p w:rsidR="005300B5" w:rsidRPr="005300B5" w:rsidRDefault="005300B5" w:rsidP="005300B5">
      <w:pPr>
        <w:pStyle w:val="a5"/>
        <w:spacing w:line="360" w:lineRule="auto"/>
        <w:ind w:firstLine="567"/>
        <w:jc w:val="both"/>
        <w:rPr>
          <w:lang w:val="en-US"/>
        </w:rPr>
      </w:pPr>
      <w:r w:rsidRPr="005300B5">
        <w:rPr>
          <w:lang w:val="en-US"/>
        </w:rPr>
        <w:t xml:space="preserve">The graph shows that IRR is sensitive </w:t>
      </w:r>
      <w:r>
        <w:rPr>
          <w:lang w:val="en-US"/>
        </w:rPr>
        <w:t>exit year date</w:t>
      </w:r>
      <w:r w:rsidRPr="005300B5">
        <w:rPr>
          <w:lang w:val="en-US"/>
        </w:rPr>
        <w:t xml:space="preserve">. As we move along the time axis, the value of equity and IRR increase, which </w:t>
      </w:r>
      <w:proofErr w:type="gramStart"/>
      <w:r w:rsidRPr="005300B5">
        <w:rPr>
          <w:lang w:val="en-US"/>
        </w:rPr>
        <w:t xml:space="preserve">is </w:t>
      </w:r>
      <w:r>
        <w:rPr>
          <w:lang w:val="en-US"/>
        </w:rPr>
        <w:t>explained</w:t>
      </w:r>
      <w:r w:rsidRPr="005300B5">
        <w:rPr>
          <w:lang w:val="en-US"/>
        </w:rPr>
        <w:t xml:space="preserve"> by the increasing profit and the diminishing balance of debts</w:t>
      </w:r>
      <w:proofErr w:type="gramEnd"/>
      <w:r w:rsidRPr="005300B5">
        <w:rPr>
          <w:lang w:val="en-US"/>
        </w:rPr>
        <w:t xml:space="preserve"> on the accounts. However, starting in 2021, the IRR begins to fall (</w:t>
      </w:r>
      <w:r w:rsidR="00171E0C">
        <w:rPr>
          <w:lang w:val="en-US"/>
        </w:rPr>
        <w:t>Pic. 36</w:t>
      </w:r>
      <w:r w:rsidRPr="005300B5">
        <w:rPr>
          <w:lang w:val="en-US"/>
        </w:rPr>
        <w:t xml:space="preserve">). This </w:t>
      </w:r>
      <w:proofErr w:type="gramStart"/>
      <w:r w:rsidRPr="005300B5">
        <w:rPr>
          <w:lang w:val="en-US"/>
        </w:rPr>
        <w:t>can be explained</w:t>
      </w:r>
      <w:proofErr w:type="gramEnd"/>
      <w:r w:rsidRPr="005300B5">
        <w:rPr>
          <w:lang w:val="en-US"/>
        </w:rPr>
        <w:t xml:space="preserve"> by the </w:t>
      </w:r>
      <w:r>
        <w:rPr>
          <w:lang w:val="en-US"/>
        </w:rPr>
        <w:t xml:space="preserve">decrease in revenue growth rates with an increasing </w:t>
      </w:r>
      <w:r w:rsidRPr="005300B5">
        <w:rPr>
          <w:lang w:val="en-US"/>
        </w:rPr>
        <w:t>level of costs. Interestingly, the result is consistent with the observations of the authors Rosembaum, Pearl on the classic resale practice of the company in the fifth year of the investment horizon.</w:t>
      </w:r>
    </w:p>
    <w:p w:rsidR="005300B5" w:rsidRDefault="005300B5" w:rsidP="005300B5">
      <w:pPr>
        <w:pStyle w:val="a5"/>
        <w:spacing w:line="360" w:lineRule="auto"/>
        <w:ind w:firstLine="567"/>
        <w:jc w:val="both"/>
        <w:rPr>
          <w:lang w:val="en-US"/>
        </w:rPr>
      </w:pPr>
      <w:r w:rsidRPr="005300B5">
        <w:rPr>
          <w:lang w:val="en-US"/>
        </w:rPr>
        <w:t xml:space="preserve">It </w:t>
      </w:r>
      <w:proofErr w:type="gramStart"/>
      <w:r w:rsidRPr="005300B5">
        <w:rPr>
          <w:lang w:val="en-US"/>
        </w:rPr>
        <w:t>should be noted</w:t>
      </w:r>
      <w:proofErr w:type="gramEnd"/>
      <w:r w:rsidRPr="005300B5">
        <w:rPr>
          <w:lang w:val="en-US"/>
        </w:rPr>
        <w:t xml:space="preserve"> that these IRR values ​​are not final. They reflect the return on investment only under the assumptions of the model on the acquisition of the company at a price of 19x EBITDA, resale at 15x EBITDA, the specified financing structure, the main characteristics of the debt, as well as the specified scenario of the company's development. In the future, the flexibility of the model allows you to manipulate the basic assumptions and analyze the return on investment in the task of assessing the investment attractiveness of the transaction under different scenarios of operational development of the target company and model parameters.</w:t>
      </w:r>
    </w:p>
    <w:p w:rsidR="005300B5" w:rsidRDefault="005300B5" w:rsidP="005300B5">
      <w:pPr>
        <w:pStyle w:val="a5"/>
        <w:spacing w:line="360" w:lineRule="auto"/>
        <w:ind w:firstLine="567"/>
        <w:jc w:val="both"/>
        <w:rPr>
          <w:lang w:val="en-US"/>
        </w:rPr>
      </w:pPr>
      <w:r>
        <w:rPr>
          <w:noProof/>
          <w:lang w:eastAsia="ru-RU"/>
        </w:rPr>
        <w:drawing>
          <wp:inline distT="0" distB="0" distL="0" distR="0" wp14:anchorId="6B396FCD" wp14:editId="5FC85924">
            <wp:extent cx="5281683" cy="2088108"/>
            <wp:effectExtent l="0" t="0" r="14605" b="762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300B5" w:rsidRPr="005300B5" w:rsidRDefault="005300B5" w:rsidP="005300B5">
      <w:pPr>
        <w:pStyle w:val="a5"/>
        <w:spacing w:line="360" w:lineRule="auto"/>
        <w:ind w:firstLine="567"/>
        <w:jc w:val="center"/>
        <w:rPr>
          <w:lang w:val="en-US"/>
        </w:rPr>
      </w:pPr>
      <w:r>
        <w:rPr>
          <w:lang w:val="en-US"/>
        </w:rPr>
        <w:t>Pic</w:t>
      </w:r>
      <w:r w:rsidR="00405102">
        <w:rPr>
          <w:lang w:val="en-US"/>
        </w:rPr>
        <w:t xml:space="preserve"> 37</w:t>
      </w:r>
      <w:r>
        <w:rPr>
          <w:lang w:val="en-US"/>
        </w:rPr>
        <w:t>. IRR sensitivity analysis</w:t>
      </w:r>
    </w:p>
    <w:p w:rsidR="00417385" w:rsidRPr="00F06CF3" w:rsidRDefault="00417385" w:rsidP="00417385">
      <w:pPr>
        <w:pStyle w:val="1"/>
        <w:rPr>
          <w:lang w:val="en-US"/>
        </w:rPr>
      </w:pPr>
      <w:bookmarkStart w:id="23" w:name="_Toc483074653"/>
      <w:r w:rsidRPr="00F06CF3">
        <w:rPr>
          <w:lang w:val="en-US"/>
        </w:rPr>
        <w:lastRenderedPageBreak/>
        <w:t>Summary of Chapter 2</w:t>
      </w:r>
      <w:bookmarkEnd w:id="23"/>
    </w:p>
    <w:p w:rsidR="003D3F91" w:rsidRPr="00061049" w:rsidRDefault="003D3F91" w:rsidP="00CE2E85">
      <w:pPr>
        <w:pStyle w:val="a5"/>
        <w:spacing w:line="360" w:lineRule="auto"/>
        <w:ind w:firstLine="567"/>
        <w:jc w:val="both"/>
        <w:rPr>
          <w:lang w:val="en-US"/>
        </w:rPr>
      </w:pPr>
      <w:r w:rsidRPr="00F81AEB">
        <w:rPr>
          <w:lang w:val="en-US"/>
        </w:rPr>
        <w:t xml:space="preserve">LBO-analysis is a core analytical tool used by investors to assess investment opportunities in LBO. </w:t>
      </w:r>
      <w:r w:rsidRPr="00061049">
        <w:rPr>
          <w:lang w:val="en-US"/>
        </w:rPr>
        <w:t xml:space="preserve">It is a complex methodology, which requires specialized knowledge of financial modeling, leveraged debt capital markets, M&amp;A, and accounting. At the center of an LBO-analysis is a financial model (the “LBO-model”), which is usually constructed with the flexibility to analyze a given targets’ performance under different assumptions, for example, multiple financing structures and operating scenarios. The structure of LBO-analysis instruments is very similar across different private equity companies and investment banks. The purpose of LBO-analysis is to analyze the attractiveness of potential LBO candidates by calculating investor rate of return.  </w:t>
      </w:r>
    </w:p>
    <w:p w:rsidR="003D3F91" w:rsidRDefault="003D3F91" w:rsidP="00CE2E85">
      <w:pPr>
        <w:pStyle w:val="a5"/>
        <w:spacing w:line="360" w:lineRule="auto"/>
        <w:ind w:firstLine="567"/>
        <w:jc w:val="both"/>
        <w:rPr>
          <w:lang w:val="en-US"/>
        </w:rPr>
      </w:pPr>
      <w:r>
        <w:rPr>
          <w:lang w:val="en-US"/>
        </w:rPr>
        <w:t xml:space="preserve">LBO-analysis usually consist of two parts: target identification and target evaluation. To achieve each of </w:t>
      </w:r>
      <w:proofErr w:type="gramStart"/>
      <w:r>
        <w:rPr>
          <w:lang w:val="en-US"/>
        </w:rPr>
        <w:t>this purposes</w:t>
      </w:r>
      <w:proofErr w:type="gramEnd"/>
      <w:r>
        <w:rPr>
          <w:lang w:val="en-US"/>
        </w:rPr>
        <w:t xml:space="preserve"> financial investors perform series of qualitative and quantitative analysis based on internally developed models and instruments. </w:t>
      </w:r>
      <w:proofErr w:type="gramStart"/>
      <w:r>
        <w:rPr>
          <w:lang w:val="en-US"/>
        </w:rPr>
        <w:t>This LBO-analysis instruments</w:t>
      </w:r>
      <w:proofErr w:type="gramEnd"/>
      <w:r>
        <w:rPr>
          <w:lang w:val="en-US"/>
        </w:rPr>
        <w:t xml:space="preserve"> are confidential and are never revealed to public. </w:t>
      </w:r>
    </w:p>
    <w:p w:rsidR="003D3F91" w:rsidRDefault="003D3F91" w:rsidP="00CE2E85">
      <w:pPr>
        <w:pStyle w:val="a5"/>
        <w:spacing w:line="360" w:lineRule="auto"/>
        <w:ind w:firstLine="567"/>
        <w:jc w:val="both"/>
        <w:rPr>
          <w:lang w:val="en-US"/>
        </w:rPr>
      </w:pPr>
      <w:r>
        <w:rPr>
          <w:lang w:val="en-US"/>
        </w:rPr>
        <w:t>In this chapter an LBO-analysis tool, including a instrument for finding an LBO-target (LBO-screener), and a tool for detailed analysis of the individual companies (LBO-model)</w:t>
      </w:r>
      <w:r w:rsidR="00CE2E85">
        <w:rPr>
          <w:lang w:val="en-US"/>
        </w:rPr>
        <w:t xml:space="preserve"> was build with the use of VBA programming. The LBO-analysis tool is based on methodologies used by </w:t>
      </w:r>
      <w:proofErr w:type="gramStart"/>
      <w:r w:rsidR="00CE2E85">
        <w:rPr>
          <w:lang w:val="en-US"/>
        </w:rPr>
        <w:t>leading  Investment</w:t>
      </w:r>
      <w:proofErr w:type="gramEnd"/>
      <w:r w:rsidR="00CE2E85">
        <w:rPr>
          <w:lang w:val="en-US"/>
        </w:rPr>
        <w:t xml:space="preserve"> Banks, which are</w:t>
      </w:r>
      <w:r w:rsidR="00CE2E85" w:rsidRPr="00CE2E85">
        <w:rPr>
          <w:lang w:val="en-US"/>
        </w:rPr>
        <w:t xml:space="preserve"> presented in the book “Equity valuation: models from leading investment banks” by Jan Viebig, Thorsten Poddig, and Armin Varmaz. </w:t>
      </w:r>
    </w:p>
    <w:p w:rsidR="00CE2E85" w:rsidRDefault="00CE2E85" w:rsidP="00CE2E85">
      <w:pPr>
        <w:pStyle w:val="a5"/>
        <w:spacing w:line="360" w:lineRule="auto"/>
        <w:ind w:firstLine="567"/>
        <w:jc w:val="both"/>
        <w:rPr>
          <w:lang w:val="en-US"/>
        </w:rPr>
      </w:pPr>
      <w:r>
        <w:rPr>
          <w:lang w:val="en-US"/>
        </w:rPr>
        <w:t xml:space="preserve">After </w:t>
      </w:r>
      <w:proofErr w:type="gramStart"/>
      <w:r>
        <w:rPr>
          <w:lang w:val="en-US"/>
        </w:rPr>
        <w:t>that</w:t>
      </w:r>
      <w:proofErr w:type="gramEnd"/>
      <w:r>
        <w:rPr>
          <w:lang w:val="en-US"/>
        </w:rPr>
        <w:t xml:space="preserve"> the built instrument was applied on the set of real companies. With the use of </w:t>
      </w:r>
      <w:proofErr w:type="gramStart"/>
      <w:r>
        <w:rPr>
          <w:lang w:val="en-US"/>
        </w:rPr>
        <w:t>LBO-screener</w:t>
      </w:r>
      <w:proofErr w:type="gramEnd"/>
      <w:r>
        <w:rPr>
          <w:lang w:val="en-US"/>
        </w:rPr>
        <w:t xml:space="preserve"> a set of 760 potential LBO-targets was analyzed. After </w:t>
      </w:r>
      <w:proofErr w:type="gramStart"/>
      <w:r>
        <w:rPr>
          <w:lang w:val="en-US"/>
        </w:rPr>
        <w:t>that</w:t>
      </w:r>
      <w:proofErr w:type="gramEnd"/>
      <w:r>
        <w:rPr>
          <w:lang w:val="en-US"/>
        </w:rPr>
        <w:t xml:space="preserve"> Ingenico Group was chosen as a target to proceed with detailed LBO-analysis. To do this an algorithm consisting of </w:t>
      </w:r>
      <w:proofErr w:type="gramStart"/>
      <w:r>
        <w:rPr>
          <w:lang w:val="en-US"/>
        </w:rPr>
        <w:t>6</w:t>
      </w:r>
      <w:proofErr w:type="gramEnd"/>
      <w:r>
        <w:rPr>
          <w:lang w:val="en-US"/>
        </w:rPr>
        <w:t xml:space="preserve"> steps was used. </w:t>
      </w:r>
      <w:proofErr w:type="gramStart"/>
      <w:r>
        <w:rPr>
          <w:lang w:val="en-US"/>
        </w:rPr>
        <w:t>As a result</w:t>
      </w:r>
      <w:proofErr w:type="gramEnd"/>
      <w:r>
        <w:rPr>
          <w:lang w:val="en-US"/>
        </w:rPr>
        <w:t xml:space="preserve"> of the analysis it was concluded that Ingenico Group is an attractive candidate for an LBO-transaction. </w:t>
      </w:r>
      <w:r w:rsidRPr="00CE2E85">
        <w:rPr>
          <w:lang w:val="en-US"/>
        </w:rPr>
        <w:t xml:space="preserve">Based on the results of building the LBO model and carrying out the LBO analysis, a closing strategy was proposed, implying reselling the company or </w:t>
      </w:r>
      <w:r>
        <w:rPr>
          <w:lang w:val="en-US"/>
        </w:rPr>
        <w:t>going public</w:t>
      </w:r>
      <w:r w:rsidRPr="00CE2E85">
        <w:rPr>
          <w:lang w:val="en-US"/>
        </w:rPr>
        <w:t xml:space="preserve"> for the fifth year of the investment period. Thus, investing in the company in 201</w:t>
      </w:r>
      <w:r>
        <w:rPr>
          <w:lang w:val="en-US"/>
        </w:rPr>
        <w:t>6 and closing the deal in 2022</w:t>
      </w:r>
      <w:r w:rsidRPr="00CE2E85">
        <w:rPr>
          <w:lang w:val="en-US"/>
        </w:rPr>
        <w:t xml:space="preserve"> will provide </w:t>
      </w:r>
      <w:r>
        <w:rPr>
          <w:lang w:val="en-US"/>
        </w:rPr>
        <w:t xml:space="preserve">to </w:t>
      </w:r>
      <w:r w:rsidRPr="00CE2E85">
        <w:rPr>
          <w:lang w:val="en-US"/>
        </w:rPr>
        <w:t xml:space="preserve">investors </w:t>
      </w:r>
      <w:r>
        <w:rPr>
          <w:lang w:val="en-US"/>
        </w:rPr>
        <w:t xml:space="preserve">a return of </w:t>
      </w:r>
      <w:r w:rsidRPr="00CE2E85">
        <w:rPr>
          <w:lang w:val="en-US"/>
        </w:rPr>
        <w:t>31.96%.</w:t>
      </w:r>
    </w:p>
    <w:p w:rsidR="00CE2E85" w:rsidRPr="00F06CF3" w:rsidRDefault="00CE2E85" w:rsidP="00CE2E85">
      <w:pPr>
        <w:pStyle w:val="a5"/>
        <w:spacing w:line="360" w:lineRule="auto"/>
        <w:ind w:firstLine="567"/>
        <w:jc w:val="both"/>
        <w:rPr>
          <w:lang w:val="en-US"/>
        </w:rPr>
      </w:pPr>
      <w:r>
        <w:rPr>
          <w:lang w:val="en-US"/>
        </w:rPr>
        <w:t xml:space="preserve">On the example of this company it </w:t>
      </w:r>
      <w:proofErr w:type="gramStart"/>
      <w:r>
        <w:rPr>
          <w:lang w:val="en-US"/>
        </w:rPr>
        <w:t>was shown</w:t>
      </w:r>
      <w:proofErr w:type="gramEnd"/>
      <w:r>
        <w:rPr>
          <w:lang w:val="en-US"/>
        </w:rPr>
        <w:t xml:space="preserve">, how the LBO-analysis tool works in practice. </w:t>
      </w:r>
    </w:p>
    <w:p w:rsidR="00602A11" w:rsidRDefault="00602A11" w:rsidP="00CE2E85">
      <w:pPr>
        <w:pStyle w:val="a5"/>
        <w:spacing w:line="360" w:lineRule="auto"/>
        <w:ind w:firstLine="567"/>
        <w:jc w:val="both"/>
        <w:rPr>
          <w:rFonts w:eastAsiaTheme="majorEastAsia" w:cstheme="majorBidi"/>
          <w:b/>
          <w:szCs w:val="32"/>
          <w:lang w:val="en-US"/>
        </w:rPr>
      </w:pPr>
      <w:r>
        <w:rPr>
          <w:lang w:val="en-US"/>
        </w:rPr>
        <w:br w:type="page"/>
      </w:r>
    </w:p>
    <w:p w:rsidR="00F5317A" w:rsidRDefault="00F5317A" w:rsidP="00F5317A">
      <w:pPr>
        <w:pStyle w:val="1"/>
        <w:rPr>
          <w:lang w:val="en-US"/>
        </w:rPr>
      </w:pPr>
      <w:bookmarkStart w:id="24" w:name="_Toc483074654"/>
      <w:r>
        <w:rPr>
          <w:lang w:val="en-US"/>
        </w:rPr>
        <w:lastRenderedPageBreak/>
        <w:t>CHAPETR 3. LIMITATIONS OF THE LBO-ANALYSIS TOOL</w:t>
      </w:r>
      <w:bookmarkEnd w:id="24"/>
    </w:p>
    <w:p w:rsidR="00602A11" w:rsidRDefault="00602A11" w:rsidP="00602A11">
      <w:pPr>
        <w:pStyle w:val="a5"/>
        <w:spacing w:line="360" w:lineRule="auto"/>
        <w:jc w:val="both"/>
        <w:rPr>
          <w:rFonts w:cs="Times New Roman"/>
          <w:szCs w:val="24"/>
          <w:lang w:val="en-US"/>
        </w:rPr>
      </w:pPr>
      <w:r>
        <w:rPr>
          <w:rFonts w:cs="Times New Roman"/>
          <w:szCs w:val="24"/>
          <w:lang w:val="en-US"/>
        </w:rPr>
        <w:tab/>
        <w:t xml:space="preserve">The proposed LBO-analytical tool has a clear set of advantages. Firstly, it integrated different methodologies, used by leading investment banks in conducting LBO-analysis. Secondly, it </w:t>
      </w:r>
      <w:r w:rsidR="00D515DD">
        <w:rPr>
          <w:rFonts w:cs="Times New Roman"/>
          <w:szCs w:val="24"/>
          <w:lang w:val="en-US"/>
        </w:rPr>
        <w:t>attempts to level</w:t>
      </w:r>
      <w:r>
        <w:rPr>
          <w:rFonts w:cs="Times New Roman"/>
          <w:szCs w:val="24"/>
          <w:lang w:val="en-US"/>
        </w:rPr>
        <w:t xml:space="preserve"> the flaws present in publicly available LBO-analysis tools. </w:t>
      </w:r>
      <w:r w:rsidR="00D515DD">
        <w:rPr>
          <w:rFonts w:cs="Times New Roman"/>
          <w:szCs w:val="24"/>
          <w:lang w:val="en-US"/>
        </w:rPr>
        <w:t xml:space="preserve">However, it possesses a number of limitations that make the model weak and should be a matter of the further improvements. </w:t>
      </w:r>
    </w:p>
    <w:p w:rsidR="00D515DD" w:rsidRPr="0086782C" w:rsidRDefault="00C409AB" w:rsidP="008D3CCB">
      <w:pPr>
        <w:pStyle w:val="a5"/>
        <w:numPr>
          <w:ilvl w:val="0"/>
          <w:numId w:val="38"/>
        </w:numPr>
        <w:spacing w:line="360" w:lineRule="auto"/>
        <w:jc w:val="both"/>
        <w:rPr>
          <w:rFonts w:cs="Times New Roman"/>
          <w:i/>
          <w:szCs w:val="24"/>
          <w:lang w:val="en-US"/>
        </w:rPr>
      </w:pPr>
      <w:r w:rsidRPr="0086782C">
        <w:rPr>
          <w:rFonts w:cs="Times New Roman"/>
          <w:i/>
          <w:szCs w:val="24"/>
          <w:lang w:val="en-US"/>
        </w:rPr>
        <w:t xml:space="preserve">Limitation 1. </w:t>
      </w:r>
      <w:r w:rsidR="0086782C" w:rsidRPr="0086782C">
        <w:rPr>
          <w:rFonts w:cs="Times New Roman"/>
          <w:i/>
          <w:szCs w:val="24"/>
          <w:lang w:val="en-US"/>
        </w:rPr>
        <w:t xml:space="preserve"> LBO-analysis tool </w:t>
      </w:r>
      <w:r w:rsidR="00C33FAB">
        <w:rPr>
          <w:rFonts w:cs="Times New Roman"/>
          <w:i/>
          <w:szCs w:val="24"/>
          <w:lang w:val="en-US"/>
        </w:rPr>
        <w:t xml:space="preserve">does not deal with uncertainty </w:t>
      </w:r>
    </w:p>
    <w:p w:rsidR="00C409AB" w:rsidRDefault="00C409AB" w:rsidP="006950E0">
      <w:pPr>
        <w:pStyle w:val="a5"/>
        <w:spacing w:line="360" w:lineRule="auto"/>
        <w:ind w:firstLine="360"/>
        <w:jc w:val="both"/>
        <w:rPr>
          <w:rFonts w:cs="Times New Roman"/>
          <w:szCs w:val="24"/>
          <w:lang w:val="en-US"/>
        </w:rPr>
      </w:pPr>
      <w:r>
        <w:rPr>
          <w:rFonts w:cs="Times New Roman"/>
          <w:szCs w:val="24"/>
          <w:lang w:val="en-US"/>
        </w:rPr>
        <w:t xml:space="preserve">In fact, the proposed model </w:t>
      </w:r>
      <w:proofErr w:type="gramStart"/>
      <w:r>
        <w:rPr>
          <w:rFonts w:cs="Times New Roman"/>
          <w:szCs w:val="24"/>
          <w:lang w:val="en-US"/>
        </w:rPr>
        <w:t>can be used</w:t>
      </w:r>
      <w:proofErr w:type="gramEnd"/>
      <w:r>
        <w:rPr>
          <w:rFonts w:cs="Times New Roman"/>
          <w:szCs w:val="24"/>
          <w:lang w:val="en-US"/>
        </w:rPr>
        <w:t xml:space="preserve"> only in regular situations since </w:t>
      </w:r>
      <w:r w:rsidR="006950E0">
        <w:rPr>
          <w:rFonts w:cs="Times New Roman"/>
          <w:szCs w:val="24"/>
          <w:lang w:val="en-US"/>
        </w:rPr>
        <w:t xml:space="preserve">it cannot take into account the bankruptcy scenario of the LBO. The IRRs </w:t>
      </w:r>
      <w:proofErr w:type="gramStart"/>
      <w:r w:rsidR="006950E0">
        <w:rPr>
          <w:rFonts w:cs="Times New Roman"/>
          <w:szCs w:val="24"/>
          <w:lang w:val="en-US"/>
        </w:rPr>
        <w:t>are modelled</w:t>
      </w:r>
      <w:proofErr w:type="gramEnd"/>
      <w:r w:rsidR="006950E0">
        <w:rPr>
          <w:rFonts w:cs="Times New Roman"/>
          <w:szCs w:val="24"/>
          <w:lang w:val="en-US"/>
        </w:rPr>
        <w:t xml:space="preserve"> without taking into consideration the risks that are connected with its calculation. In </w:t>
      </w:r>
      <w:proofErr w:type="gramStart"/>
      <w:r w:rsidR="006950E0">
        <w:rPr>
          <w:rFonts w:cs="Times New Roman"/>
          <w:szCs w:val="24"/>
          <w:lang w:val="en-US"/>
        </w:rPr>
        <w:t>fact</w:t>
      </w:r>
      <w:proofErr w:type="gramEnd"/>
      <w:r w:rsidR="006950E0">
        <w:rPr>
          <w:rFonts w:cs="Times New Roman"/>
          <w:szCs w:val="24"/>
          <w:lang w:val="en-US"/>
        </w:rPr>
        <w:t xml:space="preserve"> the formula that is used to find the IRR is a matter of great uncertainty. Equity value at the exit of the transaction is almost an unexpected thing, which </w:t>
      </w:r>
      <w:proofErr w:type="gramStart"/>
      <w:r w:rsidR="006950E0">
        <w:rPr>
          <w:rFonts w:cs="Times New Roman"/>
          <w:szCs w:val="24"/>
          <w:lang w:val="en-US"/>
        </w:rPr>
        <w:t>cannot be modelled</w:t>
      </w:r>
      <w:proofErr w:type="gramEnd"/>
      <w:r w:rsidR="006950E0">
        <w:rPr>
          <w:rFonts w:cs="Times New Roman"/>
          <w:szCs w:val="24"/>
          <w:lang w:val="en-US"/>
        </w:rPr>
        <w:t xml:space="preserve"> properly in advance. </w:t>
      </w:r>
      <w:r w:rsidR="005300B5">
        <w:rPr>
          <w:rFonts w:cs="Times New Roman"/>
          <w:szCs w:val="24"/>
          <w:lang w:val="en-US"/>
        </w:rPr>
        <w:t>IRR</w:t>
      </w:r>
      <w:r w:rsidR="005300B5" w:rsidRPr="005300B5">
        <w:rPr>
          <w:rFonts w:cs="Times New Roman"/>
          <w:szCs w:val="24"/>
          <w:lang w:val="en-US"/>
        </w:rPr>
        <w:t xml:space="preserve"> largely depends on the effectiveness of the management measures of the general partner of the private equity fund aimed at increasing the value of the company that it carries out during </w:t>
      </w:r>
      <w:r w:rsidR="005300B5">
        <w:rPr>
          <w:rFonts w:cs="Times New Roman"/>
          <w:szCs w:val="24"/>
          <w:lang w:val="en-US"/>
        </w:rPr>
        <w:t>the holding period</w:t>
      </w:r>
      <w:r w:rsidR="005300B5" w:rsidRPr="005300B5">
        <w:rPr>
          <w:rFonts w:cs="Times New Roman"/>
          <w:szCs w:val="24"/>
          <w:lang w:val="en-US"/>
        </w:rPr>
        <w:t xml:space="preserve">. Among them can be, for example, such as increasing the efficiency of the current management of the target company, improving the business strategy, increasing productivity and efficiency. This </w:t>
      </w:r>
      <w:proofErr w:type="gramStart"/>
      <w:r w:rsidR="005300B5" w:rsidRPr="005300B5">
        <w:rPr>
          <w:rFonts w:cs="Times New Roman"/>
          <w:szCs w:val="24"/>
          <w:lang w:val="en-US"/>
        </w:rPr>
        <w:t>is achieved</w:t>
      </w:r>
      <w:proofErr w:type="gramEnd"/>
      <w:r w:rsidR="005300B5" w:rsidRPr="005300B5">
        <w:rPr>
          <w:rFonts w:cs="Times New Roman"/>
          <w:szCs w:val="24"/>
          <w:lang w:val="en-US"/>
        </w:rPr>
        <w:t xml:space="preserve"> by launching various types of optimization processes, as well as measures to aggressively increase the value of the company. In other words, investors are trying to maximize the EV / EBITDA multiplier at the closing date. </w:t>
      </w:r>
      <w:r w:rsidR="006950E0" w:rsidRPr="006950E0">
        <w:rPr>
          <w:rFonts w:cs="Times New Roman"/>
          <w:szCs w:val="24"/>
          <w:lang w:val="en-US"/>
        </w:rPr>
        <w:t>Forecasting the financial position of the company is relevant specifically from the point of view of these aggressive measures, and not from the point of view of the basic functioning of the company and not from status quo</w:t>
      </w:r>
      <w:r w:rsidR="006950E0">
        <w:rPr>
          <w:rFonts w:cs="Times New Roman"/>
          <w:szCs w:val="24"/>
          <w:lang w:val="en-US"/>
        </w:rPr>
        <w:t xml:space="preserve">. Those measures are not included in the LBO-analysis tool, since they are uncertain. </w:t>
      </w:r>
    </w:p>
    <w:p w:rsidR="002A1B9E" w:rsidRPr="006950E0" w:rsidRDefault="00C409AB" w:rsidP="008D3CCB">
      <w:pPr>
        <w:pStyle w:val="a5"/>
        <w:numPr>
          <w:ilvl w:val="0"/>
          <w:numId w:val="37"/>
        </w:numPr>
        <w:spacing w:line="360" w:lineRule="auto"/>
        <w:jc w:val="both"/>
        <w:rPr>
          <w:rFonts w:cs="Times New Roman"/>
          <w:i/>
          <w:szCs w:val="24"/>
          <w:lang w:val="en-US"/>
        </w:rPr>
      </w:pPr>
      <w:r w:rsidRPr="006950E0">
        <w:rPr>
          <w:rFonts w:cs="Times New Roman"/>
          <w:i/>
          <w:szCs w:val="24"/>
          <w:lang w:val="en-US"/>
        </w:rPr>
        <w:t xml:space="preserve">Limitation 2: </w:t>
      </w:r>
      <w:r w:rsidR="006950E0">
        <w:rPr>
          <w:rFonts w:cs="Times New Roman"/>
          <w:i/>
          <w:szCs w:val="24"/>
          <w:lang w:val="en-US"/>
        </w:rPr>
        <w:t xml:space="preserve">LBO-analysis tool </w:t>
      </w:r>
      <w:r w:rsidR="00C33FAB">
        <w:rPr>
          <w:rFonts w:cs="Times New Roman"/>
          <w:i/>
          <w:szCs w:val="24"/>
          <w:lang w:val="en-US"/>
        </w:rPr>
        <w:t xml:space="preserve">ignores that companies share different types if risks </w:t>
      </w:r>
    </w:p>
    <w:p w:rsidR="00C409AB" w:rsidRDefault="002A1B9E" w:rsidP="002A1B9E">
      <w:pPr>
        <w:pStyle w:val="a5"/>
        <w:spacing w:line="360" w:lineRule="auto"/>
        <w:ind w:firstLine="360"/>
        <w:jc w:val="both"/>
        <w:rPr>
          <w:rFonts w:cs="Times New Roman"/>
          <w:szCs w:val="24"/>
          <w:lang w:val="en-US"/>
        </w:rPr>
      </w:pPr>
      <w:r w:rsidRPr="002A1B9E">
        <w:rPr>
          <w:rFonts w:cs="Times New Roman"/>
          <w:szCs w:val="24"/>
          <w:lang w:val="en-US"/>
        </w:rPr>
        <w:t>As mentioned before, from theoretical point of view the use of IRR to measure the attractiveness of an LBO has several drawbacks, discussed in Brealey et al. (2006)</w:t>
      </w:r>
      <w:r>
        <w:rPr>
          <w:rStyle w:val="a9"/>
          <w:rFonts w:cs="Times New Roman"/>
          <w:szCs w:val="24"/>
        </w:rPr>
        <w:footnoteReference w:id="56"/>
      </w:r>
      <w:r>
        <w:rPr>
          <w:rFonts w:cs="Times New Roman"/>
          <w:szCs w:val="24"/>
          <w:lang w:val="en-US"/>
        </w:rPr>
        <w:t xml:space="preserve">. </w:t>
      </w:r>
      <w:r w:rsidR="00C409AB">
        <w:rPr>
          <w:rFonts w:cs="Times New Roman"/>
          <w:szCs w:val="24"/>
          <w:lang w:val="en-US"/>
        </w:rPr>
        <w:t>Comparing IRRs of different LBOs, the analytical tool ignores the fact that buyout companies usually do not bear the same risk.</w:t>
      </w:r>
      <w:r w:rsidR="0086782C">
        <w:rPr>
          <w:rFonts w:cs="Times New Roman"/>
          <w:szCs w:val="24"/>
          <w:lang w:val="en-US"/>
        </w:rPr>
        <w:t xml:space="preserve"> </w:t>
      </w:r>
      <w:r w:rsidR="00C409AB">
        <w:rPr>
          <w:rFonts w:cs="Times New Roman"/>
          <w:szCs w:val="24"/>
          <w:lang w:val="en-US"/>
        </w:rPr>
        <w:t xml:space="preserve">The criteria that investors use to choose potential LBO candidates are usually the same, discussed in Chapter 1.Yet, only few investors will agree that two LBOs with a same IRR are equally attractive. In fact, even if IRR are identical the targets will be differently attractive since they bare different risks, which </w:t>
      </w:r>
      <w:proofErr w:type="gramStart"/>
      <w:r w:rsidR="00C409AB">
        <w:rPr>
          <w:rFonts w:cs="Times New Roman"/>
          <w:szCs w:val="24"/>
          <w:lang w:val="en-US"/>
        </w:rPr>
        <w:t>is ignored</w:t>
      </w:r>
      <w:proofErr w:type="gramEnd"/>
      <w:r w:rsidR="00C409AB">
        <w:rPr>
          <w:rFonts w:cs="Times New Roman"/>
          <w:szCs w:val="24"/>
          <w:lang w:val="en-US"/>
        </w:rPr>
        <w:t xml:space="preserve"> by IRR analysis and the LBO-analysis tool. </w:t>
      </w:r>
    </w:p>
    <w:p w:rsidR="0086782C" w:rsidRPr="0086782C" w:rsidRDefault="00C409AB" w:rsidP="008D3CCB">
      <w:pPr>
        <w:pStyle w:val="a5"/>
        <w:numPr>
          <w:ilvl w:val="0"/>
          <w:numId w:val="37"/>
        </w:numPr>
        <w:spacing w:line="360" w:lineRule="auto"/>
        <w:jc w:val="both"/>
        <w:rPr>
          <w:rFonts w:cs="Times New Roman"/>
          <w:i/>
          <w:szCs w:val="24"/>
          <w:lang w:val="en-US"/>
        </w:rPr>
      </w:pPr>
      <w:r w:rsidRPr="0086782C">
        <w:rPr>
          <w:rFonts w:cs="Times New Roman"/>
          <w:i/>
          <w:szCs w:val="24"/>
          <w:lang w:val="en-US"/>
        </w:rPr>
        <w:t>Limitation 3</w:t>
      </w:r>
      <w:r w:rsidR="00602A11" w:rsidRPr="0086782C">
        <w:rPr>
          <w:rFonts w:cs="Times New Roman"/>
          <w:i/>
          <w:szCs w:val="24"/>
          <w:lang w:val="en-US"/>
        </w:rPr>
        <w:t xml:space="preserve">. </w:t>
      </w:r>
      <w:r w:rsidR="0086782C" w:rsidRPr="0086782C">
        <w:rPr>
          <w:rFonts w:cs="Times New Roman"/>
          <w:i/>
          <w:szCs w:val="24"/>
          <w:lang w:val="en-US"/>
        </w:rPr>
        <w:t xml:space="preserve">Accuracy of the LBO-analysis tool </w:t>
      </w:r>
      <w:r w:rsidR="00C33FAB">
        <w:rPr>
          <w:rFonts w:cs="Times New Roman"/>
          <w:i/>
          <w:szCs w:val="24"/>
          <w:lang w:val="en-US"/>
        </w:rPr>
        <w:t>is flawed</w:t>
      </w:r>
    </w:p>
    <w:p w:rsidR="00602A11" w:rsidRPr="0086782C" w:rsidRDefault="0086782C" w:rsidP="0086782C">
      <w:pPr>
        <w:pStyle w:val="a5"/>
        <w:spacing w:line="360" w:lineRule="auto"/>
        <w:ind w:firstLine="708"/>
        <w:jc w:val="both"/>
        <w:rPr>
          <w:rFonts w:cs="Times New Roman"/>
          <w:szCs w:val="24"/>
          <w:lang w:val="en-US"/>
        </w:rPr>
      </w:pPr>
      <w:r>
        <w:rPr>
          <w:rFonts w:cs="Times New Roman"/>
          <w:szCs w:val="24"/>
          <w:lang w:val="en-US"/>
        </w:rPr>
        <w:t xml:space="preserve">The IRR often materially overestimates the attractiveness if LBO. </w:t>
      </w:r>
      <w:r w:rsidR="00602A11" w:rsidRPr="0086782C">
        <w:rPr>
          <w:rFonts w:cs="Times New Roman"/>
          <w:szCs w:val="24"/>
          <w:lang w:val="en-US"/>
        </w:rPr>
        <w:t xml:space="preserve">When calculating IRR, financial investors assume that the interim cash flows </w:t>
      </w:r>
      <w:proofErr w:type="gramStart"/>
      <w:r w:rsidR="00602A11" w:rsidRPr="0086782C">
        <w:rPr>
          <w:rFonts w:cs="Times New Roman"/>
          <w:szCs w:val="24"/>
          <w:lang w:val="en-US"/>
        </w:rPr>
        <w:t>can be reinvested</w:t>
      </w:r>
      <w:proofErr w:type="gramEnd"/>
      <w:r w:rsidR="00602A11" w:rsidRPr="0086782C">
        <w:rPr>
          <w:rFonts w:cs="Times New Roman"/>
          <w:szCs w:val="24"/>
          <w:lang w:val="en-US"/>
        </w:rPr>
        <w:t xml:space="preserve"> to boost the IRR. Yet in </w:t>
      </w:r>
      <w:r w:rsidR="00602A11" w:rsidRPr="0086782C">
        <w:rPr>
          <w:rFonts w:cs="Times New Roman"/>
          <w:szCs w:val="24"/>
          <w:lang w:val="en-US"/>
        </w:rPr>
        <w:lastRenderedPageBreak/>
        <w:t xml:space="preserve">reality, investors use them only if alternative opportunities exist. </w:t>
      </w:r>
      <w:proofErr w:type="gramStart"/>
      <w:r w:rsidR="00602A11" w:rsidRPr="0086782C">
        <w:rPr>
          <w:rFonts w:cs="Times New Roman"/>
          <w:szCs w:val="24"/>
          <w:lang w:val="en-US"/>
        </w:rPr>
        <w:t>And</w:t>
      </w:r>
      <w:proofErr w:type="gramEnd"/>
      <w:r w:rsidR="00602A11" w:rsidRPr="0086782C">
        <w:rPr>
          <w:rFonts w:cs="Times New Roman"/>
          <w:szCs w:val="24"/>
          <w:lang w:val="en-US"/>
        </w:rPr>
        <w:t xml:space="preserve"> if the calculated IRR is higher than the available the true rate at which private investors can reinvest interim cash flows, the IRR overestimates the attractiveness of an LBO. By definition, the opportunity cost of capital – not the IRR – is the expected rate of </w:t>
      </w:r>
      <w:proofErr w:type="gramStart"/>
      <w:r w:rsidR="00602A11" w:rsidRPr="0086782C">
        <w:rPr>
          <w:rFonts w:cs="Times New Roman"/>
          <w:szCs w:val="24"/>
          <w:lang w:val="en-US"/>
        </w:rPr>
        <w:t>return which</w:t>
      </w:r>
      <w:proofErr w:type="gramEnd"/>
      <w:r w:rsidR="00602A11" w:rsidRPr="0086782C">
        <w:rPr>
          <w:rFonts w:cs="Times New Roman"/>
          <w:szCs w:val="24"/>
          <w:lang w:val="en-US"/>
        </w:rPr>
        <w:t xml:space="preserve"> investors can achieve elsewhere on a comparable investment with the same characteristics. Therefore, the opportunity cost of capital and not the IRR is the correct reinvestment rate from a theoretical perspective. </w:t>
      </w:r>
      <w:r w:rsidR="00602A11">
        <w:rPr>
          <w:rStyle w:val="a9"/>
          <w:rFonts w:cs="Times New Roman"/>
          <w:szCs w:val="24"/>
          <w:lang w:val="en-US"/>
        </w:rPr>
        <w:footnoteReference w:id="57"/>
      </w:r>
      <w:r w:rsidR="00602A11" w:rsidRPr="0086782C">
        <w:rPr>
          <w:rFonts w:cs="Times New Roman"/>
          <w:szCs w:val="24"/>
          <w:lang w:val="en-US"/>
        </w:rPr>
        <w:t xml:space="preserve"> </w:t>
      </w:r>
    </w:p>
    <w:p w:rsidR="00602A11" w:rsidRDefault="00602A11" w:rsidP="00602A11">
      <w:pPr>
        <w:pStyle w:val="a5"/>
        <w:spacing w:line="360" w:lineRule="auto"/>
        <w:ind w:firstLine="708"/>
        <w:jc w:val="both"/>
        <w:rPr>
          <w:rFonts w:cs="Times New Roman"/>
          <w:szCs w:val="24"/>
          <w:lang w:val="en-US"/>
        </w:rPr>
      </w:pPr>
      <w:r>
        <w:rPr>
          <w:rFonts w:cs="Times New Roman"/>
          <w:szCs w:val="24"/>
          <w:lang w:val="en-US"/>
        </w:rPr>
        <w:t xml:space="preserve">Moreover, LBO valuations usually appear to be higher than they actually are and explanation for that is likely to </w:t>
      </w:r>
      <w:proofErr w:type="gramStart"/>
      <w:r>
        <w:rPr>
          <w:rFonts w:cs="Times New Roman"/>
          <w:szCs w:val="24"/>
          <w:lang w:val="en-US"/>
        </w:rPr>
        <w:t>be found</w:t>
      </w:r>
      <w:proofErr w:type="gramEnd"/>
      <w:r>
        <w:rPr>
          <w:rFonts w:cs="Times New Roman"/>
          <w:szCs w:val="24"/>
          <w:lang w:val="en-US"/>
        </w:rPr>
        <w:t xml:space="preserve"> when one studies the type of a buyer that we are dealing with. Private equity firms are usually over confident in that they will be able to improve the financial performance of the company. In </w:t>
      </w:r>
      <w:proofErr w:type="gramStart"/>
      <w:r>
        <w:rPr>
          <w:rFonts w:cs="Times New Roman"/>
          <w:szCs w:val="24"/>
          <w:lang w:val="en-US"/>
        </w:rPr>
        <w:t>fact</w:t>
      </w:r>
      <w:proofErr w:type="gramEnd"/>
      <w:r>
        <w:rPr>
          <w:rFonts w:cs="Times New Roman"/>
          <w:szCs w:val="24"/>
          <w:lang w:val="en-US"/>
        </w:rPr>
        <w:t xml:space="preserve"> they perceive themselves as value generators.</w:t>
      </w:r>
      <w:r>
        <w:rPr>
          <w:rStyle w:val="a9"/>
          <w:rFonts w:cs="Times New Roman"/>
          <w:szCs w:val="24"/>
          <w:lang w:val="en-US"/>
        </w:rPr>
        <w:footnoteReference w:id="58"/>
      </w:r>
    </w:p>
    <w:p w:rsidR="00C409AB" w:rsidRDefault="00C409AB" w:rsidP="00602A11">
      <w:pPr>
        <w:pStyle w:val="a5"/>
        <w:spacing w:line="360" w:lineRule="auto"/>
        <w:ind w:firstLine="708"/>
        <w:jc w:val="both"/>
        <w:rPr>
          <w:rFonts w:cs="Times New Roman"/>
          <w:szCs w:val="24"/>
          <w:lang w:val="en-US"/>
        </w:rPr>
      </w:pPr>
      <w:r w:rsidRPr="00940972">
        <w:rPr>
          <w:rFonts w:cs="Times New Roman"/>
          <w:i/>
          <w:szCs w:val="24"/>
          <w:lang w:val="en-US"/>
        </w:rPr>
        <w:t xml:space="preserve">Limitation 4. </w:t>
      </w:r>
      <w:r w:rsidR="00CE2E85">
        <w:rPr>
          <w:rFonts w:cs="Times New Roman"/>
          <w:i/>
          <w:szCs w:val="24"/>
          <w:lang w:val="en-US"/>
        </w:rPr>
        <w:t>Lack of f</w:t>
      </w:r>
      <w:r w:rsidR="00C57848">
        <w:rPr>
          <w:rFonts w:cs="Times New Roman"/>
          <w:i/>
          <w:szCs w:val="24"/>
          <w:lang w:val="en-US"/>
        </w:rPr>
        <w:t>lexibility of the LBO-analysis tool</w:t>
      </w:r>
    </w:p>
    <w:p w:rsidR="001E45AD" w:rsidRDefault="00C57848" w:rsidP="001E45AD">
      <w:pPr>
        <w:pStyle w:val="a5"/>
        <w:spacing w:line="360" w:lineRule="auto"/>
        <w:ind w:firstLine="708"/>
        <w:jc w:val="both"/>
        <w:rPr>
          <w:rFonts w:cs="Times New Roman"/>
          <w:szCs w:val="24"/>
          <w:lang w:val="en-US"/>
        </w:rPr>
      </w:pPr>
      <w:r>
        <w:rPr>
          <w:rFonts w:cs="Times New Roman"/>
          <w:szCs w:val="24"/>
          <w:lang w:val="en-US"/>
        </w:rPr>
        <w:t>The LBO-analysis tool requires a regular update of the linked database. This</w:t>
      </w:r>
      <w:r w:rsidR="00C409AB">
        <w:rPr>
          <w:rFonts w:cs="Times New Roman"/>
          <w:szCs w:val="24"/>
          <w:lang w:val="en-US"/>
        </w:rPr>
        <w:t xml:space="preserve"> limitation of the model </w:t>
      </w:r>
      <w:proofErr w:type="gramStart"/>
      <w:r w:rsidR="00C409AB">
        <w:rPr>
          <w:rFonts w:cs="Times New Roman"/>
          <w:szCs w:val="24"/>
          <w:lang w:val="en-US"/>
        </w:rPr>
        <w:t>is connected</w:t>
      </w:r>
      <w:proofErr w:type="gramEnd"/>
      <w:r w:rsidR="00C409AB">
        <w:rPr>
          <w:rFonts w:cs="Times New Roman"/>
          <w:szCs w:val="24"/>
          <w:lang w:val="en-US"/>
        </w:rPr>
        <w:t xml:space="preserve"> with the fact that the LBO-analysis tool is not linked to any external sources of information and does not automatically update in case if come changes in the company or industry data take place. In order to use the model</w:t>
      </w:r>
      <w:r w:rsidR="001E45AD">
        <w:rPr>
          <w:rFonts w:cs="Times New Roman"/>
          <w:szCs w:val="24"/>
          <w:lang w:val="en-US"/>
        </w:rPr>
        <w:t xml:space="preserve"> and </w:t>
      </w:r>
      <w:r w:rsidR="00C409AB" w:rsidRPr="00C409AB">
        <w:rPr>
          <w:rFonts w:cs="Times New Roman"/>
          <w:szCs w:val="24"/>
          <w:lang w:val="en-US"/>
        </w:rPr>
        <w:t>run the screener</w:t>
      </w:r>
      <w:r w:rsidR="001E45AD">
        <w:rPr>
          <w:rFonts w:cs="Times New Roman"/>
          <w:szCs w:val="24"/>
          <w:lang w:val="en-US"/>
        </w:rPr>
        <w:t>,</w:t>
      </w:r>
      <w:r w:rsidR="00C409AB" w:rsidRPr="00C409AB">
        <w:rPr>
          <w:rFonts w:cs="Times New Roman"/>
          <w:szCs w:val="24"/>
          <w:lang w:val="en-US"/>
        </w:rPr>
        <w:t xml:space="preserve"> firstly the data on companies has to be collected. For </w:t>
      </w:r>
      <w:r w:rsidR="001E45AD">
        <w:rPr>
          <w:rFonts w:cs="Times New Roman"/>
          <w:szCs w:val="24"/>
          <w:lang w:val="en-US"/>
        </w:rPr>
        <w:t>this purposes a data file from a list of</w:t>
      </w:r>
      <w:r w:rsidR="00C409AB" w:rsidRPr="00C409AB">
        <w:rPr>
          <w:rFonts w:cs="Times New Roman"/>
          <w:szCs w:val="24"/>
          <w:lang w:val="en-US"/>
        </w:rPr>
        <w:t xml:space="preserve"> companies </w:t>
      </w:r>
      <w:proofErr w:type="gramStart"/>
      <w:r w:rsidR="001E45AD">
        <w:rPr>
          <w:rFonts w:cs="Times New Roman"/>
          <w:szCs w:val="24"/>
          <w:lang w:val="en-US"/>
        </w:rPr>
        <w:t>should be</w:t>
      </w:r>
      <w:r w:rsidR="00C409AB" w:rsidRPr="00C409AB">
        <w:rPr>
          <w:rFonts w:cs="Times New Roman"/>
          <w:szCs w:val="24"/>
          <w:lang w:val="en-US"/>
        </w:rPr>
        <w:t xml:space="preserve"> created</w:t>
      </w:r>
      <w:proofErr w:type="gramEnd"/>
      <w:r w:rsidR="001E45AD">
        <w:rPr>
          <w:rFonts w:cs="Times New Roman"/>
          <w:szCs w:val="24"/>
          <w:lang w:val="en-US"/>
        </w:rPr>
        <w:t>.</w:t>
      </w:r>
      <w:r w:rsidR="00C409AB" w:rsidRPr="00C409AB">
        <w:rPr>
          <w:rFonts w:cs="Times New Roman"/>
          <w:szCs w:val="24"/>
          <w:lang w:val="en-US"/>
        </w:rPr>
        <w:t xml:space="preserve"> Moreover, for the chosen companies the industry sector </w:t>
      </w:r>
      <w:proofErr w:type="gramStart"/>
      <w:r w:rsidR="001E45AD">
        <w:rPr>
          <w:rFonts w:cs="Times New Roman"/>
          <w:szCs w:val="24"/>
          <w:lang w:val="en-US"/>
        </w:rPr>
        <w:t>should be</w:t>
      </w:r>
      <w:r w:rsidR="00C409AB" w:rsidRPr="00C409AB">
        <w:rPr>
          <w:rFonts w:cs="Times New Roman"/>
          <w:szCs w:val="24"/>
          <w:lang w:val="en-US"/>
        </w:rPr>
        <w:t xml:space="preserve"> identified</w:t>
      </w:r>
      <w:proofErr w:type="gramEnd"/>
      <w:r w:rsidR="00C409AB" w:rsidRPr="00C409AB">
        <w:rPr>
          <w:rFonts w:cs="Times New Roman"/>
          <w:szCs w:val="24"/>
          <w:lang w:val="en-US"/>
        </w:rPr>
        <w:t>, and then all the information regarding the industry growth rate</w:t>
      </w:r>
      <w:r>
        <w:rPr>
          <w:rFonts w:cs="Times New Roman"/>
          <w:szCs w:val="24"/>
          <w:lang w:val="en-US"/>
        </w:rPr>
        <w:t>s</w:t>
      </w:r>
      <w:r w:rsidR="00C409AB" w:rsidRPr="00C409AB">
        <w:rPr>
          <w:rFonts w:cs="Times New Roman"/>
          <w:szCs w:val="24"/>
          <w:lang w:val="en-US"/>
        </w:rPr>
        <w:t xml:space="preserve"> </w:t>
      </w:r>
      <w:r w:rsidR="001E45AD">
        <w:rPr>
          <w:rFonts w:cs="Times New Roman"/>
          <w:szCs w:val="24"/>
          <w:lang w:val="en-US"/>
        </w:rPr>
        <w:t xml:space="preserve">should be obtained and finally linked to the LBO-screener. All this model “inputs” change over time, thus the model requires a regular update of all the prerequisite data used for return analysis. Among such inputs are – companies’ market value, the industry sales, capex and EBITDA margin growth rate, industry specific debt levels, etc. Finally, the list of analyzed companies is always different for any investors and requires a regular update. </w:t>
      </w:r>
      <w:r>
        <w:rPr>
          <w:rFonts w:cs="Times New Roman"/>
          <w:szCs w:val="24"/>
          <w:lang w:val="en-US"/>
        </w:rPr>
        <w:t xml:space="preserve">Since </w:t>
      </w:r>
      <w:proofErr w:type="gramStart"/>
      <w:r>
        <w:rPr>
          <w:rFonts w:cs="Times New Roman"/>
          <w:szCs w:val="24"/>
          <w:lang w:val="en-US"/>
        </w:rPr>
        <w:t>a lot of</w:t>
      </w:r>
      <w:proofErr w:type="gramEnd"/>
      <w:r>
        <w:rPr>
          <w:rFonts w:cs="Times New Roman"/>
          <w:szCs w:val="24"/>
          <w:lang w:val="en-US"/>
        </w:rPr>
        <w:t xml:space="preserve"> things have to be done manually, this tells about a low flexibility of the build LBO-analysis instrument. Ideally, specific scripts should be developed so as the model is linked to some external </w:t>
      </w:r>
      <w:proofErr w:type="gramStart"/>
      <w:r>
        <w:rPr>
          <w:rFonts w:cs="Times New Roman"/>
          <w:szCs w:val="24"/>
          <w:lang w:val="en-US"/>
        </w:rPr>
        <w:t>data bases</w:t>
      </w:r>
      <w:proofErr w:type="gramEnd"/>
      <w:r>
        <w:rPr>
          <w:rFonts w:cs="Times New Roman"/>
          <w:szCs w:val="24"/>
          <w:lang w:val="en-US"/>
        </w:rPr>
        <w:t xml:space="preserve">, from with it will update all the cells on the regular basis. </w:t>
      </w:r>
    </w:p>
    <w:p w:rsidR="00FB4C57" w:rsidRDefault="00CE2E85" w:rsidP="00FB4C57">
      <w:pPr>
        <w:pStyle w:val="a5"/>
        <w:spacing w:line="360" w:lineRule="auto"/>
        <w:ind w:firstLine="708"/>
        <w:jc w:val="both"/>
        <w:rPr>
          <w:rFonts w:cs="Times New Roman"/>
          <w:i/>
          <w:szCs w:val="24"/>
          <w:lang w:val="en-US"/>
        </w:rPr>
      </w:pPr>
      <w:r>
        <w:rPr>
          <w:rFonts w:cs="Times New Roman"/>
          <w:i/>
          <w:szCs w:val="24"/>
          <w:lang w:val="en-US"/>
        </w:rPr>
        <w:t>Limitation 5. Inc</w:t>
      </w:r>
      <w:r w:rsidR="00FB4C57" w:rsidRPr="00FB4C57">
        <w:rPr>
          <w:rFonts w:cs="Times New Roman"/>
          <w:i/>
          <w:szCs w:val="24"/>
          <w:lang w:val="en-US"/>
        </w:rPr>
        <w:t xml:space="preserve">ompleteness of the LBO-analysis tool </w:t>
      </w:r>
    </w:p>
    <w:p w:rsidR="00FB4C57" w:rsidRPr="00FB4C57" w:rsidRDefault="00FB4C57" w:rsidP="00FB4C57">
      <w:pPr>
        <w:pStyle w:val="a5"/>
        <w:spacing w:line="360" w:lineRule="auto"/>
        <w:jc w:val="both"/>
        <w:rPr>
          <w:rFonts w:cs="Times New Roman"/>
          <w:szCs w:val="24"/>
          <w:lang w:val="en-US"/>
        </w:rPr>
      </w:pPr>
      <w:r>
        <w:rPr>
          <w:rFonts w:cs="Times New Roman"/>
          <w:szCs w:val="24"/>
          <w:lang w:val="en-US"/>
        </w:rPr>
        <w:t xml:space="preserve">The final limitation refers to LBO-screener. It </w:t>
      </w:r>
      <w:proofErr w:type="gramStart"/>
      <w:r>
        <w:rPr>
          <w:rFonts w:cs="Times New Roman"/>
          <w:szCs w:val="24"/>
          <w:lang w:val="en-US"/>
        </w:rPr>
        <w:t>is connected</w:t>
      </w:r>
      <w:proofErr w:type="gramEnd"/>
      <w:r>
        <w:rPr>
          <w:rFonts w:cs="Times New Roman"/>
          <w:szCs w:val="24"/>
          <w:lang w:val="en-US"/>
        </w:rPr>
        <w:t xml:space="preserve"> with the fact that </w:t>
      </w:r>
      <w:r w:rsidR="00701A82">
        <w:rPr>
          <w:rFonts w:cs="Times New Roman"/>
          <w:szCs w:val="24"/>
          <w:lang w:val="en-US"/>
        </w:rPr>
        <w:t>it does not include the following things:</w:t>
      </w:r>
    </w:p>
    <w:p w:rsidR="00FB4C57" w:rsidRPr="00701A82" w:rsidRDefault="00FB4C57" w:rsidP="008D3CCB">
      <w:pPr>
        <w:pStyle w:val="a5"/>
        <w:numPr>
          <w:ilvl w:val="0"/>
          <w:numId w:val="39"/>
        </w:numPr>
        <w:spacing w:line="360" w:lineRule="auto"/>
        <w:jc w:val="both"/>
        <w:rPr>
          <w:rFonts w:cs="Times New Roman"/>
          <w:szCs w:val="24"/>
          <w:lang w:val="en-US"/>
        </w:rPr>
      </w:pPr>
      <w:r w:rsidRPr="00701A82">
        <w:rPr>
          <w:rFonts w:cs="Times New Roman"/>
          <w:szCs w:val="24"/>
          <w:lang w:val="en-US"/>
        </w:rPr>
        <w:t>Detailed financial statement projections. If investor is serious about buying a company, there is a need to complete projections with every line item in the income statement, cash flow statement, and balance sheet;</w:t>
      </w:r>
      <w:r w:rsidR="00C026D8">
        <w:rPr>
          <w:rFonts w:cs="Times New Roman"/>
          <w:szCs w:val="24"/>
          <w:lang w:val="en-US"/>
        </w:rPr>
        <w:t xml:space="preserve"> </w:t>
      </w:r>
    </w:p>
    <w:p w:rsidR="00FB4C57" w:rsidRPr="00701A82" w:rsidRDefault="00FB4C57" w:rsidP="008D3CCB">
      <w:pPr>
        <w:pStyle w:val="a5"/>
        <w:numPr>
          <w:ilvl w:val="0"/>
          <w:numId w:val="39"/>
        </w:numPr>
        <w:spacing w:line="360" w:lineRule="auto"/>
        <w:jc w:val="both"/>
        <w:rPr>
          <w:rFonts w:cs="Times New Roman"/>
          <w:szCs w:val="24"/>
          <w:lang w:val="en-US"/>
        </w:rPr>
      </w:pPr>
      <w:r w:rsidRPr="00701A82">
        <w:rPr>
          <w:rFonts w:cs="Times New Roman"/>
          <w:szCs w:val="24"/>
          <w:lang w:val="en-US"/>
        </w:rPr>
        <w:lastRenderedPageBreak/>
        <w:t>Balance sheet adjustments. We will soon discuss the importance of showing the balance sheet after the investment has been made including all the new debt and equity used to fund the purchase;</w:t>
      </w:r>
    </w:p>
    <w:p w:rsidR="00FB4C57" w:rsidRPr="00701A82" w:rsidRDefault="00FB4C57" w:rsidP="008D3CCB">
      <w:pPr>
        <w:pStyle w:val="a5"/>
        <w:numPr>
          <w:ilvl w:val="0"/>
          <w:numId w:val="39"/>
        </w:numPr>
        <w:spacing w:line="360" w:lineRule="auto"/>
        <w:jc w:val="both"/>
        <w:rPr>
          <w:rFonts w:cs="Times New Roman"/>
          <w:szCs w:val="24"/>
          <w:lang w:val="en-US"/>
        </w:rPr>
      </w:pPr>
      <w:r w:rsidRPr="00701A82">
        <w:rPr>
          <w:rFonts w:cs="Times New Roman"/>
          <w:szCs w:val="24"/>
          <w:lang w:val="en-US"/>
        </w:rPr>
        <w:t>Detailed financing structure;</w:t>
      </w:r>
    </w:p>
    <w:p w:rsidR="00FB4C57" w:rsidRDefault="00FB4C57" w:rsidP="008D3CCB">
      <w:pPr>
        <w:pStyle w:val="a5"/>
        <w:numPr>
          <w:ilvl w:val="0"/>
          <w:numId w:val="39"/>
        </w:numPr>
        <w:spacing w:line="360" w:lineRule="auto"/>
        <w:jc w:val="both"/>
        <w:rPr>
          <w:rFonts w:cs="Times New Roman"/>
          <w:szCs w:val="24"/>
          <w:lang w:val="en-US"/>
        </w:rPr>
      </w:pPr>
      <w:r w:rsidRPr="00701A82">
        <w:rPr>
          <w:rFonts w:cs="Times New Roman"/>
          <w:szCs w:val="24"/>
          <w:lang w:val="en-US"/>
        </w:rPr>
        <w:t>Debt schedule. The full-scale LBO</w:t>
      </w:r>
      <w:r>
        <w:rPr>
          <w:rFonts w:cs="Times New Roman"/>
          <w:szCs w:val="24"/>
          <w:lang w:val="en-US"/>
        </w:rPr>
        <w:t>-model contains a debt schedule, which calculates interest expense and flows into the three statements.</w:t>
      </w:r>
    </w:p>
    <w:p w:rsidR="007572E2" w:rsidRPr="007572E2" w:rsidRDefault="007572E2" w:rsidP="007572E2">
      <w:pPr>
        <w:pStyle w:val="a5"/>
        <w:numPr>
          <w:ilvl w:val="0"/>
          <w:numId w:val="44"/>
        </w:numPr>
        <w:spacing w:line="360" w:lineRule="auto"/>
        <w:jc w:val="both"/>
        <w:rPr>
          <w:rFonts w:cs="Times New Roman"/>
          <w:i/>
          <w:szCs w:val="24"/>
          <w:lang w:val="en-US"/>
        </w:rPr>
      </w:pPr>
      <w:r w:rsidRPr="007572E2">
        <w:rPr>
          <w:rFonts w:cs="Times New Roman"/>
          <w:i/>
          <w:szCs w:val="24"/>
          <w:lang w:val="en-US"/>
        </w:rPr>
        <w:t>Limitation 6. Quantitative nature of the LBO-analysis tool</w:t>
      </w:r>
    </w:p>
    <w:p w:rsidR="007572E2" w:rsidRDefault="007572E2" w:rsidP="007572E2">
      <w:pPr>
        <w:pStyle w:val="a5"/>
        <w:spacing w:line="360" w:lineRule="auto"/>
        <w:ind w:left="360" w:firstLine="348"/>
        <w:jc w:val="both"/>
        <w:rPr>
          <w:rFonts w:cs="Times New Roman"/>
          <w:szCs w:val="24"/>
          <w:lang w:val="en-US"/>
        </w:rPr>
      </w:pPr>
      <w:r>
        <w:rPr>
          <w:rFonts w:cs="Times New Roman"/>
          <w:szCs w:val="24"/>
          <w:lang w:val="en-US"/>
        </w:rPr>
        <w:t xml:space="preserve">The last limitation of the LBO-analysis tool </w:t>
      </w:r>
      <w:proofErr w:type="gramStart"/>
      <w:r>
        <w:rPr>
          <w:rFonts w:cs="Times New Roman"/>
          <w:szCs w:val="24"/>
          <w:lang w:val="en-US"/>
        </w:rPr>
        <w:t>is connected</w:t>
      </w:r>
      <w:proofErr w:type="gramEnd"/>
      <w:r>
        <w:rPr>
          <w:rFonts w:cs="Times New Roman"/>
          <w:szCs w:val="24"/>
          <w:lang w:val="en-US"/>
        </w:rPr>
        <w:t xml:space="preserve"> with its quantitative nature. As it was several times mentioned before, in target identification and target </w:t>
      </w:r>
      <w:proofErr w:type="gramStart"/>
      <w:r>
        <w:rPr>
          <w:rFonts w:cs="Times New Roman"/>
          <w:szCs w:val="24"/>
          <w:lang w:val="en-US"/>
        </w:rPr>
        <w:t>evaluation</w:t>
      </w:r>
      <w:proofErr w:type="gramEnd"/>
      <w:r>
        <w:rPr>
          <w:rFonts w:cs="Times New Roman"/>
          <w:szCs w:val="24"/>
          <w:lang w:val="en-US"/>
        </w:rPr>
        <w:t xml:space="preserve"> both qualitative and quantitative analyses should be used, however, this particular tool does not provide any directions or frameworks for qualitative analysis. </w:t>
      </w:r>
    </w:p>
    <w:p w:rsidR="000F4840" w:rsidRDefault="000F4840" w:rsidP="000F4840">
      <w:pPr>
        <w:pStyle w:val="1"/>
        <w:rPr>
          <w:lang w:val="en-US"/>
        </w:rPr>
      </w:pPr>
      <w:bookmarkStart w:id="25" w:name="_Toc483074655"/>
      <w:r>
        <w:rPr>
          <w:lang w:val="en-US"/>
        </w:rPr>
        <w:t>Summary of Chapter 3</w:t>
      </w:r>
      <w:bookmarkEnd w:id="25"/>
    </w:p>
    <w:p w:rsidR="00602A11" w:rsidRPr="00602A11" w:rsidRDefault="00CE2E85" w:rsidP="00CE2E85">
      <w:pPr>
        <w:pStyle w:val="a5"/>
        <w:spacing w:line="360" w:lineRule="auto"/>
        <w:ind w:firstLine="708"/>
        <w:jc w:val="both"/>
        <w:rPr>
          <w:lang w:val="en-US"/>
        </w:rPr>
      </w:pPr>
      <w:r>
        <w:rPr>
          <w:rFonts w:cs="Times New Roman"/>
          <w:szCs w:val="24"/>
          <w:lang w:val="en-US"/>
        </w:rPr>
        <w:t xml:space="preserve">In this chapter, the main limitations of the proposed LBO-analysis tool </w:t>
      </w:r>
      <w:proofErr w:type="gramStart"/>
      <w:r>
        <w:rPr>
          <w:rFonts w:cs="Times New Roman"/>
          <w:szCs w:val="24"/>
          <w:lang w:val="en-US"/>
        </w:rPr>
        <w:t>were discussed</w:t>
      </w:r>
      <w:proofErr w:type="gramEnd"/>
      <w:r>
        <w:rPr>
          <w:rFonts w:cs="Times New Roman"/>
          <w:szCs w:val="24"/>
          <w:lang w:val="en-US"/>
        </w:rPr>
        <w:t xml:space="preserve">. Among those limitations </w:t>
      </w:r>
      <w:proofErr w:type="gramStart"/>
      <w:r>
        <w:rPr>
          <w:rFonts w:cs="Times New Roman"/>
          <w:szCs w:val="24"/>
          <w:lang w:val="en-US"/>
        </w:rPr>
        <w:t>were named</w:t>
      </w:r>
      <w:proofErr w:type="gramEnd"/>
      <w:r>
        <w:rPr>
          <w:rFonts w:cs="Times New Roman"/>
          <w:szCs w:val="24"/>
          <w:lang w:val="en-US"/>
        </w:rPr>
        <w:t xml:space="preserve">: lack of flexibility, incompleteness, as well as the accuracy of the model was questioned. </w:t>
      </w:r>
      <w:r w:rsidR="00C33FAB">
        <w:rPr>
          <w:rFonts w:cs="Times New Roman"/>
          <w:szCs w:val="24"/>
          <w:lang w:val="en-US"/>
        </w:rPr>
        <w:t>The main flaw of the developed LBO-model is that it t</w:t>
      </w:r>
      <w:r w:rsidR="00C33FAB" w:rsidRPr="00C33FAB">
        <w:rPr>
          <w:rFonts w:cs="Times New Roman"/>
          <w:szCs w:val="24"/>
          <w:lang w:val="en-US"/>
        </w:rPr>
        <w:t xml:space="preserve">he IRRs </w:t>
      </w:r>
      <w:proofErr w:type="gramStart"/>
      <w:r w:rsidR="00C33FAB" w:rsidRPr="00C33FAB">
        <w:rPr>
          <w:rFonts w:cs="Times New Roman"/>
          <w:szCs w:val="24"/>
          <w:lang w:val="en-US"/>
        </w:rPr>
        <w:t>are modelled</w:t>
      </w:r>
      <w:proofErr w:type="gramEnd"/>
      <w:r w:rsidR="00C33FAB" w:rsidRPr="00C33FAB">
        <w:rPr>
          <w:rFonts w:cs="Times New Roman"/>
          <w:szCs w:val="24"/>
          <w:lang w:val="en-US"/>
        </w:rPr>
        <w:t xml:space="preserve"> without taking into consideration the risks that are connected with its calculation. In </w:t>
      </w:r>
      <w:proofErr w:type="gramStart"/>
      <w:r w:rsidR="00C33FAB" w:rsidRPr="00C33FAB">
        <w:rPr>
          <w:rFonts w:cs="Times New Roman"/>
          <w:szCs w:val="24"/>
          <w:lang w:val="en-US"/>
        </w:rPr>
        <w:t>fact</w:t>
      </w:r>
      <w:proofErr w:type="gramEnd"/>
      <w:r w:rsidR="00C33FAB" w:rsidRPr="00C33FAB">
        <w:rPr>
          <w:rFonts w:cs="Times New Roman"/>
          <w:szCs w:val="24"/>
          <w:lang w:val="en-US"/>
        </w:rPr>
        <w:t xml:space="preserve"> the formula that is used to find the IRR i</w:t>
      </w:r>
      <w:r w:rsidR="00C33FAB">
        <w:rPr>
          <w:rFonts w:cs="Times New Roman"/>
          <w:szCs w:val="24"/>
          <w:lang w:val="en-US"/>
        </w:rPr>
        <w:t>s a matter of great uncertainty, which is not included here. Moreover, comparing IRRs of different LBOs, the analytical tool ignores the fact that buyout companies usually do not bear the same risk.</w:t>
      </w:r>
    </w:p>
    <w:p w:rsidR="00C409AB" w:rsidRDefault="00C409AB">
      <w:pPr>
        <w:spacing w:line="259" w:lineRule="auto"/>
        <w:rPr>
          <w:rFonts w:eastAsiaTheme="majorEastAsia" w:cstheme="majorBidi"/>
          <w:b/>
          <w:szCs w:val="32"/>
          <w:lang w:val="en-US"/>
        </w:rPr>
      </w:pPr>
      <w:r>
        <w:rPr>
          <w:lang w:val="en-US"/>
        </w:rPr>
        <w:br w:type="page"/>
      </w:r>
    </w:p>
    <w:p w:rsidR="00E05711" w:rsidRDefault="00E05711" w:rsidP="00E05711">
      <w:pPr>
        <w:pStyle w:val="1"/>
        <w:rPr>
          <w:lang w:val="en-US"/>
        </w:rPr>
      </w:pPr>
      <w:bookmarkStart w:id="26" w:name="_Toc483074656"/>
      <w:r>
        <w:rPr>
          <w:lang w:val="en-US"/>
        </w:rPr>
        <w:lastRenderedPageBreak/>
        <w:t>CONCLUSION</w:t>
      </w:r>
      <w:bookmarkEnd w:id="26"/>
      <w:r>
        <w:rPr>
          <w:lang w:val="en-US"/>
        </w:rPr>
        <w:t xml:space="preserve"> </w:t>
      </w:r>
    </w:p>
    <w:p w:rsidR="005C5DE1" w:rsidRDefault="005C5DE1" w:rsidP="005C5DE1">
      <w:pPr>
        <w:pStyle w:val="a5"/>
        <w:spacing w:line="360" w:lineRule="auto"/>
        <w:ind w:firstLine="567"/>
        <w:jc w:val="both"/>
        <w:rPr>
          <w:rFonts w:cs="Times New Roman"/>
          <w:szCs w:val="24"/>
          <w:lang w:val="en-US"/>
        </w:rPr>
      </w:pPr>
      <w:r w:rsidRPr="005C5DE1">
        <w:rPr>
          <w:rFonts w:cs="Times New Roman"/>
          <w:szCs w:val="24"/>
          <w:lang w:val="en-US"/>
        </w:rPr>
        <w:t xml:space="preserve">Levered buyout (LBO) – is an acquisition of a company or its part with the use of borrowed funds to finance the most of the transaction value. The main economic benefit of LBO is to increase the return on investment </w:t>
      </w:r>
      <w:proofErr w:type="gramStart"/>
      <w:r w:rsidRPr="005C5DE1">
        <w:rPr>
          <w:rFonts w:cs="Times New Roman"/>
          <w:szCs w:val="24"/>
          <w:lang w:val="en-US"/>
        </w:rPr>
        <w:t xml:space="preserve">through the </w:t>
      </w:r>
      <w:r>
        <w:rPr>
          <w:rFonts w:cs="Times New Roman"/>
          <w:szCs w:val="24"/>
          <w:lang w:val="en-US"/>
        </w:rPr>
        <w:t>use of</w:t>
      </w:r>
      <w:proofErr w:type="gramEnd"/>
      <w:r>
        <w:rPr>
          <w:rFonts w:cs="Times New Roman"/>
          <w:szCs w:val="24"/>
          <w:lang w:val="en-US"/>
        </w:rPr>
        <w:t xml:space="preserve"> debt. </w:t>
      </w:r>
      <w:r w:rsidRPr="005C5DE1">
        <w:rPr>
          <w:rFonts w:cs="Times New Roman"/>
          <w:szCs w:val="24"/>
          <w:lang w:val="en-US"/>
        </w:rPr>
        <w:t>Currently, there are signs of growth of financial investors’ activity in conducting LBOs in both qualitative and quantitative terms. The picture below shows the steep increase in the size and number of leveraged buyouts conducted since 1980s</w:t>
      </w:r>
      <w:r>
        <w:rPr>
          <w:rFonts w:cs="Times New Roman"/>
          <w:szCs w:val="24"/>
          <w:lang w:val="en-US"/>
        </w:rPr>
        <w:t xml:space="preserve">. </w:t>
      </w:r>
    </w:p>
    <w:p w:rsidR="00A2640D" w:rsidRDefault="00A2640D" w:rsidP="00A2640D">
      <w:pPr>
        <w:pStyle w:val="a5"/>
        <w:spacing w:line="360" w:lineRule="auto"/>
        <w:ind w:firstLine="708"/>
        <w:jc w:val="both"/>
        <w:rPr>
          <w:rFonts w:cs="Times New Roman"/>
          <w:bCs/>
          <w:szCs w:val="24"/>
          <w:lang w:val="en-US"/>
        </w:rPr>
      </w:pPr>
      <w:r>
        <w:rPr>
          <w:rFonts w:cs="Times New Roman"/>
          <w:bCs/>
          <w:szCs w:val="24"/>
          <w:lang w:val="en-US"/>
        </w:rPr>
        <w:t xml:space="preserve">The two waves of post-LBO bankruptcies in late 1990s and mid-2000s, which brought most of most of PE funds to default, gave a rise to concerns and discussions of different techniques of LBO-analysis. </w:t>
      </w:r>
      <w:r w:rsidRPr="00A2640D">
        <w:rPr>
          <w:rFonts w:cs="Times New Roman"/>
          <w:bCs/>
          <w:szCs w:val="24"/>
          <w:lang w:val="en-US"/>
        </w:rPr>
        <w:t>LBO-analysis</w:t>
      </w:r>
      <w:r>
        <w:rPr>
          <w:rFonts w:cs="Times New Roman"/>
          <w:bCs/>
          <w:szCs w:val="24"/>
          <w:lang w:val="en-US"/>
        </w:rPr>
        <w:t xml:space="preserve"> – is the core analytical tool used to analyze the target and the potential deal outcome ex-ante.  It is a complex methodology, which integrates specialized knowledge of financial modeling, leveraged debt capital markets, M&amp;A, and accounting. </w:t>
      </w:r>
    </w:p>
    <w:p w:rsidR="00A2640D" w:rsidRDefault="00A2640D" w:rsidP="00A2640D">
      <w:pPr>
        <w:pStyle w:val="a5"/>
        <w:spacing w:line="360" w:lineRule="auto"/>
        <w:ind w:firstLine="567"/>
        <w:jc w:val="both"/>
        <w:rPr>
          <w:rFonts w:cs="Times New Roman"/>
          <w:bCs/>
          <w:szCs w:val="24"/>
          <w:lang w:val="en-US"/>
        </w:rPr>
      </w:pPr>
      <w:r>
        <w:rPr>
          <w:rFonts w:cs="Times New Roman"/>
          <w:bCs/>
          <w:szCs w:val="24"/>
          <w:lang w:val="en-US"/>
        </w:rPr>
        <w:t xml:space="preserve">LBO analysis usually consists of two parts – target identification and target evaluation. To achieve each of this objectives investors conduct qualitative and quantitative analysis, with the use of internally developed instruments and models. </w:t>
      </w:r>
    </w:p>
    <w:p w:rsidR="00A2640D" w:rsidRDefault="00A2640D" w:rsidP="00A2640D">
      <w:pPr>
        <w:pStyle w:val="a5"/>
        <w:spacing w:line="360" w:lineRule="auto"/>
        <w:ind w:firstLine="567"/>
        <w:jc w:val="both"/>
        <w:rPr>
          <w:rFonts w:cs="Times New Roman"/>
          <w:bCs/>
          <w:szCs w:val="24"/>
          <w:lang w:val="en-US"/>
        </w:rPr>
      </w:pPr>
      <w:r w:rsidRPr="00A2640D">
        <w:rPr>
          <w:rFonts w:cs="Times New Roman"/>
          <w:bCs/>
          <w:szCs w:val="24"/>
          <w:lang w:val="en-US"/>
        </w:rPr>
        <w:t>Both academic and business literature highlight the importance of preliminary analysis of the LBO. They say that it is a key, since the quality of the preliminary works is one of the determinants of the entire s</w:t>
      </w:r>
      <w:r>
        <w:rPr>
          <w:rFonts w:cs="Times New Roman"/>
          <w:bCs/>
          <w:szCs w:val="24"/>
          <w:lang w:val="en-US"/>
        </w:rPr>
        <w:t>uccess of transaction.  At the same time l</w:t>
      </w:r>
      <w:r w:rsidRPr="00A2640D">
        <w:rPr>
          <w:rFonts w:cs="Times New Roman"/>
          <w:bCs/>
          <w:szCs w:val="24"/>
          <w:lang w:val="en-US"/>
        </w:rPr>
        <w:t>eading Investment Banks, such as Goldman Sachs, UBS, Morgan Stanley, Deutsche  Bank, regularly make researches on this topic (Credit Suisse (2007a), Credit Suisse (2007b), Deutsche Bank (2007), Goldman Sachs (2007), Morgan Stanley (2003), UBS (2007)), since the importance of LBO-analysis is vital</w:t>
      </w:r>
      <w:r>
        <w:rPr>
          <w:rFonts w:cs="Times New Roman"/>
          <w:bCs/>
          <w:szCs w:val="24"/>
          <w:lang w:val="en-US"/>
        </w:rPr>
        <w:t>.</w:t>
      </w:r>
    </w:p>
    <w:p w:rsidR="00A2640D" w:rsidRDefault="00A2640D" w:rsidP="00A2640D">
      <w:pPr>
        <w:pStyle w:val="a5"/>
        <w:spacing w:line="360" w:lineRule="auto"/>
        <w:ind w:firstLine="567"/>
        <w:jc w:val="both"/>
        <w:rPr>
          <w:rFonts w:cs="Times New Roman"/>
          <w:bCs/>
          <w:szCs w:val="24"/>
          <w:lang w:val="en-US"/>
        </w:rPr>
      </w:pPr>
      <w:r>
        <w:rPr>
          <w:rFonts w:cs="Times New Roman"/>
          <w:bCs/>
          <w:szCs w:val="24"/>
          <w:lang w:val="en-US"/>
        </w:rPr>
        <w:t>Given the current popularity of LBOs and importance of LBO-analysis, there is a plenty of academic and business literature devoted to analyzing and describing different aspects of this issue.</w:t>
      </w:r>
    </w:p>
    <w:p w:rsidR="00A2640D" w:rsidRDefault="00A2640D" w:rsidP="00A2640D">
      <w:pPr>
        <w:pStyle w:val="a5"/>
        <w:spacing w:line="360" w:lineRule="auto"/>
        <w:ind w:firstLine="567"/>
        <w:jc w:val="both"/>
        <w:rPr>
          <w:rFonts w:cs="Times New Roman"/>
          <w:bCs/>
          <w:szCs w:val="24"/>
          <w:lang w:val="en-US"/>
        </w:rPr>
      </w:pPr>
      <w:r>
        <w:rPr>
          <w:rFonts w:cs="Times New Roman"/>
          <w:bCs/>
          <w:szCs w:val="24"/>
          <w:lang w:val="en-US"/>
        </w:rPr>
        <w:t>However, academic literature is mostly concentrated on building and analyzin</w:t>
      </w:r>
      <w:r w:rsidRPr="00A2640D">
        <w:rPr>
          <w:rFonts w:cs="Times New Roman"/>
          <w:bCs/>
          <w:szCs w:val="24"/>
          <w:lang w:val="en-US"/>
        </w:rPr>
        <w:t xml:space="preserve">g positive economic models. Yet, normative models presents a great matter of interest from the point of all LBO transaction participants. At the same time, information presented in business literature is very limited, since LBO-analysis tools </w:t>
      </w:r>
      <w:proofErr w:type="gramStart"/>
      <w:r w:rsidRPr="00A2640D">
        <w:rPr>
          <w:rFonts w:cs="Times New Roman"/>
          <w:bCs/>
          <w:szCs w:val="24"/>
          <w:lang w:val="en-US"/>
        </w:rPr>
        <w:t>are often referred</w:t>
      </w:r>
      <w:proofErr w:type="gramEnd"/>
      <w:r w:rsidRPr="00A2640D">
        <w:rPr>
          <w:rFonts w:cs="Times New Roman"/>
          <w:bCs/>
          <w:szCs w:val="24"/>
          <w:lang w:val="en-US"/>
        </w:rPr>
        <w:t xml:space="preserve"> to as “hard currency”: they reflect </w:t>
      </w:r>
      <w:r>
        <w:rPr>
          <w:rFonts w:cs="Times New Roman"/>
          <w:bCs/>
          <w:szCs w:val="24"/>
          <w:lang w:val="en-US"/>
        </w:rPr>
        <w:t xml:space="preserve">the core competence of the investment company, are confidential and never revealed to public. Therefore, there is a clear gap in both academic and business literature, connected with lack of normative models related to LBO. In this work, </w:t>
      </w:r>
      <w:proofErr w:type="gramStart"/>
      <w:r>
        <w:rPr>
          <w:rFonts w:cs="Times New Roman"/>
          <w:bCs/>
          <w:szCs w:val="24"/>
          <w:lang w:val="en-US"/>
        </w:rPr>
        <w:t>was done</w:t>
      </w:r>
      <w:proofErr w:type="gramEnd"/>
      <w:r>
        <w:rPr>
          <w:rFonts w:cs="Times New Roman"/>
          <w:bCs/>
          <w:szCs w:val="24"/>
          <w:lang w:val="en-US"/>
        </w:rPr>
        <w:t xml:space="preserve"> an attempt to fill this gap by building an LBO-analysis algorithm based on positive scenario of industry development and performance forecasts of the target company. </w:t>
      </w:r>
    </w:p>
    <w:p w:rsidR="00A2640D" w:rsidRPr="00A2640D" w:rsidRDefault="00A2640D" w:rsidP="00A2640D">
      <w:pPr>
        <w:pStyle w:val="a5"/>
        <w:spacing w:line="360" w:lineRule="auto"/>
        <w:ind w:firstLine="567"/>
        <w:jc w:val="both"/>
        <w:rPr>
          <w:rFonts w:cs="Times New Roman"/>
          <w:bCs/>
          <w:szCs w:val="24"/>
          <w:lang w:val="en-US"/>
        </w:rPr>
      </w:pPr>
      <w:r w:rsidRPr="00A2640D">
        <w:rPr>
          <w:rFonts w:cs="Times New Roman"/>
          <w:bCs/>
          <w:szCs w:val="24"/>
          <w:lang w:val="en-US"/>
        </w:rPr>
        <w:t xml:space="preserve">In the first chapter of the master </w:t>
      </w:r>
      <w:proofErr w:type="gramStart"/>
      <w:r w:rsidRPr="00A2640D">
        <w:rPr>
          <w:rFonts w:cs="Times New Roman"/>
          <w:bCs/>
          <w:szCs w:val="24"/>
          <w:lang w:val="en-US"/>
        </w:rPr>
        <w:t>thesis</w:t>
      </w:r>
      <w:proofErr w:type="gramEnd"/>
      <w:r w:rsidRPr="00A2640D">
        <w:rPr>
          <w:rFonts w:cs="Times New Roman"/>
          <w:bCs/>
          <w:szCs w:val="24"/>
          <w:lang w:val="en-US"/>
        </w:rPr>
        <w:t xml:space="preserve"> an overview of fundamentals of leveraged buyouts is provided. In this part are discussed the main concept of LBO, key LBO participants, characteristics </w:t>
      </w:r>
      <w:r w:rsidRPr="00A2640D">
        <w:rPr>
          <w:rFonts w:cs="Times New Roman"/>
          <w:bCs/>
          <w:szCs w:val="24"/>
          <w:lang w:val="en-US"/>
        </w:rPr>
        <w:lastRenderedPageBreak/>
        <w:t xml:space="preserve">of a strong LBO candidate, possible financing structure and the scheme of LBO transaction. Moreover, a review of academic and business literature on LBO-analysis is preformed.  </w:t>
      </w:r>
    </w:p>
    <w:p w:rsidR="00A2640D" w:rsidRPr="00A2640D" w:rsidRDefault="00A2640D" w:rsidP="00A2640D">
      <w:pPr>
        <w:pStyle w:val="a5"/>
        <w:spacing w:line="360" w:lineRule="auto"/>
        <w:ind w:firstLine="567"/>
        <w:jc w:val="both"/>
        <w:rPr>
          <w:rFonts w:cs="Times New Roman"/>
          <w:bCs/>
          <w:szCs w:val="24"/>
          <w:lang w:val="en-US"/>
        </w:rPr>
      </w:pPr>
      <w:r w:rsidRPr="00A2640D">
        <w:rPr>
          <w:rFonts w:cs="Times New Roman"/>
          <w:bCs/>
          <w:szCs w:val="24"/>
          <w:lang w:val="en-US"/>
        </w:rPr>
        <w:t xml:space="preserve">The second chapter focuses on </w:t>
      </w:r>
      <w:r>
        <w:rPr>
          <w:rFonts w:cs="Times New Roman"/>
          <w:bCs/>
          <w:szCs w:val="24"/>
          <w:lang w:val="en-US"/>
        </w:rPr>
        <w:t xml:space="preserve">building LBO-analysis tool. </w:t>
      </w:r>
      <w:r w:rsidRPr="00A2640D">
        <w:rPr>
          <w:rFonts w:cs="Times New Roman"/>
          <w:bCs/>
          <w:szCs w:val="24"/>
          <w:lang w:val="en-US"/>
        </w:rPr>
        <w:t xml:space="preserve"> </w:t>
      </w:r>
    </w:p>
    <w:p w:rsidR="00A2640D" w:rsidRDefault="00A2640D" w:rsidP="00E10798">
      <w:pPr>
        <w:pStyle w:val="a5"/>
        <w:spacing w:line="360" w:lineRule="auto"/>
        <w:ind w:firstLine="567"/>
        <w:jc w:val="both"/>
        <w:rPr>
          <w:rFonts w:cs="Times New Roman"/>
          <w:bCs/>
          <w:szCs w:val="24"/>
          <w:lang w:val="en-US"/>
        </w:rPr>
      </w:pPr>
      <w:r w:rsidRPr="00A2640D">
        <w:rPr>
          <w:rFonts w:cs="Times New Roman"/>
          <w:bCs/>
          <w:szCs w:val="24"/>
          <w:lang w:val="en-US"/>
        </w:rPr>
        <w:t>In the third chapter focuses o</w:t>
      </w:r>
      <w:r w:rsidR="00E10798">
        <w:rPr>
          <w:rFonts w:cs="Times New Roman"/>
          <w:bCs/>
          <w:szCs w:val="24"/>
          <w:lang w:val="en-US"/>
        </w:rPr>
        <w:t xml:space="preserve">n building an LBO-analysis tool. </w:t>
      </w:r>
      <w:r w:rsidR="00E10798" w:rsidRPr="00E10798">
        <w:rPr>
          <w:rFonts w:cs="Times New Roman"/>
          <w:bCs/>
          <w:szCs w:val="24"/>
          <w:lang w:val="en-US"/>
        </w:rPr>
        <w:t>In this chapter an LBO-analysis tool, including a</w:t>
      </w:r>
      <w:r w:rsidR="00E10798">
        <w:rPr>
          <w:rFonts w:cs="Times New Roman"/>
          <w:bCs/>
          <w:szCs w:val="24"/>
          <w:lang w:val="en-US"/>
        </w:rPr>
        <w:t>n</w:t>
      </w:r>
      <w:r w:rsidR="00E10798" w:rsidRPr="00E10798">
        <w:rPr>
          <w:rFonts w:cs="Times New Roman"/>
          <w:bCs/>
          <w:szCs w:val="24"/>
          <w:lang w:val="en-US"/>
        </w:rPr>
        <w:t xml:space="preserve"> instrument for finding an LBO-target (LBO-screener), and a tool for detailed analysis of the individual companies (LBO-model) was build with the use of VBA programming. The LBO-analysis tool is based on methodologies used by </w:t>
      </w:r>
      <w:proofErr w:type="gramStart"/>
      <w:r w:rsidR="00E10798" w:rsidRPr="00E10798">
        <w:rPr>
          <w:rFonts w:cs="Times New Roman"/>
          <w:bCs/>
          <w:szCs w:val="24"/>
          <w:lang w:val="en-US"/>
        </w:rPr>
        <w:t>leading  Investment</w:t>
      </w:r>
      <w:proofErr w:type="gramEnd"/>
      <w:r w:rsidR="00E10798" w:rsidRPr="00E10798">
        <w:rPr>
          <w:rFonts w:cs="Times New Roman"/>
          <w:bCs/>
          <w:szCs w:val="24"/>
          <w:lang w:val="en-US"/>
        </w:rPr>
        <w:t xml:space="preserve"> Banks, which are presented in the book “Equity valuation: models from leading investment banks” by Jan Viebig, Thor</w:t>
      </w:r>
      <w:r w:rsidR="00E10798">
        <w:rPr>
          <w:rFonts w:cs="Times New Roman"/>
          <w:bCs/>
          <w:szCs w:val="24"/>
          <w:lang w:val="en-US"/>
        </w:rPr>
        <w:t xml:space="preserve">sten Poddig, and Armin Varmaz. </w:t>
      </w:r>
      <w:r w:rsidR="00E10798" w:rsidRPr="00E10798">
        <w:rPr>
          <w:rFonts w:cs="Times New Roman"/>
          <w:bCs/>
          <w:szCs w:val="24"/>
          <w:lang w:val="en-US"/>
        </w:rPr>
        <w:t xml:space="preserve">After </w:t>
      </w:r>
      <w:proofErr w:type="gramStart"/>
      <w:r w:rsidR="00E10798" w:rsidRPr="00E10798">
        <w:rPr>
          <w:rFonts w:cs="Times New Roman"/>
          <w:bCs/>
          <w:szCs w:val="24"/>
          <w:lang w:val="en-US"/>
        </w:rPr>
        <w:t>that</w:t>
      </w:r>
      <w:proofErr w:type="gramEnd"/>
      <w:r w:rsidR="00E10798" w:rsidRPr="00E10798">
        <w:rPr>
          <w:rFonts w:cs="Times New Roman"/>
          <w:bCs/>
          <w:szCs w:val="24"/>
          <w:lang w:val="en-US"/>
        </w:rPr>
        <w:t xml:space="preserve"> the built instrument was applied on the set of real compani</w:t>
      </w:r>
      <w:r w:rsidR="00E10798">
        <w:rPr>
          <w:rFonts w:cs="Times New Roman"/>
          <w:bCs/>
          <w:szCs w:val="24"/>
          <w:lang w:val="en-US"/>
        </w:rPr>
        <w:t xml:space="preserve">es, to show how it works in practice. </w:t>
      </w:r>
    </w:p>
    <w:p w:rsidR="00E10798" w:rsidRDefault="00E10798" w:rsidP="00E10798">
      <w:pPr>
        <w:pStyle w:val="a5"/>
        <w:spacing w:line="360" w:lineRule="auto"/>
        <w:ind w:firstLine="567"/>
        <w:jc w:val="both"/>
        <w:rPr>
          <w:rFonts w:cs="Times New Roman"/>
          <w:bCs/>
          <w:szCs w:val="24"/>
          <w:lang w:val="en-US"/>
        </w:rPr>
      </w:pPr>
      <w:r>
        <w:rPr>
          <w:rFonts w:cs="Times New Roman"/>
          <w:bCs/>
          <w:szCs w:val="24"/>
          <w:lang w:val="en-US"/>
        </w:rPr>
        <w:t>The third chapter focuses on the limitations of the built model.</w:t>
      </w:r>
    </w:p>
    <w:p w:rsidR="006B1996" w:rsidRDefault="006B1996" w:rsidP="006B1996">
      <w:pPr>
        <w:pStyle w:val="a5"/>
        <w:spacing w:line="360" w:lineRule="auto"/>
        <w:ind w:firstLine="708"/>
        <w:jc w:val="both"/>
        <w:rPr>
          <w:rFonts w:cs="Times New Roman"/>
          <w:bCs/>
          <w:szCs w:val="24"/>
          <w:lang w:val="en-US"/>
        </w:rPr>
      </w:pPr>
      <w:r>
        <w:rPr>
          <w:rFonts w:cs="Times New Roman"/>
          <w:bCs/>
          <w:szCs w:val="24"/>
          <w:lang w:val="en-US"/>
        </w:rPr>
        <w:t>This work attempts to fill in the gap in academic and business literature connected with the lack of normative models. This paper will give a firsthand perspective and understanding of how the LBO-analysis process works. On the one hand, it will be useful for investors, conducting LBO-analysis, as it will provide an integral approach in analysis by addressing their main prior LBO objectives at once: choosing an LBO-target and evaluating the target</w:t>
      </w:r>
      <w:r w:rsidR="00E10798">
        <w:rPr>
          <w:rFonts w:cs="Times New Roman"/>
          <w:bCs/>
          <w:szCs w:val="24"/>
          <w:lang w:val="en-US"/>
        </w:rPr>
        <w:t xml:space="preserve">. </w:t>
      </w:r>
      <w:r>
        <w:rPr>
          <w:rFonts w:cs="Times New Roman"/>
          <w:bCs/>
          <w:szCs w:val="24"/>
          <w:lang w:val="en-US"/>
        </w:rPr>
        <w:t>On the other hand, it will be useful for a novice wanting to get enter the investment banking or private equity field. The work may serve as an introductory educational tool in their attempt to create their own analyses.</w:t>
      </w:r>
    </w:p>
    <w:p w:rsidR="003D3F91" w:rsidRDefault="003D3F91" w:rsidP="003D3F91">
      <w:pPr>
        <w:pStyle w:val="a5"/>
        <w:spacing w:line="360" w:lineRule="auto"/>
        <w:ind w:firstLine="360"/>
        <w:jc w:val="both"/>
        <w:rPr>
          <w:rFonts w:cs="Times New Roman"/>
          <w:szCs w:val="24"/>
          <w:lang w:val="en-US"/>
        </w:rPr>
      </w:pPr>
      <w:r>
        <w:rPr>
          <w:rFonts w:cs="Times New Roman"/>
          <w:szCs w:val="24"/>
          <w:lang w:val="en-US"/>
        </w:rPr>
        <w:t xml:space="preserve">. </w:t>
      </w:r>
    </w:p>
    <w:p w:rsidR="006B1996" w:rsidRPr="00F81AEB" w:rsidRDefault="006B1996" w:rsidP="00F81AEB">
      <w:pPr>
        <w:pStyle w:val="a5"/>
        <w:spacing w:line="360" w:lineRule="auto"/>
        <w:jc w:val="both"/>
        <w:rPr>
          <w:lang w:val="en-US"/>
        </w:rPr>
      </w:pPr>
    </w:p>
    <w:p w:rsidR="00F06544" w:rsidRDefault="00F06544" w:rsidP="000D7C97">
      <w:pPr>
        <w:pStyle w:val="a5"/>
        <w:spacing w:line="360" w:lineRule="auto"/>
        <w:jc w:val="both"/>
        <w:rPr>
          <w:lang w:val="en-US"/>
        </w:rPr>
      </w:pPr>
    </w:p>
    <w:p w:rsidR="00F06544" w:rsidRDefault="00F06544" w:rsidP="000D7C97">
      <w:pPr>
        <w:pStyle w:val="a5"/>
        <w:spacing w:line="360" w:lineRule="auto"/>
        <w:jc w:val="both"/>
        <w:rPr>
          <w:lang w:val="en-US"/>
        </w:rPr>
      </w:pPr>
    </w:p>
    <w:p w:rsidR="00F06544" w:rsidRDefault="00F06544" w:rsidP="002B5649">
      <w:pPr>
        <w:pStyle w:val="a5"/>
        <w:spacing w:line="360" w:lineRule="auto"/>
        <w:jc w:val="both"/>
        <w:rPr>
          <w:lang w:val="en-US"/>
        </w:rPr>
      </w:pPr>
    </w:p>
    <w:p w:rsidR="00F06544" w:rsidRDefault="00F06544" w:rsidP="002B5649">
      <w:pPr>
        <w:pStyle w:val="a5"/>
        <w:spacing w:line="360" w:lineRule="auto"/>
        <w:jc w:val="both"/>
        <w:rPr>
          <w:lang w:val="en-US"/>
        </w:rPr>
      </w:pPr>
    </w:p>
    <w:p w:rsidR="00F06544" w:rsidRDefault="00F06544" w:rsidP="002B5649">
      <w:pPr>
        <w:pStyle w:val="a5"/>
        <w:spacing w:line="360" w:lineRule="auto"/>
        <w:jc w:val="both"/>
        <w:rPr>
          <w:lang w:val="en-US"/>
        </w:rPr>
      </w:pPr>
    </w:p>
    <w:p w:rsidR="00F06544" w:rsidRDefault="00F06544" w:rsidP="002B5649">
      <w:pPr>
        <w:pStyle w:val="a5"/>
        <w:spacing w:line="360" w:lineRule="auto"/>
        <w:jc w:val="both"/>
        <w:rPr>
          <w:lang w:val="en-US"/>
        </w:rPr>
      </w:pPr>
    </w:p>
    <w:p w:rsidR="00FB4DC1" w:rsidRDefault="00FB4DC1" w:rsidP="002B5649">
      <w:pPr>
        <w:pStyle w:val="a5"/>
        <w:spacing w:line="360" w:lineRule="auto"/>
        <w:jc w:val="both"/>
        <w:rPr>
          <w:lang w:val="en-US"/>
        </w:rPr>
      </w:pPr>
    </w:p>
    <w:p w:rsidR="00FB4DC1" w:rsidRDefault="00FB4DC1" w:rsidP="002B5649">
      <w:pPr>
        <w:pStyle w:val="a5"/>
        <w:spacing w:line="360" w:lineRule="auto"/>
        <w:jc w:val="both"/>
        <w:rPr>
          <w:lang w:val="en-US"/>
        </w:rPr>
      </w:pPr>
    </w:p>
    <w:p w:rsidR="00FB4DC1" w:rsidRDefault="00FB4DC1" w:rsidP="002B5649">
      <w:pPr>
        <w:pStyle w:val="a5"/>
        <w:spacing w:line="360" w:lineRule="auto"/>
        <w:jc w:val="both"/>
        <w:rPr>
          <w:lang w:val="en-US"/>
        </w:rPr>
      </w:pPr>
    </w:p>
    <w:p w:rsidR="0045604E" w:rsidRDefault="0045604E">
      <w:pPr>
        <w:spacing w:line="259" w:lineRule="auto"/>
        <w:rPr>
          <w:rFonts w:eastAsiaTheme="majorEastAsia" w:cstheme="majorBidi"/>
          <w:b/>
          <w:szCs w:val="32"/>
          <w:lang w:val="en-US"/>
        </w:rPr>
      </w:pPr>
      <w:r>
        <w:rPr>
          <w:lang w:val="en-US"/>
        </w:rPr>
        <w:br w:type="page"/>
      </w:r>
    </w:p>
    <w:p w:rsidR="00FB4DC1" w:rsidRDefault="00FB4DC1" w:rsidP="00FB4DC1">
      <w:pPr>
        <w:pStyle w:val="1"/>
        <w:rPr>
          <w:lang w:val="en-US"/>
        </w:rPr>
      </w:pPr>
      <w:bookmarkStart w:id="27" w:name="_Toc483074657"/>
      <w:r>
        <w:rPr>
          <w:lang w:val="en-US"/>
        </w:rPr>
        <w:lastRenderedPageBreak/>
        <w:t>REFERENCES</w:t>
      </w:r>
      <w:bookmarkEnd w:id="27"/>
    </w:p>
    <w:p w:rsidR="00F06544" w:rsidRDefault="004D64C0" w:rsidP="00B165B8">
      <w:pPr>
        <w:pStyle w:val="a5"/>
        <w:spacing w:line="360" w:lineRule="auto"/>
        <w:ind w:hanging="142"/>
        <w:jc w:val="both"/>
        <w:rPr>
          <w:lang w:val="en-US"/>
        </w:rPr>
      </w:pPr>
      <w:r>
        <w:rPr>
          <w:noProof/>
          <w:lang w:eastAsia="ru-RU"/>
        </w:rPr>
        <w:drawing>
          <wp:inline distT="0" distB="0" distL="0" distR="0" wp14:anchorId="34DA2F16" wp14:editId="1495BE95">
            <wp:extent cx="5964865" cy="8787063"/>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2218" cy="8797895"/>
                    </a:xfrm>
                    <a:prstGeom prst="rect">
                      <a:avLst/>
                    </a:prstGeom>
                  </pic:spPr>
                </pic:pic>
              </a:graphicData>
            </a:graphic>
          </wp:inline>
        </w:drawing>
      </w:r>
    </w:p>
    <w:p w:rsidR="004D64C0" w:rsidRDefault="004D64C0" w:rsidP="00B165B8">
      <w:pPr>
        <w:pStyle w:val="a5"/>
        <w:spacing w:line="360" w:lineRule="auto"/>
        <w:ind w:hanging="142"/>
        <w:jc w:val="both"/>
        <w:rPr>
          <w:lang w:val="en-US"/>
        </w:rPr>
      </w:pPr>
      <w:r>
        <w:rPr>
          <w:noProof/>
          <w:lang w:eastAsia="ru-RU"/>
        </w:rPr>
        <w:lastRenderedPageBreak/>
        <w:drawing>
          <wp:inline distT="0" distB="0" distL="0" distR="0" wp14:anchorId="76726D86" wp14:editId="12A23CF0">
            <wp:extent cx="5858539" cy="9051288"/>
            <wp:effectExtent l="0" t="0" r="889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61755" cy="9056256"/>
                    </a:xfrm>
                    <a:prstGeom prst="rect">
                      <a:avLst/>
                    </a:prstGeom>
                  </pic:spPr>
                </pic:pic>
              </a:graphicData>
            </a:graphic>
          </wp:inline>
        </w:drawing>
      </w:r>
      <w:bookmarkStart w:id="28" w:name="_GoBack"/>
      <w:bookmarkEnd w:id="28"/>
    </w:p>
    <w:p w:rsidR="004D64C0" w:rsidRDefault="004D64C0" w:rsidP="00B165B8">
      <w:pPr>
        <w:pStyle w:val="a5"/>
        <w:spacing w:line="360" w:lineRule="auto"/>
        <w:ind w:hanging="142"/>
        <w:jc w:val="both"/>
        <w:rPr>
          <w:lang w:val="en-US"/>
        </w:rPr>
      </w:pPr>
      <w:r>
        <w:rPr>
          <w:noProof/>
          <w:lang w:eastAsia="ru-RU"/>
        </w:rPr>
        <w:lastRenderedPageBreak/>
        <w:drawing>
          <wp:inline distT="0" distB="0" distL="0" distR="0" wp14:anchorId="382FCFFB" wp14:editId="4A014D5E">
            <wp:extent cx="5996763" cy="9052705"/>
            <wp:effectExtent l="0" t="0" r="444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01897" cy="9060456"/>
                    </a:xfrm>
                    <a:prstGeom prst="rect">
                      <a:avLst/>
                    </a:prstGeom>
                  </pic:spPr>
                </pic:pic>
              </a:graphicData>
            </a:graphic>
          </wp:inline>
        </w:drawing>
      </w:r>
    </w:p>
    <w:p w:rsidR="004D64C0" w:rsidRDefault="004D64C0" w:rsidP="00B165B8">
      <w:pPr>
        <w:pStyle w:val="a5"/>
        <w:spacing w:line="360" w:lineRule="auto"/>
        <w:ind w:hanging="142"/>
        <w:jc w:val="both"/>
        <w:rPr>
          <w:lang w:val="en-US"/>
        </w:rPr>
      </w:pPr>
      <w:r>
        <w:rPr>
          <w:noProof/>
          <w:lang w:eastAsia="ru-RU"/>
        </w:rPr>
        <w:lastRenderedPageBreak/>
        <w:drawing>
          <wp:inline distT="0" distB="0" distL="0" distR="0" wp14:anchorId="458A0324" wp14:editId="2F46EC73">
            <wp:extent cx="6049925" cy="7207302"/>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54928" cy="7213262"/>
                    </a:xfrm>
                    <a:prstGeom prst="rect">
                      <a:avLst/>
                    </a:prstGeom>
                  </pic:spPr>
                </pic:pic>
              </a:graphicData>
            </a:graphic>
          </wp:inline>
        </w:drawing>
      </w:r>
    </w:p>
    <w:p w:rsidR="008F0112" w:rsidRPr="000B73AE" w:rsidRDefault="008F0112" w:rsidP="00E7335F">
      <w:pPr>
        <w:pStyle w:val="a5"/>
        <w:numPr>
          <w:ilvl w:val="0"/>
          <w:numId w:val="36"/>
        </w:numPr>
        <w:spacing w:line="259" w:lineRule="auto"/>
        <w:jc w:val="both"/>
        <w:rPr>
          <w:lang w:val="en-US"/>
        </w:rPr>
        <w:sectPr w:rsidR="008F0112" w:rsidRPr="000B73AE" w:rsidSect="00257152">
          <w:type w:val="continuous"/>
          <w:pgSz w:w="11906" w:h="16838"/>
          <w:pgMar w:top="1134" w:right="851" w:bottom="1134" w:left="1701" w:header="709" w:footer="709" w:gutter="0"/>
          <w:cols w:space="708"/>
          <w:docGrid w:linePitch="360"/>
        </w:sectPr>
      </w:pPr>
      <w:r w:rsidRPr="000B73AE">
        <w:rPr>
          <w:lang w:val="en-US"/>
        </w:rPr>
        <w:br w:type="page"/>
      </w:r>
    </w:p>
    <w:p w:rsidR="001920B6" w:rsidRDefault="00D5340F" w:rsidP="00D5340F">
      <w:pPr>
        <w:pStyle w:val="1"/>
        <w:rPr>
          <w:lang w:val="en-US"/>
        </w:rPr>
      </w:pPr>
      <w:bookmarkStart w:id="29" w:name="_Toc483074658"/>
      <w:r w:rsidRPr="001920B6">
        <w:rPr>
          <w:lang w:val="en-US"/>
        </w:rPr>
        <w:lastRenderedPageBreak/>
        <w:t>Appendix 1</w:t>
      </w:r>
      <w:r w:rsidR="00E05711" w:rsidRPr="001920B6">
        <w:rPr>
          <w:lang w:val="en-US"/>
        </w:rPr>
        <w:t xml:space="preserve">. </w:t>
      </w:r>
      <w:r w:rsidR="00601A5D">
        <w:rPr>
          <w:lang w:val="en-US"/>
        </w:rPr>
        <w:t>Bloomberg screening tool for LBO-candidates</w:t>
      </w:r>
      <w:bookmarkEnd w:id="29"/>
    </w:p>
    <w:p w:rsidR="00601A5D" w:rsidRPr="00601A5D" w:rsidRDefault="00601A5D" w:rsidP="00601A5D">
      <w:pPr>
        <w:rPr>
          <w:lang w:val="en-US"/>
        </w:rPr>
      </w:pPr>
    </w:p>
    <w:p w:rsidR="001920B6" w:rsidRPr="001920B6" w:rsidRDefault="001920B6" w:rsidP="001920B6">
      <w:pPr>
        <w:rPr>
          <w:lang w:val="en-US"/>
        </w:rPr>
      </w:pPr>
      <w:r>
        <w:rPr>
          <w:noProof/>
          <w:lang w:eastAsia="ru-RU"/>
        </w:rPr>
        <w:drawing>
          <wp:inline distT="0" distB="0" distL="0" distR="0" wp14:anchorId="72B8AF42" wp14:editId="61726295">
            <wp:extent cx="4819650" cy="9044940"/>
            <wp:effectExtent l="1905" t="0" r="1905" b="1905"/>
            <wp:docPr id="143" name="Рисунок 14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61"/>
                    <a:srcRect l="8730"/>
                    <a:stretch/>
                  </pic:blipFill>
                  <pic:spPr bwMode="auto">
                    <a:xfrm rot="5400000">
                      <a:off x="0" y="0"/>
                      <a:ext cx="4819650" cy="9044940"/>
                    </a:xfrm>
                    <a:prstGeom prst="rect">
                      <a:avLst/>
                    </a:prstGeom>
                    <a:ln>
                      <a:noFill/>
                    </a:ln>
                    <a:extLst>
                      <a:ext uri="{53640926-AAD7-44D8-BBD7-CCE9431645EC}">
                        <a14:shadowObscured xmlns:a14="http://schemas.microsoft.com/office/drawing/2010/main"/>
                      </a:ext>
                    </a:extLst>
                  </pic:spPr>
                </pic:pic>
              </a:graphicData>
            </a:graphic>
          </wp:inline>
        </w:drawing>
      </w:r>
    </w:p>
    <w:p w:rsidR="00D5340F" w:rsidRPr="00D5340F" w:rsidRDefault="001920B6" w:rsidP="00D5340F">
      <w:pPr>
        <w:pStyle w:val="1"/>
        <w:rPr>
          <w:lang w:val="en-US"/>
        </w:rPr>
      </w:pPr>
      <w:bookmarkStart w:id="30" w:name="_Toc483074659"/>
      <w:r>
        <w:rPr>
          <w:lang w:val="en-US"/>
        </w:rPr>
        <w:lastRenderedPageBreak/>
        <w:t xml:space="preserve">Appendix 2. </w:t>
      </w:r>
      <w:r w:rsidR="00E05711">
        <w:rPr>
          <w:lang w:val="en-US"/>
        </w:rPr>
        <w:t>Flaws of the publicly available LBO-models</w:t>
      </w:r>
      <w:bookmarkEnd w:id="30"/>
    </w:p>
    <w:p w:rsidR="008F0112" w:rsidRDefault="008F0112" w:rsidP="008F0112">
      <w:pPr>
        <w:pStyle w:val="a5"/>
        <w:spacing w:line="360" w:lineRule="auto"/>
        <w:jc w:val="right"/>
        <w:rPr>
          <w:lang w:val="en-US"/>
        </w:rPr>
      </w:pPr>
      <w:r w:rsidRPr="008F0112">
        <w:rPr>
          <w:i/>
          <w:lang w:val="en-US"/>
        </w:rPr>
        <w:t>T</w:t>
      </w:r>
      <w:r w:rsidR="00C5492C">
        <w:rPr>
          <w:i/>
          <w:lang w:val="en-US"/>
        </w:rPr>
        <w:t>able</w:t>
      </w:r>
      <w:r w:rsidRPr="008F0112">
        <w:rPr>
          <w:i/>
          <w:lang w:val="en-US"/>
        </w:rPr>
        <w:t xml:space="preserve">. </w:t>
      </w:r>
      <w:r>
        <w:rPr>
          <w:lang w:val="en-US"/>
        </w:rPr>
        <w:t xml:space="preserve">Flaws of the publicly available LBO-models </w:t>
      </w:r>
    </w:p>
    <w:tbl>
      <w:tblPr>
        <w:tblW w:w="15021" w:type="dxa"/>
        <w:tblLook w:val="04A0" w:firstRow="1" w:lastRow="0" w:firstColumn="1" w:lastColumn="0" w:noHBand="0" w:noVBand="1"/>
      </w:tblPr>
      <w:tblGrid>
        <w:gridCol w:w="1933"/>
        <w:gridCol w:w="2882"/>
        <w:gridCol w:w="2410"/>
        <w:gridCol w:w="2551"/>
        <w:gridCol w:w="2126"/>
        <w:gridCol w:w="3119"/>
      </w:tblGrid>
      <w:tr w:rsidR="008F0112" w:rsidTr="008F0112">
        <w:tc>
          <w:tcPr>
            <w:tcW w:w="1933" w:type="dxa"/>
            <w:tcBorders>
              <w:top w:val="single" w:sz="4" w:space="0" w:color="auto"/>
              <w:left w:val="single" w:sz="4" w:space="0" w:color="auto"/>
              <w:bottom w:val="single" w:sz="4" w:space="0" w:color="auto"/>
              <w:right w:val="single" w:sz="4" w:space="0" w:color="auto"/>
            </w:tcBorders>
          </w:tcPr>
          <w:p w:rsidR="008F0112" w:rsidRDefault="008F0112">
            <w:pPr>
              <w:pStyle w:val="a5"/>
              <w:rPr>
                <w:lang w:val="en-US"/>
              </w:rPr>
            </w:pPr>
          </w:p>
        </w:tc>
        <w:tc>
          <w:tcPr>
            <w:tcW w:w="2882"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Rosembaum and Pearl, “Investment Banking”</w:t>
            </w:r>
          </w:p>
        </w:tc>
        <w:tc>
          <w:tcPr>
            <w:tcW w:w="2410" w:type="dxa"/>
            <w:tcBorders>
              <w:top w:val="single" w:sz="4" w:space="0" w:color="auto"/>
              <w:left w:val="single" w:sz="4" w:space="0" w:color="auto"/>
              <w:bottom w:val="single" w:sz="4" w:space="0" w:color="auto"/>
              <w:right w:val="single" w:sz="4" w:space="0" w:color="auto"/>
            </w:tcBorders>
          </w:tcPr>
          <w:p w:rsidR="008F0112" w:rsidRDefault="008F0112">
            <w:pPr>
              <w:pStyle w:val="a5"/>
              <w:rPr>
                <w:b/>
                <w:lang w:val="en-US"/>
              </w:rPr>
            </w:pPr>
            <w:r>
              <w:rPr>
                <w:b/>
                <w:lang w:val="en-US"/>
              </w:rPr>
              <w:t>Paul Pignataro, “Levered Buyouts”</w:t>
            </w:r>
          </w:p>
          <w:p w:rsidR="008F0112" w:rsidRDefault="008F0112">
            <w:pPr>
              <w:pStyle w:val="a5"/>
              <w:rPr>
                <w:b/>
                <w:lang w:val="en-US"/>
              </w:rPr>
            </w:pPr>
          </w:p>
        </w:tc>
        <w:tc>
          <w:tcPr>
            <w:tcW w:w="2551"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John Wiley and Sons, “Equity valuation” </w:t>
            </w:r>
          </w:p>
        </w:tc>
        <w:tc>
          <w:tcPr>
            <w:tcW w:w="2126" w:type="dxa"/>
            <w:tcBorders>
              <w:top w:val="single" w:sz="4" w:space="0" w:color="auto"/>
              <w:left w:val="single" w:sz="4" w:space="0" w:color="auto"/>
              <w:bottom w:val="single" w:sz="4" w:space="0" w:color="auto"/>
              <w:right w:val="single" w:sz="4" w:space="0" w:color="auto"/>
            </w:tcBorders>
          </w:tcPr>
          <w:p w:rsidR="008F0112" w:rsidRDefault="008F0112">
            <w:pPr>
              <w:pStyle w:val="a5"/>
              <w:rPr>
                <w:b/>
                <w:lang w:val="en-US"/>
              </w:rPr>
            </w:pPr>
            <w:r>
              <w:rPr>
                <w:b/>
                <w:lang w:val="en-US"/>
              </w:rPr>
              <w:t>LBO-analysis tool presented in other sources</w:t>
            </w:r>
          </w:p>
          <w:p w:rsidR="008F0112" w:rsidRDefault="008F0112">
            <w:pPr>
              <w:pStyle w:val="a5"/>
              <w:rPr>
                <w:b/>
                <w:lang w:val="en-US"/>
              </w:rPr>
            </w:pP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Proposed improvements </w:t>
            </w:r>
          </w:p>
        </w:tc>
      </w:tr>
      <w:tr w:rsidR="008F0112" w:rsidRPr="00BA1FE5"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Pre analysis </w:t>
            </w:r>
          </w:p>
        </w:tc>
        <w:tc>
          <w:tcPr>
            <w:tcW w:w="9969" w:type="dxa"/>
            <w:gridSpan w:val="4"/>
            <w:tcBorders>
              <w:top w:val="single" w:sz="4" w:space="0" w:color="auto"/>
              <w:left w:val="single" w:sz="4" w:space="0" w:color="auto"/>
              <w:bottom w:val="single" w:sz="4" w:space="0" w:color="auto"/>
              <w:right w:val="single" w:sz="4" w:space="0" w:color="auto"/>
            </w:tcBorders>
          </w:tcPr>
          <w:p w:rsidR="008F0112" w:rsidRDefault="008F0112" w:rsidP="008D3CCB">
            <w:pPr>
              <w:pStyle w:val="aa"/>
              <w:numPr>
                <w:ilvl w:val="0"/>
                <w:numId w:val="13"/>
              </w:numPr>
              <w:spacing w:line="240" w:lineRule="auto"/>
              <w:ind w:left="318"/>
              <w:rPr>
                <w:lang w:val="en-US"/>
              </w:rPr>
            </w:pPr>
            <w:r>
              <w:rPr>
                <w:lang w:val="en-US"/>
              </w:rPr>
              <w:t xml:space="preserve">LBO targets are not quantitatively compared with each other </w:t>
            </w:r>
          </w:p>
          <w:p w:rsidR="008F0112" w:rsidRDefault="008F0112">
            <w:pPr>
              <w:pStyle w:val="a5"/>
              <w:rPr>
                <w:lang w:val="en-US"/>
              </w:rPr>
            </w:pP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3"/>
              </w:numPr>
              <w:ind w:left="377"/>
              <w:rPr>
                <w:lang w:val="en-US"/>
              </w:rPr>
            </w:pPr>
            <w:r>
              <w:rPr>
                <w:lang w:val="en-US"/>
              </w:rPr>
              <w:t xml:space="preserve">Multiple potential LBO targets are screened under chosen assumptions before conducting detailed LBO-analysis </w:t>
            </w:r>
          </w:p>
        </w:tc>
      </w:tr>
      <w:tr w:rsidR="008F0112"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Uses of funds  </w:t>
            </w:r>
          </w:p>
        </w:tc>
        <w:tc>
          <w:tcPr>
            <w:tcW w:w="2882" w:type="dxa"/>
            <w:tcBorders>
              <w:top w:val="single" w:sz="4" w:space="0" w:color="auto"/>
              <w:left w:val="single" w:sz="4" w:space="0" w:color="auto"/>
              <w:bottom w:val="single" w:sz="4" w:space="0" w:color="auto"/>
              <w:right w:val="single" w:sz="4" w:space="0" w:color="auto"/>
            </w:tcBorders>
          </w:tcPr>
          <w:p w:rsidR="008F0112" w:rsidRDefault="008F0112">
            <w:pPr>
              <w:pStyle w:val="a5"/>
              <w:ind w:left="4"/>
              <w:rPr>
                <w:i/>
                <w:lang w:val="en-US"/>
              </w:rPr>
            </w:pPr>
            <w:r>
              <w:rPr>
                <w:i/>
                <w:lang w:val="en-US"/>
              </w:rPr>
              <w:t>Equity valuation</w:t>
            </w:r>
          </w:p>
          <w:p w:rsidR="008F0112" w:rsidRDefault="008F0112" w:rsidP="008D3CCB">
            <w:pPr>
              <w:pStyle w:val="a5"/>
              <w:numPr>
                <w:ilvl w:val="0"/>
                <w:numId w:val="14"/>
              </w:numPr>
              <w:ind w:left="364"/>
              <w:rPr>
                <w:lang w:val="en-US"/>
              </w:rPr>
            </w:pPr>
            <w:r>
              <w:rPr>
                <w:lang w:val="en-US"/>
              </w:rPr>
              <w:t xml:space="preserve">Does not take into account market premium </w:t>
            </w:r>
          </w:p>
          <w:p w:rsidR="008F0112" w:rsidRDefault="008F0112">
            <w:pPr>
              <w:pStyle w:val="a5"/>
              <w:rPr>
                <w:lang w:val="en-US"/>
              </w:rPr>
            </w:pPr>
          </w:p>
        </w:tc>
        <w:tc>
          <w:tcPr>
            <w:tcW w:w="2410" w:type="dxa"/>
            <w:tcBorders>
              <w:top w:val="single" w:sz="4" w:space="0" w:color="auto"/>
              <w:left w:val="single" w:sz="4" w:space="0" w:color="auto"/>
              <w:bottom w:val="single" w:sz="4" w:space="0" w:color="auto"/>
              <w:right w:val="single" w:sz="4" w:space="0" w:color="auto"/>
            </w:tcBorders>
          </w:tcPr>
          <w:p w:rsidR="008F0112" w:rsidRDefault="008F0112">
            <w:pPr>
              <w:pStyle w:val="a5"/>
              <w:rPr>
                <w:i/>
                <w:lang w:val="en-US"/>
              </w:rPr>
            </w:pPr>
            <w:r>
              <w:rPr>
                <w:i/>
                <w:lang w:val="en-US"/>
              </w:rPr>
              <w:t xml:space="preserve">Equity valuation </w:t>
            </w:r>
          </w:p>
          <w:p w:rsidR="008F0112" w:rsidRDefault="008F0112" w:rsidP="008D3CCB">
            <w:pPr>
              <w:pStyle w:val="a5"/>
              <w:numPr>
                <w:ilvl w:val="0"/>
                <w:numId w:val="14"/>
              </w:numPr>
              <w:ind w:left="342"/>
              <w:rPr>
                <w:lang w:val="en-US"/>
              </w:rPr>
            </w:pPr>
            <w:r>
              <w:rPr>
                <w:lang w:val="en-US"/>
              </w:rPr>
              <w:t>Does not take into account whether the target is public or private</w:t>
            </w:r>
          </w:p>
          <w:p w:rsidR="008F0112" w:rsidRDefault="008F0112" w:rsidP="008D3CCB">
            <w:pPr>
              <w:pStyle w:val="a5"/>
              <w:numPr>
                <w:ilvl w:val="0"/>
                <w:numId w:val="14"/>
              </w:numPr>
              <w:ind w:left="342"/>
              <w:rPr>
                <w:lang w:val="en-US"/>
              </w:rPr>
            </w:pPr>
            <w:r>
              <w:rPr>
                <w:lang w:val="en-US"/>
              </w:rPr>
              <w:t>Market premium is assumed 20%</w:t>
            </w:r>
          </w:p>
          <w:p w:rsidR="008F0112" w:rsidRDefault="008F0112">
            <w:pPr>
              <w:pStyle w:val="a5"/>
              <w:ind w:left="318"/>
              <w:rPr>
                <w:lang w:val="en-US"/>
              </w:rPr>
            </w:pPr>
          </w:p>
        </w:tc>
        <w:tc>
          <w:tcPr>
            <w:tcW w:w="2551" w:type="dxa"/>
            <w:tcBorders>
              <w:top w:val="single" w:sz="4" w:space="0" w:color="auto"/>
              <w:left w:val="single" w:sz="4" w:space="0" w:color="auto"/>
              <w:bottom w:val="single" w:sz="4" w:space="0" w:color="auto"/>
              <w:right w:val="single" w:sz="4" w:space="0" w:color="auto"/>
            </w:tcBorders>
          </w:tcPr>
          <w:p w:rsidR="008F0112" w:rsidRDefault="008F0112">
            <w:pPr>
              <w:pStyle w:val="a5"/>
              <w:ind w:left="-18"/>
              <w:rPr>
                <w:i/>
                <w:lang w:val="en-US"/>
              </w:rPr>
            </w:pPr>
            <w:r>
              <w:rPr>
                <w:i/>
                <w:lang w:val="en-US"/>
              </w:rPr>
              <w:t>Equity valuation</w:t>
            </w:r>
          </w:p>
          <w:p w:rsidR="008F0112" w:rsidRDefault="008F0112" w:rsidP="008D3CCB">
            <w:pPr>
              <w:pStyle w:val="a5"/>
              <w:numPr>
                <w:ilvl w:val="0"/>
                <w:numId w:val="14"/>
              </w:numPr>
              <w:ind w:left="342"/>
              <w:rPr>
                <w:lang w:val="en-US"/>
              </w:rPr>
            </w:pPr>
            <w:r>
              <w:rPr>
                <w:lang w:val="en-US"/>
              </w:rPr>
              <w:t>Market premium is assumed to be 20%</w:t>
            </w:r>
          </w:p>
          <w:p w:rsidR="008F0112" w:rsidRDefault="008F0112" w:rsidP="008D3CCB">
            <w:pPr>
              <w:pStyle w:val="a5"/>
              <w:numPr>
                <w:ilvl w:val="0"/>
                <w:numId w:val="14"/>
              </w:numPr>
              <w:ind w:left="342"/>
              <w:rPr>
                <w:lang w:val="en-US"/>
              </w:rPr>
            </w:pPr>
            <w:r>
              <w:rPr>
                <w:lang w:val="en-US"/>
              </w:rPr>
              <w:t xml:space="preserve">Does not types of shares outstanding  </w:t>
            </w:r>
          </w:p>
          <w:p w:rsidR="008F0112" w:rsidRDefault="008F0112" w:rsidP="008D3CCB">
            <w:pPr>
              <w:pStyle w:val="a5"/>
              <w:numPr>
                <w:ilvl w:val="0"/>
                <w:numId w:val="14"/>
              </w:numPr>
              <w:ind w:left="342"/>
              <w:rPr>
                <w:lang w:val="en-US"/>
              </w:rPr>
            </w:pPr>
            <w:r>
              <w:rPr>
                <w:lang w:val="en-US"/>
              </w:rPr>
              <w:t>Does not take into account whether the target is public or private</w:t>
            </w:r>
          </w:p>
          <w:p w:rsidR="008F0112" w:rsidRDefault="008F0112" w:rsidP="008D3CCB">
            <w:pPr>
              <w:pStyle w:val="a5"/>
              <w:numPr>
                <w:ilvl w:val="0"/>
                <w:numId w:val="14"/>
              </w:numPr>
              <w:ind w:left="342"/>
              <w:rPr>
                <w:lang w:val="en-US"/>
              </w:rPr>
            </w:pPr>
            <w:r>
              <w:rPr>
                <w:lang w:val="en-US"/>
              </w:rPr>
              <w:t xml:space="preserve">Transaction fees are included in calculation of enterprise value and are not amortized </w:t>
            </w:r>
          </w:p>
          <w:p w:rsidR="008F0112" w:rsidRDefault="008F0112">
            <w:pPr>
              <w:pStyle w:val="a5"/>
              <w:rPr>
                <w:lang w:val="en-US"/>
              </w:rPr>
            </w:pPr>
          </w:p>
        </w:tc>
        <w:tc>
          <w:tcPr>
            <w:tcW w:w="2126"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i/>
                <w:lang w:val="en-US"/>
              </w:rPr>
            </w:pPr>
            <w:r>
              <w:rPr>
                <w:i/>
                <w:lang w:val="en-US"/>
              </w:rPr>
              <w:t xml:space="preserve">Equity valuation </w:t>
            </w:r>
          </w:p>
          <w:p w:rsidR="008F0112" w:rsidRDefault="008F0112" w:rsidP="008D3CCB">
            <w:pPr>
              <w:pStyle w:val="a5"/>
              <w:numPr>
                <w:ilvl w:val="0"/>
                <w:numId w:val="14"/>
              </w:numPr>
              <w:ind w:left="266"/>
              <w:rPr>
                <w:lang w:val="en-US"/>
              </w:rPr>
            </w:pPr>
            <w:r>
              <w:rPr>
                <w:lang w:val="en-US"/>
              </w:rPr>
              <w:t>Does not take into account market premium</w:t>
            </w:r>
          </w:p>
          <w:p w:rsidR="008F0112" w:rsidRDefault="008F0112" w:rsidP="008D3CCB">
            <w:pPr>
              <w:pStyle w:val="a5"/>
              <w:numPr>
                <w:ilvl w:val="0"/>
                <w:numId w:val="14"/>
              </w:numPr>
              <w:ind w:left="266"/>
              <w:rPr>
                <w:lang w:val="en-US"/>
              </w:rPr>
            </w:pPr>
            <w:r>
              <w:rPr>
                <w:lang w:val="en-US"/>
              </w:rPr>
              <w:t xml:space="preserve">Transactions fees are not taken into account and are not amortized </w:t>
            </w: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4"/>
              </w:numPr>
              <w:ind w:left="377"/>
              <w:rPr>
                <w:lang w:val="en-US"/>
              </w:rPr>
            </w:pPr>
            <w:r>
              <w:rPr>
                <w:lang w:val="en-US"/>
              </w:rPr>
              <w:t xml:space="preserve">Takes into account whether the target is public or private </w:t>
            </w:r>
          </w:p>
          <w:p w:rsidR="008F0112" w:rsidRDefault="008F0112" w:rsidP="008D3CCB">
            <w:pPr>
              <w:pStyle w:val="a5"/>
              <w:numPr>
                <w:ilvl w:val="0"/>
                <w:numId w:val="14"/>
              </w:numPr>
              <w:ind w:left="377"/>
              <w:rPr>
                <w:lang w:val="en-US"/>
              </w:rPr>
            </w:pPr>
            <w:r>
              <w:rPr>
                <w:lang w:val="en-US"/>
              </w:rPr>
              <w:t xml:space="preserve">Control premium is calculated </w:t>
            </w:r>
          </w:p>
          <w:p w:rsidR="008F0112" w:rsidRDefault="008F0112" w:rsidP="008D3CCB">
            <w:pPr>
              <w:pStyle w:val="a5"/>
              <w:numPr>
                <w:ilvl w:val="0"/>
                <w:numId w:val="14"/>
              </w:numPr>
              <w:ind w:left="377"/>
              <w:rPr>
                <w:lang w:val="en-US"/>
              </w:rPr>
            </w:pPr>
            <w:r>
              <w:rPr>
                <w:lang w:val="en-US"/>
              </w:rPr>
              <w:t xml:space="preserve">Transaction fees are included in calculating the deal value </w:t>
            </w:r>
          </w:p>
          <w:p w:rsidR="008F0112" w:rsidRDefault="008F0112" w:rsidP="008D3CCB">
            <w:pPr>
              <w:pStyle w:val="a5"/>
              <w:numPr>
                <w:ilvl w:val="0"/>
                <w:numId w:val="14"/>
              </w:numPr>
              <w:ind w:left="377"/>
              <w:rPr>
                <w:lang w:val="en-US"/>
              </w:rPr>
            </w:pPr>
            <w:r>
              <w:rPr>
                <w:lang w:val="en-US"/>
              </w:rPr>
              <w:t xml:space="preserve">Transaction fees are amortized </w:t>
            </w:r>
          </w:p>
        </w:tc>
      </w:tr>
      <w:tr w:rsidR="008F0112" w:rsidRPr="00BA1FE5"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Sources of funds </w:t>
            </w:r>
          </w:p>
        </w:tc>
        <w:tc>
          <w:tcPr>
            <w:tcW w:w="2882" w:type="dxa"/>
            <w:tcBorders>
              <w:top w:val="single" w:sz="4" w:space="0" w:color="auto"/>
              <w:left w:val="single" w:sz="4" w:space="0" w:color="auto"/>
              <w:bottom w:val="single" w:sz="4" w:space="0" w:color="auto"/>
              <w:right w:val="single" w:sz="4" w:space="0" w:color="auto"/>
            </w:tcBorders>
          </w:tcPr>
          <w:p w:rsidR="008F0112" w:rsidRDefault="008F0112">
            <w:pPr>
              <w:pStyle w:val="a5"/>
              <w:rPr>
                <w:i/>
                <w:lang w:val="en-US"/>
              </w:rPr>
            </w:pPr>
            <w:r>
              <w:rPr>
                <w:i/>
                <w:lang w:val="en-US"/>
              </w:rPr>
              <w:t xml:space="preserve">Financial leverage </w:t>
            </w:r>
          </w:p>
          <w:p w:rsidR="008F0112" w:rsidRDefault="008F0112" w:rsidP="008D3CCB">
            <w:pPr>
              <w:pStyle w:val="a5"/>
              <w:numPr>
                <w:ilvl w:val="0"/>
                <w:numId w:val="15"/>
              </w:numPr>
              <w:ind w:left="364"/>
              <w:rPr>
                <w:lang w:val="en-US"/>
              </w:rPr>
            </w:pPr>
            <w:r>
              <w:rPr>
                <w:lang w:val="en-US"/>
              </w:rPr>
              <w:t>Financial leverage is not analyzed (Assumed 30/70)</w:t>
            </w:r>
          </w:p>
          <w:p w:rsidR="008F0112" w:rsidRDefault="008F0112">
            <w:pPr>
              <w:pStyle w:val="a5"/>
              <w:ind w:left="4"/>
              <w:rPr>
                <w:i/>
                <w:lang w:val="en-US"/>
              </w:rPr>
            </w:pPr>
            <w:r>
              <w:rPr>
                <w:i/>
                <w:lang w:val="en-US"/>
              </w:rPr>
              <w:t>Financing structure</w:t>
            </w:r>
          </w:p>
          <w:p w:rsidR="008F0112" w:rsidRDefault="008F0112" w:rsidP="008D3CCB">
            <w:pPr>
              <w:pStyle w:val="a5"/>
              <w:numPr>
                <w:ilvl w:val="0"/>
                <w:numId w:val="15"/>
              </w:numPr>
              <w:ind w:left="364"/>
              <w:rPr>
                <w:lang w:val="en-US"/>
              </w:rPr>
            </w:pPr>
            <w:r>
              <w:rPr>
                <w:lang w:val="en-US"/>
              </w:rPr>
              <w:lastRenderedPageBreak/>
              <w:t xml:space="preserve">Only 4 possible financing structures are assumed </w:t>
            </w:r>
          </w:p>
          <w:p w:rsidR="008F0112" w:rsidRDefault="008F0112">
            <w:pPr>
              <w:pStyle w:val="a5"/>
              <w:ind w:left="4"/>
              <w:rPr>
                <w:lang w:val="en-US"/>
              </w:rPr>
            </w:pPr>
          </w:p>
        </w:tc>
        <w:tc>
          <w:tcPr>
            <w:tcW w:w="2410"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lang w:val="en-US"/>
              </w:rPr>
            </w:pPr>
            <w:r>
              <w:rPr>
                <w:lang w:val="en-US"/>
              </w:rPr>
              <w:lastRenderedPageBreak/>
              <w:t xml:space="preserve">No explanation for financial leverage and the financing structure </w:t>
            </w:r>
          </w:p>
        </w:tc>
        <w:tc>
          <w:tcPr>
            <w:tcW w:w="2551"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i/>
                <w:lang w:val="en-US"/>
              </w:rPr>
            </w:pPr>
            <w:r>
              <w:rPr>
                <w:i/>
                <w:lang w:val="en-US"/>
              </w:rPr>
              <w:t>Financial leverage</w:t>
            </w:r>
          </w:p>
          <w:p w:rsidR="008F0112" w:rsidRDefault="008F0112" w:rsidP="008D3CCB">
            <w:pPr>
              <w:pStyle w:val="a5"/>
              <w:numPr>
                <w:ilvl w:val="0"/>
                <w:numId w:val="15"/>
              </w:numPr>
              <w:ind w:left="342"/>
              <w:rPr>
                <w:i/>
                <w:lang w:val="en-US"/>
              </w:rPr>
            </w:pPr>
            <w:r>
              <w:rPr>
                <w:lang w:val="en-US"/>
              </w:rPr>
              <w:t>Uses average multiple for European LBO financings</w:t>
            </w:r>
          </w:p>
          <w:p w:rsidR="008F0112" w:rsidRDefault="008F0112">
            <w:pPr>
              <w:pStyle w:val="a5"/>
              <w:ind w:left="-18"/>
              <w:rPr>
                <w:i/>
                <w:lang w:val="en-US"/>
              </w:rPr>
            </w:pPr>
            <w:r>
              <w:rPr>
                <w:i/>
                <w:lang w:val="en-US"/>
              </w:rPr>
              <w:lastRenderedPageBreak/>
              <w:t xml:space="preserve">Financing structure </w:t>
            </w:r>
          </w:p>
          <w:p w:rsidR="008F0112" w:rsidRDefault="008F0112" w:rsidP="008D3CCB">
            <w:pPr>
              <w:pStyle w:val="a5"/>
              <w:numPr>
                <w:ilvl w:val="0"/>
                <w:numId w:val="11"/>
              </w:numPr>
              <w:ind w:left="342"/>
              <w:rPr>
                <w:lang w:val="en-US"/>
              </w:rPr>
            </w:pPr>
            <w:r>
              <w:rPr>
                <w:lang w:val="en-US"/>
              </w:rPr>
              <w:t xml:space="preserve">Only one possible financing structure is used </w:t>
            </w:r>
          </w:p>
        </w:tc>
        <w:tc>
          <w:tcPr>
            <w:tcW w:w="2126"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lang w:val="en-US"/>
              </w:rPr>
            </w:pPr>
            <w:r>
              <w:rPr>
                <w:lang w:val="en-US"/>
              </w:rPr>
              <w:lastRenderedPageBreak/>
              <w:t>No explanation for financial leverage and the financing structure</w:t>
            </w: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6"/>
              </w:numPr>
              <w:ind w:left="377"/>
              <w:rPr>
                <w:lang w:val="en-US"/>
              </w:rPr>
            </w:pPr>
            <w:r>
              <w:rPr>
                <w:lang w:val="en-US"/>
              </w:rPr>
              <w:t>Uses debt burden table</w:t>
            </w:r>
          </w:p>
          <w:p w:rsidR="008F0112" w:rsidRDefault="008F0112" w:rsidP="008D3CCB">
            <w:pPr>
              <w:pStyle w:val="a5"/>
              <w:numPr>
                <w:ilvl w:val="0"/>
                <w:numId w:val="16"/>
              </w:numPr>
              <w:ind w:left="377"/>
              <w:rPr>
                <w:lang w:val="en-US"/>
              </w:rPr>
            </w:pPr>
            <w:r>
              <w:rPr>
                <w:lang w:val="en-US"/>
              </w:rPr>
              <w:t>Is designed with flexibility to choose an appropriate financial structure</w:t>
            </w:r>
          </w:p>
        </w:tc>
      </w:tr>
      <w:tr w:rsidR="008F0112" w:rsidRPr="00BA1FE5"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Exit multiple</w:t>
            </w:r>
          </w:p>
        </w:tc>
        <w:tc>
          <w:tcPr>
            <w:tcW w:w="9969" w:type="dxa"/>
            <w:gridSpan w:val="4"/>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7"/>
              </w:numPr>
              <w:ind w:left="364"/>
              <w:rPr>
                <w:lang w:val="en-US"/>
              </w:rPr>
            </w:pPr>
            <w:r>
              <w:rPr>
                <w:lang w:val="en-US"/>
              </w:rPr>
              <w:t xml:space="preserve">Assumed subjectively </w:t>
            </w: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8"/>
              </w:numPr>
              <w:ind w:left="377"/>
              <w:rPr>
                <w:lang w:val="en-US"/>
              </w:rPr>
            </w:pPr>
            <w:r>
              <w:rPr>
                <w:lang w:val="en-US"/>
              </w:rPr>
              <w:t>Uses average EV/EBITDA exit multiples of a comparable peer group of companies</w:t>
            </w:r>
          </w:p>
        </w:tc>
      </w:tr>
      <w:tr w:rsidR="008F0112" w:rsidRPr="00BA1FE5"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Operational projections </w:t>
            </w:r>
          </w:p>
        </w:tc>
        <w:tc>
          <w:tcPr>
            <w:tcW w:w="2882"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i/>
                <w:lang w:val="en-US"/>
              </w:rPr>
            </w:pPr>
            <w:r>
              <w:rPr>
                <w:i/>
                <w:lang w:val="en-US"/>
              </w:rPr>
              <w:t>Projections</w:t>
            </w:r>
          </w:p>
          <w:p w:rsidR="008F0112" w:rsidRDefault="008F0112" w:rsidP="008D3CCB">
            <w:pPr>
              <w:pStyle w:val="a5"/>
              <w:numPr>
                <w:ilvl w:val="0"/>
                <w:numId w:val="19"/>
              </w:numPr>
              <w:ind w:left="364"/>
              <w:rPr>
                <w:lang w:val="en-US"/>
              </w:rPr>
            </w:pPr>
            <w:r>
              <w:rPr>
                <w:lang w:val="en-US"/>
              </w:rPr>
              <w:t xml:space="preserve">Projections are very detailed </w:t>
            </w:r>
          </w:p>
          <w:p w:rsidR="008F0112" w:rsidRDefault="008F0112" w:rsidP="008D3CCB">
            <w:pPr>
              <w:pStyle w:val="a5"/>
              <w:numPr>
                <w:ilvl w:val="0"/>
                <w:numId w:val="19"/>
              </w:numPr>
              <w:ind w:left="364"/>
              <w:rPr>
                <w:lang w:val="en-US"/>
              </w:rPr>
            </w:pPr>
            <w:r>
              <w:rPr>
                <w:lang w:val="en-US"/>
              </w:rPr>
              <w:t xml:space="preserve">Based on 3 year historical data </w:t>
            </w:r>
          </w:p>
          <w:p w:rsidR="008F0112" w:rsidRDefault="008F0112" w:rsidP="008D3CCB">
            <w:pPr>
              <w:pStyle w:val="a5"/>
              <w:numPr>
                <w:ilvl w:val="0"/>
                <w:numId w:val="19"/>
              </w:numPr>
              <w:ind w:left="364"/>
              <w:rPr>
                <w:lang w:val="en-US"/>
              </w:rPr>
            </w:pPr>
            <w:r>
              <w:rPr>
                <w:lang w:val="en-US"/>
              </w:rPr>
              <w:t xml:space="preserve">Only 3 scenarios are used </w:t>
            </w:r>
          </w:p>
          <w:p w:rsidR="008F0112" w:rsidRDefault="008F0112" w:rsidP="008D3CCB">
            <w:pPr>
              <w:pStyle w:val="a5"/>
              <w:numPr>
                <w:ilvl w:val="0"/>
                <w:numId w:val="19"/>
              </w:numPr>
              <w:ind w:left="364"/>
              <w:rPr>
                <w:lang w:val="en-US"/>
              </w:rPr>
            </w:pPr>
            <w:r>
              <w:rPr>
                <w:lang w:val="en-US"/>
              </w:rPr>
              <w:t>The forecasts of the 5</w:t>
            </w:r>
            <w:r>
              <w:rPr>
                <w:vertAlign w:val="superscript"/>
                <w:lang w:val="en-US"/>
              </w:rPr>
              <w:t>th</w:t>
            </w:r>
            <w:r>
              <w:rPr>
                <w:lang w:val="en-US"/>
              </w:rPr>
              <w:t xml:space="preserve"> year are frozen to frame the outer year projections</w:t>
            </w:r>
          </w:p>
          <w:p w:rsidR="008F0112" w:rsidRDefault="008F0112">
            <w:pPr>
              <w:pStyle w:val="a5"/>
              <w:ind w:left="4"/>
              <w:rPr>
                <w:i/>
                <w:lang w:val="en-US"/>
              </w:rPr>
            </w:pPr>
            <w:r>
              <w:rPr>
                <w:i/>
                <w:lang w:val="en-US"/>
              </w:rPr>
              <w:t xml:space="preserve">Horizon </w:t>
            </w:r>
          </w:p>
          <w:p w:rsidR="008F0112" w:rsidRDefault="008F0112" w:rsidP="008D3CCB">
            <w:pPr>
              <w:pStyle w:val="a5"/>
              <w:numPr>
                <w:ilvl w:val="0"/>
                <w:numId w:val="20"/>
              </w:numPr>
              <w:ind w:left="364"/>
              <w:rPr>
                <w:lang w:val="en-US"/>
              </w:rPr>
            </w:pPr>
            <w:r>
              <w:rPr>
                <w:lang w:val="en-US"/>
              </w:rPr>
              <w:t xml:space="preserve">10 years </w:t>
            </w:r>
          </w:p>
        </w:tc>
        <w:tc>
          <w:tcPr>
            <w:tcW w:w="2410" w:type="dxa"/>
            <w:tcBorders>
              <w:top w:val="single" w:sz="4" w:space="0" w:color="auto"/>
              <w:left w:val="single" w:sz="4" w:space="0" w:color="auto"/>
              <w:bottom w:val="single" w:sz="4" w:space="0" w:color="auto"/>
              <w:right w:val="single" w:sz="4" w:space="0" w:color="auto"/>
            </w:tcBorders>
          </w:tcPr>
          <w:p w:rsidR="008F0112" w:rsidRDefault="008F0112">
            <w:pPr>
              <w:pStyle w:val="a5"/>
              <w:rPr>
                <w:lang w:val="en-US"/>
              </w:rPr>
            </w:pPr>
          </w:p>
        </w:tc>
        <w:tc>
          <w:tcPr>
            <w:tcW w:w="2551"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i/>
                <w:lang w:val="en-US"/>
              </w:rPr>
            </w:pPr>
            <w:r>
              <w:rPr>
                <w:i/>
                <w:lang w:val="en-US"/>
              </w:rPr>
              <w:t>Projections</w:t>
            </w:r>
          </w:p>
          <w:p w:rsidR="008F0112" w:rsidRDefault="008F0112" w:rsidP="008D3CCB">
            <w:pPr>
              <w:pStyle w:val="a5"/>
              <w:numPr>
                <w:ilvl w:val="0"/>
                <w:numId w:val="18"/>
              </w:numPr>
              <w:ind w:left="342"/>
              <w:rPr>
                <w:lang w:val="en-US"/>
              </w:rPr>
            </w:pPr>
            <w:r>
              <w:rPr>
                <w:lang w:val="en-US"/>
              </w:rPr>
              <w:t>Only one scenario is used</w:t>
            </w:r>
          </w:p>
          <w:p w:rsidR="008F0112" w:rsidRDefault="008F0112" w:rsidP="008D3CCB">
            <w:pPr>
              <w:pStyle w:val="a5"/>
              <w:numPr>
                <w:ilvl w:val="0"/>
                <w:numId w:val="18"/>
              </w:numPr>
              <w:ind w:left="342"/>
              <w:rPr>
                <w:lang w:val="en-US"/>
              </w:rPr>
            </w:pPr>
            <w:r>
              <w:rPr>
                <w:lang w:val="en-US"/>
              </w:rPr>
              <w:t xml:space="preserve">A fixed growth rate is applied for all years </w:t>
            </w:r>
          </w:p>
          <w:p w:rsidR="008F0112" w:rsidRDefault="008F0112" w:rsidP="008D3CCB">
            <w:pPr>
              <w:pStyle w:val="a5"/>
              <w:numPr>
                <w:ilvl w:val="0"/>
                <w:numId w:val="18"/>
              </w:numPr>
              <w:ind w:left="342"/>
              <w:rPr>
                <w:lang w:val="en-US"/>
              </w:rPr>
            </w:pPr>
            <w:r>
              <w:rPr>
                <w:lang w:val="en-US"/>
              </w:rPr>
              <w:t>Only main business drivers are forecasted</w:t>
            </w:r>
          </w:p>
          <w:p w:rsidR="008F0112" w:rsidRDefault="008F0112" w:rsidP="008D3CCB">
            <w:pPr>
              <w:pStyle w:val="a5"/>
              <w:numPr>
                <w:ilvl w:val="0"/>
                <w:numId w:val="18"/>
              </w:numPr>
              <w:ind w:left="342"/>
              <w:rPr>
                <w:lang w:val="en-US"/>
              </w:rPr>
            </w:pPr>
            <w:r>
              <w:rPr>
                <w:lang w:val="en-US"/>
              </w:rPr>
              <w:t>Transaction fees are not amortized</w:t>
            </w:r>
          </w:p>
          <w:p w:rsidR="008F0112" w:rsidRDefault="008F0112">
            <w:pPr>
              <w:pStyle w:val="a5"/>
              <w:ind w:left="-18"/>
              <w:rPr>
                <w:i/>
                <w:lang w:val="en-US"/>
              </w:rPr>
            </w:pPr>
            <w:r>
              <w:rPr>
                <w:i/>
                <w:lang w:val="en-US"/>
              </w:rPr>
              <w:t xml:space="preserve">Horizon </w:t>
            </w:r>
          </w:p>
          <w:p w:rsidR="008F0112" w:rsidRDefault="008F0112" w:rsidP="008D3CCB">
            <w:pPr>
              <w:pStyle w:val="a5"/>
              <w:numPr>
                <w:ilvl w:val="0"/>
                <w:numId w:val="21"/>
              </w:numPr>
              <w:ind w:left="342"/>
              <w:rPr>
                <w:lang w:val="en-US"/>
              </w:rPr>
            </w:pPr>
            <w:r>
              <w:rPr>
                <w:lang w:val="en-US"/>
              </w:rPr>
              <w:t xml:space="preserve">5 years </w:t>
            </w:r>
          </w:p>
        </w:tc>
        <w:tc>
          <w:tcPr>
            <w:tcW w:w="2126"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21"/>
              </w:numPr>
              <w:ind w:left="317"/>
              <w:rPr>
                <w:lang w:val="en-US"/>
              </w:rPr>
            </w:pPr>
            <w:r>
              <w:rPr>
                <w:lang w:val="en-US"/>
              </w:rPr>
              <w:t>Assumed constant growth rate</w:t>
            </w:r>
          </w:p>
          <w:p w:rsidR="008F0112" w:rsidRDefault="008F0112" w:rsidP="008D3CCB">
            <w:pPr>
              <w:pStyle w:val="a5"/>
              <w:numPr>
                <w:ilvl w:val="0"/>
                <w:numId w:val="21"/>
              </w:numPr>
              <w:ind w:left="317"/>
              <w:rPr>
                <w:lang w:val="en-US"/>
              </w:rPr>
            </w:pPr>
            <w:r>
              <w:rPr>
                <w:lang w:val="en-US"/>
              </w:rPr>
              <w:t xml:space="preserve">Only one scenario is used </w:t>
            </w: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i/>
                <w:lang w:val="en-US"/>
              </w:rPr>
            </w:pPr>
            <w:r>
              <w:rPr>
                <w:i/>
                <w:lang w:val="en-US"/>
              </w:rPr>
              <w:t>Projections</w:t>
            </w:r>
          </w:p>
          <w:p w:rsidR="008F0112" w:rsidRDefault="008F0112" w:rsidP="008D3CCB">
            <w:pPr>
              <w:pStyle w:val="a5"/>
              <w:numPr>
                <w:ilvl w:val="0"/>
                <w:numId w:val="18"/>
              </w:numPr>
              <w:ind w:left="377"/>
              <w:rPr>
                <w:lang w:val="en-US"/>
              </w:rPr>
            </w:pPr>
            <w:r>
              <w:rPr>
                <w:lang w:val="en-US"/>
              </w:rPr>
              <w:t xml:space="preserve">Uses simulation modeling to simulate future projections </w:t>
            </w:r>
          </w:p>
          <w:p w:rsidR="008F0112" w:rsidRDefault="008F0112">
            <w:pPr>
              <w:pStyle w:val="a5"/>
              <w:ind w:left="17"/>
              <w:rPr>
                <w:i/>
                <w:lang w:val="en-US"/>
              </w:rPr>
            </w:pPr>
            <w:r>
              <w:rPr>
                <w:i/>
                <w:lang w:val="en-US"/>
              </w:rPr>
              <w:t xml:space="preserve">Horizon </w:t>
            </w:r>
          </w:p>
          <w:p w:rsidR="008F0112" w:rsidRDefault="008F0112" w:rsidP="008D3CCB">
            <w:pPr>
              <w:pStyle w:val="a5"/>
              <w:numPr>
                <w:ilvl w:val="0"/>
                <w:numId w:val="11"/>
              </w:numPr>
              <w:ind w:left="377"/>
              <w:rPr>
                <w:lang w:val="en-US"/>
              </w:rPr>
            </w:pPr>
            <w:r>
              <w:rPr>
                <w:lang w:val="en-US"/>
              </w:rPr>
              <w:t>Designed to match the maturity of the longest tenured debt instrument in the capital structure</w:t>
            </w:r>
          </w:p>
        </w:tc>
      </w:tr>
      <w:tr w:rsidR="008F0112" w:rsidRPr="00BA1FE5" w:rsidTr="008F0112">
        <w:tc>
          <w:tcPr>
            <w:tcW w:w="1933" w:type="dxa"/>
            <w:tcBorders>
              <w:top w:val="single" w:sz="4" w:space="0" w:color="auto"/>
              <w:left w:val="single" w:sz="4" w:space="0" w:color="auto"/>
              <w:bottom w:val="single" w:sz="4" w:space="0" w:color="auto"/>
              <w:right w:val="single" w:sz="4" w:space="0" w:color="auto"/>
            </w:tcBorders>
            <w:hideMark/>
          </w:tcPr>
          <w:p w:rsidR="008F0112" w:rsidRDefault="008F0112">
            <w:pPr>
              <w:pStyle w:val="a5"/>
              <w:rPr>
                <w:b/>
                <w:lang w:val="en-US"/>
              </w:rPr>
            </w:pPr>
            <w:r>
              <w:rPr>
                <w:b/>
                <w:lang w:val="en-US"/>
              </w:rPr>
              <w:t xml:space="preserve">Sensitivity analysis </w:t>
            </w:r>
          </w:p>
        </w:tc>
        <w:tc>
          <w:tcPr>
            <w:tcW w:w="2882"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8"/>
              </w:numPr>
              <w:ind w:left="364"/>
              <w:rPr>
                <w:lang w:val="en-US"/>
              </w:rPr>
            </w:pPr>
            <w:r>
              <w:rPr>
                <w:lang w:val="en-US"/>
              </w:rPr>
              <w:t xml:space="preserve">Based on entry and exit multiples </w:t>
            </w:r>
          </w:p>
          <w:p w:rsidR="008F0112" w:rsidRDefault="008F0112" w:rsidP="008D3CCB">
            <w:pPr>
              <w:pStyle w:val="a5"/>
              <w:numPr>
                <w:ilvl w:val="0"/>
                <w:numId w:val="18"/>
              </w:numPr>
              <w:ind w:left="364"/>
              <w:rPr>
                <w:lang w:val="en-US"/>
              </w:rPr>
            </w:pPr>
            <w:r>
              <w:rPr>
                <w:lang w:val="en-US"/>
              </w:rPr>
              <w:t xml:space="preserve">Exit year – exit multiple </w:t>
            </w:r>
          </w:p>
        </w:tc>
        <w:tc>
          <w:tcPr>
            <w:tcW w:w="2410" w:type="dxa"/>
            <w:tcBorders>
              <w:top w:val="single" w:sz="4" w:space="0" w:color="auto"/>
              <w:left w:val="single" w:sz="4" w:space="0" w:color="auto"/>
              <w:bottom w:val="single" w:sz="4" w:space="0" w:color="auto"/>
              <w:right w:val="single" w:sz="4" w:space="0" w:color="auto"/>
            </w:tcBorders>
          </w:tcPr>
          <w:p w:rsidR="008F0112" w:rsidRDefault="008F0112">
            <w:pPr>
              <w:pStyle w:val="a5"/>
              <w:rPr>
                <w:lang w:val="en-US"/>
              </w:rPr>
            </w:pPr>
          </w:p>
        </w:tc>
        <w:tc>
          <w:tcPr>
            <w:tcW w:w="2551"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8"/>
              </w:numPr>
              <w:ind w:left="342"/>
              <w:rPr>
                <w:lang w:val="en-US"/>
              </w:rPr>
            </w:pPr>
            <w:r>
              <w:rPr>
                <w:lang w:val="en-US"/>
              </w:rPr>
              <w:t>Based on exit year and exit multiple</w:t>
            </w:r>
          </w:p>
          <w:p w:rsidR="008F0112" w:rsidRDefault="008F0112" w:rsidP="008D3CCB">
            <w:pPr>
              <w:pStyle w:val="a5"/>
              <w:numPr>
                <w:ilvl w:val="0"/>
                <w:numId w:val="18"/>
              </w:numPr>
              <w:ind w:left="342"/>
              <w:rPr>
                <w:lang w:val="en-US"/>
              </w:rPr>
            </w:pPr>
            <w:r>
              <w:rPr>
                <w:lang w:val="en-US"/>
              </w:rPr>
              <w:t>Based on proportions of debt consideration and premium paid</w:t>
            </w:r>
          </w:p>
        </w:tc>
        <w:tc>
          <w:tcPr>
            <w:tcW w:w="2126"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8"/>
              </w:numPr>
              <w:ind w:left="317"/>
              <w:rPr>
                <w:lang w:val="en-US"/>
              </w:rPr>
            </w:pPr>
            <w:r>
              <w:rPr>
                <w:lang w:val="en-US"/>
              </w:rPr>
              <w:t xml:space="preserve">Not performed </w:t>
            </w:r>
          </w:p>
        </w:tc>
        <w:tc>
          <w:tcPr>
            <w:tcW w:w="3119" w:type="dxa"/>
            <w:tcBorders>
              <w:top w:val="single" w:sz="4" w:space="0" w:color="auto"/>
              <w:left w:val="single" w:sz="4" w:space="0" w:color="auto"/>
              <w:bottom w:val="single" w:sz="4" w:space="0" w:color="auto"/>
              <w:right w:val="single" w:sz="4" w:space="0" w:color="auto"/>
            </w:tcBorders>
            <w:hideMark/>
          </w:tcPr>
          <w:p w:rsidR="008F0112" w:rsidRDefault="008F0112" w:rsidP="008D3CCB">
            <w:pPr>
              <w:pStyle w:val="a5"/>
              <w:numPr>
                <w:ilvl w:val="0"/>
                <w:numId w:val="18"/>
              </w:numPr>
              <w:ind w:left="318"/>
              <w:rPr>
                <w:lang w:val="en-US"/>
              </w:rPr>
            </w:pPr>
            <w:r>
              <w:rPr>
                <w:lang w:val="en-US"/>
              </w:rPr>
              <w:t>Performed on basis of different variables</w:t>
            </w:r>
          </w:p>
        </w:tc>
      </w:tr>
    </w:tbl>
    <w:p w:rsidR="008F0112" w:rsidRDefault="008F0112" w:rsidP="008F0112">
      <w:pPr>
        <w:pStyle w:val="a5"/>
        <w:spacing w:line="360" w:lineRule="auto"/>
        <w:ind w:firstLine="708"/>
        <w:jc w:val="both"/>
        <w:rPr>
          <w:rFonts w:cs="Times New Roman"/>
          <w:szCs w:val="24"/>
          <w:lang w:val="en-US"/>
        </w:rPr>
      </w:pPr>
    </w:p>
    <w:p w:rsidR="008F0112" w:rsidRDefault="008F0112" w:rsidP="008F0112">
      <w:pPr>
        <w:pStyle w:val="a5"/>
        <w:spacing w:line="360" w:lineRule="auto"/>
        <w:ind w:firstLine="708"/>
        <w:jc w:val="both"/>
        <w:rPr>
          <w:rFonts w:cs="Times New Roman"/>
          <w:szCs w:val="24"/>
          <w:lang w:val="en-US"/>
        </w:rPr>
      </w:pPr>
    </w:p>
    <w:p w:rsidR="008F0112" w:rsidRDefault="008F0112" w:rsidP="002B5649">
      <w:pPr>
        <w:pStyle w:val="a5"/>
        <w:spacing w:line="360" w:lineRule="auto"/>
        <w:jc w:val="both"/>
        <w:rPr>
          <w:lang w:val="en-US"/>
        </w:rPr>
      </w:pPr>
    </w:p>
    <w:p w:rsidR="00671ACF" w:rsidRDefault="00671ACF" w:rsidP="002B5649">
      <w:pPr>
        <w:pStyle w:val="a5"/>
        <w:spacing w:line="360" w:lineRule="auto"/>
        <w:jc w:val="both"/>
        <w:rPr>
          <w:lang w:val="en-US"/>
        </w:rPr>
        <w:sectPr w:rsidR="00671ACF" w:rsidSect="008F0112">
          <w:pgSz w:w="16838" w:h="11906" w:orient="landscape"/>
          <w:pgMar w:top="1701" w:right="1134" w:bottom="851" w:left="1134" w:header="709" w:footer="709" w:gutter="0"/>
          <w:cols w:space="708"/>
          <w:docGrid w:linePitch="360"/>
        </w:sectPr>
      </w:pPr>
    </w:p>
    <w:p w:rsidR="00671ACF" w:rsidRDefault="00644478" w:rsidP="00671ACF">
      <w:pPr>
        <w:pStyle w:val="1"/>
        <w:rPr>
          <w:lang w:val="en-US"/>
        </w:rPr>
      </w:pPr>
      <w:bookmarkStart w:id="31" w:name="_Toc483074660"/>
      <w:r>
        <w:rPr>
          <w:lang w:val="en-US"/>
        </w:rPr>
        <w:lastRenderedPageBreak/>
        <w:t>Appendix 3</w:t>
      </w:r>
      <w:r w:rsidR="00671ACF">
        <w:rPr>
          <w:lang w:val="en-US"/>
        </w:rPr>
        <w:t>. The LBO-screener algorithm</w:t>
      </w:r>
      <w:bookmarkEnd w:id="31"/>
      <w:r w:rsidR="00671ACF">
        <w:rPr>
          <w:lang w:val="en-US"/>
        </w:rPr>
        <w:t xml:space="preserve"> </w:t>
      </w:r>
    </w:p>
    <w:p w:rsidR="00061049" w:rsidRDefault="001920B6" w:rsidP="00061049">
      <w:pPr>
        <w:rPr>
          <w:lang w:val="en-US"/>
        </w:rPr>
      </w:pPr>
      <w:r>
        <w:rPr>
          <w:noProof/>
          <w:lang w:eastAsia="ru-RU"/>
        </w:rPr>
        <w:drawing>
          <wp:inline distT="0" distB="0" distL="0" distR="0">
            <wp:extent cx="5939790" cy="7195185"/>
            <wp:effectExtent l="0" t="0" r="3810"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BO-screener block scheme1.jpg"/>
                    <pic:cNvPicPr/>
                  </pic:nvPicPr>
                  <pic:blipFill>
                    <a:blip r:embed="rId62">
                      <a:extLst>
                        <a:ext uri="{28A0092B-C50C-407E-A947-70E740481C1C}">
                          <a14:useLocalDpi xmlns:a14="http://schemas.microsoft.com/office/drawing/2010/main" val="0"/>
                        </a:ext>
                      </a:extLst>
                    </a:blip>
                    <a:stretch>
                      <a:fillRect/>
                    </a:stretch>
                  </pic:blipFill>
                  <pic:spPr>
                    <a:xfrm>
                      <a:off x="0" y="0"/>
                      <a:ext cx="5939790" cy="7195185"/>
                    </a:xfrm>
                    <a:prstGeom prst="rect">
                      <a:avLst/>
                    </a:prstGeom>
                  </pic:spPr>
                </pic:pic>
              </a:graphicData>
            </a:graphic>
          </wp:inline>
        </w:drawing>
      </w:r>
    </w:p>
    <w:p w:rsidR="00061049" w:rsidRDefault="00061049">
      <w:pPr>
        <w:spacing w:line="259" w:lineRule="auto"/>
        <w:rPr>
          <w:lang w:val="en-US"/>
        </w:rPr>
      </w:pPr>
      <w:r>
        <w:rPr>
          <w:lang w:val="en-US"/>
        </w:rPr>
        <w:br w:type="page"/>
      </w:r>
    </w:p>
    <w:p w:rsidR="00061049" w:rsidRPr="00061049" w:rsidRDefault="00061049" w:rsidP="009B7B03">
      <w:pPr>
        <w:pStyle w:val="1"/>
        <w:rPr>
          <w:lang w:val="en-US"/>
        </w:rPr>
      </w:pPr>
      <w:bookmarkStart w:id="32" w:name="_Toc483074661"/>
      <w:r w:rsidRPr="00061049">
        <w:rPr>
          <w:lang w:val="en-US"/>
        </w:rPr>
        <w:lastRenderedPageBreak/>
        <w:t>Ap</w:t>
      </w:r>
      <w:r w:rsidR="00644478">
        <w:rPr>
          <w:lang w:val="en-US"/>
        </w:rPr>
        <w:t>pendix 4</w:t>
      </w:r>
      <w:r w:rsidRPr="00061049">
        <w:rPr>
          <w:lang w:val="en-US"/>
        </w:rPr>
        <w:t>. The list of companies used in LBO-screener</w:t>
      </w:r>
      <w:bookmarkEnd w:id="32"/>
      <w:r w:rsidRPr="00061049">
        <w:rPr>
          <w:lang w:val="en-US"/>
        </w:rPr>
        <w:t xml:space="preserve"> </w:t>
      </w:r>
    </w:p>
    <w:p w:rsidR="00061049" w:rsidRPr="007C3FA8" w:rsidRDefault="00061049" w:rsidP="00061049">
      <w:pPr>
        <w:spacing w:after="0" w:line="240" w:lineRule="auto"/>
        <w:jc w:val="right"/>
        <w:rPr>
          <w:rFonts w:ascii="Calibri" w:eastAsia="Times New Roman" w:hAnsi="Calibri" w:cs="Times New Roman"/>
          <w:color w:val="000000"/>
          <w:sz w:val="22"/>
          <w:lang w:val="en-US" w:eastAsia="ru-RU"/>
        </w:rPr>
        <w:sectPr w:rsidR="00061049" w:rsidRPr="007C3FA8" w:rsidSect="00671ACF">
          <w:pgSz w:w="11906" w:h="16838"/>
          <w:pgMar w:top="1134" w:right="851" w:bottom="1134" w:left="1701" w:header="709" w:footer="709" w:gutter="0"/>
          <w:cols w:space="708"/>
          <w:docGrid w:linePitch="360"/>
        </w:sectPr>
      </w:pPr>
    </w:p>
    <w:tbl>
      <w:tblPr>
        <w:tblW w:w="2612" w:type="dxa"/>
        <w:tblLook w:val="04A0" w:firstRow="1" w:lastRow="0" w:firstColumn="1" w:lastColumn="0" w:noHBand="0" w:noVBand="1"/>
      </w:tblPr>
      <w:tblGrid>
        <w:gridCol w:w="551"/>
        <w:gridCol w:w="2061"/>
      </w:tblGrid>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888 Holdings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A.P. Moeller-Maersk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A2a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ABB Ltd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Abengoa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Aberdeen Asset Management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Acciona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Accor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Acergy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Acerinox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Actelios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Adecco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adidas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Aegis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Aer Lingus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Aeroports de Paris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AGA Rangemaster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Agrana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Ahold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Air France-KLM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Air Liquide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Aixtron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Aker ASA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Aker Solutions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Akzo Nobel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Alcatel-Lucent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Alfa Laval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ALK Abello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Alstom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Amec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Amer Sports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Amplifon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Andritz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Anglo American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Anheuser-Busch InBev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Ansaldo STS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Antena3</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Antofagasta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ArcelorMittal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ARM Holdings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Arriva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Aryzta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Ashmore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ASM International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ASML Holding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ASOS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Assa Abloy 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Associated British Foods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AstraZeneca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A-TEC Industries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Atlas Copco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Atos Origin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Audika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Austriamicrosystems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Austrian Post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Autoliv Inc.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Autonomy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Aveva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Axel Springer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Axis-Shield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Babcock International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BAE Systems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Balfour Beatty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Bang &amp; Olufsen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Barco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Barratt Developments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BASF SE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Bauer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Bayer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Beiersdorf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Belgacom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Bellway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Benetton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Beni Stabili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Berkeley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Betsson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BG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BHP Billiton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Big Yellow</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Bilfinger Berger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bioMerieux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Bloomsbury Publishing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BMW</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Bodycote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Boliden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Bolsas y Mercados Espanoles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Bouygues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Bovis Homes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Brisa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British Airways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British American Tobacco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British Land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British Sky Broadcasting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BSS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BT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Bucher Industries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Bulgari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Bunzl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Burberry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Bureau Veritas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Buzzi Unicem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bwin Interactive Entertainment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BWT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C&amp;C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 IMMO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Cable &amp; Wireless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Cairn Energy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Capgemini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Capita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Cardo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Care UK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CareTech Holdings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Carillion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Carlsberg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Carpetright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Carphone Warehouse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Carrefour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Casino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Castellum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CEGID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Celesio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Central European Media Enterprises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Centrica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Centrosolar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Centrotherm Photovoltaics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CEPSA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Ceramic Fuel Cells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Ceres Power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Cermaq ASA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CEZ</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CFAO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CGGVeritas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Charles Voegele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Charter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Christian Dior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Cineworld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Citycon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Clariant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Close Brothers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Club Mediterranee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Cobham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Cofinimmo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Coloplast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Colruyt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Compagnie Industriali Riunite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Compass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Conergy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Continental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conwert Immobilien Invest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Cookson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Corio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Corporacion Financiera Alba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CRH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Criteria CaixaCorp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CropEnergies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Crucell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CSR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CTC Media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Curanum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 S Smith</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163</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Daily Mail and General Trust (A)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Daimler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Dairy Crest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Dana Petroleum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Danieli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Danieli (Savings)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Danisco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Danone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Dassault Systemes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Davide Campari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Davis Service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 La Rue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Debenhams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Delhaize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Demag Cranes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Derichebourg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lastRenderedPageBreak/>
              <w:t>179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Derwent London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Deutsche Boerse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Deutsche Post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Deutsche Telekom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Deutz</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Diageo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Diasorin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Dignity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Dolphin Capital Investors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Domino's Pizza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Douglas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Dragon Oil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Drax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DSG International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DSM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Dufry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EADS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eaga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Easyjet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199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EDF</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200</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EDF Energies Nouvelles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Edison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EDP Renovaveis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Eiffage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Electrocomponents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Electrolux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Elekta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Elisa Corporation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Elringklinger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emgs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Enagas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Endesa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Enel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Energias de Portugal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Eniro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Enterprise Inns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ERG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Ericsson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Essilor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Eurazeo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Eurocommercial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Eurofins Scientific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Eutelsat Communications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Exact Holding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Experian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Fabege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Fastweb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Faurecia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FCC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Fersa Energias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Fiat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Fielmann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Finmeccanica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Finnair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FirstGroup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FLSmidth &amp; Co. 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Flughafen Wien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Flughafen Zurich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Fluidra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Folli Follie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Foncière des Régions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Fortum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France Telecom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Fraport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Fresenius Medical Care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Fresenius SE (pref)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Frontline Ltd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Fugro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GAGFAH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Galenica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Galp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Game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Gamesa Corp Tecnologica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Gas Natural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GDF SUEZ</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GEA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Geberit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Gecina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Gemalto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Georg Fischer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Geox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Getinge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GfK SE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Givaudan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GKN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GlaxoSmithKline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GN Store Nord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Go-ahead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Golar LNG Ltd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Golden Ocean Group Ltd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Gottex Fund Management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Great Portland Estates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Greencore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Greene King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Greentech Energy Systems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Greggs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Grifols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Group 4 Securicor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Groupe Beneteau</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Groupe Bruxelles Lambert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Groupe Eurotunnel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Groupe SEB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Gurit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Halfords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Halma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Hammerson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Hansen Transmission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Havas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Hays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Headlam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HeidelbergCement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Heineken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Hellenic Duty Free Shops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Hellenic Petroleum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Henderson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Henkel (pref)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Hennes &amp; Mauritz</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Heritage Oil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299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Hermes International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Hexagon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HMV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Hochschild Mining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Hochtief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Holcim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Holidaybreak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Holmen 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Home Retail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Hufvudstaden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Huhtamaki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Husqvarna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Iberdrola Renovables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Iberdrola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Iberia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IBS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Icade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ICAP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IFS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IG Group Holdings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Iliad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Illovo Sugar Limited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IMI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Imperial Tobacco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Indesit Co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Inditex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Indra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Industrivarden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Infineon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Informa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Ingenico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Inmarsat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Intercell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InterContinental Hotels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Intermediate Capital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International Personal Finance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International Power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Interseroh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Intertek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Intralot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Invensys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Investor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IPSOS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Italcementi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Italmobiliare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ITE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ITV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IVG Immobilien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 Sainsbury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JCDecaux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Jeronimo Martins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John Wood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Johnson Matthey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Johnston Press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Jungheinrich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Kappahl Holding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Kazakhmys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KBC ANCORA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Keller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Kerry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KESA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lastRenderedPageBreak/>
              <w:t>361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Kier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Kingfisher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Kingspan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Kinnevik Investment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Klepierre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KONE Corporation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Konecranes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Kontron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Korian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Krones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Kudelski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Kuehne &amp; Nagel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Kungsleden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Kuoni Reisen Holding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 E Lundbergforetagen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Ladbrokes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Lafarge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Lagardere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Laird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Land Securities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Lanxess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Legrand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Leoni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Leroy Seafood Group ASA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Liberty Global, Inc.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Liberty International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Linde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Lindt &amp; Sprungli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Loewe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Logica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Logitech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London Stock Exchange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Lonmin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Lonza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L'Oreal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Lottomatica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Lufthansa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Luminar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399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Lundin Petroleum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Luxottica (Italy)</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401</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LVMH Moet-Hennessy Louis Vuitton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M6 - Metropole Television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Maire Tecnimont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Majestic Wine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MAMUT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MAN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Manitou</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Manz Automation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Marine Harvest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Marks &amp; Spencer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Marshalls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Marston's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Martifer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Mayr-Melnhof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McBride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Mediaset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Meggitt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Mercialys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Merck KGaA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Metro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Metrovacesa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Metso OYJ</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Meyer Burger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Michael Page International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Michelin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Micro Focus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Micronas Semiconductor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Millennium &amp; Copthorne Hotels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Mitchells &amp; Butlers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Mitie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Mobistar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Mondi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Morgan Crucible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Morrison (Wm)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Motor Oil Hellas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Mouchel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M-real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MTU Aero Engines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 Brown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National Express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National Grid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Nationale A Portefeuille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Nemetschek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Neopost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Neste Oil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Nestle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Nexans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Next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Nobel Biocare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Nokia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Nokian Renkaat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Nordex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Norsk Hydro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Norske Skog Industrie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Northern Foods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Northgate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Northumbrian Water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Norwegian Air Shuttle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Novartis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Novo Nordisk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Novozymes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Nutreco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Nyrstar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Oce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OMV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OPAP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Opera Software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Optos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Oriola KD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Orkla ASA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ORPEA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OTE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Outokumpu</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Outotec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Paddy Power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PagesJaunes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Palfinger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Panalpina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Pargesa Holding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Parrot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Partners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PartyGaming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Pearson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Pennon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Pernod Ricard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Persimmon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Petrofac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Petroleum Geo Services ASA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Petroplus Holdings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Peugeot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Philips Electronics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Phoenix Solar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Pinault Printemps-Redoute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Pirelli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PKN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Playtech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499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PNE Wind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Porsche (pref)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Portucel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Portugal Telecom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Praktiker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Premier Farnell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Premier Foods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Premier Oil</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507</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Promotora de Informaciones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Prosafe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Prosafe Production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ProSiebenSat.1</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Protonex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Provident Financial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Prysmian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PSP Swiss Property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Public Power Corporation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Publicis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Puma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Punch Taverns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PV Crystalox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PZ Cussons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Q-Cells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Qinetiq</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Rallye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Randstad Holdings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Rank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Rational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Ratos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Realia Business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Reckitt Benckiser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Recylex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Red Electrica de Espana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Redrow</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Reed Elsevier (NL)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Reed Elsevier (UK)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Regus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Remy Cointreau</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Renault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ReneSola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Renewable Energy Corporation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lastRenderedPageBreak/>
              <w:t>540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Renewable Energy Generation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Renovo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Rentokil Initial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REpower Systems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Repsol YPF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Restaurant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Rexam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Rexel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Rhodia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Rhoen-Klinikum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Richemont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Rieter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Rightmove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Rio Tinto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Robert Walters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Roche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Rolls-Royce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Roth &amp; Rau</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Rotork PLC</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559</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Royal Dutch Shell plc (A)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Royal KPN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Royal Vopak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RPS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RWE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Ryanair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SABMiller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Sacyr-Vallehermoso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Safran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Saft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Sage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Saint-Gobain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Saipem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Salamander Energy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Salmar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Salzgitter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Sandvik</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sanofi-aventis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SAP (Ordinary Share)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Saras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SAS Sverige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SBM Offshore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SCA (Svenska Cellulosa)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Scania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Schindler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Schneider Electric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Schoeller-Bleckmann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Schulthess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Scottish and Southern Energy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Seat Pagine Gialle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Séché Environnement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Sechilienne-Sidec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Securitas 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SEGRO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SeLoger.com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Semapa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Sepura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Serco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Sevan Marine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599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Severn Trent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SFC Smart Fuel Cell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SGL Carbon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Shaftesbury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Shanks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Shire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Siemens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SIG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Signet Jewelers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Sika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Silic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Skanska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SKF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Sky Deutschland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SMA Solar Technology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Smith &amp; Nephew</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Smurfit Kappa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Snam Rete Gas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Société BIC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Societe FFP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Soco International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Sodexo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Soitec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Solar Millennium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Solaria Energia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SolarWorld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SOLON SE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Solvay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Sonae SGPS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Sonova Holdings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Southern Cross Healthcare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Spectris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Speedy Hire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Spirax-Sarco Engineering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Sponda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Sportingbet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Sports Direct International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SSAB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SSL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Stagecoach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Stallergenes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Statoil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SThree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STMicroelectronics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Stockmann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Stora Enso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Strabag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Stratec Biomedical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Straumann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Subsea 7</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Suedzucker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Suez Environnement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Sulzer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Swedish Match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Swisscom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Syngenta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Synthes Inc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Tandberg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Tate &amp; Lyle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Taylor Wimpey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Tecan Group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Technicolor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Technip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Ted Baker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Tekla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Tele2 (B)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Telecinco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Telecom Italia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Telefonica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669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Telekom Austria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Telenet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Telenor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TeliaSonera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Terna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Tesco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TF1</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TGS Nopec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Thales</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678</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The Swatch Group (Bearer share)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679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Theolia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Thomas Cook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ThyssenKrupp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Tieto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Titan Cement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Tod's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Tognum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Tomkins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Tomra Systems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689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TomTom</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Topps Tiles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TOTAL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Tour Eiffel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TradeDoubler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Trevi Finanziaria Spa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Trinity Mirror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TUI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TUI Travel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Tullett Prebon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699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Tullow Oil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Tupras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TVN S.A.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Ubisoft Entertainment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u-blox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UCB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Ultra Electronics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Umicore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Unibail-Rodamco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Unibet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709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Unilever (NV)</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Unit 4 Agresso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United Business Media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United Drug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United Internet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United Utilities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UPM-Kymmene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Uponor OYJ</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Valeo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Vallourec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719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Valora Holding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VastNed Retail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Vedanta Resources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Veolia Environnement</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Verbund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lastRenderedPageBreak/>
              <w:t>724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Vestas Wind Systems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Vinci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Virgin Media Inc.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Vivendi</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Vodafone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729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Voestalpine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Volkswagen (Pref)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Volvo</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Vossloh AG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VTG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Wacker Neuson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Wartsila (B)</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WAVIN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Weir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Wendel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739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Wereldhave</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Wetherspoon (JD)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WH Smith</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Whitbread</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Wienerberger</w:t>
            </w:r>
          </w:p>
        </w:tc>
      </w:tr>
      <w:tr w:rsidR="00061049" w:rsidRPr="00BA1FE5"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744</w:t>
            </w:r>
          </w:p>
        </w:tc>
        <w:tc>
          <w:tcPr>
            <w:tcW w:w="2061" w:type="dxa"/>
            <w:noWrap/>
            <w:hideMark/>
          </w:tcPr>
          <w:p w:rsidR="00061049" w:rsidRPr="004F41C4" w:rsidRDefault="00061049" w:rsidP="004F41C4">
            <w:pPr>
              <w:pStyle w:val="a5"/>
              <w:rPr>
                <w:sz w:val="20"/>
                <w:szCs w:val="20"/>
                <w:lang w:val="en-US" w:eastAsia="ru-RU"/>
              </w:rPr>
            </w:pPr>
            <w:r w:rsidRPr="004F41C4">
              <w:rPr>
                <w:sz w:val="20"/>
                <w:szCs w:val="20"/>
                <w:lang w:val="en-US" w:eastAsia="ru-RU"/>
              </w:rPr>
              <w:t>William Demant Holding A/S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William Hill</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Wincor Nixdorf</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Wolfson Microelectronics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Wolseley</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749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Wolters Kluwer</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WPP Group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751</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WS Atkins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752</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Xchanging</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753</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Xstrata plc</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754</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Yara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755</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Yell Group</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756</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YIT Corporation</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757</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YOOX</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758</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Zardoya Otis</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759</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Zon Multimedia</w:t>
            </w:r>
          </w:p>
        </w:tc>
      </w:tr>
      <w:tr w:rsidR="00061049" w:rsidRPr="004F41C4" w:rsidTr="004F41C4">
        <w:trPr>
          <w:trHeight w:val="300"/>
        </w:trPr>
        <w:tc>
          <w:tcPr>
            <w:tcW w:w="551" w:type="dxa"/>
            <w:noWrap/>
            <w:hideMark/>
          </w:tcPr>
          <w:p w:rsidR="00061049" w:rsidRPr="004F41C4" w:rsidRDefault="00061049" w:rsidP="004F41C4">
            <w:pPr>
              <w:pStyle w:val="a5"/>
              <w:rPr>
                <w:sz w:val="20"/>
                <w:szCs w:val="20"/>
                <w:lang w:eastAsia="ru-RU"/>
              </w:rPr>
            </w:pPr>
            <w:r w:rsidRPr="004F41C4">
              <w:rPr>
                <w:sz w:val="20"/>
                <w:szCs w:val="20"/>
                <w:lang w:eastAsia="ru-RU"/>
              </w:rPr>
              <w:t>760</w:t>
            </w:r>
          </w:p>
        </w:tc>
        <w:tc>
          <w:tcPr>
            <w:tcW w:w="2061" w:type="dxa"/>
            <w:noWrap/>
            <w:hideMark/>
          </w:tcPr>
          <w:p w:rsidR="00061049" w:rsidRPr="004F41C4" w:rsidRDefault="00061049" w:rsidP="004F41C4">
            <w:pPr>
              <w:pStyle w:val="a5"/>
              <w:rPr>
                <w:sz w:val="20"/>
                <w:szCs w:val="20"/>
                <w:lang w:eastAsia="ru-RU"/>
              </w:rPr>
            </w:pPr>
            <w:r w:rsidRPr="004F41C4">
              <w:rPr>
                <w:sz w:val="20"/>
                <w:szCs w:val="20"/>
                <w:lang w:eastAsia="ru-RU"/>
              </w:rPr>
              <w:t>Zumtobel</w:t>
            </w:r>
          </w:p>
        </w:tc>
      </w:tr>
    </w:tbl>
    <w:p w:rsidR="00061049" w:rsidRPr="00061049" w:rsidRDefault="00061049" w:rsidP="00061049">
      <w:pPr>
        <w:rPr>
          <w:lang w:val="en-US"/>
        </w:rPr>
      </w:pPr>
    </w:p>
    <w:p w:rsidR="00671ACF" w:rsidRDefault="00671ACF" w:rsidP="002B5649">
      <w:pPr>
        <w:pStyle w:val="a5"/>
        <w:spacing w:line="360" w:lineRule="auto"/>
        <w:jc w:val="both"/>
        <w:rPr>
          <w:lang w:val="en-US"/>
        </w:rPr>
      </w:pPr>
    </w:p>
    <w:p w:rsidR="00061049" w:rsidRDefault="00061049" w:rsidP="002B5649">
      <w:pPr>
        <w:pStyle w:val="a5"/>
        <w:spacing w:line="360" w:lineRule="auto"/>
        <w:jc w:val="both"/>
        <w:rPr>
          <w:lang w:val="en-US"/>
        </w:rPr>
        <w:sectPr w:rsidR="00061049" w:rsidSect="00061049">
          <w:type w:val="continuous"/>
          <w:pgSz w:w="11906" w:h="16838"/>
          <w:pgMar w:top="1134" w:right="851" w:bottom="1134" w:left="1701" w:header="709" w:footer="709" w:gutter="0"/>
          <w:cols w:num="4" w:space="709"/>
          <w:docGrid w:linePitch="360"/>
        </w:sectPr>
      </w:pPr>
    </w:p>
    <w:p w:rsidR="00061049" w:rsidRDefault="00061049" w:rsidP="002B5649">
      <w:pPr>
        <w:pStyle w:val="a5"/>
        <w:spacing w:line="360" w:lineRule="auto"/>
        <w:jc w:val="both"/>
        <w:rPr>
          <w:lang w:val="en-US"/>
        </w:rPr>
      </w:pPr>
    </w:p>
    <w:p w:rsidR="007B6CAA" w:rsidRDefault="007B6CAA">
      <w:pPr>
        <w:spacing w:line="259" w:lineRule="auto"/>
        <w:rPr>
          <w:rFonts w:eastAsiaTheme="majorEastAsia" w:cstheme="majorBidi"/>
          <w:b/>
          <w:szCs w:val="32"/>
          <w:lang w:val="en-US"/>
        </w:rPr>
      </w:pPr>
      <w:r>
        <w:rPr>
          <w:lang w:val="en-US"/>
        </w:rPr>
        <w:br w:type="page"/>
      </w:r>
    </w:p>
    <w:p w:rsidR="007B6CAA" w:rsidRDefault="007B6CAA" w:rsidP="007B6CAA">
      <w:pPr>
        <w:pStyle w:val="1"/>
        <w:rPr>
          <w:lang w:val="en-US"/>
        </w:rPr>
      </w:pPr>
      <w:bookmarkStart w:id="33" w:name="_Toc483074662"/>
      <w:r>
        <w:rPr>
          <w:lang w:val="en-US"/>
        </w:rPr>
        <w:lastRenderedPageBreak/>
        <w:t xml:space="preserve">Appendix </w:t>
      </w:r>
      <w:r w:rsidR="009B7B03">
        <w:rPr>
          <w:lang w:val="en-US"/>
        </w:rPr>
        <w:t>5</w:t>
      </w:r>
      <w:r>
        <w:rPr>
          <w:lang w:val="en-US"/>
        </w:rPr>
        <w:t>. Industry specific leverage levels</w:t>
      </w:r>
      <w:bookmarkEnd w:id="33"/>
      <w:r>
        <w:rPr>
          <w:lang w:val="en-US"/>
        </w:rPr>
        <w:t xml:space="preserve"> </w:t>
      </w:r>
    </w:p>
    <w:p w:rsidR="007B6CAA" w:rsidRDefault="007B6CAA" w:rsidP="007B6CAA">
      <w:pPr>
        <w:spacing w:line="240" w:lineRule="auto"/>
        <w:jc w:val="center"/>
        <w:rPr>
          <w:rFonts w:eastAsia="Times New Roman" w:cs="Times New Roman"/>
          <w:b/>
          <w:color w:val="000000"/>
          <w:sz w:val="22"/>
          <w:lang w:val="en-US" w:eastAsia="ru-RU"/>
        </w:rPr>
      </w:pPr>
    </w:p>
    <w:p w:rsidR="007B6CAA" w:rsidRDefault="007B6CAA" w:rsidP="007B6CAA">
      <w:pPr>
        <w:spacing w:line="240" w:lineRule="auto"/>
        <w:jc w:val="center"/>
        <w:rPr>
          <w:rFonts w:eastAsia="Times New Roman" w:cs="Times New Roman"/>
          <w:b/>
          <w:color w:val="000000"/>
          <w:sz w:val="22"/>
          <w:lang w:val="en-US" w:eastAsia="ru-RU"/>
        </w:rPr>
      </w:pPr>
    </w:p>
    <w:p w:rsidR="007B6CAA" w:rsidRDefault="007B6CAA" w:rsidP="007B6CAA">
      <w:pPr>
        <w:spacing w:line="240" w:lineRule="auto"/>
        <w:jc w:val="center"/>
        <w:rPr>
          <w:rFonts w:eastAsia="Times New Roman" w:cs="Times New Roman"/>
          <w:b/>
          <w:color w:val="000000"/>
          <w:sz w:val="22"/>
          <w:lang w:val="en-US" w:eastAsia="ru-RU"/>
        </w:rPr>
        <w:sectPr w:rsidR="007B6CAA" w:rsidSect="00061049">
          <w:type w:val="continuous"/>
          <w:pgSz w:w="11906" w:h="16838"/>
          <w:pgMar w:top="1134" w:right="851" w:bottom="1134" w:left="1701" w:header="709" w:footer="709" w:gutter="0"/>
          <w:cols w:space="708"/>
          <w:docGrid w:linePitch="360"/>
        </w:sectPr>
      </w:pPr>
    </w:p>
    <w:tbl>
      <w:tblPr>
        <w:tblW w:w="3256" w:type="dxa"/>
        <w:jc w:val="center"/>
        <w:tblLook w:val="04A0" w:firstRow="1" w:lastRow="0" w:firstColumn="1" w:lastColumn="0" w:noHBand="0" w:noVBand="1"/>
      </w:tblPr>
      <w:tblGrid>
        <w:gridCol w:w="2825"/>
        <w:gridCol w:w="1498"/>
      </w:tblGrid>
      <w:tr w:rsidR="007B6CAA" w:rsidRPr="007B6CAA" w:rsidTr="007B6CAA">
        <w:trPr>
          <w:trHeight w:val="300"/>
          <w:jc w:val="center"/>
        </w:trPr>
        <w:tc>
          <w:tcPr>
            <w:tcW w:w="2977" w:type="dxa"/>
            <w:noWrap/>
          </w:tcPr>
          <w:p w:rsidR="007B6CAA" w:rsidRPr="007B6CAA" w:rsidRDefault="007B6CAA" w:rsidP="007B6CAA">
            <w:pPr>
              <w:spacing w:line="240" w:lineRule="auto"/>
              <w:jc w:val="center"/>
              <w:rPr>
                <w:rFonts w:eastAsia="Times New Roman" w:cs="Times New Roman"/>
                <w:b/>
                <w:color w:val="000000"/>
                <w:sz w:val="22"/>
                <w:lang w:val="en-US" w:eastAsia="ru-RU"/>
              </w:rPr>
            </w:pPr>
            <w:r w:rsidRPr="007B6CAA">
              <w:rPr>
                <w:rFonts w:eastAsia="Times New Roman" w:cs="Times New Roman"/>
                <w:b/>
                <w:color w:val="000000"/>
                <w:sz w:val="22"/>
                <w:lang w:val="en-US" w:eastAsia="ru-RU"/>
              </w:rPr>
              <w:t>Industry</w:t>
            </w:r>
          </w:p>
        </w:tc>
        <w:tc>
          <w:tcPr>
            <w:tcW w:w="279" w:type="dxa"/>
            <w:noWrap/>
          </w:tcPr>
          <w:p w:rsidR="007B6CAA" w:rsidRPr="007B6CAA" w:rsidRDefault="007B6CAA" w:rsidP="007B6CAA">
            <w:pPr>
              <w:spacing w:line="240" w:lineRule="auto"/>
              <w:jc w:val="center"/>
              <w:rPr>
                <w:rFonts w:eastAsia="Times New Roman" w:cs="Times New Roman"/>
                <w:b/>
                <w:color w:val="000000"/>
                <w:sz w:val="22"/>
                <w:lang w:val="en-US" w:eastAsia="ru-RU"/>
              </w:rPr>
            </w:pPr>
            <w:r w:rsidRPr="007B6CAA">
              <w:rPr>
                <w:rFonts w:eastAsia="Times New Roman" w:cs="Times New Roman"/>
                <w:b/>
                <w:color w:val="000000"/>
                <w:sz w:val="22"/>
                <w:lang w:val="en-US" w:eastAsia="ru-RU"/>
              </w:rPr>
              <w:t>Debt/EBITDA</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Aerospace &amp; Defense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Airlines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Airports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Automobiles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4,4x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Beverages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Biotechnology</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3x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Branded Consumer Goods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Brokers &amp; Asset Managers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Business Services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Capital Goods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Chemicals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Communications Technology</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Construction</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Consumer Products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Electrical Equipment</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Food</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Gaming</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3x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Gas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Hardware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Healthcare Services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IT Services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Lodging</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Machinery</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Media</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Medical Products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Metals &amp; Mining</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Oil</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Oil Services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Packaging</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Paper &amp; Forest</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Pharmaceuticals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3x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Power</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Alternative energy</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3x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Real Estate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Restaurants &amp; Pubs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5,6x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Retail</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4,9x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Semiconductors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Software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Specialty Finance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Steel</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Surface</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Telecom Services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Textile, Apparel &amp; Footwear</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Tobacco</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30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Travel</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r w:rsidR="007B6CAA" w:rsidRPr="007B6CAA" w:rsidTr="007B6CAA">
        <w:trPr>
          <w:trHeight w:val="70"/>
          <w:jc w:val="center"/>
        </w:trPr>
        <w:tc>
          <w:tcPr>
            <w:tcW w:w="2977" w:type="dxa"/>
            <w:noWrap/>
            <w:hideMark/>
          </w:tcPr>
          <w:p w:rsidR="007B6CAA" w:rsidRPr="007B6CAA" w:rsidRDefault="007B6CAA" w:rsidP="007B6CAA">
            <w:pPr>
              <w:spacing w:line="240" w:lineRule="auto"/>
              <w:rPr>
                <w:rFonts w:eastAsia="Times New Roman" w:cs="Times New Roman"/>
                <w:color w:val="000000"/>
                <w:sz w:val="22"/>
                <w:lang w:eastAsia="ru-RU"/>
              </w:rPr>
            </w:pPr>
            <w:r w:rsidRPr="007B6CAA">
              <w:rPr>
                <w:rFonts w:eastAsia="Times New Roman" w:cs="Times New Roman"/>
                <w:color w:val="000000"/>
                <w:sz w:val="22"/>
                <w:lang w:eastAsia="ru-RU"/>
              </w:rPr>
              <w:t>Utilities</w:t>
            </w:r>
          </w:p>
        </w:tc>
        <w:tc>
          <w:tcPr>
            <w:tcW w:w="279" w:type="dxa"/>
            <w:noWrap/>
            <w:hideMark/>
          </w:tcPr>
          <w:p w:rsidR="007B6CAA" w:rsidRPr="007B6CAA" w:rsidRDefault="007B6CAA" w:rsidP="007B6CAA">
            <w:pPr>
              <w:spacing w:line="240" w:lineRule="auto"/>
              <w:jc w:val="center"/>
              <w:rPr>
                <w:rFonts w:eastAsia="Times New Roman" w:cs="Times New Roman"/>
                <w:color w:val="000000"/>
                <w:sz w:val="22"/>
                <w:lang w:eastAsia="ru-RU"/>
              </w:rPr>
            </w:pPr>
            <w:r w:rsidRPr="007B6CAA">
              <w:rPr>
                <w:rFonts w:eastAsia="Times New Roman" w:cs="Times New Roman"/>
                <w:color w:val="000000"/>
                <w:sz w:val="22"/>
                <w:lang w:eastAsia="ru-RU"/>
              </w:rPr>
              <w:t>5x</w:t>
            </w:r>
          </w:p>
        </w:tc>
      </w:tr>
    </w:tbl>
    <w:p w:rsidR="007B6CAA" w:rsidRDefault="007B6CAA" w:rsidP="002B5649">
      <w:pPr>
        <w:pStyle w:val="a5"/>
        <w:spacing w:line="360" w:lineRule="auto"/>
        <w:jc w:val="both"/>
        <w:rPr>
          <w:lang w:val="en-US"/>
        </w:rPr>
        <w:sectPr w:rsidR="007B6CAA" w:rsidSect="007B6CAA">
          <w:type w:val="continuous"/>
          <w:pgSz w:w="11906" w:h="16838"/>
          <w:pgMar w:top="1134" w:right="851" w:bottom="1134" w:left="1701" w:header="709" w:footer="709" w:gutter="0"/>
          <w:cols w:num="2" w:space="708"/>
          <w:docGrid w:linePitch="360"/>
        </w:sectPr>
      </w:pPr>
    </w:p>
    <w:p w:rsidR="00E05711" w:rsidRDefault="00E05711">
      <w:pPr>
        <w:spacing w:line="259" w:lineRule="auto"/>
        <w:rPr>
          <w:lang w:val="en-US"/>
        </w:rPr>
      </w:pPr>
      <w:r>
        <w:rPr>
          <w:lang w:val="en-US"/>
        </w:rPr>
        <w:br w:type="page"/>
      </w:r>
    </w:p>
    <w:p w:rsidR="004002E8" w:rsidRDefault="004002E8" w:rsidP="00E05711">
      <w:pPr>
        <w:rPr>
          <w:lang w:val="en-US"/>
        </w:rPr>
        <w:sectPr w:rsidR="004002E8" w:rsidSect="00061049">
          <w:type w:val="continuous"/>
          <w:pgSz w:w="11906" w:h="16838"/>
          <w:pgMar w:top="1134" w:right="851" w:bottom="1134" w:left="1701" w:header="709" w:footer="709" w:gutter="0"/>
          <w:cols w:space="708"/>
          <w:docGrid w:linePitch="360"/>
        </w:sectPr>
      </w:pPr>
    </w:p>
    <w:p w:rsidR="004002E8" w:rsidRDefault="004002E8" w:rsidP="004002E8">
      <w:pPr>
        <w:pStyle w:val="1"/>
        <w:rPr>
          <w:lang w:val="en-US"/>
        </w:rPr>
      </w:pPr>
      <w:bookmarkStart w:id="34" w:name="_Toc483074663"/>
      <w:r>
        <w:rPr>
          <w:lang w:val="en-US"/>
        </w:rPr>
        <w:lastRenderedPageBreak/>
        <w:t xml:space="preserve">Appendix </w:t>
      </w:r>
      <w:r w:rsidR="009B7B03">
        <w:rPr>
          <w:lang w:val="en-US"/>
        </w:rPr>
        <w:t>6</w:t>
      </w:r>
      <w:r>
        <w:rPr>
          <w:lang w:val="en-US"/>
        </w:rPr>
        <w:t>. The LBO-model algorithm, part 1</w:t>
      </w:r>
      <w:bookmarkEnd w:id="34"/>
    </w:p>
    <w:p w:rsidR="004002E8" w:rsidRPr="004002E8" w:rsidRDefault="004002E8" w:rsidP="004002E8">
      <w:pPr>
        <w:tabs>
          <w:tab w:val="left" w:pos="8865"/>
        </w:tabs>
        <w:rPr>
          <w:b/>
          <w:lang w:val="en-US"/>
        </w:rPr>
      </w:pPr>
    </w:p>
    <w:p w:rsidR="004002E8" w:rsidRDefault="004002E8" w:rsidP="004002E8">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9088120</wp:posOffset>
                </wp:positionH>
                <wp:positionV relativeFrom="paragraph">
                  <wp:posOffset>1530350</wp:posOffset>
                </wp:positionV>
                <wp:extent cx="365760" cy="246380"/>
                <wp:effectExtent l="0" t="0" r="0" b="1270"/>
                <wp:wrapNone/>
                <wp:docPr id="160" name="Надпись 160"/>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0" o:spid="_x0000_s1084" type="#_x0000_t202" style="position:absolute;margin-left:715.6pt;margin-top:120.5pt;width:28.8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fqmQIAAHMFAAAOAAAAZHJzL2Uyb0RvYy54bWysVM1uEzEQviPxDpbvdJM0SUPUTRVaFSFV&#10;bUWLena8drPC9hjbyW64cecVeAcOHLjxCukbMfbuplHhUsRldzzzzf/P8UmtFVkL50swOe0f9CgR&#10;hkNRmvucfrg9fzWhxAdmCqbAiJxuhKcns5cvjis7FQNYgiqEI2jE+Gllc7oMwU6zzPOl0MwfgBUG&#10;hRKcZgGf7j4rHKvQulbZoNcbZxW4wjrgwnvknjVCOkv2pRQ8XEnpRSAqpxhbSF+Xvov4zWbHbHrv&#10;mF2WvA2D/UMUmpUGne5MnbHAyMqVf5jSJXfgQYYDDjoDKUsuUg6YTb/3JJubJbMi5YLF8XZXJv//&#10;zPLL9bUjZYG9G2N9DNPYpO237fftj+2v7c+HLw9fSZRgnSrrpwi/sagQ6jdQo07H98iM6dfS6fjH&#10;xAjK0eJmV2VRB8KReTgeHUVfHEWD4fhwkqxnj8rW+fBWgCaRyKnDJqbasvWFDxgIQjtI9GXgvFQq&#10;NVIZUuV0fDjqJYWdBDWUiViRRqI1ExNqAk9U2CgRMcq8FxJLkuKPjDSM4lQ5smY4RoxzYUJKPdlF&#10;dERJDOI5ii3+MarnKDd5dJ7BhJ2yLg24lP2TsIuPXciywWMh9/KOZKgXdZqF0aRr7AKKDfbbQbM5&#10;3vLzErtywXy4Zg5XBRuJ6x+u8CMVYPWhpShZgvv8N37E4wSjlJIKVy+n/tOKOUGJemdwtl/3h0M0&#10;G9JjODoa4MPtSxb7ErPSp4Bt6eOhsTyRER9UR0oH+g6vxDx6RREzHH3nNHTkaWgOAl4ZLubzBMLt&#10;tCxcmBvLo+nYpThzt/Udc7YdzIATfQndkrLpk/lssFHTwHwVQJZpeGOhm6q2DcDNTjPdXqF4Ovbf&#10;CfV4K2e/AQAA//8DAFBLAwQUAAYACAAAACEAIPSlduIAAAANAQAADwAAAGRycy9kb3ducmV2Lnht&#10;bEyPzU7DMBCE70i8g7VI3KiTEMCEOFUVqUJCcGjphdsmdpMI/4TYbQNPz/YEx5n9NDtTLmdr2FFP&#10;YfBOQrpIgGnXejW4TsLufX0jgIWITqHxTkv41gGW1eVFiYXyJ7fRx23sGIW4UKCEPsax4Dy0vbYY&#10;Fn7Ujm57P1mMJKeOqwlPFG4Nz5LknlscHH3ocdR1r9vP7cFKeKnXb7hpMit+TP38ul+NX7uPOymv&#10;r+bVE7Co5/gHw7k+VYeKOjX+4FRghnR+m2bESsjylFadkVwImtOQ9fAogFcl/7+i+gUAAP//AwBQ&#10;SwECLQAUAAYACAAAACEAtoM4kv4AAADhAQAAEwAAAAAAAAAAAAAAAAAAAAAAW0NvbnRlbnRfVHlw&#10;ZXNdLnhtbFBLAQItABQABgAIAAAAIQA4/SH/1gAAAJQBAAALAAAAAAAAAAAAAAAAAC8BAABfcmVs&#10;cy8ucmVsc1BLAQItABQABgAIAAAAIQB2gzfqmQIAAHMFAAAOAAAAAAAAAAAAAAAAAC4CAABkcnMv&#10;ZTJvRG9jLnhtbFBLAQItABQABgAIAAAAIQAg9KV24gAAAA0BAAAPAAAAAAAAAAAAAAAAAPMEAABk&#10;cnMvZG93bnJldi54bWxQSwUGAAAAAAQABADzAAAAAgYAAAAA&#10;" filled="f" stroked="f" strokeweight=".5pt">
                <v:textbox>
                  <w:txbxContent>
                    <w:p w:rsidR="00C16B02" w:rsidRDefault="00C16B02" w:rsidP="004002E8">
                      <w:pPr>
                        <w:rPr>
                          <w:sz w:val="16"/>
                          <w:szCs w:val="16"/>
                          <w:lang w:val="en-US"/>
                        </w:rPr>
                      </w:pPr>
                      <w:r>
                        <w:rPr>
                          <w:sz w:val="16"/>
                          <w:szCs w:val="16"/>
                          <w:lang w:val="en-US"/>
                        </w:rPr>
                        <w:t>(25)</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4512945</wp:posOffset>
                </wp:positionH>
                <wp:positionV relativeFrom="paragraph">
                  <wp:posOffset>4408170</wp:posOffset>
                </wp:positionV>
                <wp:extent cx="365760" cy="246380"/>
                <wp:effectExtent l="0" t="0" r="0" b="1270"/>
                <wp:wrapNone/>
                <wp:docPr id="63" name="Надпись 63"/>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 o:spid="_x0000_s1085" type="#_x0000_t202" style="position:absolute;margin-left:355.35pt;margin-top:347.1pt;width:28.8pt;height:1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kqmwIAAHEFAAAOAAAAZHJzL2Uyb0RvYy54bWysVMFu2zAMvQ/YPwi6r07SJG2DOkXWosOA&#10;oi3WDj0rstQYk0RNUmJnt973C/uHHXbYbb+Q/tEo2U6DbpcOu9iU+EiRfCSPT2qtyEo4X4LJaX+v&#10;R4kwHIrS3Of04+35m0NKfGCmYAqMyOlaeHoyff3quLITMYAFqEI4gk6Mn1Q2p4sQ7CTLPF8Izfwe&#10;WGFQKcFpFvDo7rPCsQq9a5UNer1xVoErrAMuvMfbs0ZJp8m/lIKHKym9CETlFGML6evSdx6/2fSY&#10;Te4ds4uSt2Gwf4hCs9Lgo1tXZywwsnTlH650yR14kGGPg85AypKLlANm0+89y+ZmwaxIuWBxvN2W&#10;yf8/t/xyde1IWeR0vE+JYRo52nzbfN/82Pza/Hx8ePxKUIFVqqyfIPjGIjzUb6FGtrt7j5cx+Vo6&#10;Hf+YFkE91nu9rbGoA+F4uT8eHYxRw1E1GI73DxMH2ZOxdT68E6BJFHLqkMJUWba68AEDQWgHiW8Z&#10;OC+VSjQqQ6qYx6iXDLYatFAmYkVqiNZNTKgJPElhrUTEKPNBSCxIij9epFYUp8qRFcMmYpwLE1Lq&#10;yS+iI0piEC8xbPFPUb3EuMmjexlM2Brr0oBL2T8Lu/jUhSwbPBZyJ+8ohnpep04YHXXEzqFYI98O&#10;mrnxlp+XyMoF8+GaORwUJBKHP1zhRyrA6kMrUbIA9+Vv9xGP/YtaSiocvJz6z0vmBCXqvcHOPuoP&#10;h3FS02E4Ohjgwe1q5rsas9SngLT0cc1YnsSID6oTpQN9hztiFl9FFTMc385p6MTT0KwD3DFczGYJ&#10;hLNpWbgwN5ZH15Gl2HO39R1ztm3MgB19Cd2Issmz/myw0dLAbBlAlql5Y6GbqrYE4Fynnm53UFwc&#10;u+eEetqU098AAAD//wMAUEsDBBQABgAIAAAAIQDSVfXf4wAAAAsBAAAPAAAAZHJzL2Rvd25yZXYu&#10;eG1sTI/BTsMwDIbvSLxDZCRuLFkLbSlNp6nShITYYWMXbm7jtRVNUppsKzw94QQ3W/70+/uL1awH&#10;dqbJ9dZIWC4EMDKNVb1pJRzeNncZMOfRKBysIQlf5GBVXl8VmCt7MTs6733LQohxOUrovB9zzl3T&#10;kUa3sCOZcDvaSaMP69RyNeElhOuBR0IkXGNvwocOR6o6aj72Jy3hpdpscVdHOvsequfX43r8PLw/&#10;SHl7M6+fgHma/R8Mv/pBHcrgVNuTUY4NEtKlSAMqIXm8j4AFIk2yGFgdhjgWwMuC/+9Q/gAAAP//&#10;AwBQSwECLQAUAAYACAAAACEAtoM4kv4AAADhAQAAEwAAAAAAAAAAAAAAAAAAAAAAW0NvbnRlbnRf&#10;VHlwZXNdLnhtbFBLAQItABQABgAIAAAAIQA4/SH/1gAAAJQBAAALAAAAAAAAAAAAAAAAAC8BAABf&#10;cmVscy8ucmVsc1BLAQItABQABgAIAAAAIQDQuikqmwIAAHEFAAAOAAAAAAAAAAAAAAAAAC4CAABk&#10;cnMvZTJvRG9jLnhtbFBLAQItABQABgAIAAAAIQDSVfXf4wAAAAs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(25)</w:t>
                      </w:r>
                    </w:p>
                  </w:txbxContent>
                </v:textbox>
              </v:shape>
            </w:pict>
          </mc:Fallback>
        </mc:AlternateContent>
      </w: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7872095</wp:posOffset>
                </wp:positionH>
                <wp:positionV relativeFrom="paragraph">
                  <wp:posOffset>1538605</wp:posOffset>
                </wp:positionV>
                <wp:extent cx="365760" cy="246380"/>
                <wp:effectExtent l="0" t="0" r="0" b="1270"/>
                <wp:wrapNone/>
                <wp:docPr id="62" name="Надпись 62"/>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86" type="#_x0000_t202" style="position:absolute;margin-left:619.85pt;margin-top:121.15pt;width:28.8pt;height: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DzlwIAAHEFAAAOAAAAZHJzL2Uyb0RvYy54bWysVM1uEzEQviPxDpbvdJM0TUvUTRVaFSFV&#10;bUWKena8drPC9hjbyW64cecVeAcOHLjxCukbMfbuJlHhUsTFHs98M57/07NaK7ISzpdgcto/6FEi&#10;DIeiNA85/XB3+eqEEh+YKZgCI3K6Fp6eTV6+OK3sWAxgAaoQjqAR48eVzekiBDvOMs8XQjN/AFYY&#10;FEpwmgV8uoescKxC61plg15vlFXgCuuAC++Re9EI6STZl1LwcCOlF4GonKJvIZ0unfN4ZpNTNn5w&#10;zC5K3rrB/sELzUqDn25NXbDAyNKVf5jSJXfgQYYDDjoDKUsuUgwYTb/3JJrZglmRYsHkeLtNk/9/&#10;Zvn16taRssjpaECJYRprtPm2+b75sfm1+fn45fErQQFmqbJ+jOCZRXio30CN1e74Hpkx+Fo6HW8M&#10;i6Ac873e5ljUgXBkHo6Ojkco4SgaDEeHJ6kG2U7ZOh/eCtAkEjl1WMKUWba68gEdQWgHiX8ZuCyV&#10;SmVUhlQYx+FRLylsJaihTMSK1BCtmRhQ43iiwlqJiFHmvZCYkOR/ZKRWFOfKkRXDJmKcCxNS6Mku&#10;oiNKohPPUWzxO6+eo9zE0f0MJmyVdWnApeifuF187FyWDR4TuRd3JEM9r5tOSCWJrDkUa6y3g2Zu&#10;vOWXJVblivlwyxwOChYShz/c4CEVYPahpShZgPv8N37EY/+ilJIKBy+n/tOSOUGJemews1/3h8M4&#10;qekxPDoe4MPtS+b7ErPU54Bl6eOasTyRER9UR0oH+h53xDT+iiJmOP6d09CR56FZB7hjuJhOEwhn&#10;07JwZWaWR9OxSrHn7up75mzbmAE7+hq6EWXjJ/3ZYKOmgekygCxT8+6y2hYA5zr1dLuD4uLYfyfU&#10;blNOfgMAAP//AwBQSwMEFAAGAAgAAAAhAHaG9iHjAAAADQEAAA8AAABkcnMvZG93bnJldi54bWxM&#10;j8FOwzAQRO9I/IO1SNyoExdoGuJUVaQKCcGhpRduTuwmEfY6xG4b+Hq2J7jt7I5m3xSryVl2MmPo&#10;PUpIZwkwg43XPbYS9u+buwxYiAq1sh6NhG8TYFVeXxUq1/6MW3PaxZZRCIZcSehiHHLOQ9MZp8LM&#10;DwbpdvCjU5Hk2HI9qjOFO8tFkjxyp3qkD50aTNWZ5nN3dBJeqs2b2tbCZT+2en49rIev/ceDlLc3&#10;0/oJWDRT/DPDBZ/QoSSm2h9RB2ZJi/lyQV4J4l7MgV0sYrmgqaZVlqbAy4L/b1H+AgAA//8DAFBL&#10;AQItABQABgAIAAAAIQC2gziS/gAAAOEBAAATAAAAAAAAAAAAAAAAAAAAAABbQ29udGVudF9UeXBl&#10;c10ueG1sUEsBAi0AFAAGAAgAAAAhADj9If/WAAAAlAEAAAsAAAAAAAAAAAAAAAAALwEAAF9yZWxz&#10;Ly5yZWxzUEsBAi0AFAAGAAgAAAAhADrcEPOXAgAAcQUAAA4AAAAAAAAAAAAAAAAALgIAAGRycy9l&#10;Mm9Eb2MueG1sUEsBAi0AFAAGAAgAAAAhAHaG9iHjAAAADQEAAA8AAAAAAAAAAAAAAAAA8QQAAGRy&#10;cy9kb3ducmV2LnhtbFBLBQYAAAAABAAEAPMAAAABBgAAAAA=&#10;" filled="f" stroked="f" strokeweight=".5pt">
                <v:textbox>
                  <w:txbxContent>
                    <w:p w:rsidR="00C16B02" w:rsidRDefault="00C16B02" w:rsidP="004002E8">
                      <w:pPr>
                        <w:rPr>
                          <w:sz w:val="16"/>
                          <w:szCs w:val="16"/>
                          <w:lang w:val="en-US"/>
                        </w:rPr>
                      </w:pPr>
                      <w:r>
                        <w:rPr>
                          <w:sz w:val="16"/>
                          <w:szCs w:val="16"/>
                          <w:lang w:val="en-US"/>
                        </w:rPr>
                        <w:t>(24)</w:t>
                      </w:r>
                    </w:p>
                  </w:txbxContent>
                </v:textbox>
              </v:shape>
            </w:pict>
          </mc:Fallback>
        </mc:AlternateContent>
      </w: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6632575</wp:posOffset>
                </wp:positionH>
                <wp:positionV relativeFrom="paragraph">
                  <wp:posOffset>2478405</wp:posOffset>
                </wp:positionV>
                <wp:extent cx="365760" cy="246380"/>
                <wp:effectExtent l="0" t="0" r="0" b="1270"/>
                <wp:wrapNone/>
                <wp:docPr id="61" name="Надпись 61"/>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87" type="#_x0000_t202" style="position:absolute;margin-left:522.25pt;margin-top:195.15pt;width:28.8pt;height:1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xgmQIAAHEFAAAOAAAAZHJzL2Uyb0RvYy54bWysVM1uEzEQviPxDpbvdJM0SUvUTRVaBSFV&#10;bUWLena8drPC9hjbyW64cecVeAcOHLjxCukbMfbuplHhUsRld+z5Zjw/38zJaa0VWQvnSzA57R/0&#10;KBGGQ1Ga+5x+uJ2/OqbEB2YKpsCInG6Ep6fTly9OKjsRA1iCKoQj6MT4SWVzugzBTrLM86XQzB+A&#10;FQaVEpxmAY/uPiscq9C7Vtmg1xtnFbjCOuDCe7w9b5R0mvxLKXi4ktKLQFROMbaQvi59F/GbTU/Y&#10;5N4xuyx5Gwb7hyg0Kw0+unN1zgIjK1f+4UqX3IEHGQ446AykLLlIOWA2/d6TbG6WzIqUCxbH212Z&#10;/P9zyy/X146URU7HfUoM09ij7bft9+2P7a/tz4cvD18JKrBKlfUTBN9YhIf6DdTY7e7e42VMvpZO&#10;xz+mRVCP9d7saizqQDheHo5HR2PUcFQNhuPD49SD7NHYOh/eCtAkCjl12MJUWba+8AEDQWgHiW8Z&#10;mJdKpTYqQyrM43DUSwY7DVooE7EiEaJ1ExNqAk9S2CgRMcq8FxILkuKPF4mK4kw5smZIIsa5MCGl&#10;nvwiOqIkBvEcwxb/GNVzjJs8upfBhJ2xLg24lP2TsIuPXciywWMh9/KOYqgXdceEtuELKDbYbwfN&#10;3HjL5yV25YL5cM0cDgo2Eoc/XOFHKsDqQytRsgT3+W/3EY/8RS0lFQ5eTv2nFXOCEvXOILNf94fD&#10;OKnpMBwdDfDg9jWLfY1Z6TPAtiB5MbokRnxQnSgd6DvcEbP4KqqY4fh2TkMnnoVmHeCO4WI2SyCc&#10;TcvChbmxPLqOXYqcu63vmLMtMQMy+hK6EWWTJ/xssNHSwGwVQJaJvLHQTVXbBuBcJ063Oygujv1z&#10;Qj1uyulvAAAA//8DAFBLAwQUAAYACAAAACEA8Y1mueMAAAANAQAADwAAAGRycy9kb3ducmV2Lnht&#10;bEyPy07DMBBF90j8gzVI7KidNEVtiFNVkSokBIuWbthN4mkS4UeI3Tbw9bgrWF7N0b1nivVkNDvT&#10;6HtnJSQzAYxs41RvWwmH9+3DEpgPaBVqZ0nCN3lYl7c3BebKXeyOzvvQslhifY4SuhCGnHPfdGTQ&#10;z9xANt6ObjQYYhxbrka8xHKjeSrEIzfY27jQ4UBVR83n/mQkvFTbN9zVqVn+6Or59bgZvg4fCynv&#10;76bNE7BAU/iD4aof1aGMTrU7WeWZjllk2SKyEuYrMQd2RRKRJsBqCVm6SoCXBf//RfkLAAD//wMA&#10;UEsBAi0AFAAGAAgAAAAhALaDOJL+AAAA4QEAABMAAAAAAAAAAAAAAAAAAAAAAFtDb250ZW50X1R5&#10;cGVzXS54bWxQSwECLQAUAAYACAAAACEAOP0h/9YAAACUAQAACwAAAAAAAAAAAAAAAAAvAQAAX3Jl&#10;bHMvLnJlbHNQSwECLQAUAAYACAAAACEA3CWsYJkCAABxBQAADgAAAAAAAAAAAAAAAAAuAgAAZHJz&#10;L2Uyb0RvYy54bWxQSwECLQAUAAYACAAAACEA8Y1mueMAAAANAQAADwAAAAAAAAAAAAAAAADz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(22)</w:t>
                      </w:r>
                    </w:p>
                  </w:txbxContent>
                </v:textbox>
              </v:shape>
            </w:pict>
          </mc:Fallback>
        </mc:AlternateContent>
      </w: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6237605</wp:posOffset>
                </wp:positionH>
                <wp:positionV relativeFrom="paragraph">
                  <wp:posOffset>2501900</wp:posOffset>
                </wp:positionV>
                <wp:extent cx="365760" cy="246380"/>
                <wp:effectExtent l="0" t="0" r="0" b="1270"/>
                <wp:wrapNone/>
                <wp:docPr id="60" name="Надпись 60"/>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88" type="#_x0000_t202" style="position:absolute;margin-left:491.15pt;margin-top:197pt;width:28.8pt;height:1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NPlwIAAHEFAAAOAAAAZHJzL2Uyb0RvYy54bWysVM1uEzEQviPxDpbvdJM0SUvUTRVaBSFV&#10;bUWLena8drPC9hjbyW64cecVeAcOHLjxCukbMfbuplHhUsRldzzzzf/PyWmtFVkL50swOe0f9CgR&#10;hkNRmvucfridvzqmxAdmCqbAiJxuhKen05cvTio7EQNYgiqEI2jE+Ellc7oMwU6yzPOl0MwfgBUG&#10;hRKcZgGf7j4rHKvQulbZoNcbZxW4wjrgwnvknjdCOk32pRQ8XEnpRSAqpxhbSF+Xvov4zaYnbHLv&#10;mF2WvA2D/UMUmpUGne5MnbPAyMqVf5jSJXfgQYYDDjoDKUsuUg6YTb/3JJubJbMi5YLF8XZXJv//&#10;zPLL9bUjZZHTMZbHMI092n7bft/+2P7a/nz48vCVoACrVFk/QfCNRXio30CN3e74Hpkx+Vo6Hf+Y&#10;FkE5GtzsaizqQDgyD8ejo+iKo2gwHB8eJ+vZo7J1PrwVoEkkcuqwhamybH3hAwaC0A4SfRmYl0ql&#10;NipDKszjcNRLCjsJaigTsSINRGsmJtQEnqiwUSJilHkvJBYkxR8ZaRTFmXJkzXCIGOfChJR6sovo&#10;iJIYxHMUW/xjVM9RbvLoPIMJO2VdGnAp+ydhFx+7kGWDx0Lu5R3JUC/qZhIGXWMXUGyw3w6avfGW&#10;z0vsygXz4Zo5XBRsJC5/uMKPVIDVh5aiZAnu89/4EY/zi1JKKly8nPpPK+YEJeqdwcl+3R8O0WxI&#10;j+HoaIAPty9Z7EvMSp8BtqWPZ8byREZ8UB0pHeg7vBGz6BVFzHD0ndPQkWehOQd4Y7iYzRIId9Oy&#10;cGFuLI+mY5fizN3Wd8zZdjADTvQldCvKJk/ms8FGTQOzVQBZpuGNhW6q2jYA9zrNdHuD4uHYfyfU&#10;46Wc/gYAAP//AwBQSwMEFAAGAAgAAAAhAAKXfPPiAAAADAEAAA8AAABkcnMvZG93bnJldi54bWxM&#10;j0FPg0AQhe8m/ofNmHizi1ANIEPTkDQmRg+tvXgb2CkQ2V1kty36692e9DiZL+99r1jNehAnnlxv&#10;DcL9IgLBprGqNy3C/n1zl4JwnoyiwRpG+GYHq/L6qqBc2bPZ8mnnWxFCjMsJofN+zKV0Tcea3MKO&#10;bMLvYCdNPpxTK9VE5xCuBxlH0aPU1JvQ0NHIVcfN5+6oEV6qzRtt61inP0P1/HpYj1/7jwfE25t5&#10;/QTC8+z/YLjoB3Uog1Ntj0Y5MSBkaZwEFCHJlmHUhYiSLANRIyyTOAVZFvL/iPIXAAD//wMAUEsB&#10;Ai0AFAAGAAgAAAAhALaDOJL+AAAA4QEAABMAAAAAAAAAAAAAAAAAAAAAAFtDb250ZW50X1R5cGVz&#10;XS54bWxQSwECLQAUAAYACAAAACEAOP0h/9YAAACUAQAACwAAAAAAAAAAAAAAAAAvAQAAX3JlbHMv&#10;LnJlbHNQSwECLQAUAAYACAAAACEAVM5zT5cCAABxBQAADgAAAAAAAAAAAAAAAAAuAgAAZHJzL2Uy&#10;b0RvYy54bWxQSwECLQAUAAYACAAAACEAApd88+IAAAAMAQAADwAAAAAAAAAAAAAAAADxBAAAZHJz&#10;L2Rvd25yZXYueG1sUEsFBgAAAAAEAAQA8wAAAAAGAAAAAA==&#10;" filled="f" stroked="f" strokeweight=".5pt">
                <v:textbox>
                  <w:txbxContent>
                    <w:p w:rsidR="00C16B02" w:rsidRDefault="00C16B02" w:rsidP="004002E8">
                      <w:pPr>
                        <w:rPr>
                          <w:sz w:val="16"/>
                          <w:szCs w:val="16"/>
                          <w:lang w:val="en-US"/>
                        </w:rPr>
                      </w:pPr>
                      <w:r>
                        <w:rPr>
                          <w:sz w:val="16"/>
                          <w:szCs w:val="16"/>
                          <w:lang w:val="en-US"/>
                        </w:rPr>
                        <w:t>(21)</w:t>
                      </w:r>
                    </w:p>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7147560</wp:posOffset>
                </wp:positionH>
                <wp:positionV relativeFrom="paragraph">
                  <wp:posOffset>2453005</wp:posOffset>
                </wp:positionV>
                <wp:extent cx="365760" cy="246380"/>
                <wp:effectExtent l="0" t="0" r="0" b="1270"/>
                <wp:wrapNone/>
                <wp:docPr id="59" name="Надпись 59"/>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89" type="#_x0000_t202" style="position:absolute;margin-left:562.8pt;margin-top:193.15pt;width:28.8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AYmwIAAHEFAAAOAAAAZHJzL2Uyb0RvYy54bWysVM1uEzEQviPxDpbvdPNPG3VThVZFSFVb&#10;0aKeHa/drLA9xnayG27ceQXegQMHbrxC+kaMvbtpVLgUcdkde74Zz8w3M8cntVZkLZwvweS0f9Cj&#10;RBgORWnuc/rh9vzVISU+MFMwBUbkdCM8PZm9fHFc2akYwBJUIRxBJ8ZPK5vTZQh2mmWeL4Vm/gCs&#10;MKiU4DQLeHT3WeFYhd61yga93iSrwBXWARfe4+1Zo6Sz5F9KwcOVlF4EonKKsYX0dem7iN9sdsym&#10;947ZZcnbMNg/RKFZafDRnaszFhhZufIPV7rkDjzIcMBBZyBlyUXKAbPp955kc7NkVqRcsDje7srk&#10;/59bfrm+dqQscjo+osQwjRxtv22/b39sf21/Pnx5+EpQgVWqrJ8i+MYiPNRvoEa2u3uPlzH5Wjod&#10;/5gWQT3We7OrsagD4Xg5nIxfT1DDUTUYTYaHiYPs0dg6H94K0CQKOXVIYaosW1/4gIEgtIPEtwyc&#10;l0olGpUhVU4nw3EvGew0aKFMxIrUEK2bmFATeJLCRomIUea9kFiQFH+8SK0oTpUja4ZNxDgXJqTU&#10;k19ER5TEIJ5j2OIfo3qOcZNH9zKYsDPWpQGXsn8SdvGxC1k2eCzkXt5RDPWiTp0wGXbELqDYIN8O&#10;mrnxlp+XyMoF8+GaORwUJBKHP1zhRyrA6kMrUbIE9/lv9xGP/YtaSiocvJz6TyvmBCXqncHOPuqP&#10;RnFS02E0fj3Ag9vXLPY1ZqVPAWnp45qxPIkRH1QnSgf6DnfEPL6KKmY4vp3T0ImnoVkHuGO4mM8T&#10;CGfTsnBhbiyPriNLsedu6zvmbNuYATv6EroRZdMn/dlgo6WB+SqALFPzxkI3VW0JwLlOPd3uoLg4&#10;9s8J9bgpZ78BAAD//wMAUEsDBBQABgAIAAAAIQCC28V34wAAAA0BAAAPAAAAZHJzL2Rvd25yZXYu&#10;eG1sTI9BT4NAEIXvJv6HzZh4swuLEIIsTUPSmBg9tPbibYAtEHdnkd226K93e9Ljy3x575tyvRjN&#10;zmp2oyUJ8SoCpqi13Ui9hMP79iEH5jxSh9qSkvCtHKyr25sSi85eaKfOe9+zUEKuQAmD91PBuWsH&#10;ZdCt7KQo3I52NuhDnHvezXgJ5UZzEUUZNzhSWBhwUvWg2s/9yUh4qbdvuGuEyX90/fx63Exfh49U&#10;yvu7ZfMEzKvF/8Fw1Q/qUAWnxp6oc0yHHIs0C6yEJM8SYFckzhMBrJHwKNIYeFXy/19UvwAAAP//&#10;AwBQSwECLQAUAAYACAAAACEAtoM4kv4AAADhAQAAEwAAAAAAAAAAAAAAAAAAAAAAW0NvbnRlbnRf&#10;VHlwZXNdLnhtbFBLAQItABQABgAIAAAAIQA4/SH/1gAAAJQBAAALAAAAAAAAAAAAAAAAAC8BAABf&#10;cmVscy8ucmVsc1BLAQItABQABgAIAAAAIQAOUAAYmwIAAHEFAAAOAAAAAAAAAAAAAAAAAC4CAABk&#10;cnMvZTJvRG9jLnhtbFBLAQItABQABgAIAAAAIQCC28V34wAAAA0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(23)</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6707505</wp:posOffset>
                </wp:positionH>
                <wp:positionV relativeFrom="paragraph">
                  <wp:posOffset>1702435</wp:posOffset>
                </wp:positionV>
                <wp:extent cx="365760" cy="246380"/>
                <wp:effectExtent l="0" t="0" r="0" b="1270"/>
                <wp:wrapNone/>
                <wp:docPr id="58" name="Надпись 58"/>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90" type="#_x0000_t202" style="position:absolute;margin-left:528.15pt;margin-top:134.05pt;width:28.8pt;height:1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PUmwIAAHEFAAAOAAAAZHJzL2Uyb0RvYy54bWysVMFuEzEQvSPxD5bvdJM0SUvUTRVaFSFV&#10;bUWKena8drPC9hjbyW64cecX+AcOHLjxC+kfMfbuplHhUsRld+x5M56ZNzMnp7VWZC2cL8HktH/Q&#10;o0QYDkVp7nP64fbi1TElPjBTMAVG5HQjPD2dvnxxUtmJGMASVCEcQSfGTyqb02UIdpJlni+FZv4A&#10;rDColOA0C3h091nhWIXetcoGvd44q8AV1gEX3uPteaOk0+RfSsHDtZReBKJyirGF9HXpu4jfbHrC&#10;JveO2WXJ2zDYP0ShWWnw0Z2rcxYYWbnyD1e65A48yHDAQWcgZclFygGz6feeZDNfMitSLlgcb3dl&#10;8v/PLb9a3zhSFjkdIVOGaeRo+237fftj+2v78+HLw1eCCqxSZf0EwXOL8FC/gRrZ7u49Xsbka+l0&#10;/GNaBPVY782uxqIOhOPl4Xh0NEYNR9VgOD48Thxkj8bW+fBWgCZRyKlDClNl2frSBwwEoR0kvmXg&#10;olQq0agMqXI6Phz1ksFOgxbKRKxIDdG6iQk1gScpbJSIGGXeC4kFSfHHi9SK4kw5smbYRIxzYUJK&#10;PflFdERJDOI5hi3+MarnGDd5dC+DCTtjXRpwKfsnYRcfu5Blg8dC7uUdxVAv6tQJ42FH7AKKDfLt&#10;oJkbb/lFiaxcMh9umMNBQSJx+MM1fqQCrD60EiVLcJ//dh/x2L+opaTCwcup/7RiTlCi3hns7Nf9&#10;4TBOajoMR0cDPLh9zWJfY1b6DJCWPq4Zy5MY8UF1onSg73BHzOKrqGKG49s5DZ14Fpp1gDuGi9ks&#10;gXA2LQuXZm55dB1Zij13W98xZ9vGDNjRV9CNKJs86c8GGy0NzFYBZJmaNxa6qWpLAM516ul2B8XF&#10;sX9OqMdNOf0NAAD//wMAUEsDBBQABgAIAAAAIQAfjjP24wAAAA0BAAAPAAAAZHJzL2Rvd25yZXYu&#10;eG1sTI/BTsMwEETvSPyDtUjcqJ1EjdIQp6oiVUgIDi29cNvE2yQitkPstoGvxz3R42ifZt4W61kP&#10;7EyT662REC0EMDKNVb1pJRw+tk8ZMOfRKBysIQk/5GBd3t8VmCt7MTs6733LQolxOUrovB9zzl3T&#10;kUa3sCOZcDvaSaMPcWq5mvASyvXAYyFSrrE3YaHDkaqOmq/9SUt4rbbvuKtjnf0O1cvbcTN+Hz6X&#10;Uj4+zJtnYJ5m/w/DVT+oQxmcansyyrEhZLFMk8BKiNMsAnZFoihZAaslJCJdAS8LfvtF+QcAAP//&#10;AwBQSwECLQAUAAYACAAAACEAtoM4kv4AAADhAQAAEwAAAAAAAAAAAAAAAAAAAAAAW0NvbnRlbnRf&#10;VHlwZXNdLnhtbFBLAQItABQABgAIAAAAIQA4/SH/1gAAAJQBAAALAAAAAAAAAAAAAAAAAC8BAABf&#10;cmVscy8ucmVsc1BLAQItABQABgAIAAAAIQD4fgPUmwIAAHEFAAAOAAAAAAAAAAAAAAAAAC4CAABk&#10;cnMvZTJvRG9jLnhtbFBLAQItABQABgAIAAAAIQAfjjP24wAAAA0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(20)</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5379085</wp:posOffset>
                </wp:positionH>
                <wp:positionV relativeFrom="paragraph">
                  <wp:posOffset>1916430</wp:posOffset>
                </wp:positionV>
                <wp:extent cx="365760" cy="246380"/>
                <wp:effectExtent l="0" t="0" r="0" b="1270"/>
                <wp:wrapNone/>
                <wp:docPr id="57" name="Надпись 57"/>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7" o:spid="_x0000_s1091" type="#_x0000_t202" style="position:absolute;margin-left:423.55pt;margin-top:150.9pt;width:28.8pt;height:1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OHnAIAAHEFAAAOAAAAZHJzL2Uyb0RvYy54bWysVMFuEzEQvSPxD5bvdJM0SUvUTRVaFSFV&#10;bUWKena8drPC9hjbyW64cecX+AcOHLjxC+kfMfbuplHhUsRld+x5M56ZNzMnp7VWZC2cL8HktH/Q&#10;o0QYDkVp7nP64fbi1TElPjBTMAVG5HQjPD2dvnxxUtmJGMASVCEcQSfGTyqb02UIdpJlni+FZv4A&#10;rDColOA0C3h091nhWIXetcoGvd44q8AV1gEX3uPteaOk0+RfSsHDtZReBKJyirGF9HXpu4jfbHrC&#10;JveO2WXJ2zDYP0ShWWnw0Z2rcxYYWbnyD1e65A48yHDAQWcgZclFygGz6feeZDNfMitSLlgcb3dl&#10;8v/PLb9a3zhSFjkdHVFimEaOtt+237c/tr+2Px++PHwlqMAqVdZPEDy3CA/1G6iR7e7e42VMvpZO&#10;xz+mRVCP9d7saizqQDheHo5HR2PUcFQNhuPD48RB9mhsnQ9vBWgShZw6pDBVlq0vfcBAENpB4lsG&#10;LkqlEo3KkCqn48NRLxnsNGihTMSK1BCtm5hQE3iSwkaJiFHmvZBYkBR/vEitKM6UI2uGTcQ4Fyak&#10;1JNfREeUxCCeY9jiH6N6jnGTR/cymLAz1qUBl7J/EnbxsQtZNngs5F7eUQz1ok6dMB51xC6g2CDf&#10;Dpq58ZZflMjKJfPhhjkcFCQShz9c40cqwOpDK1GyBPf5b/cRj/2LWkoqHLyc+k8r5gQl6p3Bzn7d&#10;Hw7jpKbDcHQ0wIPb1yz2NWalzwBp6eOasTyJER9UJ0oH+g53xCy+iipmOL6d09CJZ6FZB7hjuJjN&#10;Eghn07JwaeaWR9eRpdhzt/Udc7ZtzIAdfQXdiLLJk/5ssNHSwGwVQJapeWOhm6q2BOBcp55ud1Bc&#10;HPvnhHrclNPfAAAA//8DAFBLAwQUAAYACAAAACEAALk3aeIAAAALAQAADwAAAGRycy9kb3ducmV2&#10;LnhtbEyPwU7DMAyG70i8Q2QkbizpKFspTaep0oSE2GFjF25pk7UViVOabCs8PeYER9uffn9/sZqc&#10;ZWczht6jhGQmgBlsvO6xlXB429xlwEJUqJX1aCR8mQCr8vqqULn2F9yZ8z62jEIw5EpCF+OQcx6a&#10;zjgVZn4wSLejH52KNI4t16O6ULizfC7EgjvVI33o1GCqzjQf+5OT8FJttmpXz132bavn1+N6+Dy8&#10;P0h5ezOtn4BFM8U/GH71SR1Kcqr9CXVgVkKWLhNCJdyLhDoQ8SjSJbCaNqlYAC8L/r9D+QMAAP//&#10;AwBQSwECLQAUAAYACAAAACEAtoM4kv4AAADhAQAAEwAAAAAAAAAAAAAAAAAAAAAAW0NvbnRlbnRf&#10;VHlwZXNdLnhtbFBLAQItABQABgAIAAAAIQA4/SH/1gAAAJQBAAALAAAAAAAAAAAAAAAAAC8BAABf&#10;cmVscy8ucmVsc1BLAQItABQABgAIAAAAIQA7rwOHnAIAAHEFAAAOAAAAAAAAAAAAAAAAAC4CAABk&#10;cnMvZTJvRG9jLnhtbFBLAQItABQABgAIAAAAIQAAuTdp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(19)</w:t>
                      </w:r>
                    </w:p>
                  </w:txbxContent>
                </v:textbox>
              </v:shape>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4705985</wp:posOffset>
                </wp:positionH>
                <wp:positionV relativeFrom="paragraph">
                  <wp:posOffset>1916430</wp:posOffset>
                </wp:positionV>
                <wp:extent cx="365760" cy="246380"/>
                <wp:effectExtent l="0" t="0" r="0" b="1270"/>
                <wp:wrapNone/>
                <wp:docPr id="56" name="Надпись 56"/>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92" type="#_x0000_t202" style="position:absolute;margin-left:370.55pt;margin-top:150.9pt;width:28.8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yomgIAAHEFAAAOAAAAZHJzL2Uyb0RvYy54bWysVM1u2zAMvg/YOwi6r86v2wV1iqxFhwFF&#10;WywdelZkqTEmi5qkxM5uu+8V9g477LDbXiF9o1GynQbZLh12sSnxI0XyI3l6VpeKrIV1BeiM9o96&#10;lAjNIS/0Q0Y/3F2+OqHEeaZzpkCLjG6Eo2fTly9OKzMRA1iCyoUl6ES7SWUyuvTeTJLE8aUomTsC&#10;IzQqJdiSeTzahyS3rELvpUoGvV6aVGBzY4EL5/D2olHSafQvpeD+RkonPFEZxdh8/Nr4XYRvMj1l&#10;kwfLzLLgbRjsH6IoWaHx0Z2rC+YZWdniD1dlwS04kP6IQ5mAlAUXMQfMpt87yGa+ZEbEXLA4zuzK&#10;5P6fW369vrWkyDM6TinRrESOtt+237c/tr+2Px+/PH4lqMAqVcZNEDw3CPf1G6iR7e7e4WVIvpa2&#10;DH9Mi6Ae673Z1VjUnnC8HKbj4xQ1HFWDUTo8iRwkT8bGOv9WQEmCkFGLFMbKsvWV8xgIQjtIeEvD&#10;ZaFUpFFpUmU0HY570WCnQQulA1bEhmjdhISawKPkN0oEjNLvhcSCxPjDRWxFca4sWTNsIsa50D6m&#10;Hv0iOqAkBvEcwxb/FNVzjJs8updB+51xWWiwMfuDsPOPXciywWMh9/IOoq8XdeyEdEf4AvIN8m2h&#10;mRtn+GWBrFwx52+ZxUFBInH4/Q1+pAKsPrQSJUuwn/92H/DYv6ilpMLBy6j7tGJWUKLeaezs1/3R&#10;KExqPIzGxwM82H3NYl+jV+U5IC19XDOGRzHgvepEaaG8xx0xC6+iimmOb2fUd+K5b9YB7hguZrMI&#10;wtk0zF/pueHBdWAp9Nxdfc+saRvTY0dfQzeibHLQnw02WGqYrTzIIjZvKHRT1ZYAnOvY0+0OCotj&#10;/xxRT5ty+hsAAP//AwBQSwMEFAAGAAgAAAAhAO5GFtLiAAAACwEAAA8AAABkcnMvZG93bnJldi54&#10;bWxMj8FOwzAMhu9IvENkJG4s6RhrKU2nqdKEhNhhYxduaZO1FYlTmmwrPD3mBEfbn35/f7GanGVn&#10;M4beo4RkJoAZbLzusZVweNvcZcBCVKiV9WgkfJkAq/L6qlC59hfcmfM+toxCMORKQhfjkHMems44&#10;FWZ+MEi3ox+dijSOLdejulC4s3wuxJI71SN96NRgqs40H/uTk/BSbbZqV89d9m2r59fjevg8vD9I&#10;eXszrZ+ARTPFPxh+9UkdSnKq/Ql1YFZCukgSQiXci4Q6EJE+ZimwmjYLsQReFvx/h/IHAAD//wMA&#10;UEsBAi0AFAAGAAgAAAAhALaDOJL+AAAA4QEAABMAAAAAAAAAAAAAAAAAAAAAAFtDb250ZW50X1R5&#10;cGVzXS54bWxQSwECLQAUAAYACAAAACEAOP0h/9YAAACUAQAACwAAAAAAAAAAAAAAAAAvAQAAX3Jl&#10;bHMvLnJlbHNQSwECLQAUAAYACAAAACEAs0TcqJoCAABxBQAADgAAAAAAAAAAAAAAAAAuAgAAZHJz&#10;L2Uyb0RvYy54bWxQSwECLQAUAAYACAAAACEA7kYW0uIAAAALAQAADwAAAAAAAAAAAAAAAAD0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(18)</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1151255</wp:posOffset>
                </wp:positionH>
                <wp:positionV relativeFrom="paragraph">
                  <wp:posOffset>2486660</wp:posOffset>
                </wp:positionV>
                <wp:extent cx="365760" cy="246380"/>
                <wp:effectExtent l="0" t="0" r="0" b="1270"/>
                <wp:wrapNone/>
                <wp:docPr id="55" name="Надпись 55"/>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5" o:spid="_x0000_s1093" type="#_x0000_t202" style="position:absolute;margin-left:90.65pt;margin-top:195.8pt;width:28.8pt;height:1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A7nAIAAHEFAAAOAAAAZHJzL2Uyb0RvYy54bWysVMFuEzEQvSPxD5bvdJM0SUvUTRVaFSFV&#10;bUWKena8drPC9hjbyW64cecX+AcOHLjxC+kfMfbuplHhUsRld+x5M56ZNzMnp7VWZC2cL8HktH/Q&#10;o0QYDkVp7nP64fbi1TElPjBTMAVG5HQjPD2dvnxxUtmJGMASVCEcQSfGTyqb02UIdpJlni+FZv4A&#10;rDColOA0C3h091nhWIXetcoGvd44q8AV1gEX3uPteaOk0+RfSsHDtZReBKJyirGF9HXpu4jfbHrC&#10;JveO2WXJ2zDYP0ShWWnw0Z2rcxYYWbnyD1e65A48yHDAQWcgZclFygGz6feeZDNfMitSLlgcb3dl&#10;8v/PLb9a3zhSFjkdjSgxTCNH22/b79sf21/bnw9fHr4SVGCVKusnCJ5bhIf6DdTIdnfv8TImX0un&#10;4x/TIqjHem92NRZ1IBwvD8ejozFqOKoGw/HhceIgezS2zoe3AjSJQk4dUpgqy9aXPmAgCO0g8S0D&#10;F6VSiUZlSJXT8eGolwx2GrRQJmJFaojWTUyoCTxJYaNExCjzXkgsSIo/XqRWFGfKkTXDJmKcCxNS&#10;6skvoiNKYhDPMWzxj1E9x7jJo3sZTNgZ69KAS9k/Cbv42IUsGzwWci/vKIZ6UadOGB91xC6g2CDf&#10;Dpq58ZZflMjKJfPhhjkcFCQShz9c40cqwOpDK1GyBPf5b/cRj/2LWkoqHLyc+k8r5gQl6p3Bzn7d&#10;Hw7jpKbDcHQ0wIPb1yz2NWalzwBp6eOasTyJER9UJ0oH+g53xCy+iipmOL6d09CJZ6FZB7hjuJjN&#10;Eghn07JwaeaWR9eRpdhzt/Udc7ZtzIAdfQXdiLLJk/5ssNHSwGwVQJapeWOhm6q2BOBcp55ud1Bc&#10;HPvnhHrclNPfAAAA//8DAFBLAwQUAAYACAAAACEApgjuQuMAAAALAQAADwAAAGRycy9kb3ducmV2&#10;LnhtbEyPy07DMBBF90j8gzWV2FHnUao0xKmqSBUSgkVLN+wm8TSJ6keI3Tbw9ZhVWV7N0b1nivWk&#10;FbvQ6HprBMTzCBiZxsretAIOH9vHDJjzaCQqa0jANzlYl/d3BebSXs2OLnvfslBiXI4COu+HnHPX&#10;dKTRze1AJtyOdtToQxxbLke8hnKteBJFS66xN2Ghw4GqjprT/qwFvFbbd9zVic5+VPXydtwMX4fP&#10;JyEeZtPmGZinyd9g+NMP6lAGp9qejXRMhZzFaUAFpKt4CSwQSZqtgNUCFmm0AF4W/P8P5S8AAAD/&#10;/wMAUEsBAi0AFAAGAAgAAAAhALaDOJL+AAAA4QEAABMAAAAAAAAAAAAAAAAAAAAAAFtDb250ZW50&#10;X1R5cGVzXS54bWxQSwECLQAUAAYACAAAACEAOP0h/9YAAACUAQAACwAAAAAAAAAAAAAAAAAvAQAA&#10;X3JlbHMvLnJlbHNQSwECLQAUAAYACAAAACEAVb1gO5wCAABxBQAADgAAAAAAAAAAAAAAAAAuAgAA&#10;ZHJzL2Uyb0RvYy54bWxQSwECLQAUAAYACAAAACEApgjuQuMAAAALAQAADwAAAAAAAAAAAAAAAAD2&#10;BAAAZHJzL2Rvd25yZXYueG1sUEsFBgAAAAAEAAQA8wAAAAYGAAAAAA==&#10;" filled="f" stroked="f" strokeweight=".5pt">
                <v:textbox>
                  <w:txbxContent>
                    <w:p w:rsidR="00C16B02" w:rsidRDefault="00C16B02" w:rsidP="004002E8">
                      <w:pPr>
                        <w:rPr>
                          <w:sz w:val="16"/>
                          <w:szCs w:val="16"/>
                          <w:lang w:val="en-US"/>
                        </w:rPr>
                      </w:pPr>
                      <w:r>
                        <w:rPr>
                          <w:sz w:val="16"/>
                          <w:szCs w:val="16"/>
                          <w:lang w:val="en-US"/>
                        </w:rPr>
                        <w:t>(17)</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6490335</wp:posOffset>
                </wp:positionH>
                <wp:positionV relativeFrom="paragraph">
                  <wp:posOffset>930910</wp:posOffset>
                </wp:positionV>
                <wp:extent cx="365760" cy="246380"/>
                <wp:effectExtent l="0" t="0" r="0" b="1270"/>
                <wp:wrapNone/>
                <wp:docPr id="54" name="Надпись 54"/>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94" type="#_x0000_t202" style="position:absolute;margin-left:511.05pt;margin-top:73.3pt;width:28.8pt;height:1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vrnAIAAHEFAAAOAAAAZHJzL2Uyb0RvYy54bWysVMFuEzEQvSPxD5bvdJM0SUPUTRVaFSFV&#10;bUWLena8drPC9hjbyW64cecX+AcOHLjxC+kfMfbuplHhUsRld+x5M56ZNzPHJ7VWZC2cL8HktH/Q&#10;o0QYDkVp7nP64fb81YQSH5gpmAIjcroRnp7MXr44ruxUDGAJqhCOoBPjp5XN6TIEO80yz5dCM38A&#10;VhhUSnCaBTy6+6xwrELvWmWDXm+cVeAK64AL7/H2rFHSWfIvpeDhSkovAlE5xdhC+rr0XcRvNjtm&#10;03vH7LLkbRjsH6LQrDT46M7VGQuMrFz5hytdcgceZDjgoDOQsuQi5YDZ9HtPsrlZMitSLlgcb3dl&#10;8v/PLb9cXztSFjkdDSkxTCNH22/b79sf21/bnw9fHr4SVGCVKuunCL6xCA/1G6iR7e7e42VMvpZO&#10;xz+mRVCP9d7saizqQDheHo5HR2PUcFQNhuPDSeIgezS2zoe3AjSJQk4dUpgqy9YXPmAgCO0g8S0D&#10;56VSiUZlSJXT8eGolwx2GrRQJmJFaojWTUyoCTxJYaNExCjzXkgsSIo/XqRWFKfKkTXDJmKcCxNS&#10;6skvoiNKYhDPMWzxj1E9x7jJo3sZTNgZ69KAS9k/Cbv42IUsGzwWci/vKIZ6UadOGE86YhdQbJBv&#10;B83ceMvPS2TlgvlwzRwOChKJwx+u8CMVYPWhlShZgvv8t/uIx/5FLSUVDl5O/acVc4IS9c5gZ7/u&#10;D4dxUtNhODoa4MHtaxb7GrPSp4C09HHNWJ7EiA+qE6UDfYc7Yh5fRRUzHN/OaejE09CsA9wxXMzn&#10;CYSzaVm4MDeWR9eRpdhzt/Udc7ZtzIAdfQndiLLpk/5ssNHSwHwVQJapeWOhm6q2BOBcp55ud1Bc&#10;HPvnhHrclLPfAAAA//8DAFBLAwQUAAYACAAAACEAjcRcqeMAAAANAQAADwAAAGRycy9kb3ducmV2&#10;LnhtbEyPzU7DMBCE70i8g7VI3KjdqE1DiFNVkSokBIeWXrhtYjeJ8E+I3Tbw9GxPcJvRfpqdKdaT&#10;Neysx9B7J2E+E8C0a7zqXSvh8L59yICFiE6h8U5L+NYB1uXtTYG58he30+d9bBmFuJCjhC7GIec8&#10;NJ22GGZ+0I5uRz9ajGTHlqsRLxRuDU+ESLnF3tGHDgdddbr53J+shJdq+4a7OrHZj6meX4+b4evw&#10;sZTy/m7aPAGLeop/MFzrU3UoqVPtT04FZsiLJJkTS2qRpsCuiFg9roDVpLLlAnhZ8P8ryl8AAAD/&#10;/wMAUEsBAi0AFAAGAAgAAAAhALaDOJL+AAAA4QEAABMAAAAAAAAAAAAAAAAAAAAAAFtDb250ZW50&#10;X1R5cGVzXS54bWxQSwECLQAUAAYACAAAACEAOP0h/9YAAACUAQAACwAAAAAAAAAAAAAAAAAvAQAA&#10;X3JlbHMvLnJlbHNQSwECLQAUAAYACAAAACEAHh+r65wCAABxBQAADgAAAAAAAAAAAAAAAAAuAgAA&#10;ZHJzL2Uyb0RvYy54bWxQSwECLQAUAAYACAAAACEAjcRcqeMAAAANAQAADwAAAAAAAAAAAAAAAAD2&#10;BAAAZHJzL2Rvd25yZXYueG1sUEsFBgAAAAAEAAQA8wAAAAYGAAAAAA==&#10;" filled="f" stroked="f" strokeweight=".5pt">
                <v:textbox>
                  <w:txbxContent>
                    <w:p w:rsidR="00C16B02" w:rsidRDefault="00C16B02" w:rsidP="004002E8">
                      <w:pPr>
                        <w:rPr>
                          <w:sz w:val="16"/>
                          <w:szCs w:val="16"/>
                          <w:lang w:val="en-US"/>
                        </w:rPr>
                      </w:pPr>
                      <w:r>
                        <w:rPr>
                          <w:sz w:val="16"/>
                          <w:szCs w:val="16"/>
                          <w:lang w:val="en-US"/>
                        </w:rPr>
                        <w:t>(13)</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2372360</wp:posOffset>
                </wp:positionH>
                <wp:positionV relativeFrom="paragraph">
                  <wp:posOffset>1605280</wp:posOffset>
                </wp:positionV>
                <wp:extent cx="365760" cy="246380"/>
                <wp:effectExtent l="0" t="0" r="0" b="1270"/>
                <wp:wrapNone/>
                <wp:docPr id="53" name="Надпись 53"/>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(12</w:t>
                            </w:r>
                            <w:r>
                              <w:rPr>
                                <w:noProof/>
                                <w:sz w:val="20"/>
                                <w:szCs w:val="20"/>
                                <w:lang w:eastAsia="ru-RU"/>
                              </w:rPr>
                              <w:drawing>
                                <wp:inline distT="0" distB="0" distL="0" distR="0">
                                  <wp:extent cx="177165" cy="1092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 o:spid="_x0000_s1095" type="#_x0000_t202" style="position:absolute;margin-left:186.8pt;margin-top:126.4pt;width:28.8pt;height:1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w4mwIAAHEFAAAOAAAAZHJzL2Uyb0RvYy54bWysVM1uEzEQviPxDpbvdPNPG3VThVZFSFVb&#10;0aKeHa/drLA9xnayG27ceQXegQMHbrxC+kaMvbtpVLgUcdkde74Zz8w3M8cntVZkLZwvweS0f9Cj&#10;RBgORWnuc/rh9vzVISU+MFMwBUbkdCM8PZm9fHFc2akYwBJUIRxBJ8ZPK5vTZQh2mmWeL4Vm/gCs&#10;MKiU4DQLeHT3WeFYhd61yga93iSrwBXWARfe4+1Zo6Sz5F9KwcOVlF4EonKKsYX0dem7iN9sdsym&#10;947ZZcnbMNg/RKFZafDRnaszFhhZufIPV7rkDjzIcMBBZyBlyUXKAbPp955kc7NkVqRcsDje7srk&#10;/59bfrm+dqQscjoeUmKYRo6237bftz+2v7Y/H748fCWowCpV1k8RfGMRHuo3UCPb3b3Hy5h8LZ2O&#10;f0yLoB7rvdnVWNSBcLwcTsavJ6jhqBqMJsPDxEH2aGydD28FaBKFnDqkMFWWrS98wEAQ2kHiWwbO&#10;S6USjcqQKqeT4biXDHYatFAmYkVqiNZNTKgJPElho0TEKPNeSCxIij9epFYUp8qRNcMmYpwLE1Lq&#10;yS+iI0piEM8xbPGPUT3HuMmjexlM2Bnr0oBL2T8Ju/jYhSwbPBZyL+8ohnpRp06YHHXELqDYIN8O&#10;mrnxlp+XyMoF8+GaORwUJBKHP1zhRyrA6kMrUbIE9/lv9xGP/YtaSiocvJz6TyvmBCXqncHOPuqP&#10;RnFS02E0fj3Ag9vXLPY1ZqVPAWnp45qxPIkRH1QnSgf6DnfEPL6KKmY4vp3T0ImnoVkHuGO4mM8T&#10;CGfTsnBhbiyPriNLsedu6zvmbNuYATv6EroRZdMn/dlgo6WB+SqALFPzxkI3VW0JwLlOPd3uoLg4&#10;9s8J9bgpZ78BAAD//wMAUEsDBBQABgAIAAAAIQBDgwC84wAAAAsBAAAPAAAAZHJzL2Rvd25yZXYu&#10;eG1sTI/BTsMwDIbvSLxDZCRuLG3KylaaTlOlCQmxw8Yuu6WN11Y0SWmyrfD0mBMcbX/6/f35ajI9&#10;u+DoO2clxLMIGNra6c42Eg7vm4cFMB+U1ap3FiV8oYdVcXuTq0y7q93hZR8aRiHWZ0pCG8KQce7r&#10;Fo3yMzegpdvJjUYFGseG61FdKdz0XERRyo3qLH1o1YBli/XH/mwkvJabrdpVwiy++/Ll7bQePg/H&#10;uZT3d9P6GVjAKfzB8KtP6lCQU+XOVnvWS0iekpRQCWIuqAMRj0ksgFW0WcYp8CLn/zsUPwAAAP//&#10;AwBQSwECLQAUAAYACAAAACEAtoM4kv4AAADhAQAAEwAAAAAAAAAAAAAAAAAAAAAAW0NvbnRlbnRf&#10;VHlwZXNdLnhtbFBLAQItABQABgAIAAAAIQA4/SH/1gAAAJQBAAALAAAAAAAAAAAAAAAAAC8BAABf&#10;cmVscy8ucmVsc1BLAQItABQABgAIAAAAIQAbAXw4mwIAAHEFAAAOAAAAAAAAAAAAAAAAAC4CAABk&#10;cnMvZTJvRG9jLnhtbFBLAQItABQABgAIAAAAIQBDgwC84wAAAAs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(12</w:t>
                      </w:r>
                      <w:r>
                        <w:rPr>
                          <w:noProof/>
                          <w:sz w:val="20"/>
                          <w:szCs w:val="20"/>
                          <w:lang w:eastAsia="ru-RU"/>
                        </w:rPr>
                        <w:drawing>
                          <wp:inline distT="0" distB="0" distL="0" distR="0">
                            <wp:extent cx="177165" cy="1092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Pr>
                          <w:sz w:val="16"/>
                          <w:szCs w:val="16"/>
                          <w:lang w:val="en-US"/>
                        </w:rPr>
                        <w:t>)</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1951355</wp:posOffset>
                </wp:positionH>
                <wp:positionV relativeFrom="paragraph">
                  <wp:posOffset>2178050</wp:posOffset>
                </wp:positionV>
                <wp:extent cx="365760" cy="246380"/>
                <wp:effectExtent l="0" t="0" r="0" b="1270"/>
                <wp:wrapNone/>
                <wp:docPr id="51" name="Надпись 51"/>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96" type="#_x0000_t202" style="position:absolute;margin-left:153.65pt;margin-top:171.5pt;width:28.8pt;height:1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n8mgIAAHEFAAAOAAAAZHJzL2Uyb0RvYy54bWysVM1uEzEQviPxDpbvdJM0SUvUTRVaFSFV&#10;bUWLena8drPC9hjbyW64cecVeAcOHLjxCukbMfbuJlHhUsRldzzzzXh+vvHJaa0VWQnnSzA57R/0&#10;KBGGQ1Gah5x+uLt4dUyJD8wUTIEROV0LT0+nL1+cVHYiBrAAVQhHMIjxk8rmdBGCnWSZ5wuhmT8A&#10;KwwaJTjNAh7dQ1Y4VmF0rbJBrzfOKnCFdcCF96g9b4x0muJLKXi4ltKLQFROMbeQvi595/GbTU/Y&#10;5MExuyh5mwb7hyw0Kw1eug11zgIjS1f+EUqX3IEHGQ446AykLLlINWA1/d6Tam4XzIpUCzbH222b&#10;/P8Ly69WN46URU5HfUoM0zijzbfN982Pza/Nz8cvj18JGrBLlfUTBN9ahIf6DdQ47U7vURmLr6XT&#10;8Y9lEbRjv9fbHos6EI7Kw/HoaIwWjqbBcHx4nGaQ7Zyt8+GtAE2ikFOHI0ydZatLHzARhHaQeJeB&#10;i1KpNEZlSJXT8eGolxy2FvRQJmJFIkQbJhbUJJ6ksFYiYpR5LyQ2JOUfFYmK4kw5smJIIsa5MCGV&#10;nuIiOqIkJvEcxxa/y+o5zk0d3c1gwtZZlwZcqv5J2sXHLmXZ4LGRe3VHMdTzOjHhKI0kquZQrHHe&#10;Dpq98ZZflDiVS+bDDXO4KDhIXP5wjR+pALsPrUTJAtznv+kjHvmLVkoqXLyc+k9L5gQl6p1BZr/u&#10;D4dxU9NhODoa4MHtW+b7FrPUZ4BjQfJidkmM+KA6UTrQ9/hGzOKtaGKG4905DZ14FprnAN8YLmaz&#10;BMLdtCxcmlvLY+g4pci5u/qeOdsSMyCjr6BbUTZ5ws8GGz0NzJYBZJnIu+tqOwDc68Tp9g2KD8f+&#10;OaF2L+X0NwAAAP//AwBQSwMEFAAGAAgAAAAhAINEPlviAAAACwEAAA8AAABkcnMvZG93bnJldi54&#10;bWxMj0FPwkAQhe8m/ofNmHiTLRSx1G4JaUJMjBxALtym3aVt7M7W7gLVX+940tt7mS9v3stWo+3E&#10;xQy+daRgOolAGKqcbqlWcHjfPCQgfEDS2DkyCr6Mh1V+e5Nhqt2VduayD7XgEPIpKmhC6FMpfdUY&#10;i37iekN8O7nBYmA71FIPeOVw28lZFC2kxZb4Q4O9KRpTfezPVsFrsdnirpzZ5LsrXt5O6/7zcHxU&#10;6v5uXD+DCGYMfzD81ufqkHOn0p1Je9EpiKOnmFEW85hHMREv5ksQJYtkmoDMM/l/Q/4DAAD//wMA&#10;UEsBAi0AFAAGAAgAAAAhALaDOJL+AAAA4QEAABMAAAAAAAAAAAAAAAAAAAAAAFtDb250ZW50X1R5&#10;cGVzXS54bWxQSwECLQAUAAYACAAAACEAOP0h/9YAAACUAQAACwAAAAAAAAAAAAAAAAAvAQAAX3Jl&#10;bHMvLnJlbHNQSwECLQAUAAYACAAAACEAF2wZ/JoCAABxBQAADgAAAAAAAAAAAAAAAAAuAgAAZHJz&#10;L2Uyb0RvYy54bWxQSwECLQAUAAYACAAAACEAg0Q+W+IAAAALAQAADwAAAAAAAAAAAAAAAAD0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(11)</w:t>
                      </w:r>
                    </w:p>
                  </w:txbxContent>
                </v:textbox>
              </v:shape>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397510</wp:posOffset>
                </wp:positionH>
                <wp:positionV relativeFrom="paragraph">
                  <wp:posOffset>2042795</wp:posOffset>
                </wp:positionV>
                <wp:extent cx="365760" cy="246380"/>
                <wp:effectExtent l="0" t="0" r="0" b="1270"/>
                <wp:wrapNone/>
                <wp:docPr id="50" name="Надпись 50"/>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97" type="#_x0000_t202" style="position:absolute;margin-left:31.3pt;margin-top:160.85pt;width:28.8pt;height: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iilwIAAHEFAAAOAAAAZHJzL2Uyb0RvYy54bWysVE1uEzEU3iNxB8t7OkmapiXqpAqtipAq&#10;WtGirh2P3Yzw2MZ2kgk79lyBO7BgwY4rpDfis2cmDYVNEZuZ5/c+f37/xyd1pchSOF8andP+Xo8S&#10;obkpSn2X0/c35y+OKPGB6YIpo0VO18LTk8nzZ8crOxYDMzeqEI6ARPvxyuZ0HoIdZ5nnc1Exv2es&#10;0DBK4yoWcHR3WeHYCuyVyga93ihbGVdYZ7jwHtqzxkgniV9KwcOllF4EonIK30L6uvSdxW82OWbj&#10;O8fsvOStG+wfvKhYqfHoluqMBUYWrvyDqiq5M97IsMdNlRkpSy5SDIim33sUzfWcWZFiQXK83abJ&#10;/z9a/nZ55UhZ5PQA6dGsQo02XzffNt83Pzc/7j/ffyEwIEsr68cAX1vAQ/3K1Kh2p/dQxuBr6ar4&#10;R1gEdhCutzkWdSAcyv3RweEIFg7TYDjaP0rs2cNl63x4LUxFopBThxKmzLLlhQ9wBNAOEt/S5rxU&#10;KpVRabLK6WgfDv9mwQ2lo0akhmhpYkCN40kKayUiRul3QiIhyf+oSK0oTpUjS4YmYpwLHVLoiRfo&#10;iJJw4ikXW/yDV0+53MTRvWx02F6uSm1civ6R28WHzmXZ4JHInbijGOpZnTrhcFvYmSnWqLczzdx4&#10;y89LVOWC+XDFHAYFhcTwh0t8pDLIvmklSubGffqbPuLRv7BSssLg5dR/XDAnKFFvNDr7ZX84BG1I&#10;h+HB4QAHt2uZ7Vr0ojo1KEsfa8byJEZ8UJ0onalusSOm8VWYmOZ4O6ehE09Dsw6wY7iYThMIs2lZ&#10;uNDXlkfqWKXYczf1LXO2bcyAjn5ruhFl40f92WDjTW2mi2BkmZo3JrrJalsAzHXq6XYHxcWxe06o&#10;h005+QUAAP//AwBQSwMEFAAGAAgAAAAhAF2jEc/hAAAACgEAAA8AAABkcnMvZG93bnJldi54bWxM&#10;j8tOwzAQRfdI/IM1SOyoXaOGKsSpqkgVEoJFSzfsJvE0ifAjxG4b+HrcFV3OzNGdc4vVZA070Rh6&#10;7xTMZwIYucbr3rUK9h+bhyWwENFpNN6Rgh8KsCpvbwrMtT+7LZ12sWUpxIUcFXQxDjnnoenIYpj5&#10;gVy6HfxoMaZxbLke8ZzCreFSiIxb7F360OFAVUfN1+5oFbxWm3fc1tIuf0318nZYD9/7z4VS93fT&#10;+hlYpCn+w3DRT+pQJqfaH50OzCjIZJZIBY9y/gTsAkghgdVpk4kF8LLg1xXKPwAAAP//AwBQSwEC&#10;LQAUAAYACAAAACEAtoM4kv4AAADhAQAAEwAAAAAAAAAAAAAAAAAAAAAAW0NvbnRlbnRfVHlwZXNd&#10;LnhtbFBLAQItABQABgAIAAAAIQA4/SH/1gAAAJQBAAALAAAAAAAAAAAAAAAAAC8BAABfcmVscy8u&#10;cmVsc1BLAQItABQABgAIAAAAIQAg5SiilwIAAHEFAAAOAAAAAAAAAAAAAAAAAC4CAABkcnMvZTJv&#10;RG9jLnhtbFBLAQItABQABgAIAAAAIQBdoxHP4QAAAAoBAAAPAAAAAAAAAAAAAAAAAPEEAABkcnMv&#10;ZG93bnJldi54bWxQSwUGAAAAAAQABADzAAAA/wUAAAAA&#10;" filled="f" stroked="f" strokeweight=".5pt">
                <v:textbox>
                  <w:txbxContent>
                    <w:p w:rsidR="00C16B02" w:rsidRDefault="00C16B02" w:rsidP="004002E8">
                      <w:pPr>
                        <w:rPr>
                          <w:sz w:val="16"/>
                          <w:szCs w:val="16"/>
                          <w:lang w:val="en-US"/>
                        </w:rPr>
                      </w:pPr>
                      <w:r>
                        <w:rPr>
                          <w:sz w:val="16"/>
                          <w:szCs w:val="16"/>
                          <w:lang w:val="en-US"/>
                        </w:rPr>
                        <w:t>(10)</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1640840</wp:posOffset>
                </wp:positionH>
                <wp:positionV relativeFrom="paragraph">
                  <wp:posOffset>1263650</wp:posOffset>
                </wp:positionV>
                <wp:extent cx="365760" cy="246380"/>
                <wp:effectExtent l="0" t="0" r="0" b="1270"/>
                <wp:wrapNone/>
                <wp:docPr id="49" name="Надпись 49"/>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98" type="#_x0000_t202" style="position:absolute;margin-left:129.2pt;margin-top:99.5pt;width:28.8pt;height:1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x1nAIAAHEFAAAOAAAAZHJzL2Uyb0RvYy54bWysVMFu2zAMvQ/YPwi6r07SNG2DOkXWosOA&#10;oi2WDj0rstQYk0RNUmJnt973C/uHHXbYbb+Q/tEo2U6DbpcOu9iU+EiRfCRPTmutyEo4X4LJaX+v&#10;R4kwHIrS3Of04+3FmyNKfGCmYAqMyOlaeHo6ef3qpLJjMYAFqEI4gk6MH1c2p4sQ7DjLPF8Izfwe&#10;WGFQKcFpFvDo7rPCsQq9a5UNer1RVoErrAMuvMfb80ZJJ8m/lIKHaym9CETlFGML6evSdx6/2eSE&#10;je8ds4uSt2Gwf4hCs9Lgo1tX5ywwsnTlH650yR14kGGPg85AypKLlANm0+89y2a2YFakXLA43m7L&#10;5P+fW361unGkLHI6PKbEMI0cbb5tvm9+bH5tfj4+PH4lqMAqVdaPETyzCA/1W6iR7e7e42VMvpZO&#10;xz+mRVCP9V5vayzqQDhe7o8ODkeo4agaDEf7R4mD7MnYOh/eCdAkCjl1SGGqLFtd+oCBILSDxLcM&#10;XJRKJRqVIVVOR/sHvWSw1aCFMhErUkO0bmJCTeBJCmslIkaZD0JiQVL88SK1ojhTjqwYNhHjXJiQ&#10;Uk9+ER1REoN4iWGLf4rqJcZNHt3LYMLWWJcGXMr+WdjFpy5k2eCxkDt5RzHU8zp1wuGgI3YOxRr5&#10;dtDMjbf8okRWLpkPN8zhoCCROPzhGj9SAVYfWomSBbgvf7uPeOxf1FJS4eDl1H9eMicoUe8NdvZx&#10;fziMk5oOw4PDAR7crma+qzFLfQZISx/XjOVJjPigOlE60He4I6bxVVQxw/HtnIZOPAvNOsAdw8V0&#10;mkA4m5aFSzOzPLqOLMWeu63vmLNtYwbs6CvoRpSNn/Vng42WBqbLALJMzRsL3VS1JQDnOvV0u4Pi&#10;4tg9J9TTppz8BgAA//8DAFBLAwQUAAYACAAAACEASrwHdeIAAAALAQAADwAAAGRycy9kb3ducmV2&#10;LnhtbEyPQU/CQBCF7yb+h82YeJMtRbDUbglpQkyMHkAu3qbdpW3sztbuApVf73DS27y8lzffy1aj&#10;7cTJDL51pGA6iUAYqpxuqVaw/9g8JCB8QNLYOTIKfoyHVX57k2Gq3Zm25rQLteAS8ikqaELoUyl9&#10;1RiLfuJ6Q+wd3GAxsBxqqQc8c7ntZBxFC2mxJf7QYG+KxlRfu6NV8Fps3nFbxja5dMXL22Hdf+8/&#10;50rd343rZxDBjOEvDFd8RoecmUp3JO1FpyCeJ48cZWO55FGcmE0XfJRszZ4SkHkm/2/IfwEAAP//&#10;AwBQSwECLQAUAAYACAAAACEAtoM4kv4AAADhAQAAEwAAAAAAAAAAAAAAAAAAAAAAW0NvbnRlbnRf&#10;VHlwZXNdLnhtbFBLAQItABQABgAIAAAAIQA4/SH/1gAAAJQBAAALAAAAAAAAAAAAAAAAAC8BAABf&#10;cmVscy8ucmVsc1BLAQItABQABgAIAAAAIQD3dqx1nAIAAHEFAAAOAAAAAAAAAAAAAAAAAC4CAABk&#10;cnMvZTJvRG9jLnhtbFBLAQItABQABgAIAAAAIQBKvAd1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(9)</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2719070</wp:posOffset>
                </wp:positionH>
                <wp:positionV relativeFrom="paragraph">
                  <wp:posOffset>1534160</wp:posOffset>
                </wp:positionV>
                <wp:extent cx="365760" cy="246380"/>
                <wp:effectExtent l="0" t="0" r="0" b="1270"/>
                <wp:wrapNone/>
                <wp:docPr id="48" name="Надпись 48"/>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99" type="#_x0000_t202" style="position:absolute;margin-left:214.1pt;margin-top:120.8pt;width:28.8pt;height:1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rmwIAAHEFAAAOAAAAZHJzL2Uyb0RvYy54bWysVM1uEzEQviPxDpbvdPPXtETdVKFVEVLV&#10;VqSoZ8drNytsj7Gd7IYbd16Bd+DAgRuvkL4RY+9uGhUuRVx2x55vxjPzzczJaa0VWQvnSzA57R/0&#10;KBGGQ1Ga+5x+uL14dUyJD8wUTIEROd0IT0+nL1+cVHYiBrAEVQhH0Inxk8rmdBmCnWSZ50uhmT8A&#10;KwwqJTjNAh7dfVY4VqF3rbJBrzfOKnCFdcCF93h73ijpNPmXUvBwLaUXgaicYmwhfV36LuI3m56w&#10;yb1jdlnyNgz2D1FoVhp8dOfqnAVGVq78w5UuuQMPMhxw0BlIWXKRcsBs+r0n2cyXzIqUCxbH212Z&#10;/P9zy6/WN46URU5HyJRhGjnaftt+3/7Y/tr+fPjy8JWgAqtUWT9B8NwiPNRvoEa2u3uPlzH5Wjod&#10;/5gWQT3We7OrsagD4Xg5HB8ejVHDUTUYjYfHiYPs0dg6H94K0CQKOXVIYaosW1/6gIEgtIPEtwxc&#10;lEolGpUhVU7Hw8NeMthp0EKZiBWpIVo3MaEm8CSFjRIRo8x7IbEgKf54kVpRnClH1gybiHEuTEip&#10;J7+IjiiJQTzHsMU/RvUc4yaP7mUwYWesSwMuZf8k7OJjF7Js8FjIvbyjGOpFnTrhaNgRu4Big3w7&#10;aObGW35RIiuXzIcb5nBQkEgc/nCNH6kAqw+tRMkS3Oe/3Uc89i9qKalw8HLqP62YE5SodwY7+3V/&#10;NIqTmg6jw6MBHty+ZrGvMSt9BkhLH9eM5UmM+KA6UTrQd7gjZvFVVDHD8e2chk48C806wB3DxWyW&#10;QDibloVLM7c8uo4sxZ67re+Ys21jBuzoK+hGlE2e9GeDjZYGZqsAskzNGwvdVLUlAOc69XS7g+Li&#10;2D8n1OOmnP4GAAD//wMAUEsDBBQABgAIAAAAIQBfEpvP4QAAAAsBAAAPAAAAZHJzL2Rvd25yZXYu&#10;eG1sTI9NS8NAEIbvgv9hGcGb3XRJyxKzKSVQBNFDay/eJtltEtyPmN220V/veNLjzDy887zlZnaW&#10;XcwUh+AVLBcZMOPboAffKTi+7R4ksJjQa7TBGwVfJsKmur0psdDh6vfmckgdoxAfC1TQpzQWnMe2&#10;Nw7jIozG0+0UJoeJxqnjesIrhTvLRZatucPB04ceR1P3pv04nJ2C53r3ivtGOPlt66eX03b8PL6v&#10;lLq/m7ePwJKZ0x8Mv/qkDhU5NeHsdWRWQS6kIFSByJdrYETkckVlGtrILAdelfx/h+oHAAD//wMA&#10;UEsBAi0AFAAGAAgAAAAhALaDOJL+AAAA4QEAABMAAAAAAAAAAAAAAAAAAAAAAFtDb250ZW50X1R5&#10;cGVzXS54bWxQSwECLQAUAAYACAAAACEAOP0h/9YAAACUAQAACwAAAAAAAAAAAAAAAAAvAQAAX3Jl&#10;bHMvLnJlbHNQSwECLQAUAAYACAAAACEAwP+dK5sCAABxBQAADgAAAAAAAAAAAAAAAAAuAgAAZHJz&#10;L2Uyb0RvYy54bWxQSwECLQAUAAYACAAAACEAXxKbz+EAAAALAQAADwAAAAAAAAAAAAAAAAD1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(8)</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4288790</wp:posOffset>
                </wp:positionH>
                <wp:positionV relativeFrom="paragraph">
                  <wp:posOffset>1525905</wp:posOffset>
                </wp:positionV>
                <wp:extent cx="365760" cy="246380"/>
                <wp:effectExtent l="0" t="0" r="0" b="1270"/>
                <wp:wrapNone/>
                <wp:docPr id="43" name="Надпись 43"/>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100" type="#_x0000_t202" style="position:absolute;margin-left:337.7pt;margin-top:120.15pt;width:28.8pt;height:1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qnAIAAHEFAAAOAAAAZHJzL2Uyb0RvYy54bWysVM1uEzEQviPxDpbvdPPXtETdVKFVEVLV&#10;VqSoZ8drNytsj7Gd7IYbd16Bd+DAgRuvkL4RY+9uGhUuRVx2x55vxjPzzczJaa0VWQvnSzA57R/0&#10;KBGGQ1Ga+5x+uL14dUyJD8wUTIEROd0IT0+nL1+cVHYiBrAEVQhH0Inxk8rmdBmCnWSZ50uhmT8A&#10;KwwqJTjNAh7dfVY4VqF3rbJBrzfOKnCFdcCF93h73ijpNPmXUvBwLaUXgaicYmwhfV36LuI3m56w&#10;yb1jdlnyNgz2D1FoVhp8dOfqnAVGVq78w5UuuQMPMhxw0BlIWXKRcsBs+r0n2cyXzIqUCxbH212Z&#10;/P9zy6/WN46URU5HQ0oM08jR9tv2+/bH9tf258OXh68EFVilyvoJgucW4aF+AzWy3d17vIzJ19Lp&#10;+Me0COqx3ptdjUUdCMfL4fjwaIwajqrBaDw8Thxkj8bW+fBWgCZRyKlDClNl2frSBwwEoR0kvmXg&#10;olQq0agMqXI6Hh72ksFOgxbKRKxIDdG6iQk1gScpbJSIGGXeC4kFSfHHi9SK4kw5smbYRIxzYUJK&#10;PflFdERJDOI5hi3+MarnGDd5dC+DCTtjXRpwKfsnYRcfu5Blg8dC7uUdxVAv6tQJR6OO2AUUG+Tb&#10;QTM33vKLElm5ZD7cMIeDgkTi8Idr/EgFWH1oJUqW4D7/7T7isX9RS0mFg5dT/2nFnKBEvTPY2a/7&#10;o1Gc1HQYHR4N8OD2NYt9jVnpM0Ba+rhmLE9ixAfVidKBvsMdMYuvoooZjm/nNHTiWWjWAe4YLmaz&#10;BMLZtCxcmrnl0XVkKfbcbX3HnG0bM2BHX0E3omzypD8bbLQ0MFsFkGVq3ljopqotATjXqafbHRQX&#10;x/45oR435fQ3AAAA//8DAFBLAwQUAAYACAAAACEAnFQX6uMAAAALAQAADwAAAGRycy9kb3ducmV2&#10;LnhtbEyPwW7CMAyG75P2DpEn7TZSWqBQmiJUCU2axgHGZbe0CW21xOmaAN2eft5pO9r+9Pv7881o&#10;DbvqwXcOBUwnETCNtVMdNgJOb7unJTAfJCppHGoBX9rDpri/y2Wm3A0P+noMDaMQ9JkU0IbQZ5z7&#10;utVW+onrNdLt7AYrA41Dw9UgbxRuDY+jaMGt7JA+tLLXZavrj+PFCngpd3t5qGK7/Dbl8+t523+e&#10;3udCPD6M2zWwoMfwB8OvPqlDQU6Vu6DyzAhYpPMZoQLiWZQAIyJNEmpX0SZdTYEXOf/fofgBAAD/&#10;/wMAUEsBAi0AFAAGAAgAAAAhALaDOJL+AAAA4QEAABMAAAAAAAAAAAAAAAAAAAAAAFtDb250ZW50&#10;X1R5cGVzXS54bWxQSwECLQAUAAYACAAAACEAOP0h/9YAAACUAQAACwAAAAAAAAAAAAAAAAAvAQAA&#10;X3JlbHMvLnJlbHNQSwECLQAUAAYACAAAACEAIW7EqpwCAABxBQAADgAAAAAAAAAAAAAAAAAuAgAA&#10;ZHJzL2Uyb0RvYy54bWxQSwECLQAUAAYACAAAACEAnFQX6uMAAAALAQAADwAAAAAAAAAAAAAAAAD2&#10;BAAAZHJzL2Rvd25yZXYueG1sUEsFBgAAAAAEAAQA8wAAAAYGAAAAAA==&#10;" filled="f" stroked="f" strokeweight=".5pt">
                <v:textbox>
                  <w:txbxContent>
                    <w:p w:rsidR="00C16B02" w:rsidRDefault="00C16B02" w:rsidP="004002E8">
                      <w:pPr>
                        <w:rPr>
                          <w:sz w:val="16"/>
                          <w:szCs w:val="16"/>
                          <w:lang w:val="en-US"/>
                        </w:rPr>
                      </w:pPr>
                      <w:r>
                        <w:rPr>
                          <w:sz w:val="16"/>
                          <w:szCs w:val="16"/>
                          <w:lang w:val="en-US"/>
                        </w:rPr>
                        <w:t>(7)</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3740150</wp:posOffset>
                </wp:positionH>
                <wp:positionV relativeFrom="paragraph">
                  <wp:posOffset>1502410</wp:posOffset>
                </wp:positionV>
                <wp:extent cx="365760" cy="246380"/>
                <wp:effectExtent l="0" t="0" r="0" b="1270"/>
                <wp:wrapNone/>
                <wp:docPr id="159" name="Надпись 159"/>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9" o:spid="_x0000_s1101" type="#_x0000_t202" style="position:absolute;margin-left:294.5pt;margin-top:118.3pt;width:28.8pt;height:1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oXnQIAAHMFAAAOAAAAZHJzL2Uyb0RvYy54bWysVMFu2zAMvQ/YPwi6r07SJG2DOkXWosOA&#10;oi3WDj0rstQYk0RNUmJnt973C/uHHXbYbb+Q/tEo2U6DbpcOu9iU+EiRfCSPT2qtyEo4X4LJaX+v&#10;R4kwHIrS3Of04+35m0NKfGCmYAqMyOlaeHoyff3quLITMYAFqEI4gk6Mn1Q2p4sQ7CTLPF8Izfwe&#10;WGFQKcFpFvDo7rPCsQq9a5UNer1xVoErrAMuvMfbs0ZJp8m/lIKHKym9CETlFGML6evSdx6/2fSY&#10;Te4ds4uSt2Gwf4hCs9Lgo1tXZywwsnTlH650yR14kGGPg85AypKLlANm0+89y+ZmwaxIuWBxvN2W&#10;yf8/t/xyde1IWSB3oyNKDNNI0ubb5vvmx+bX5ufjw+NXEjVYp8r6CcJvLBqE+i3UaNPde7yM6dfS&#10;6fjHxAjqseLrbZVFHQjHy/3x6GCMGo6qwXC8f5hYyJ6MrfPhnQBNopBThySm2rLVhQ8YCEI7SHzL&#10;wHmpVCJSGVLldLw/6iWDrQYtlIlYkVqidRMTagJPUlgrETHKfBASS5LijxepGcWpcmTFsI0Y58KE&#10;lHryi+iIkhjESwxb/FNULzFu8uheBhO2xro04FL2z8IuPnUhywaPhdzJO4qhntepFw5GHbFzKNbI&#10;t4Nmcrzl5yWycsF8uGYORwWJxPEPV/iRCrD60EqULMB9+dt9xGMHo5aSCkcvp/7zkjlBiXpvsLeP&#10;+sNhnNV0GI4OBnhwu5r5rsYs9SkgLX1cNJYnMeKD6kTpQN/hlpjFV1HFDMe3cxo68TQ0CwG3DBez&#10;WQLhdFoWLsyN5dF1ZCn23G19x5xtGzNgR19CN6Rs8qw/G2y0NDBbBpBlat5Y6KaqLQE42amn2y0U&#10;V8fuOaGeduX0NwAAAP//AwBQSwMEFAAGAAgAAAAhAFzgnKHjAAAACwEAAA8AAABkcnMvZG93bnJl&#10;di54bWxMj8FOwzAQRO9I/IO1SNyoQ2hCGuJUVaQKCdFDSy+9OfE2ibDXIXbbwNfjnuC2uzOafVMs&#10;J6PZGUfXWxLwOIuAITVW9dQK2H+sHzJgzktSUltCAd/oYFne3hQyV/ZCWzzvfMtCCLlcCui8H3LO&#10;XdOhkW5mB6SgHe1opA/r2HI1yksIN5rHUZRyI3sKHzo5YNVh87k7GQFv1Xojt3Vssh9dvb4fV8PX&#10;/pAIcX83rV6AeZz8nxmu+AEdysBU2xMpx7SAJFuELl5A/JSmwIIjnV+HOlyekznwsuD/O5S/AAAA&#10;//8DAFBLAQItABQABgAIAAAAIQC2gziS/gAAAOEBAAATAAAAAAAAAAAAAAAAAAAAAABbQ29udGVu&#10;dF9UeXBlc10ueG1sUEsBAi0AFAAGAAgAAAAhADj9If/WAAAAlAEAAAsAAAAAAAAAAAAAAAAALwEA&#10;AF9yZWxzLy5yZWxzUEsBAi0AFAAGAAgAAAAhANdTGhedAgAAcwUAAA4AAAAAAAAAAAAAAAAALgIA&#10;AGRycy9lMm9Eb2MueG1sUEsBAi0AFAAGAAgAAAAhAFzgnKHjAAAACwEAAA8AAAAAAAAAAAAAAAAA&#10;9wQAAGRycy9kb3ducmV2LnhtbFBLBQYAAAAABAAEAPMAAAAHBgAAAAA=&#10;" filled="f" stroked="f" strokeweight=".5pt">
                <v:textbox>
                  <w:txbxContent>
                    <w:p w:rsidR="00C16B02" w:rsidRDefault="00C16B02" w:rsidP="004002E8">
                      <w:pPr>
                        <w:rPr>
                          <w:sz w:val="16"/>
                          <w:szCs w:val="16"/>
                          <w:lang w:val="en-US"/>
                        </w:rPr>
                      </w:pPr>
                      <w:r>
                        <w:rPr>
                          <w:sz w:val="16"/>
                          <w:szCs w:val="16"/>
                          <w:lang w:val="en-US"/>
                        </w:rPr>
                        <w:t>(6)</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3239135</wp:posOffset>
                </wp:positionH>
                <wp:positionV relativeFrom="paragraph">
                  <wp:posOffset>1510030</wp:posOffset>
                </wp:positionV>
                <wp:extent cx="365760" cy="246380"/>
                <wp:effectExtent l="0" t="0" r="0" b="1270"/>
                <wp:wrapNone/>
                <wp:docPr id="158" name="Надпись 158"/>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8" o:spid="_x0000_s1102" type="#_x0000_t202" style="position:absolute;margin-left:255.05pt;margin-top:118.9pt;width:28.8pt;height:1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MLnAIAAHMFAAAOAAAAZHJzL2Uyb0RvYy54bWysVMFuEzEQvSPxD5bvdJM0SUvUTRVaFSFV&#10;bUWKena8drPC9hjbyW64cecX+AcOHLjxC+kfMfbuplHhUsRld+x5M56ZNzMnp7VWZC2cL8HktH/Q&#10;o0QYDkVp7nP64fbi1TElPjBTMAVG5HQjPD2dvnxxUtmJGMASVCEcQSfGTyqb02UIdpJlni+FZv4A&#10;rDColOA0C3h091nhWIXetcoGvd44q8AV1gEX3uPteaOk0+RfSsHDtZReBKJyirGF9HXpu4jfbHrC&#10;JveO2WXJ2zDYP0ShWWnw0Z2rcxYYWbnyD1e65A48yHDAQWcgZclFygGz6feeZDNfMitSLlgcb3dl&#10;8v/PLb9a3zhSFsjdCKkyTCNJ22/b79sf21/bnw9fHr6SqME6VdZPED63aBDqN1CjTXfv8TKmX0un&#10;4x8TI6jHim92VRZ1IBwvD8ejozFqOKoGw/HhcWIhezS2zoe3AjSJQk4dkphqy9aXPmAgCO0g8S0D&#10;F6VSiUhlSJXT8eGolwx2GrRQJmJFaonWTUyoCTxJYaNExCjzXkgsSYo/XqRmFGfKkTXDNmKcCxNS&#10;6skvoiNKYhDPMWzxj1E9x7jJo3sZTNgZ69KAS9k/Cbv42IUsGzwWci/vKIZ6UadeOBp3xC6g2CDf&#10;DprJ8ZZflMjKJfPhhjkcFSQSxz9c40cqwOpDK1GyBPf5b/cRjx2MWkoqHL2c+k8r5gQl6p3B3n7d&#10;Hw7jrKbDcHQ0wIPb1yz2NWalzwBp6eOisTyJER9UJ0oH+g63xCy+iipmOL6d09CJZ6FZCLhluJjN&#10;Egin07JwaeaWR9eRpdhzt/Udc7ZtzIAdfQXdkLLJk/5ssNHSwGwVQJapeWOhm6q2BOBkp55ut1Bc&#10;HfvnhHrcldPfAAAA//8DAFBLAwQUAAYACAAAACEAQBXjduIAAAALAQAADwAAAGRycy9kb3ducmV2&#10;LnhtbEyPTU+DQBCG7yb9D5tp4s0uYIAGWZqGpDExemjtxdvCToG4H8huW/TXO57scWaevPO85WY2&#10;ml1w8oOzAuJVBAxt69RgOwHH993DGpgP0iqpnUUB3+hhUy3uSlkod7V7vBxCxyjE+kIK6EMYC859&#10;26ORfuVGtHQ7ucnIQOPUcTXJK4UbzZMoyriRg6UPvRyx7rH9PJyNgJd69yb3TWLWP7p+fj1tx6/j&#10;RyrE/XLePgELOId/GP70SR0qcmrc2SrPtIA0jmJCBSSPOXUgIs3yHFhDmzzLgFclv+1Q/QIAAP//&#10;AwBQSwECLQAUAAYACAAAACEAtoM4kv4AAADhAQAAEwAAAAAAAAAAAAAAAAAAAAAAW0NvbnRlbnRf&#10;VHlwZXNdLnhtbFBLAQItABQABgAIAAAAIQA4/SH/1gAAAJQBAAALAAAAAAAAAAAAAAAAAC8BAABf&#10;cmVscy8ucmVsc1BLAQItABQABgAIAAAAIQDasbMLnAIAAHMFAAAOAAAAAAAAAAAAAAAAAC4CAABk&#10;cnMvZTJvRG9jLnhtbFBLAQItABQABgAIAAAAIQBAFeN2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(5)</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2698750</wp:posOffset>
                </wp:positionH>
                <wp:positionV relativeFrom="paragraph">
                  <wp:posOffset>922020</wp:posOffset>
                </wp:positionV>
                <wp:extent cx="365760" cy="246380"/>
                <wp:effectExtent l="0" t="0" r="0" b="1270"/>
                <wp:wrapNone/>
                <wp:docPr id="157" name="Надпись 157"/>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7" o:spid="_x0000_s1103" type="#_x0000_t202" style="position:absolute;margin-left:212.5pt;margin-top:72.6pt;width:28.8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CAnAIAAHMFAAAOAAAAZHJzL2Uyb0RvYy54bWysVM1uEzEQviPxDpbvdJM0PyXqpgqtipCq&#10;tqJFPTteu1lhe4ztZDfcuPMKvAMHDtx4hfSNGHt306hwKeKyO/Z8M56Zb2aOT2qtyFo4X4LJaf+g&#10;R4kwHIrS3Of0w+35qyNKfGCmYAqMyOlGeHoye/niuLJTMYAlqEI4gk6Mn1Y2p8sQ7DTLPF8KzfwB&#10;WGFQKcFpFvDo7rPCsQq9a5UNer1xVoErrAMuvMfbs0ZJZ8m/lIKHKym9CETlFGML6evSdxG/2eyY&#10;Te8ds8uSt2Gwf4hCs9LgoztXZywwsnLlH650yR14kOGAg85AypKLlANm0+89yeZmyaxIuWBxvN2V&#10;yf8/t/xyfe1IWSB3owklhmkkaftt+337Y/tr+/Phy8NXEjVYp8r6KcJvLBqE+g3UaNPde7yM6dfS&#10;6fjHxAjqseKbXZVFHQjHy8PxaDJGDUfVYDg+PEosZI/G1vnwVoAmUcipQxJTbdn6wgcMBKEdJL5l&#10;4LxUKhGpDKlyOj4c9ZLBToMWykSsSC3RuokJNYEnKWyUiBhl3guJJUnxx4vUjOJUObJm2EaMc2FC&#10;Sj35RXRESQziOYYt/jGq5xg3eXQvgwk7Y10acCn7J2EXH7uQZYPHQu7lHcVQL+rUC5Md4QsoNsi3&#10;g2ZyvOXnJbJywXy4Zg5HBYnE8Q9X+JEKsPrQSpQswX3+233EYwejlpIKRy+n/tOKOUGJemewt1/3&#10;h8M4q+kwHE0GeHD7msW+xqz0KSAtfVw0licx4oPqROlA3+GWmMdXUcUMx7dzGjrxNDQLAbcMF/N5&#10;AuF0WhYuzI3l0XVkKfbcbX3HnG0bM2BHX0I3pGz6pD8bbLQ0MF8FkGVq3ljopqotATjZqafbLRRX&#10;x/45oR535ew3AAAA//8DAFBLAwQUAAYACAAAACEA/+0ZoeIAAAALAQAADwAAAGRycy9kb3ducmV2&#10;LnhtbEyPzU7DMBCE70i8g7WVuFGnVlJFIU5VRaqQEBxaeuHmxNskwj8hdtvA07Oc6HFnRrPflJvZ&#10;GnbBKQzeSVgtE2DoWq8H10k4vu8ec2AhKqeV8Q4lfGOATXV/V6pC+6vb4+UQO0YlLhRKQh/jWHAe&#10;2h6tCks/oiPv5CerIp1Tx/WkrlRuDRdJsuZWDY4+9GrEusf283C2El7q3ZvaN8LmP6Z+fj1tx6/j&#10;Ryblw2LePgGLOMf/MPzhEzpUxNT4s9OBGQmpyGhLJCPNBDBKpLlYA2tIydMEeFXy2w3VLwAAAP//&#10;AwBQSwECLQAUAAYACAAAACEAtoM4kv4AAADhAQAAEwAAAAAAAAAAAAAAAAAAAAAAW0NvbnRlbnRf&#10;VHlwZXNdLnhtbFBLAQItABQABgAIAAAAIQA4/SH/1gAAAJQBAAALAAAAAAAAAAAAAAAAAC8BAABf&#10;cmVscy8ucmVsc1BLAQItABQABgAIAAAAIQDrFjCAnAIAAHMFAAAOAAAAAAAAAAAAAAAAAC4CAABk&#10;cnMvZTJvRG9jLnhtbFBLAQItABQABgAIAAAAIQD/7Rmh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(4)</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4670425</wp:posOffset>
                </wp:positionH>
                <wp:positionV relativeFrom="paragraph">
                  <wp:posOffset>643255</wp:posOffset>
                </wp:positionV>
                <wp:extent cx="365760" cy="246380"/>
                <wp:effectExtent l="0" t="0" r="0" b="1270"/>
                <wp:wrapNone/>
                <wp:docPr id="156" name="Надпись 156"/>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6" o:spid="_x0000_s1104" type="#_x0000_t202" style="position:absolute;margin-left:367.75pt;margin-top:50.65pt;width:28.8pt;height:1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1jnAIAAHMFAAAOAAAAZHJzL2Uyb0RvYy54bWysVMFuEzEQvSPxD5bvdJM0SUPUTRVaFSFV&#10;bUWLena8drPC9hjbyW64cecX+AcOHLjxC+kfMfbuplHhUsRld+x5M56ZNzPHJ7VWZC2cL8HktH/Q&#10;o0QYDkVp7nP64fb81YQSH5gpmAIjcroRnp7MXr44ruxUDGAJqhCOoBPjp5XN6TIEO80yz5dCM38A&#10;VhhUSnCaBTy6+6xwrELvWmWDXm+cVeAK64AL7/H2rFHSWfIvpeDhSkovAlE5xdhC+rr0XcRvNjtm&#10;03vH7LLkbRjsH6LQrDT46M7VGQuMrFz5hytdcgceZDjgoDOQsuQi5YDZ9HtPsrlZMitSLlgcb3dl&#10;8v/PLb9cXztSFsjdaEyJYRpJ2n7bft/+2P7a/nz48vCVRA3WqbJ+ivAbiwahfgM12nT3Hi9j+rV0&#10;Ov4xMYJ6rPhmV2VRB8Lx8nA8OhqjhqNqMBwfThIL2aOxdT68FaBJFHLqkMRUW7a+8AEDQWgHiW8Z&#10;OC+VSkQqQ6qcjg9HvWSw06CFMhErUku0bmJCTeBJChslIkaZ90JiSVL88SI1ozhVjqwZthHjXJiQ&#10;Uk9+ER1REoN4jmGLf4zqOcZNHt3LYMLOWJcGXMr+SdjFxy5k2eCxkHt5RzHUizr1wtGkI3YBxQb5&#10;dtBMjrf8vERWLpgP18zhqCCROP7hCj9SAVYfWomSJbjPf7uPeOxg1FJS4ejl1H9aMScoUe8M9vbr&#10;/nAYZzUdhqOjAR7cvmaxrzErfQpISx8XjeVJjPigOlE60He4JebxVVQxw/HtnIZOPA3NQsAtw8V8&#10;nkA4nZaFC3NjeXQdWYo9d1vfMWfbxgzY0ZfQDSmbPunPBhstDcxXAWSZmjcWuqlqSwBOdurpdgvF&#10;1bF/TqjHXTn7DQAA//8DAFBLAwQUAAYACAAAACEAuNH4UeIAAAALAQAADwAAAGRycy9kb3ducmV2&#10;LnhtbEyPwU7DMAyG70i8Q2QkbizpStkoTaep0oSE2GFjF25pk7UViVOabCs8PeYER/v/9PtzsZqc&#10;ZWczht6jhGQmgBlsvO6xlXB429wtgYWoUCvr0Uj4MgFW5fVVoXLtL7gz531sGZVgyJWELsYh5zw0&#10;nXEqzPxgkLKjH52KNI4t16O6ULmzfC7EA3eqR7rQqcFUnWk+9icn4aXabNWunrvlt62eX4/r4fPw&#10;nkl5ezOtn4BFM8U/GH71SR1Kcqr9CXVgVsIizTJCKRBJCoyIxWOaAKtpcy8S4GXB//9Q/gAAAP//&#10;AwBQSwECLQAUAAYACAAAACEAtoM4kv4AAADhAQAAEwAAAAAAAAAAAAAAAAAAAAAAW0NvbnRlbnRf&#10;VHlwZXNdLnhtbFBLAQItABQABgAIAAAAIQA4/SH/1gAAAJQBAAALAAAAAAAAAAAAAAAAAC8BAABf&#10;cmVscy8ucmVsc1BLAQItABQABgAIAAAAIQAlvY1jnAIAAHMFAAAOAAAAAAAAAAAAAAAAAC4CAABk&#10;cnMvZTJvRG9jLnhtbFBLAQItABQABgAIAAAAIQC40fhR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w:t>
                      </w:r>
                    </w:p>
                  </w:txbxContent>
                </v:textbox>
              </v:shape>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3026410</wp:posOffset>
                </wp:positionH>
                <wp:positionV relativeFrom="paragraph">
                  <wp:posOffset>270510</wp:posOffset>
                </wp:positionV>
                <wp:extent cx="365760" cy="246380"/>
                <wp:effectExtent l="0" t="0" r="0" b="1270"/>
                <wp:wrapNone/>
                <wp:docPr id="155" name="Надпись 155"/>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5" o:spid="_x0000_s1105" type="#_x0000_t202" style="position:absolute;margin-left:238.3pt;margin-top:21.3pt;width:28.8pt;height:1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ulnQIAAHMFAAAOAAAAZHJzL2Uyb0RvYy54bWysVMFu2zAMvQ/YPwi6r07SJG2DOkXWosOA&#10;oi3WDj0rstQYk0RNUmJnt973C/uHHXbYbb+Q/tEo2U6DbpcOu9iU+EiRfCSPT2qtyEo4X4LJaX+v&#10;R4kwHIrS3Of04+35m0NKfGCmYAqMyOlaeHoyff3quLITMYAFqEI4gk6Mn1Q2p4sQ7CTLPF8Izfwe&#10;WGFQKcFpFvDo7rPCsQq9a5UNer1xVoErrAMuvMfbs0ZJp8m/lIKHKym9CETlFGML6evSdx6/2fSY&#10;Te4ds4uSt2Gwf4hCs9Lgo1tXZywwsnTlH650yR14kGGPg85AypKLlANm0+89y+ZmwaxIuWBxvN2W&#10;yf8/t/xyde1IWSB3oxElhmkkafNt833zY/Nr8/Px4fEriRqsU2X9BOE3Fg1C/RZqtOnuPV7G9Gvp&#10;dPxjYgT1WPH1tsqiDoTj5f54dDBGDUfVYDjeP0wsZE/G1vnwToAmUcipQxJTbdnqwgcMBKEdJL5l&#10;4LxUKhGpDKlyOt4f9ZLBVoMWykSsSC3RuokJNYEnKayViBhlPgiJJUnxx4vUjOJUObJi2EaMc2FC&#10;Sj35RXRESQziJYYt/imqlxg3eXQvgwlbY10acCn7Z2EXn7qQZYPHQu7kHcVQz+vUCwdHHbFzKNbI&#10;t4Nmcrzl5yWycsF8uGYORwWJxPEPV/iRCrD60EqULMB9+dt9xGMHo5aSCkcvp/7zkjlBiXpvsLeP&#10;+sNhnNV0GI4OBnhwu5r5rsYs9SkgLX1cNJYnMeKD6kTpQN/hlpjFV1HFDMe3cxo68TQ0CwG3DBez&#10;WQLhdFoWLsyN5dF1ZCn23G19x5xtGzNgR19CN6Rs8qw/G2y0NDBbBpBlat5Y6KaqLQE42amn2y0U&#10;V8fuOaGeduX0NwAAAP//AwBQSwMEFAAGAAgAAAAhAKi1BpvgAAAACQEAAA8AAABkcnMvZG93bnJl&#10;di54bWxMj8FOwzAMhu9IvENkJG4sXelKVZpOU6UJCcFhYxdubpO1FY1TmmwrPD3mBCfb8qffn4v1&#10;bAdxNpPvHSlYLiIQhhqne2oVHN62dxkIH5A0Do6Mgi/jYV1eXxWYa3ehnTnvQys4hHyOCroQxlxK&#10;33TGol+40RDvjm6yGHicWqknvHC4HWQcRam02BNf6HA0VWeaj/3JKniutq+4q2ObfQ/V08txM34e&#10;3ldK3d7Mm0cQwczhD4ZffVaHkp1qdyLtxaAgeUhTRrmJuTKwuk9iELWCbJmALAv5/4PyBwAA//8D&#10;AFBLAQItABQABgAIAAAAIQC2gziS/gAAAOEBAAATAAAAAAAAAAAAAAAAAAAAAABbQ29udGVudF9U&#10;eXBlc10ueG1sUEsBAi0AFAAGAAgAAAAhADj9If/WAAAAlAEAAAsAAAAAAAAAAAAAAAAALwEAAF9y&#10;ZWxzLy5yZWxzUEsBAi0AFAAGAAgAAAAhAExeq6WdAgAAcwUAAA4AAAAAAAAAAAAAAAAALgIAAGRy&#10;cy9lMm9Eb2MueG1sUEsBAi0AFAAGAAgAAAAhAKi1BpvgAAAACQEAAA8AAAAAAAAAAAAAAAAA9wQA&#10;AGRycy9kb3ducmV2LnhtbFBLBQYAAAAABAAEAPMAAAAEBgAAAAA=&#10;" filled="f" stroked="f" strokeweight=".5pt">
                <v:textbox>
                  <w:txbxContent>
                    <w:p w:rsidR="00C16B02" w:rsidRDefault="00C16B02" w:rsidP="004002E8">
                      <w:pPr>
                        <w:rPr>
                          <w:sz w:val="16"/>
                          <w:szCs w:val="16"/>
                          <w:lang w:val="en-US"/>
                        </w:rPr>
                      </w:pPr>
                      <w:r>
                        <w:rPr>
                          <w:sz w:val="16"/>
                          <w:szCs w:val="16"/>
                          <w:lang w:val="en-US"/>
                        </w:rPr>
                        <w:t>(2)</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4662805</wp:posOffset>
                </wp:positionH>
                <wp:positionV relativeFrom="paragraph">
                  <wp:posOffset>381000</wp:posOffset>
                </wp:positionV>
                <wp:extent cx="365760" cy="246380"/>
                <wp:effectExtent l="0" t="0" r="0" b="1270"/>
                <wp:wrapNone/>
                <wp:docPr id="154" name="Надпись 154"/>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4" o:spid="_x0000_s1106" type="#_x0000_t202" style="position:absolute;margin-left:367.15pt;margin-top:30pt;width:28.8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ZNmAIAAHMFAAAOAAAAZHJzL2Uyb0RvYy54bWysVM1uEzEQviPxDpbvdJM0SUvUTRVaFSFV&#10;bUWLena8drPC9hjbyW64cecVeAcOHLjxCukbMfbuJlHhUsTFHs98M57/k9NaK7ISzpdgcto/6FEi&#10;DIeiNA85/XB38eqYEh+YKZgCI3K6Fp6eTl++OKnsRAxgAaoQjqAR4yeVzekiBDvJMs8XQjN/AFYY&#10;FEpwmgV8uoescKxC61plg15vnFXgCuuAC++Re94I6TTZl1LwcC2lF4GonKJvIZ0unfN4ZtMTNnlw&#10;zC5K3rrB/sELzUqDn25NnbPAyNKVf5jSJXfgQYYDDjoDKUsuUgwYTb/3JJrbBbMixYLJ8XabJv//&#10;zPKr1Y0jZYG1Gw0pMUxjkTbfNt83Pza/Nj8fvzx+JVGCeaqsnyD81qJCqN9AjTod3yMzhl9Lp+ON&#10;gRGUY8bX2yyLOhCOzMPx6GiMEo6iwXB8eJyqkO2UrfPhrQBNIpFTh0VMuWWrSx/QEYR2kPiXgYtS&#10;qVRIZUiV0/HhqJcUthLUUCZiRWqJ1kwMqHE8UWGtRMQo815ITEnyPzJSM4oz5ciKYRsxzoUJKfRk&#10;F9ERJdGJ5yi2+J1Xz1Fu4uh+BhO2yro04FL0T9wuPnYuywaPidyLO5KhntepF5qSRNYcijXW20Ez&#10;Od7yixKrcsl8uGEORwULieMfrvGQCjD70FKULMB9/hs/4rGDUUpJhaOXU/9pyZygRL0z2Nuv+8Nh&#10;nNX0GI6OBvhw+5L5vsQs9RlgWfq4aCxPZMQH1ZHSgb7HLTGLv6KIGY5/5zR05FloFgJuGS5mswTC&#10;6bQsXJpby6PpWKXYc3f1PXO2bcyAHX0F3ZCyyZP+bLBR08BsGUCWqXl3WW0LgJOderrdQnF17L8T&#10;arcrp78BAAD//wMAUEsDBBQABgAIAAAAIQDoUPco4gAAAAkBAAAPAAAAZHJzL2Rvd25yZXYueG1s&#10;TI9BT8JAEIXvJv6HzZB4ky2g0NZOCWlCTIweQC7ept2lbejO1u4C1V/vetLjZL68971sPZpOXPTg&#10;WssIs2kEQnNlVcs1wuF9ex+DcJ5YUWdZI3xpB+v89iajVNkr7/Rl72sRQtilhNB436dSuqrRhtzU&#10;9prD72gHQz6cQy3VQNcQbjo5j6KlNNRyaGio10Wjq9P+bBBeiu0b7cq5ib+74vn1uOk/Dx+PiHeT&#10;cfMEwuvR/8Hwqx/UIQ9OpT2zcqJDWC0eFgFFWEZhUwBWySwBUSIkcQwyz+T/BfkPAAAA//8DAFBL&#10;AQItABQABgAIAAAAIQC2gziS/gAAAOEBAAATAAAAAAAAAAAAAAAAAAAAAABbQ29udGVudF9UeXBl&#10;c10ueG1sUEsBAi0AFAAGAAgAAAAhADj9If/WAAAAlAEAAAsAAAAAAAAAAAAAAAAALwEAAF9yZWxz&#10;Ly5yZWxzUEsBAi0AFAAGAAgAAAAhAGC2dk2YAgAAcwUAAA4AAAAAAAAAAAAAAAAALgIAAGRycy9l&#10;Mm9Eb2MueG1sUEsBAi0AFAAGAAgAAAAhAOhQ9yjiAAAACQEAAA8AAAAAAAAAAAAAAAAA8gQAAGRy&#10;cy9kb3ducmV2LnhtbFBLBQYAAAAABAAEAPMAAAABBgAAAAA=&#10;" filled="f" stroked="f" strokeweight=".5pt">
                <v:textbox>
                  <w:txbxContent>
                    <w:p w:rsidR="00C16B02" w:rsidRDefault="00C16B02" w:rsidP="004002E8">
                      <w:pPr>
                        <w:rPr>
                          <w:sz w:val="16"/>
                          <w:szCs w:val="16"/>
                          <w:lang w:val="en-US"/>
                        </w:rPr>
                      </w:pPr>
                      <w:r>
                        <w:rPr>
                          <w:sz w:val="16"/>
                          <w:szCs w:val="16"/>
                          <w:lang w:val="en-US"/>
                        </w:rPr>
                        <w:t>(1)</w:t>
                      </w:r>
                    </w:p>
                  </w:txbxContent>
                </v:textbox>
              </v:shape>
            </w:pict>
          </mc:Fallback>
        </mc:AlternateContent>
      </w:r>
      <w:r>
        <w:rPr>
          <w:noProof/>
          <w:lang w:eastAsia="ru-RU"/>
        </w:rPr>
        <w:drawing>
          <wp:inline distT="0" distB="0" distL="0" distR="0">
            <wp:extent cx="10890885" cy="4967605"/>
            <wp:effectExtent l="0" t="0" r="5715" b="444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b="50105"/>
                    <a:stretch>
                      <a:fillRect/>
                    </a:stretch>
                  </pic:blipFill>
                  <pic:spPr bwMode="auto">
                    <a:xfrm>
                      <a:off x="0" y="0"/>
                      <a:ext cx="10890885" cy="4967605"/>
                    </a:xfrm>
                    <a:prstGeom prst="rect">
                      <a:avLst/>
                    </a:prstGeom>
                    <a:noFill/>
                    <a:ln>
                      <a:noFill/>
                    </a:ln>
                  </pic:spPr>
                </pic:pic>
              </a:graphicData>
            </a:graphic>
          </wp:inline>
        </w:drawing>
      </w:r>
    </w:p>
    <w:p w:rsidR="004002E8" w:rsidRPr="004002E8" w:rsidRDefault="004002E8" w:rsidP="00E05711">
      <w:pPr>
        <w:rPr>
          <w:b/>
          <w:lang w:val="en-US"/>
        </w:rPr>
      </w:pPr>
      <w:r w:rsidRPr="004002E8">
        <w:rPr>
          <w:b/>
          <w:lang w:val="en-US"/>
        </w:rPr>
        <w:lastRenderedPageBreak/>
        <w:t>The LBO-model algorithm, part 2</w:t>
      </w:r>
    </w:p>
    <w:p w:rsidR="00E05711" w:rsidRDefault="004002E8" w:rsidP="00E05711">
      <w:pPr>
        <w:rPr>
          <w:lang w:val="en-US"/>
        </w:rPr>
      </w:pP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3201737</wp:posOffset>
                </wp:positionH>
                <wp:positionV relativeFrom="paragraph">
                  <wp:posOffset>4202686</wp:posOffset>
                </wp:positionV>
                <wp:extent cx="365760" cy="246380"/>
                <wp:effectExtent l="0" t="0" r="0" b="1270"/>
                <wp:wrapNone/>
                <wp:docPr id="47" name="Надпись 47"/>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107" type="#_x0000_t202" style="position:absolute;margin-left:252.1pt;margin-top:330.9pt;width:28.8pt;height:1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5FmwIAAHEFAAAOAAAAZHJzL2Uyb0RvYy54bWysVM1uEzEQviPxDpbvdPPXtETdVKFVEVLV&#10;VrSoZ8drNytsj7Gd7IYbd16Bd+DAgRuvkL4RY+9uGgUuRVx2x55vxjPzzczJaa0VWQnnSzA57R/0&#10;KBGGQ1Gah5x+uLt4dUyJD8wUTIEROV0LT0+nL1+cVHYiBrAAVQhH0Inxk8rmdBGCnWSZ5wuhmT8A&#10;KwwqJTjNAh7dQ1Y4VqF3rbJBrzfOKnCFdcCF93h73ijpNPmXUvBwLaUXgaicYmwhfV36zuM3m56w&#10;yYNjdlHyNgz2D1FoVhp8dOvqnAVGlq78w5UuuQMPMhxw0BlIWXKRcsBs+r29bG4XzIqUCxbH222Z&#10;/P9zy69WN46URU5HR5QYppGjzbfN982Pza/Nz8cvj18JKrBKlfUTBN9ahIf6DdTIdnfv8TImX0un&#10;4x/TIqjHeq+3NRZ1IBwvh+PDozFqOKoGo/HwOHGQPRlb58NbAZpEIacOKUyVZatLHzAQhHaQ+JaB&#10;i1KpRKMypMrpeHjYSwZbDVooE7EiNUTrJibUBJ6ksFYiYpR5LyQWJMUfL1IrijPlyIphEzHOhQkp&#10;9eQX0RElMYjnGLb4p6ieY9zk0b0MJmyNdWnApez3wi4+diHLBo+F3Mk7iqGe16kTjrfEzqFYI98O&#10;mrnxll+UyMol8+GGORwUJBKHP1zjRyrA6kMrUbIA9/lv9xGP/YtaSiocvJz6T0vmBCXqncHOft0f&#10;jeKkpsPo8GiAB7erme9qzFKfAdLSxzVjeRIjPqhOlA70Pe6IWXwVVcxwfDunoRPPQrMOcMdwMZsl&#10;EM6mZeHS3FoeXUeWYs/d1ffM2bYxA3b0FXQjyiZ7/dlgo6WB2TKALFPzxkI3VW0JwLlOPd3uoLg4&#10;ds8J9bQpp78BAAD//wMAUEsDBBQABgAIAAAAIQDOOZpv4AAAAAsBAAAPAAAAZHJzL2Rvd25yZXYu&#10;eG1sTI9NS8NAEIbvgv9hmYI3u2kwscRMSgkUQfTQ2ou3TXaahGZ3Y3bbRn+9o5d6m5d5eD/y1WR6&#10;cabRd84iLOYRCLK1051tEPbvm/slCB+U1ap3lhC+yMOquL3JVabdxW7pvAuNYBPrM4XQhjBkUvq6&#10;JaP83A1k+Xdwo1GB5dhIPaoLm5texlGUSqM6ywmtGqhsqT7uTgbhpdy8qW0Vm+V3Xz6/HtbD5/4j&#10;QbybTesnEIGmcIXhtz5Xh4I7Ve5ktRc9QhI9xIwipOmCNzCR/B0VwiMHgyxy+X9D8QMAAP//AwBQ&#10;SwECLQAUAAYACAAAACEAtoM4kv4AAADhAQAAEwAAAAAAAAAAAAAAAAAAAAAAW0NvbnRlbnRfVHlw&#10;ZXNdLnhtbFBLAQItABQABgAIAAAAIQA4/SH/1gAAAJQBAAALAAAAAAAAAAAAAAAAAC8BAABfcmVs&#10;cy8ucmVsc1BLAQItABQABgAIAAAAIQDgGm5FmwIAAHEFAAAOAAAAAAAAAAAAAAAAAC4CAABkcnMv&#10;ZTJvRG9jLnhtbFBLAQItABQABgAIAAAAIQDOOZpv4AAAAAsBAAAPAAAAAAAAAAAAAAAAAPUEAABk&#10;cnMvZG93bnJldi54bWxQSwUGAAAAAAQABADzAAAAAgYAAAAA&#10;" filled="f" stroked="f" strokeweight=".5pt">
                <v:textbox>
                  <w:txbxContent>
                    <w:p w:rsidR="00C16B02" w:rsidRDefault="00C16B02" w:rsidP="004002E8">
                      <w:pPr>
                        <w:rPr>
                          <w:sz w:val="16"/>
                          <w:szCs w:val="16"/>
                          <w:lang w:val="en-US"/>
                        </w:rPr>
                      </w:pPr>
                      <w:r>
                        <w:rPr>
                          <w:sz w:val="16"/>
                          <w:szCs w:val="16"/>
                          <w:lang w:val="en-US"/>
                        </w:rPr>
                        <w:t>(37)</w:t>
                      </w:r>
                    </w:p>
                  </w:txbxContent>
                </v:textbox>
              </v:shape>
            </w:pict>
          </mc:Fallback>
        </mc:AlternateContent>
      </w:r>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3179123</wp:posOffset>
                </wp:positionH>
                <wp:positionV relativeFrom="paragraph">
                  <wp:posOffset>3360420</wp:posOffset>
                </wp:positionV>
                <wp:extent cx="365760" cy="246380"/>
                <wp:effectExtent l="0" t="0" r="0" b="1270"/>
                <wp:wrapNone/>
                <wp:docPr id="150" name="Надпись 150"/>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0" o:spid="_x0000_s1108" type="#_x0000_t202" style="position:absolute;margin-left:250.3pt;margin-top:264.6pt;width:28.8pt;height:1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uxmAIAAHMFAAAOAAAAZHJzL2Uyb0RvYy54bWysVM1uEzEQviPxDpbvdJM0DSXqpgqtipCq&#10;tqJFPTteu1nhtY3tJBtu3HkF3oEDB268QvpGfPbupqFwKeJij2e+Gc//0XFdKbIUzpdG57S/16NE&#10;aG6KUt/l9P3N2YtDSnxgumDKaJHTtfD0ePL82dHKjsXAzI0qhCMwov14ZXM6D8GOs8zzuaiY3zNW&#10;aAilcRULeLq7rHBsBeuVyga93ihbGVdYZ7jwHtzTRkgnyb6UgodLKb0IROUUvoV0unTO4plNjtj4&#10;zjE7L3nrBvsHLypWany6NXXKAiMLV/5hqiq5M97IsMdNlRkpSy5SDIim33sUzfWcWZFiQXK83abJ&#10;/z+z/GJ55UhZoHYHyI9mFYq0+br5tvm++bn5cf/5/guJEuRpZf0Y8GsLhVC/NjV0Or4HM4ZfS1fF&#10;G4ERyGFxvc2yqAPhYO6PDl6OIOEQDYaj/cNkPXtQts6HN8JUJBI5dShiyi1bnvsARwDtIPEvbc5K&#10;pVIhlSarnI724fBvEmgoHTkitURrJgbUOJ6osFYiYpR+JyRSkvyPjNSM4kQ5smRoI8a50CGFnuwC&#10;HVESTjxFscU/ePUU5SaO7mejw1a5KrVxKfpHbhcfOpdlg0cid+KOZKhndeqFw0FX2Jkp1qi3M83k&#10;eMvPSlTlnPlwxRxGBYXE+IdLHFIZZN+0FCVz4z79jR/x6GBIKVlh9HLqPy6YE5Sotxq9/ao/HMJs&#10;SI/hwcsBHm5XMtuV6EV1YlCWPhaN5YmM+KA6UjpT3WJLTOOvEDHN8XdOQ0eehGYhYMtwMZ0mEKbT&#10;snCury2PpmOVYs/d1LfM2bYxAzr6wnRDysaP+rPBRk1tpotgZJmaNya6yWpbAEx26ul2C8XVsftO&#10;qIddOfkFAAD//wMAUEsDBBQABgAIAAAAIQBHpzMQ3wAAAAsBAAAPAAAAZHJzL2Rvd25yZXYueG1s&#10;TI9NS8NAEIbvgv9hGcGb3RhIiTGbUgJFED209uJtkp0mwf2I2W0b/fWdnvT2DvPwzDvlarZGnGgK&#10;g3cKHhcJCHKt14PrFOw/Ng85iBDRaTTekYIfCrCqbm9KLLQ/uy2ddrETLHGhQAV9jGMhZWh7shgW&#10;fiTHu4OfLEYep07qCc8st0amSbKUFgfHF3ocqe6p/dodrYLXevOO2ya1+a+pX94O6/F7/5kpdX83&#10;r59BRJrjHwzX+lwdKu7U+KPTQRgFGdsZ5ZA+pSCYyLKcQ8NhmScgq1L+/6G6AAAA//8DAFBLAQIt&#10;ABQABgAIAAAAIQC2gziS/gAAAOEBAAATAAAAAAAAAAAAAAAAAAAAAABbQ29udGVudF9UeXBlc10u&#10;eG1sUEsBAi0AFAAGAAgAAAAhADj9If/WAAAAlAEAAAsAAAAAAAAAAAAAAAAALwEAAF9yZWxzLy5y&#10;ZWxzUEsBAi0AFAAGAAgAAAAhACgVK7GYAgAAcwUAAA4AAAAAAAAAAAAAAAAALgIAAGRycy9lMm9E&#10;b2MueG1sUEsBAi0AFAAGAAgAAAAhAEenMxDfAAAACwEAAA8AAAAAAAAAAAAAAAAA8gQAAGRycy9k&#10;b3ducmV2LnhtbFBLBQYAAAAABAAEAPMAAAD+BQAAAAA=&#10;" filled="f" stroked="f" strokeweight=".5pt">
                <v:textbox>
                  <w:txbxContent>
                    <w:p w:rsidR="00C16B02" w:rsidRDefault="00C16B02" w:rsidP="004002E8">
                      <w:pPr>
                        <w:rPr>
                          <w:sz w:val="16"/>
                          <w:szCs w:val="16"/>
                          <w:lang w:val="en-US"/>
                        </w:rPr>
                      </w:pPr>
                      <w:r>
                        <w:rPr>
                          <w:sz w:val="16"/>
                          <w:szCs w:val="16"/>
                          <w:lang w:val="en-US"/>
                        </w:rPr>
                        <w:t>(26)</w:t>
                      </w:r>
                    </w:p>
                  </w:txbxContent>
                </v:textbox>
              </v:shape>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margin">
                  <wp:posOffset>4247515</wp:posOffset>
                </wp:positionH>
                <wp:positionV relativeFrom="paragraph">
                  <wp:posOffset>1479872</wp:posOffset>
                </wp:positionV>
                <wp:extent cx="365760" cy="246380"/>
                <wp:effectExtent l="0" t="0" r="0" b="1270"/>
                <wp:wrapNone/>
                <wp:docPr id="42" name="Надпись 42"/>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109" type="#_x0000_t202" style="position:absolute;margin-left:334.45pt;margin-top:116.55pt;width:28.8pt;height:19.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X/nAIAAHEFAAAOAAAAZHJzL2Uyb0RvYy54bWysVM1uEzEQviPxDpbvdPPXNETdVKFVEVLV&#10;VrSoZ8drNytsj7Gd7IYbd16Bd+DAgRuvkL4RY+9uGhUuRVx2x55vxjPzzczxSa0VWQvnSzA57R/0&#10;KBGGQ1Ga+5x+uD1/NaHEB2YKpsCInG6Epyezly+OKzsVA1iCKoQj6MT4aWVzugzBTrPM86XQzB+A&#10;FQaVEpxmAY/uPiscq9C7Vtmg1xtnFbjCOuDCe7w9a5R0lvxLKXi4ktKLQFROMbaQvi59F/GbzY7Z&#10;9N4xuyx5Gwb7hyg0Kw0+unN1xgIjK1f+4UqX3IEHGQ446AykLLlIOWA2/d6TbG6WzIqUCxbH212Z&#10;/P9zyy/X146URU5HA0oM08jR9tv2+/bH9tf258OXh68EFVilyvopgm8swkP9Bmpku7v3eBmTr6XT&#10;8Y9pEdRjvTe7Gos6EI6Xw/Hh0Rg1HFWD0Xg4SRxkj8bW+fBWgCZRyKlDClNl2frCBwwEoR0kvmXg&#10;vFQq0agMqXI6Hh72ksFOgxbKRKxIDdG6iQk1gScpbJSIGGXeC4kFSfHHi9SK4lQ5smbYRIxzYUJK&#10;PflFdERJDOI5hi3+MarnGDd5dC+DCTtjXRpwKfsnYRcfu5Blg8dC7uUdxVAv6tQJk2FH7AKKDfLt&#10;oJkbb/l5iaxcMB+umcNBQSJx+MMVfqQCrD60EiVLcJ//dh/x2L+opaTCwcup/7RiTlCi3hns7Nf9&#10;0ShOajqMDo8GeHD7msW+xqz0KSAtfVwzlicx4oPqROlA3+GOmMdXUcUMx7dzGjrxNDTrAHcMF/N5&#10;AuFsWhYuzI3l0XVkKfbcbX3HnG0bM2BHX0I3omz6pD8bbLQ0MF8FkGVq3ljopqotATjXqafbHRQX&#10;x/45oR435ew3AAAA//8DAFBLAwQUAAYACAAAACEAe2r2EOMAAAALAQAADwAAAGRycy9kb3ducmV2&#10;LnhtbEyPTU+DQBCG7yb+h82YeLMLNKWUsjQNSWNi9NDai7eFnQLpfiC7bdFf73jS48w8eed5i81k&#10;NLvi6HtnBcSzCBjaxqnetgKO77unDJgP0iqpnUUBX+hhU97fFTJX7mb3eD2EllGI9bkU0IUw5Jz7&#10;pkMj/cwNaOl2cqORgcax5WqUNwo3midRlHIje0sfOjlg1WFzPlyMgJdq9yb3dWKyb109v562w+fx&#10;YyHE48O0XQMLOIU/GH71SR1KcqrdxSrPtIA0zVaECkjm8xgYEcskXQCrabOMV8DLgv/vUP4AAAD/&#10;/wMAUEsBAi0AFAAGAAgAAAAhALaDOJL+AAAA4QEAABMAAAAAAAAAAAAAAAAAAAAAAFtDb250ZW50&#10;X1R5cGVzXS54bWxQSwECLQAUAAYACAAAACEAOP0h/9YAAACUAQAACwAAAAAAAAAAAAAAAAAvAQAA&#10;X3JlbHMvLnJlbHNQSwECLQAUAAYACAAAACEA9KSV/5wCAABxBQAADgAAAAAAAAAAAAAAAAAuAgAA&#10;ZHJzL2Uyb0RvYy54bWxQSwECLQAUAAYACAAAACEAe2r2EOMAAAALAQAADwAAAAAAAAAAAAAAAAD2&#10;BAAAZHJzL2Rvd25yZXYueG1sUEsFBgAAAAAEAAQA8wAAAAYGAAAAAA==&#10;" filled="f" stroked="f" strokeweight=".5pt">
                <v:textbox>
                  <w:txbxContent>
                    <w:p w:rsidR="00C16B02" w:rsidRDefault="00C16B02" w:rsidP="004002E8">
                      <w:pPr>
                        <w:rPr>
                          <w:sz w:val="16"/>
                          <w:szCs w:val="16"/>
                          <w:lang w:val="en-US"/>
                        </w:rPr>
                      </w:pPr>
                      <w:r>
                        <w:rPr>
                          <w:sz w:val="16"/>
                          <w:szCs w:val="16"/>
                          <w:lang w:val="en-US"/>
                        </w:rPr>
                        <w:t>(33)</w:t>
                      </w:r>
                    </w:p>
                  </w:txbxContent>
                </v:textbox>
                <w10:wrap anchorx="margin"/>
              </v:shape>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3050427</wp:posOffset>
                </wp:positionH>
                <wp:positionV relativeFrom="paragraph">
                  <wp:posOffset>793826</wp:posOffset>
                </wp:positionV>
                <wp:extent cx="365760" cy="246380"/>
                <wp:effectExtent l="0" t="0" r="0" b="1270"/>
                <wp:wrapNone/>
                <wp:docPr id="38" name="Надпись 38"/>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8" o:spid="_x0000_s1110" type="#_x0000_t202" style="position:absolute;margin-left:240.2pt;margin-top:62.5pt;width:28.8pt;height:1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RFmwIAAHEFAAAOAAAAZHJzL2Uyb0RvYy54bWysVM1uEzEQviPxDpbvdPPXNETdVKFVEVLV&#10;VrSoZ8drNytsj7Gd7IYbd16Bd+DAgRuvkL4RY+9uGhUuRVx2x55vxjPzzczxSa0VWQvnSzA57R/0&#10;KBGGQ1Ga+5x+uD1/NaHEB2YKpsCInG6Epyezly+OKzsVA1iCKoQj6MT4aWVzugzBTrPM86XQzB+A&#10;FQaVEpxmAY/uPiscq9C7Vtmg1xtnFbjCOuDCe7w9a5R0lvxLKXi4ktKLQFROMbaQvi59F/GbzY7Z&#10;9N4xuyx5Gwb7hyg0Kw0+unN1xgIjK1f+4UqX3IEHGQ446AykLLlIOWA2/d6TbG6WzIqUCxbH212Z&#10;/P9zyy/X146URU6HyJRhGjnaftt+3/7Y/tr+fPjy8JWgAqtUWT9F8I1FeKjfQI1sd/ceL2PytXQ6&#10;/jEtgnqs92ZXY1EHwvFyOD48GqOGo2owGg8niYPs0dg6H94K0CQKOXVIYaosW1/4gIEgtIPEtwyc&#10;l0olGpUhVU7Hw8NeMthp0EKZiBWpIVo3MaEm8CSFjRIRo8x7IbEgKf54kVpRnCpH1gybiHEuTEip&#10;J7+IjiiJQTzHsMU/RvUc4yaP7mUwYWesSwMuZf8k7OJjF7Js8FjIvbyjGOpFnTphMuqIXUCxQb4d&#10;NHPjLT8vkZUL5sM1czgoSCQOf7jCj1SA1YdWomQJ7vPf7iMe+xe1lFQ4eDn1n1bMCUrUO4Od/bo/&#10;GsVJTYfR4dEAD25fs9jXmJU+BaSlj2vG8iRGfFCdKB3oO9wR8/gqqpjh+HZOQyeehmYd4I7hYj5P&#10;IJxNy8KFubE8uo4sxZ67re+Ys21jBuzoS+hGlE2f9GeDjZYG5qsAskzNGwvdVLUlAOc69XS7g+Li&#10;2D8n1OOmnP0GAAD//wMAUEsDBBQABgAIAAAAIQBZFpxd4gAAAAsBAAAPAAAAZHJzL2Rvd25yZXYu&#10;eG1sTI/BTsMwEETvSPyDtZW4UadpU1khTlVFqpAQHFp64ebEbhJhr0PstoGvZznR2+7OaPZNsZmc&#10;ZRczht6jhMU8AWaw8brHVsLxffcogIWoUCvr0Uj4NgE25f1doXLtr7g3l0NsGYVgyJWELsYh5zw0&#10;nXEqzP1gkLSTH52KtI4t16O6UrizPE2SNXeqR/rQqcFUnWk+D2cn4aXaval9nTrxY6vn19N2+Dp+&#10;ZFI+zKbtE7Bopvhvhj98QoeSmGp/Rh2YlbASyYqsJKQZlSJHthQ01HRZLwXwsuC3HcpfAAAA//8D&#10;AFBLAQItABQABgAIAAAAIQC2gziS/gAAAOEBAAATAAAAAAAAAAAAAAAAAAAAAABbQ29udGVudF9U&#10;eXBlc10ueG1sUEsBAi0AFAAGAAgAAAAhADj9If/WAAAAlAEAAAsAAAAAAAAAAAAAAAAALwEAAF9y&#10;ZWxzLy5yZWxzUEsBAi0AFAAGAAgAAAAhANMOZEWbAgAAcQUAAA4AAAAAAAAAAAAAAAAALgIAAGRy&#10;cy9lMm9Eb2MueG1sUEsBAi0AFAAGAAgAAAAhAFkWnF3iAAAACwEAAA8AAAAAAAAAAAAAAAAA9QQA&#10;AGRycy9kb3ducmV2LnhtbFBLBQYAAAAABAAEAPMAAAAEBgAAAAA=&#10;" filled="f" stroked="f" strokeweight=".5pt">
                <v:textbox>
                  <w:txbxContent>
                    <w:p w:rsidR="00C16B02" w:rsidRDefault="00C16B02" w:rsidP="004002E8">
                      <w:pPr>
                        <w:rPr>
                          <w:sz w:val="16"/>
                          <w:szCs w:val="16"/>
                          <w:lang w:val="en-US"/>
                        </w:rPr>
                      </w:pPr>
                      <w:r>
                        <w:rPr>
                          <w:sz w:val="16"/>
                          <w:szCs w:val="16"/>
                          <w:lang w:val="en-US"/>
                        </w:rPr>
                        <w:t>(31)</w:t>
                      </w:r>
                    </w:p>
                  </w:txbxContent>
                </v:textbox>
              </v:shape>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3414717</wp:posOffset>
                </wp:positionH>
                <wp:positionV relativeFrom="paragraph">
                  <wp:posOffset>2508885</wp:posOffset>
                </wp:positionV>
                <wp:extent cx="365760" cy="246380"/>
                <wp:effectExtent l="0" t="0" r="0" b="1270"/>
                <wp:wrapNone/>
                <wp:docPr id="36" name="Надпись 36"/>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 o:spid="_x0000_s1111" type="#_x0000_t202" style="position:absolute;margin-left:268.9pt;margin-top:197.55pt;width:28.8pt;height: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qdmwIAAHEFAAAOAAAAZHJzL2Uyb0RvYy54bWysVM1uEzEQviPxDpbvdPPfEnVThVZFSFVb&#10;0aKeHa/drLA9xnayG27ceQXegQMHbrxC+kaMvbtpVLgUcdkde74Zz8w3M8cntVZkLZwvweS0f9Cj&#10;RBgORWnuc/rh9vzVESU+MFMwBUbkdCM8PZm9fHFc2akYwBJUIRxBJ8ZPK5vTZQh2mmWeL4Vm/gCs&#10;MKiU4DQLeHT3WeFYhd61yga93iSrwBXWARfe4+1Zo6Sz5F9KwcOVlF4EonKKsYX0dem7iN9sdsym&#10;947ZZcnbMNg/RKFZafDRnaszFhhZufIPV7rkDjzIcMBBZyBlyUXKAbPp955kc7NkVqRcsDje7srk&#10;/59bfrm+dqQscjqcUGKYRo6237bftz+2v7Y/H748fCWowCpV1k8RfGMRHuo3UCPb3b3Hy5h8LZ2O&#10;f0yLoB7rvdnVWNSBcLwcTsaHE9RwVA1Gk+FR4iB7NLbOh7cCNIlCTh1SmCrL1hc+YCAI7SDxLQPn&#10;pVKJRmVIldPJcNxLBjsNWigTsSI1ROsmJtQEnqSwUSJilHkvJBYkxR8vUiuKU+XImmETMc6FCSn1&#10;5BfRESUxiOcYtvjHqJ5j3OTRvQwm7Ix1acCl7J+EXXzsQpYNHgu5l3cUQ72oUyccjTtiF1BskG8H&#10;zdx4y89LZOWC+XDNHA4KEonDH67wIxVg9aGVKFmC+/y3+4jH/kUtJRUOXk79pxVzghL1zmBnv+6P&#10;RnFS02E0Phzgwe1rFvsas9KngLT0cc1YnsSID6oTpQN9hztiHl9FFTMc385p6MTT0KwD3DFczOcJ&#10;hLNpWbgwN5ZH15Gl2HO39R1ztm3MgB19Cd2IsumT/myw0dLAfBVAlql5Y6GbqrYE4Fynnm53UFwc&#10;++eEetyUs98AAAD//wMAUEsDBBQABgAIAAAAIQDNPtoJ4wAAAAsBAAAPAAAAZHJzL2Rvd25yZXYu&#10;eG1sTI/NTsMwEITvSLyDtUjcqNOmhiZkU1WRKiQEh5ZeuG1iN4nwT4jdNvD0mBMcRzOa+aZYT0az&#10;sxp97yzCfJYAU7ZxsrctwuFte7cC5gNZSdpZhfClPKzL66uCcukudqfO+9CyWGJ9TghdCEPOuW86&#10;ZcjP3KBs9I5uNBSiHFsuR7rEcqP5IknuuaHexoWOBlV1qvnYnwzCc7V9pV29MKtvXT29HDfD5+Fd&#10;IN7eTJtHYEFN4S8Mv/gRHcrIVLuTlZ5pBJE+RPSAkGZiDiwmRCaWwGqEZZpmwMuC//9Q/gAAAP//&#10;AwBQSwECLQAUAAYACAAAACEAtoM4kv4AAADhAQAAEwAAAAAAAAAAAAAAAAAAAAAAW0NvbnRlbnRf&#10;VHlwZXNdLnhtbFBLAQItABQABgAIAAAAIQA4/SH/1gAAAJQBAAALAAAAAAAAAAAAAAAAAC8BAABf&#10;cmVscy8ucmVsc1BLAQItABQABgAIAAAAIQBY5BqdmwIAAHEFAAAOAAAAAAAAAAAAAAAAAC4CAABk&#10;cnMvZTJvRG9jLnhtbFBLAQItABQABgAIAAAAIQDNPtoJ4wAAAAs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(29)</w:t>
                      </w:r>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simplePos x="0" y="0"/>
                <wp:positionH relativeFrom="column">
                  <wp:posOffset>1858057</wp:posOffset>
                </wp:positionH>
                <wp:positionV relativeFrom="paragraph">
                  <wp:posOffset>2813362</wp:posOffset>
                </wp:positionV>
                <wp:extent cx="365760" cy="246380"/>
                <wp:effectExtent l="0" t="0" r="0" b="1270"/>
                <wp:wrapNone/>
                <wp:docPr id="151" name="Надпись 151"/>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1" o:spid="_x0000_s1112" type="#_x0000_t202" style="position:absolute;margin-left:146.3pt;margin-top:221.5pt;width:28.8pt;height:1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qmwIAAHMFAAAOAAAAZHJzL2Uyb0RvYy54bWysVM1uEzEQviPxDpbvdJM0SUP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BfZu1KfEMI1N2n7bft/+2P7a/nz48vCVRA3WqbJ+ivAbiwahfgM12nT3Hi9j+rV0&#10;Ov4xMYJ6rPhmV2VRB8Lx8nA8OhqjhqNqMBwfTlIXskdj63x4K0CTKOTUYRNTbdn6wgcMBKEdJL5l&#10;4LxUKjVSGVLldHw46iWDnQYtlIlYkSjRuokJNYEnKWyUiBhl3guJJUnxx4tERnGqHFkzpBHjXJiQ&#10;Uk9+ER1REoN4jmGLf4zqOcZNHt3LYMLOWJcGXMr+SdjFxy5k2eCxkHt5RzHUizpxYTLuGruAYoP9&#10;dtBMjrf8vMSuXDAfrpnDUcFG4viHK/xIBVh9aCVKluA+/+0+4pHBqKWkwtHLqf+0Yk5Qot4Z5Pbr&#10;/nAYZzUdhqOjAR7cvmaxrzErfQrYFmQvRpfEiA+qE6UDfYdbYh5fRRUzHN/OaejE09AsBNwyXMzn&#10;CYTTaVm4MDeWR9exS5Fzt/Udc7YlZkBGX0I3pGz6hJ8NNloamK8CyDKRNxa6qWrbAJzsxOl2C8XV&#10;sX9OqMddOfsNAAD//wMAUEsDBBQABgAIAAAAIQDSUQEQ4wAAAAsBAAAPAAAAZHJzL2Rvd25yZXYu&#10;eG1sTI/LTsMwEEX3SPyDNUjsqFP3oZDGqapIFRKCRUs37Caxm0T1I8RuG/h6hlVZzszRnXPz9WgN&#10;u+ghdN5JmE4SYNrVXnWukXD42D6lwEJEp9B4pyV86wDr4v4ux0z5q9vpyz42jEJcyFBCG2OfcR7q&#10;VlsME99rR7ejHyxGGoeGqwGvFG4NF0my5BY7Rx9a7HXZ6vq0P1sJr+X2HXeVsOmPKV/ejpv+6/C5&#10;kPLxYdysgEU9xhsMf/qkDgU5Vf7sVGBGgngWS0IlzOczKkXEbJEIYBVt0mkKvMj5/w7FLwAAAP//&#10;AwBQSwECLQAUAAYACAAAACEAtoM4kv4AAADhAQAAEwAAAAAAAAAAAAAAAAAAAAAAW0NvbnRlbnRf&#10;VHlwZXNdLnhtbFBLAQItABQABgAIAAAAIQA4/SH/1gAAAJQBAAALAAAAAAAAAAAAAAAAAC8BAABf&#10;cmVscy8ucmVsc1BLAQItABQABgAIAAAAIQCb4v/qmwIAAHMFAAAOAAAAAAAAAAAAAAAAAC4CAABk&#10;cnMvZTJvRG9jLnhtbFBLAQItABQABgAIAAAAIQDSUQEQ4wAAAAs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(27)</w:t>
                      </w:r>
                    </w:p>
                  </w:txbxContent>
                </v:textbox>
              </v:shape>
            </w:pict>
          </mc:Fallback>
        </mc:AlternateContent>
      </w:r>
      <w:r>
        <w:rPr>
          <w:noProof/>
          <w:lang w:eastAsia="ru-RU"/>
        </w:rPr>
        <w:drawing>
          <wp:inline distT="0" distB="0" distL="0" distR="0" wp14:anchorId="6C862403" wp14:editId="712071C9">
            <wp:extent cx="7861111" cy="5356290"/>
            <wp:effectExtent l="0" t="0" r="698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cstate="print">
                      <a:extLst>
                        <a:ext uri="{28A0092B-C50C-407E-A947-70E740481C1C}">
                          <a14:useLocalDpi xmlns:a14="http://schemas.microsoft.com/office/drawing/2010/main" val="0"/>
                        </a:ext>
                      </a:extLst>
                    </a:blip>
                    <a:srcRect l="22372" t="44682" r="-369" b="-2908"/>
                    <a:stretch>
                      <a:fillRect/>
                    </a:stretch>
                  </pic:blipFill>
                  <pic:spPr bwMode="auto">
                    <a:xfrm>
                      <a:off x="0" y="0"/>
                      <a:ext cx="7879950" cy="5369126"/>
                    </a:xfrm>
                    <a:prstGeom prst="rect">
                      <a:avLst/>
                    </a:prstGeom>
                    <a:noFill/>
                    <a:ln>
                      <a:noFill/>
                    </a:ln>
                  </pic:spPr>
                </pic:pic>
              </a:graphicData>
            </a:graphic>
          </wp:inline>
        </w:drawing>
      </w:r>
      <w:r w:rsidR="00455A31">
        <w:rPr>
          <w:noProof/>
          <w:lang w:eastAsia="ru-RU"/>
        </w:rPr>
        <mc:AlternateContent>
          <mc:Choice Requires="wps">
            <w:drawing>
              <wp:anchor distT="0" distB="0" distL="114300" distR="114300" simplePos="0" relativeHeight="251751424" behindDoc="0" locked="0" layoutInCell="1" allowOverlap="1" wp14:anchorId="306E9A22" wp14:editId="1E1BCE04">
                <wp:simplePos x="0" y="0"/>
                <wp:positionH relativeFrom="column">
                  <wp:posOffset>792642</wp:posOffset>
                </wp:positionH>
                <wp:positionV relativeFrom="paragraph">
                  <wp:posOffset>-612641</wp:posOffset>
                </wp:positionV>
                <wp:extent cx="365760" cy="246380"/>
                <wp:effectExtent l="0" t="0" r="0" b="1270"/>
                <wp:wrapNone/>
                <wp:docPr id="161" name="Надпись 161"/>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9A22" id="Надпись 161" o:spid="_x0000_s1113" type="#_x0000_t202" style="position:absolute;margin-left:62.4pt;margin-top:-48.25pt;width:28.8pt;height:1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fLmwIAAHMFAAAOAAAAZHJzL2Uyb0RvYy54bWysVM1uEzEQviPxDpbvdPPXtETdVKFVEVLV&#10;VrSoZ8drNytsj7Gd7IYbd16Bd+DAgRuvkL4RY+9uGgUuRVx2x55vxvPzzZyc1lqRlXC+BJPT/kGP&#10;EmE4FKV5yOmHu4tXx5T4wEzBFBiR07Xw9HT68sVJZSdiAAtQhXAEnRg/qWxOFyHYSZZ5vhCa+QOw&#10;wqBSgtMs4NE9ZIVjFXrXKhv0euOsAldYB1x4j7fnjZJOk38pBQ/XUnoRiMopxhbS16XvPH6z6Qmb&#10;PDhmFyVvw2D/EIVmpcFHt67OWWBk6co/XOmSO/AgwwEHnYGUJRcpB8ym39vL5nbBrEi5YHG83ZbJ&#10;/z+3/Gp140hZYO/GfUoM09ikzbfN982Pza/Nz8cvj19J1GCdKusnCL+1aBDqN1CjTXfv8TKmX0un&#10;4x8TI6jHiq+3VRZ1IBwvh+PDozFqOKoGo/HwOHUhezK2zoe3AjSJQk4dNjHVlq0ufcBAENpB4lsG&#10;LkqlUiOVIVVOx8PDXjLYatBCmYgViRKtm5hQE3iSwlqJiFHmvZBYkhR/vEhkFGfKkRVDGjHOhQkp&#10;9eQX0RElMYjnGLb4p6ieY9zk0b0MJmyNdWnApez3wi4+diHLBo+F3Mk7iqGe14kLx0ddY+dQrLHf&#10;DprJ8ZZflNiVS+bDDXM4KthIHP9wjR+pAKsPrUTJAtznv91HPDIYtZRUOHo59Z+WzAlK1DuD3H7d&#10;H43irKbD6PBogAe3q5nvasxSnwG2BdmL0SUx4oPqROlA3+OWmMVXUcUMx7dzGjrxLDQLAbcMF7NZ&#10;AuF0WhYuza3l0XXsUuTcXX3PnG2JGZDRV9ANKZvs8bPBRksDs2UAWSbyxkI3VW0bgJOdON1uobg6&#10;ds8J9bQrp78BAAD//wMAUEsDBBQABgAIAAAAIQCBde354gAAAAsBAAAPAAAAZHJzL2Rvd25yZXYu&#10;eG1sTI/BTsMwEETvSPyDtUjcWoeoaUOIU1WRKiQEh5ZeuG3ibRIRr0PstoGvxz3BcXZGM2/z9WR6&#10;cabRdZYVPMwjEMS11R03Cg7v21kKwnlkjb1lUvBNDtbF7U2OmbYX3tF57xsRSthlqKD1fsikdHVL&#10;Bt3cDsTBO9rRoA9ybKQe8RLKTS/jKFpKgx2HhRYHKluqP/cno+Cl3L7hropN+tOXz6/HzfB1+EiU&#10;ur+bNk8gPE3+LwxX/IAORWCq7Im1E33Q8SKgewWzx2UC4ppI4wWIKlyS1Qpkkcv/PxS/AAAA//8D&#10;AFBLAQItABQABgAIAAAAIQC2gziS/gAAAOEBAAATAAAAAAAAAAAAAAAAAAAAAABbQ29udGVudF9U&#10;eXBlc10ueG1sUEsBAi0AFAAGAAgAAAAhADj9If/WAAAAlAEAAAsAAAAAAAAAAAAAAAAALwEAAF9y&#10;ZWxzLy5yZWxzUEsBAi0AFAAGAAgAAAAhAOSMd8ubAgAAcwUAAA4AAAAAAAAAAAAAAAAALgIAAGRy&#10;cy9lMm9Eb2MueG1sUEsBAi0AFAAGAAgAAAAhAIF17fniAAAACwEAAA8AAAAAAAAAAAAAAAAA9QQA&#10;AGRycy9kb3ducmV2LnhtbFBLBQYAAAAABAAEAPMAAAAEBgAAAAA=&#10;" filled="f" stroked="f" strokeweight=".5pt">
                <v:textbox>
                  <w:txbxContent>
                    <w:p w:rsidR="00C16B02" w:rsidRDefault="00C16B02" w:rsidP="004002E8">
                      <w:pPr>
                        <w:rPr>
                          <w:sz w:val="16"/>
                          <w:szCs w:val="16"/>
                          <w:lang w:val="en-US"/>
                        </w:rPr>
                      </w:pPr>
                    </w:p>
                  </w:txbxContent>
                </v:textbox>
              </v:shape>
            </w:pict>
          </mc:Fallback>
        </mc:AlternateContent>
      </w:r>
      <w:r>
        <w:rPr>
          <w:noProof/>
          <w:lang w:eastAsia="ru-RU"/>
        </w:rPr>
        <mc:AlternateContent>
          <mc:Choice Requires="wps">
            <w:drawing>
              <wp:anchor distT="0" distB="0" distL="114300" distR="114300" simplePos="0" relativeHeight="251748352" behindDoc="0" locked="0" layoutInCell="1" allowOverlap="1">
                <wp:simplePos x="0" y="0"/>
                <wp:positionH relativeFrom="column">
                  <wp:posOffset>7780655</wp:posOffset>
                </wp:positionH>
                <wp:positionV relativeFrom="paragraph">
                  <wp:posOffset>1281430</wp:posOffset>
                </wp:positionV>
                <wp:extent cx="365760" cy="246380"/>
                <wp:effectExtent l="0" t="0" r="0" b="1270"/>
                <wp:wrapNone/>
                <wp:docPr id="46" name="Надпись 46"/>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114" type="#_x0000_t202" style="position:absolute;margin-left:612.65pt;margin-top:100.9pt;width:28.8pt;height:1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cHnAIAAHEFAAAOAAAAZHJzL2Uyb0RvYy54bWysVMFuEzEQvSPxD5bvdJM0TUPUTRVaFSFV&#10;bUWKena8drPC9hjbyW64cecX+AcOHLjxC+kfMfbuplHhUsRld+x5M56ZNzMnp7VWZC2cL8HktH/Q&#10;o0QYDkVp7nP64fbi1ZgSH5gpmAIjcroRnp5OX744qexEDGAJqhCOoBPjJ5XN6TIEO8kyz5dCM38A&#10;VhhUSnCaBTy6+6xwrELvWmWDXm+UVeAK64AL7/H2vFHSafIvpeDhWkovAlE5xdhC+rr0XcRvNj1h&#10;k3vH7LLkbRjsH6LQrDT46M7VOQuMrFz5hytdcgceZDjgoDOQsuQi5YDZ9HtPspkvmRUpFyyOt7sy&#10;+f/nll+tbxwpi5wOR5QYppGj7bft9+2P7a/tz4cvD18JKrBKlfUTBM8twkP9Bmpku7v3eBmTr6XT&#10;8Y9pEdRjvTe7Gos6EI6Xh6Oj4xFqOKoGw9HhOHGQPRpb58NbAZpEIacOKUyVZetLHzAQhHaQ+JaB&#10;i1KpRKMypMrp6PColwx2GrRQJmJFaojWTUyoCTxJYaNExCjzXkgsSIo/XqRWFGfKkTXDJmKcCxNS&#10;6skvoiNKYhDPMWzxj1E9x7jJo3sZTNgZ69KAS9k/Cbv42IUsGzwWci/vKIZ6UadOGI87YhdQbJBv&#10;B83ceMsvSmTlkvlwwxwOChKJwx+u8SMVYPWhlShZgvv8t/uIx/5FLSUVDl5O/acVc4IS9c5gZ7/u&#10;D4dxUtNheHQ8wIPb1yz2NWalzwBp6eOasTyJER9UJ0oH+g53xCy+iipmOL6d09CJZ6FZB7hjuJjN&#10;Eghn07JwaeaWR9eRpdhzt/Udc7ZtzIAdfQXdiLLJk/5ssNHSwGwVQJapeWOhm6q2BOBcp55ud1Bc&#10;HPvnhHrclNPfAAAA//8DAFBLAwQUAAYACAAAACEAWwMO9+IAAAANAQAADwAAAGRycy9kb3ducmV2&#10;LnhtbEyPzU7DMBCE70i8g7VI3KhdQ6sQ4lRVpAoJwaGlF26b2E0i/BNitw08PdsTHGf20+xMsZqc&#10;ZSczxj54BfOZAGZ8E3TvWwX7981dBiwm9Bpt8EbBt4mwKq+vCsx1OPutOe1SyyjExxwVdCkNOeex&#10;6YzDOAuD8XQ7hNFhIjm2XI94pnBnuRRiyR32nj50OJiqM83n7ugUvFSbN9zW0mU/tnp+PayHr/3H&#10;Qqnbm2n9BCyZKf3BcKlP1aGkTnU4eh2ZJS3l4p5YBVLMacQFkZl8BFaT9SCWwMuC/19R/gIAAP//&#10;AwBQSwECLQAUAAYACAAAACEAtoM4kv4AAADhAQAAEwAAAAAAAAAAAAAAAAAAAAAAW0NvbnRlbnRf&#10;VHlwZXNdLnhtbFBLAQItABQABgAIAAAAIQA4/SH/1gAAAJQBAAALAAAAAAAAAAAAAAAAAC8BAABf&#10;cmVscy8ucmVsc1BLAQItABQABgAIAAAAIQBqH5cHnAIAAHEFAAAOAAAAAAAAAAAAAAAAAC4CAABk&#10;cnMvZTJvRG9jLnhtbFBLAQItABQABgAIAAAAIQBbAw734gAAAA0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(36)</w:t>
                      </w:r>
                    </w:p>
                  </w:txbxContent>
                </v:textbox>
              </v:shape>
            </w:pict>
          </mc:Fallback>
        </mc:AlternateContent>
      </w:r>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7174865</wp:posOffset>
                </wp:positionH>
                <wp:positionV relativeFrom="paragraph">
                  <wp:posOffset>1311275</wp:posOffset>
                </wp:positionV>
                <wp:extent cx="365760" cy="246380"/>
                <wp:effectExtent l="0" t="0" r="0" b="1270"/>
                <wp:wrapNone/>
                <wp:docPr id="45" name="Надпись 45"/>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115" type="#_x0000_t202" style="position:absolute;margin-left:564.95pt;margin-top:103.25pt;width:28.8pt;height:1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uUnAIAAHEFAAAOAAAAZHJzL2Uyb0RvYy54bWysVMFu2zAMvQ/YPwi6r07SJG2DOkXWosOA&#10;oi3WDj0rstQYk0RNUmJnt973C/uHHXbYbb+Q/tEo2U6DbpcOu9iU+EiRfCSPT2qtyEo4X4LJaX+v&#10;R4kwHIrS3Of04+35m0NKfGCmYAqMyOlaeHoyff3quLITMYAFqEI4gk6Mn1Q2p4sQ7CTLPF8Izfwe&#10;WGFQKcFpFvDo7rPCsQq9a5UNer1xVoErrAMuvMfbs0ZJp8m/lIKHKym9CETlFGML6evSdx6/2fSY&#10;Te4ds4uSt2Gwf4hCs9Lgo1tXZywwsnTlH650yR14kGGPg85AypKLlANm0+89y+ZmwaxIuWBxvN2W&#10;yf8/t/xyde1IWeR0OKLEMI0cbb5tvm9+bH5tfj4+PH4lqMAqVdZPEHxjER7qt1Aj2929x8uYfC2d&#10;jn9Mi6Ae673e1ljUgXC83B+PDsao4agaDMf7h4mD7MnYOh/eCdAkCjl1SGGqLFtd+ICBILSDxLcM&#10;nJdKJRqVIVVOx/ujXjLYatBCmYgVqSFaNzGhJvAkhbUSEaPMByGxICn+eJFaUZwqR1YMm4hxLkxI&#10;qSe/iI4oiUG8xLDFP0X1EuMmj+5lMGFrrEsDLmX/LOziUxeybPBYyJ28oxjqeZ064fCoI3YOxRr5&#10;dtDMjbf8vERWLpgP18zhoCCROPzhCj9SAVYfWomSBbgvf7uPeOxf1FJS4eDl1H9eMicoUe8NdvZR&#10;fziMk5oOw9HBAA9uVzPf1ZilPgWkpY9rxvIkRnxQnSgd6DvcEbP4KqqY4fh2TkMnnoZmHeCO4WI2&#10;SyCcTcvChbmxPLqOLMWeu63vmLNtYwbs6EvoRpRNnvVng42WBmbLALJMzRsL3VS1JQDnOvV0u4Pi&#10;4tg9J9TTppz+BgAA//8DAFBLAwQUAAYACAAAACEAJrBjJeQAAAANAQAADwAAAGRycy9kb3ducmV2&#10;LnhtbEyPwU7DMBBE70j8g7VI3KiTQEoa4lRVpAqpgkNLL9yc2E0i7HWI3Tb069me4LazO5p9Uywn&#10;a9hJj753KCCeRcA0Nk712ArYf6wfMmA+SFTSONQCfrSHZXl7U8hcuTNu9WkXWkYh6HMpoAthyDn3&#10;Taet9DM3aKTbwY1WBpJjy9UozxRuDU+iaM6t7JE+dHLQVaebr93RCthU63e5rRObXUz1+nZYDd/7&#10;z1SI+7tp9QIs6Cn8meGKT+hQElPtjqg8M6TjZLEgr4AkmqfArpY4e6apptVT+gi8LPj/FuUvAAAA&#10;//8DAFBLAQItABQABgAIAAAAIQC2gziS/gAAAOEBAAATAAAAAAAAAAAAAAAAAAAAAABbQ29udGVu&#10;dF9UeXBlc10ueG1sUEsBAi0AFAAGAAgAAAAhADj9If/WAAAAlAEAAAsAAAAAAAAAAAAAAAAALwEA&#10;AF9yZWxzLy5yZWxzUEsBAi0AFAAGAAgAAAAhAIzmK5ScAgAAcQUAAA4AAAAAAAAAAAAAAAAALgIA&#10;AGRycy9lMm9Eb2MueG1sUEsBAi0AFAAGAAgAAAAhACawYyXkAAAADQEAAA8AAAAAAAAAAAAAAAAA&#10;9gQAAGRycy9kb3ducmV2LnhtbFBLBQYAAAAABAAEAPMAAAAHBgAAAAA=&#10;" filled="f" stroked="f" strokeweight=".5pt">
                <v:textbox>
                  <w:txbxContent>
                    <w:p w:rsidR="00C16B02" w:rsidRDefault="00C16B02" w:rsidP="004002E8">
                      <w:pPr>
                        <w:rPr>
                          <w:sz w:val="16"/>
                          <w:szCs w:val="16"/>
                          <w:lang w:val="en-US"/>
                        </w:rPr>
                      </w:pPr>
                      <w:r>
                        <w:rPr>
                          <w:sz w:val="16"/>
                          <w:szCs w:val="16"/>
                          <w:lang w:val="en-US"/>
                        </w:rPr>
                        <w:t>(35)</w:t>
                      </w:r>
                    </w:p>
                  </w:txbxContent>
                </v:textbox>
              </v:shape>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6545580</wp:posOffset>
                </wp:positionH>
                <wp:positionV relativeFrom="paragraph">
                  <wp:posOffset>1329690</wp:posOffset>
                </wp:positionV>
                <wp:extent cx="365760" cy="246380"/>
                <wp:effectExtent l="0" t="0" r="0" b="1270"/>
                <wp:wrapNone/>
                <wp:docPr id="44" name="Надпись 44"/>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116" type="#_x0000_t202" style="position:absolute;margin-left:515.4pt;margin-top:104.7pt;width:28.8pt;height:1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0WmQIAAHEFAAAOAAAAZHJzL2Uyb0RvYy54bWysVM1OGzEQvlfqO1i+l01CCBCxQSmIqhIC&#10;VKg4O16brGp7XNvJbnrj3lfoO/TQQ299hfBGHXt3k4j2QtWLPZ75Zjz/J6e1VmQpnC/B5LS/16NE&#10;GA5FaR5y+vHu4s0RJT4wUzAFRuR0JTw9nbx+dVLZsRjAHFQhHEEjxo8rm9N5CHacZZ7PhWZ+D6ww&#10;KJTgNAv4dA9Z4ViF1rXKBr3eKKvAFdYBF94j97wR0kmyL6Xg4VpKLwJROUXfQjpdOmfxzCYnbPzg&#10;mJ2XvHWD/YMXmpUGP92YOmeBkYUr/zClS+7Agwx7HHQGUpZcpBgwmn7vWTS3c2ZFigWT4+0mTf7/&#10;meVXyxtHyiKnwyElhmms0frb+vv6x/rX+ufT49NXggLMUmX9GMG3FuGhfgs1Vrvje2TG4GvpdLwx&#10;LIJyzPdqk2NRB8KRuT86OByhhKNoMBztH6UaZFtl63x4J0CTSOTUYQlTZtny0gd0BKEdJP5l4KJU&#10;KpVRGVLldLR/0EsKGwlqKBOxIjVEayYG1DieqLBSImKU+SAkJiT5HxmpFcWZcmTJsIkY58KEFHqy&#10;i+iIkujESxRb/Narlyg3cXQ/gwkbZV0acCn6Z24XnzqXZYPHRO7EHclQz+rUCcepJJE1g2KF9XbQ&#10;zI23/KLEqlwyH26Yw0HBQuLwh2s8pALMPrQUJXNwX/7Gj3jsX5RSUuHg5dR/XjAnKFHvDXb2cX84&#10;jJOaHsODwwE+3K5ktisxC30GWJY+rhnLExnxQXWkdKDvcUdM468oYobj3zkNHXkWmnWAO4aL6TSB&#10;cDYtC5fm1vJoOlYp9txdfc+cbRszYEdfQTeibPysPxts1DQwXQSQZWrebVbbAuBcp55ud1BcHLvv&#10;hNpuyslvAAAA//8DAFBLAwQUAAYACAAAACEAjcD62OIAAAANAQAADwAAAGRycy9kb3ducmV2Lnht&#10;bEyPwU7DMBBE70j8g7VI3KhNKMiEOFUVqUJC5dDSCzcndpMIex1itw18fbcnuO3sjmbfFIvJO3a0&#10;Y+wDKrifCWAWm2B6bBXsPlZ3ElhMGo12Aa2CHxthUV5fFTo34YQbe9ymllEIxlwr6FIacs5j01mv&#10;4ywMFum2D6PXieTYcjPqE4V7xzMhnrjXPdKHTg+26mzztT14BW/V6l1v6szLX1e9rvfL4Xv3+ajU&#10;7c20fAGW7JT+zHDBJ3QoiakOBzSROdLiQRB7UpCJ5zmwi0VISVNNq7nMgJcF/9+iPAMAAP//AwBQ&#10;SwECLQAUAAYACAAAACEAtoM4kv4AAADhAQAAEwAAAAAAAAAAAAAAAAAAAAAAW0NvbnRlbnRfVHlw&#10;ZXNdLnhtbFBLAQItABQABgAIAAAAIQA4/SH/1gAAAJQBAAALAAAAAAAAAAAAAAAAAC8BAABfcmVs&#10;cy8ucmVsc1BLAQItABQABgAIAAAAIQAZwL0WmQIAAHEFAAAOAAAAAAAAAAAAAAAAAC4CAABkcnMv&#10;ZTJvRG9jLnhtbFBLAQItABQABgAIAAAAIQCNwPrY4gAAAA0BAAAPAAAAAAAAAAAAAAAAAPMEAABk&#10;cnMvZG93bnJldi54bWxQSwUGAAAAAAQABADzAAAAAgYAAAAA&#10;" filled="f" stroked="f" strokeweight=".5pt">
                <v:textbox>
                  <w:txbxContent>
                    <w:p w:rsidR="00C16B02" w:rsidRDefault="00C16B02" w:rsidP="004002E8">
                      <w:pPr>
                        <w:rPr>
                          <w:sz w:val="16"/>
                          <w:szCs w:val="16"/>
                          <w:lang w:val="en-US"/>
                        </w:rPr>
                      </w:pPr>
                      <w:r>
                        <w:rPr>
                          <w:sz w:val="16"/>
                          <w:szCs w:val="16"/>
                          <w:lang w:val="en-US"/>
                        </w:rPr>
                        <w:t>(34)</w:t>
                      </w:r>
                    </w:p>
                  </w:txbxContent>
                </v:textbox>
              </v:shape>
            </w:pict>
          </mc:Fallback>
        </mc:AlternateContent>
      </w: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6702425</wp:posOffset>
                </wp:positionH>
                <wp:positionV relativeFrom="paragraph">
                  <wp:posOffset>2008505</wp:posOffset>
                </wp:positionV>
                <wp:extent cx="365760" cy="246380"/>
                <wp:effectExtent l="0" t="0" r="0" b="1270"/>
                <wp:wrapNone/>
                <wp:docPr id="41" name="Надпись 41"/>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 o:spid="_x0000_s1117" type="#_x0000_t202" style="position:absolute;margin-left:527.75pt;margin-top:158.15pt;width:28.8pt;height:1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cImgIAAHEFAAAOAAAAZHJzL2Uyb0RvYy54bWysVM1OGzEQvlfqO1i+l01CCBCxQSmIqhIC&#10;1FBxdrw2WdX2uLaT3fTGva/Qd+ihh976CuGNOvbuhoj2QtXL7tjzzXh+vpmT01orshLOl2By2t/r&#10;USIMh6I09zn9eHvx5ogSH5gpmAIjcroWnp5OXr86qexYDGABqhCOoBPjx5XN6SIEO84yzxdCM78H&#10;VhhUSnCaBTy6+6xwrELvWmWDXm+UVeAK64AL7/H2vFHSSfIvpeDhWkovAlE5xdhC+rr0ncdvNjlh&#10;43vH7KLkbRjsH6LQrDT46NbVOQuMLF35hytdcgceZNjjoDOQsuQi5YDZ9HvPspktmBUpFyyOt9sy&#10;+f/nll+tbhwpi5wO+5QYprFHm2+b75sfm1+bn48Pj18JKrBKlfVjBM8swkP9Fmrsdnfv8TImX0un&#10;4x/TIqjHeq+3NRZ1IBwv90cHhyPUcFQNhqP9o9SD7MnYOh/eCdAkCjl12MJUWba69AEDQWgHiW8Z&#10;uCiVSm1UhlQ5He0f9JLBVoMWykSsSIRo3cSEmsCTFNZKRIwyH4TEgqT440WiojhTjqwYkohxLkxI&#10;qSe/iI4oiUG8xLDFP0X1EuMmj+5lMGFrrEsDLmX/LOziUxeybPBYyJ28oxjqeZ2YcLxt7ByKNfbb&#10;QTM33vKLErtyyXy4YQ4HBRuJwx+u8SMVYPWhlShZgPvyt/uIR/6ilpIKBy+n/vOSOUGJem+Q2cf9&#10;4TBOajoMDw4HeHC7mvmuxiz1GWBbkLwYXRIjPqhOlA70He6IaXwVVcxwfDunoRPPQrMOcMdwMZ0m&#10;EM6mZeHSzCyPrmOXIudu6zvmbEvMgIy+gm5E2fgZPxtstDQwXQaQZSJvLHRT1bYBONeJ0+0Oiotj&#10;95xQT5ty8hsAAP//AwBQSwMEFAAGAAgAAAAhAKlP1I3iAAAADQEAAA8AAABkcnMvZG93bnJldi54&#10;bWxMj8FuwjAMhu+TeIfISLuNNFRBqGuKUCU0adoOMC67pY1pqzVJ1wTo9vQzp3H87U+/P+ebyfbs&#10;gmPovFMgFgkwdLU3nWsUHD92T2tgIWpndO8dKvjBAJti9pDrzPir2+PlEBtGJS5kWkEb45BxHuoW&#10;rQ4LP6Cj3cmPVkeKY8PNqK9Ubnu+TJIVt7pzdKHVA5Yt1l+Hs1XwWu7e9b5a2vVvX768nbbD9/FT&#10;KvU4n7bPwCJO8R+Gmz6pQ0FOlT87E1hPOZFSEqsgFasU2A0RIhXAKhpJKYAXOb//ovgDAAD//wMA&#10;UEsBAi0AFAAGAAgAAAAhALaDOJL+AAAA4QEAABMAAAAAAAAAAAAAAAAAAAAAAFtDb250ZW50X1R5&#10;cGVzXS54bWxQSwECLQAUAAYACAAAACEAOP0h/9YAAACUAQAACwAAAAAAAAAAAAAAAAAvAQAAX3Jl&#10;bHMvLnJlbHNQSwECLQAUAAYACAAAACEAza7nCJoCAABxBQAADgAAAAAAAAAAAAAAAAAuAgAAZHJz&#10;L2Uyb0RvYy54bWxQSwECLQAUAAYACAAAACEAqU/UjeIAAAANAQAADwAAAAAAAAAAAAAAAAD0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(32)</w:t>
                      </w:r>
                    </w:p>
                  </w:txbxContent>
                </v:textbox>
              </v:shape>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5399405</wp:posOffset>
                </wp:positionH>
                <wp:positionV relativeFrom="paragraph">
                  <wp:posOffset>1881505</wp:posOffset>
                </wp:positionV>
                <wp:extent cx="365760" cy="246380"/>
                <wp:effectExtent l="0" t="0" r="0" b="1270"/>
                <wp:wrapNone/>
                <wp:docPr id="40" name="Надпись 40"/>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118" type="#_x0000_t202" style="position:absolute;margin-left:425.15pt;margin-top:148.15pt;width:28.8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gnmwIAAHEFAAAOAAAAZHJzL2Uyb0RvYy54bWysVM1OGzEQvlfqO1i+l01CCBCxQSmIqhIC&#10;1FBxdrw2WdX2uLaT3fTGva/Qd+ihh976CuGNOvbuhoj2QtXL7tjzzXh+vpmT01orshLOl2By2t/r&#10;USIMh6I09zn9eHvx5ogSH5gpmAIjcroWnp5OXr86qexYDGABqhCOoBPjx5XN6SIEO84yzxdCM78H&#10;VhhUSnCaBTy6+6xwrELvWmWDXm+UVeAK64AL7/H2vFHSSfIvpeDhWkovAlE5xdhC+rr0ncdvNjlh&#10;43vH7KLkbRjsH6LQrDT46NbVOQuMLF35hytdcgceZNjjoDOQsuQi5YDZ9HvPspktmBUpFyyOt9sy&#10;+f/nll+tbhwpi5wOsTyGaezR5tvm++bH5tfm5+PD41eCCqxSZf0YwTOL8FC/hRq73d17vIzJ19Lp&#10;+Me0COrR4XpbY1EHwvFyf3RwOEINR9VgONo/St6zJ2PrfHgnQJMo5NRhC1Nl2erSBwwEoR0kvmXg&#10;olQqtVEZUuV0tH/QSwZbDVooE7EiEaJ1ExNqAk9SWCsRMcp8EBILkuKPF4mK4kw5smJIIsa5MCGl&#10;nvwiOqIkBvESwxb/FNVLjJs8upfBhK2xLg24lP2zsItPXciywWMhd/KOYqjndWLC8aBr7ByKNfbb&#10;QTM33vKLErtyyXy4YQ4HBRuJwx+u8SMVYPWhlShZgPvyt/uIR/6ilpIKBy+n/vOSOUGJem+Q2cf9&#10;YaRiSIfhweEAD25XM9/VmKU+A2xLH9eM5UmM+KA6UTrQd7gjpvFVVDHD8e2chk48C806wB3DxXSa&#10;QDibloVLM7M8uo5dipy7re+Ysy0xAzL6CroRZeNn/Gyw0dLAdBlAlom8sdBNVdsG4FwnTrc7KC6O&#10;3XNCPW3KyW8AAAD//wMAUEsDBBQABgAIAAAAIQARpcqj4wAAAAsBAAAPAAAAZHJzL2Rvd25yZXYu&#10;eG1sTI9NT4NAEIbvJv6HzZh4s0shVECWpiFpTIweWnvxtrBTIO4HstsW/fWOp3qbyTx553nL9Ww0&#10;O+PkB2cFLBcRMLStU4PtBBzetw8ZMB+kVVI7iwK+0cO6ur0pZaHcxe7wvA8doxDrCymgD2EsOPdt&#10;j0b6hRvR0u3oJiMDrVPH1SQvFG40j6NoxY0cLH3o5Yh1j+3n/mQEvNTbN7lrYpP96Pr59bgZvw4f&#10;qRD3d/PmCVjAOVxh+NMndajIqXEnqzzTArI0SggVEOcrGojIo8ccWCMgSdIl8Krk/ztUvwAAAP//&#10;AwBQSwECLQAUAAYACAAAACEAtoM4kv4AAADhAQAAEwAAAAAAAAAAAAAAAAAAAAAAW0NvbnRlbnRf&#10;VHlwZXNdLnhtbFBLAQItABQABgAIAAAAIQA4/SH/1gAAAJQBAAALAAAAAAAAAAAAAAAAAC8BAABf&#10;cmVscy8ucmVsc1BLAQItABQABgAIAAAAIQBFRTgnmwIAAHEFAAAOAAAAAAAAAAAAAAAAAC4CAABk&#10;cnMvZTJvRG9jLnhtbFBLAQItABQABgAIAAAAIQARpcqj4wAAAAsBAAAPAAAAAAAAAAAAAAAAAPU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(31)</w:t>
                      </w:r>
                    </w:p>
                  </w:txbxContent>
                </v:textbox>
              </v:shape>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4037330</wp:posOffset>
                </wp:positionH>
                <wp:positionV relativeFrom="paragraph">
                  <wp:posOffset>956945</wp:posOffset>
                </wp:positionV>
                <wp:extent cx="365760" cy="246380"/>
                <wp:effectExtent l="0" t="0" r="0" b="1270"/>
                <wp:wrapNone/>
                <wp:docPr id="39" name="Надпись 39"/>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119" type="#_x0000_t202" style="position:absolute;margin-left:317.9pt;margin-top:75.35pt;width:28.8pt;height:1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hJnAIAAHE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HlFimEaONt823zc/Nr82Px8fHr8SVGCVKusnCL6xCA/1W6iR7e7e42VMvpZO&#10;xz+mRVCP9V5vayzqQDheDsf7B2PUcFQNRuPhYeIgezK2zod3AjSJQk4dUpgqy1YXPmAgCO0g8S0D&#10;56VSiUZlSJXT8XC/lwy2GrRQJmJFaojWTUyoCTxJYa1ExCjzQUgsSIo/XqRWFKfKkRXDJmKcCxNS&#10;6skvoiNKYhAvMWzxT1G9xLjJo3sZTNga69KAS9k/C7v41IUsGzwWcifvKIZ6XqdOOBp2xM6hWCPf&#10;Dpq58Zafl8jKBfPhmjkcFCQShz9c4UcqwOpDK1GyAPflb/cRj/2LWkoqHLyc+s9L5gQl6r3Bzj7q&#10;j0ZxUtNhtH8wwIPb1cx3NWapTwFp6eOasTyJER9UJ0oH+g53xCy+iipmOL6d09CJp6FZB7hjuJjN&#10;Eghn07JwYW4sj64jS7Hnbus75mzbmAE7+hK6EWWTZ/3ZYKOlgdkygCxT88ZCN1VtCcC5Tj3d7qC4&#10;OHbPCfW0Kae/AQAA//8DAFBLAwQUAAYACAAAACEAXVnNruIAAAALAQAADwAAAGRycy9kb3ducmV2&#10;LnhtbEyPwU7DMBBE70j8g7VI3KhDS0Ia4lRVpAoJ0UNLL9yceJtExOsQu23g61lOcJyd0czbfDXZ&#10;Xpxx9J0jBfezCARS7UxHjYLD2+YuBeGDJqN7R6jgCz2siuurXGfGXWiH531oBJeQz7SCNoQhk9LX&#10;LVrtZ25AYu/oRqsDy7GRZtQXLre9nEdRIq3uiBdaPWDZYv2xP1kFL+Vmq3fV3Kbfffn8elwPn4f3&#10;WKnbm2n9BCLgFP7C8IvP6FAwU+VOZLzoFSSLmNEDG3H0CIITyXLxAKLiS7qMQRa5/P9D8QMAAP//&#10;AwBQSwECLQAUAAYACAAAACEAtoM4kv4AAADhAQAAEwAAAAAAAAAAAAAAAAAAAAAAW0NvbnRlbnRf&#10;VHlwZXNdLnhtbFBLAQItABQABgAIAAAAIQA4/SH/1gAAAJQBAAALAAAAAAAAAAAAAAAAAC8BAABf&#10;cmVscy8ucmVsc1BLAQItABQABgAIAAAAIQA6AwhJnAIAAHEFAAAOAAAAAAAAAAAAAAAAAC4CAABk&#10;cnMvZTJvRG9jLnhtbFBLAQItABQABgAIAAAAIQBdWc2u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(32)</w:t>
                      </w:r>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5198110</wp:posOffset>
                </wp:positionH>
                <wp:positionV relativeFrom="paragraph">
                  <wp:posOffset>2687320</wp:posOffset>
                </wp:positionV>
                <wp:extent cx="365760" cy="246380"/>
                <wp:effectExtent l="0" t="0" r="0" b="1270"/>
                <wp:wrapNone/>
                <wp:docPr id="37" name="Надпись 37"/>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 o:spid="_x0000_s1120" type="#_x0000_t202" style="position:absolute;margin-left:409.3pt;margin-top:211.6pt;width:28.8pt;height:19.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QDnAIAAHE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HlBimEaONt823zc/Nr82Px8fHr8SVGCVKusnCL6xCA/1W6iR7e7e42VMvpZO&#10;xz+mRVCP9V5vayzqQDheDsf7B2PUcFQNRuPhYeIgezK2zod3AjSJQk4dUpgqy1YXPmAgCO0g8S0D&#10;56VSiUZlSJXT8XC/lwy2GrRQJmJFaojWTUyoCTxJYa1ExCjzQUgsSIo/XqRWFKfKkRXDJmKcCxNS&#10;6skvoiNKYhAvMWzxT1G9xLjJo3sZTNga69KAS9k/C7v41IUsGzwWcifvKIZ6XqdOOBp1xM6hWCPf&#10;Dpq58Zafl8jKBfPhmjkcFCQShz9c4UcqwOpDK1GyAPflb/cRj/2LWkoqHLyc+s9L5gQl6r3Bzj7q&#10;j0ZxUtNhtH8wwIPb1cx3NWapTwFp6eOasTyJER9UJ0oH+g53xCy+iipmOL6d09CJp6FZB7hjuJjN&#10;Eghn07JwYW4sj64jS7Hnbus75mzbmAE7+hK6EWWTZ/3ZYKOlgdkygCxT88ZCN1VtCcC5Tj3d7qC4&#10;OHbPCfW0Kae/AQAA//8DAFBLAwQUAAYACAAAACEAL2enM+EAAAALAQAADwAAAGRycy9kb3ducmV2&#10;LnhtbEyPy07DMBBF90j8gzVI7KhTA8EKcaoqUoWEYNHSDbtJ7CYRfoTYbQNfz7CC3TyO7pwpV7Oz&#10;7GSmOASvYLnIgBnfBj34TsH+bXMjgcWEXqMN3ij4MhFW1eVFiYUOZ781p13qGIX4WKCCPqWx4Dy2&#10;vXEYF2E0nnaHMDlM1E4d1xOeKdxZLrIs5w4HTxd6HE3dm/Zjd3QKnuvNK24b4eS3rZ9eDuvxc/9+&#10;r9T11bx+BJbMnP5g+NUndajIqQlHryOzCuRS5oQquBO3AhgR8iGnoqFJLjLgVcn//1D9AAAA//8D&#10;AFBLAQItABQABgAIAAAAIQC2gziS/gAAAOEBAAATAAAAAAAAAAAAAAAAAAAAAABbQ29udGVudF9U&#10;eXBlc10ueG1sUEsBAi0AFAAGAAgAAAAhADj9If/WAAAAlAEAAAsAAAAAAAAAAAAAAAAALwEAAF9y&#10;ZWxzLy5yZWxzUEsBAi0AFAAGAAgAAAAhAHBORAOcAgAAcQUAAA4AAAAAAAAAAAAAAAAALgIAAGRy&#10;cy9lMm9Eb2MueG1sUEsBAi0AFAAGAAgAAAAhAC9npzPhAAAACwEAAA8AAAAAAAAAAAAAAAAA9gQA&#10;AGRycy9kb3ducmV2LnhtbFBLBQYAAAAABAAEAPMAAAAEBgAAAAA=&#10;" filled="f" stroked="f" strokeweight=".5pt">
                <v:textbox>
                  <w:txbxContent>
                    <w:p w:rsidR="00C16B02" w:rsidRDefault="00C16B02" w:rsidP="004002E8">
                      <w:pPr>
                        <w:rPr>
                          <w:sz w:val="16"/>
                          <w:szCs w:val="16"/>
                          <w:lang w:val="en-US"/>
                        </w:rPr>
                      </w:pPr>
                      <w:r>
                        <w:rPr>
                          <w:sz w:val="16"/>
                          <w:szCs w:val="16"/>
                          <w:lang w:val="en-US"/>
                        </w:rPr>
                        <w:t>(30)</w:t>
                      </w:r>
                    </w:p>
                  </w:txbxContent>
                </v:textbox>
              </v:shape>
            </w:pict>
          </mc:Fallback>
        </mc:AlternateContent>
      </w: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2014855</wp:posOffset>
                </wp:positionH>
                <wp:positionV relativeFrom="paragraph">
                  <wp:posOffset>375920</wp:posOffset>
                </wp:positionV>
                <wp:extent cx="365760" cy="246380"/>
                <wp:effectExtent l="0" t="0" r="0" b="1270"/>
                <wp:wrapNone/>
                <wp:docPr id="35" name="Надпись 35"/>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121" type="#_x0000_t202" style="position:absolute;margin-left:158.65pt;margin-top:29.6pt;width:28.8pt;height:1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YbmgIAAHEFAAAOAAAAZHJzL2Uyb0RvYy54bWysVM1uEzEQviPxDpbvdPNPG3VThVZFSFVb&#10;0aKeHa/drLA9xnayG27ceQXegQMHbrxC+kaMvbtpVLgUcdkde74Zz8w3M8cntVZkLZwvweS0f9Cj&#10;RBgORWnuc/rh9vzVISU+MFMwBUbkdCM8PZm9fHFc2akYwBJUIRxBJ8ZPK5vTZQh2mmWeL4Vm/gCs&#10;MKiU4DQLeHT3WeFYhd61yga93iSrwBXWARfe4+1Zo6Sz5F9KwcOVlF4EonKKsYX0dem7iN9sdsym&#10;947ZZcnbMNg/RKFZafDRnaszFhhZufIPV7rkDjzIcMBBZyBlyUXKAbPp955kc7NkVqRcsDje7srk&#10;/59bfrm+dqQscjocU2KYRo6237bftz+2v7Y/H748fCWowCpV1k8RfGMRHuo3UCPb3b3Hy5h8LZ2O&#10;f0yLoB7rvdnVWNSBcLwcTsavJ6jhqBqMJsPDxEH2aGydD28FaBKFnDqkMFWWrS98wEAQ2kHiWwbO&#10;S6USjcqQKqeT4biXDHYatFAmYkVqiNZNTKgJPElho0TEKPNeSCxIij9epFYUp8qRNcMmYpwLE1Lq&#10;yS+iI0piEM8xbPGPUT3HuMmjexlM2Bnr0oBL2T8Ju/jYhSwbPBZyL+8ohnpRp0442hG+gGKDfDto&#10;5sZbfl4iKxfMh2vmcFCQSBz+cIUfqQCrD61EyRLc57/dRzz2L2opqXDwcuo/rZgTlKh3Bjv7qD8a&#10;xUlNh9H49QAPbl+z2NeYlT4FpKWPa8byJEZ8UJ0oHeg73BHz+CqqmOH4dk5DJ56GZh3gjuFiPk8g&#10;nE3LwoW5sTy6jizFnrut75izbWMG7OhL6EaUTZ/0Z4ONlgbmqwCyTM0bC91UtSUA5zr1dLuD4uLY&#10;PyfU46ac/QYAAP//AwBQSwMEFAAGAAgAAAAhABSq6bbiAAAACQEAAA8AAABkcnMvZG93bnJldi54&#10;bWxMj8FOwzAQRO9I/IO1lbhRpwmlSYhTVZEqJASHll64bWI3iWqvQ+y2ga/HnOC4mqeZt8V6Mppd&#10;1Oh6SwIW8wiYosbKnloBh/ftfQrMeSSJ2pIS8KUcrMvbmwJzaa+0U5e9b1koIZejgM77IefcNZ0y&#10;6OZ2UBSyox0N+nCOLZcjXkO50TyOokdusKew0OGgqk41p/3ZCHiptm+4q2OTfuvq+fW4GT4PH0sh&#10;7mbT5gmYV5P/g+FXP6hDGZxqeybpmBaQLFZJQAUssxhYAJLVQwasFpClEfCy4P8/KH8AAAD//wMA&#10;UEsBAi0AFAAGAAgAAAAhALaDOJL+AAAA4QEAABMAAAAAAAAAAAAAAAAAAAAAAFtDb250ZW50X1R5&#10;cGVzXS54bWxQSwECLQAUAAYACAAAACEAOP0h/9YAAACUAQAACwAAAAAAAAAAAAAAAAAvAQAAX3Jl&#10;bHMvLnJlbHNQSwECLQAUAAYACAAAACEA3oyGG5oCAABxBQAADgAAAAAAAAAAAAAAAAAuAgAAZHJz&#10;L2Uyb0RvYy54bWxQSwECLQAUAAYACAAAACEAFKrptuIAAAAJAQAADwAAAAAAAAAAAAAAAAD0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(25)</w:t>
                      </w:r>
                    </w:p>
                  </w:txbxContent>
                </v:textbox>
              </v:shape>
            </w:pict>
          </mc:Fallback>
        </mc:AlternateContent>
      </w: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1523365</wp:posOffset>
                </wp:positionH>
                <wp:positionV relativeFrom="paragraph">
                  <wp:posOffset>393065</wp:posOffset>
                </wp:positionV>
                <wp:extent cx="365760" cy="246380"/>
                <wp:effectExtent l="0" t="0" r="0" b="1270"/>
                <wp:wrapNone/>
                <wp:docPr id="34" name="Надпись 34"/>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122" type="#_x0000_t202" style="position:absolute;margin-left:119.95pt;margin-top:30.95pt;width:28.8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k0nAIAAHE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jigxTCNHm2+b75sfm1+bn48Pj18JKrBKlfUTBN9YhIf6LdTIdnfv8TImX0un&#10;4x/TIqjHeq+3NRZ1IBwvh+P9gzFqOKoGo/HwMHGQPRlb58M7AZpEIacOKUyVZasLHzAQhHaQ+JaB&#10;81KpRKMypMrpeLjfSwZbDVooE7EiNUTrJibUBJ6ksFYiYpT5ICQWJMUfL1IrilPlyIphEzHOhQkp&#10;9eQX0RElMYiXGLb4p6heYtzk0b0MJmyNdWnApeyfhV186kKWDR4LuZN3FEM9r1MnHI07YudQrJFv&#10;B83ceMvPS2TlgvlwzRwOChKJwx+u8CMVYPWhlShZgPvyt/uIx/5FLSUVDl5O/eclc4IS9d5gZx/1&#10;R6M4qekw2j8Y4MHtaua7GrPUp4C09HHNWJ7EiA+qE6UDfYc7YhZfRRUzHN/OaejE09CsA9wxXMxm&#10;CYSzaVm4MDeWR9eRpdhzt/Udc7ZtzIAdfQndiLLJs/5ssNHSwGwZQJapeWOhm6q2BOBcp55ud1Bc&#10;HLvnhHralNPfAAAA//8DAFBLAwQUAAYACAAAACEAUqaw2+IAAAAKAQAADwAAAGRycy9kb3ducmV2&#10;LnhtbEyPy07DMBBF90j8gzWV2FG7QX0kxKmqSBUSgkVLN+yc2E2i2uMQu23g6xlWZTUazdGdc/P1&#10;6Cy7mCF0HiXMpgKYwdrrDhsJh4/t4wpYiAq1sh6NhG8TYF3c3+Uq0/6KO3PZx4ZRCIZMSWhj7DPO&#10;Q90ap8LU9wbpdvSDU5HWoeF6UFcKd5YnQiy4Ux3Sh1b1pmxNfdqfnYTXcvuudlXiVj+2fHk7bvqv&#10;w+dcyofJuHkGFs0YbzD86ZM6FORU+TPqwKyE5ClNCZWwmNEkIEmXc2AVkUIsgRc5/1+h+AUAAP//&#10;AwBQSwECLQAUAAYACAAAACEAtoM4kv4AAADhAQAAEwAAAAAAAAAAAAAAAAAAAAAAW0NvbnRlbnRf&#10;VHlwZXNdLnhtbFBLAQItABQABgAIAAAAIQA4/SH/1gAAAJQBAAALAAAAAAAAAAAAAAAAAC8BAABf&#10;cmVscy8ucmVsc1BLAQItABQABgAIAAAAIQBWZ1k0nAIAAHEFAAAOAAAAAAAAAAAAAAAAAC4CAABk&#10;cnMvZTJvRG9jLnhtbFBLAQItABQABgAIAAAAIQBSprDb4gAAAAo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(32)</w:t>
                      </w:r>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605155</wp:posOffset>
                </wp:positionH>
                <wp:positionV relativeFrom="paragraph">
                  <wp:posOffset>381000</wp:posOffset>
                </wp:positionV>
                <wp:extent cx="365760" cy="246380"/>
                <wp:effectExtent l="0" t="0" r="0" b="1270"/>
                <wp:wrapNone/>
                <wp:docPr id="33" name="Надпись 33"/>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123" type="#_x0000_t202" style="position:absolute;margin-left:47.65pt;margin-top:30pt;width:28.8pt;height:19.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7nnAIAAHE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DikxTCNHm2+b75sfm1+bn48Pj18JKrBKlfUTBN9YhIf6LdTIdnfv8TImX0un&#10;4x/TIqjHeq+3NRZ1IBwvh+P9gzFqOKoGo/HwMHGQPRlb58M7AZpEIacOKUyVZasLHzAQhHaQ+JaB&#10;81KpRKMypMrpeLjfSwZbDVooE7EiNUTrJibUBJ6ksFYiYpT5ICQWJMUfL1IrilPlyIphEzHOhQkp&#10;9eQX0RElMYiXGLb4p6heYtzk0b0MJmyNdWnApeyfhV186kKWDR4LuZN3FEM9r1MnHB10xM6hWCPf&#10;Dpq58Zafl8jKBfPhmjkcFCQShz9c4UcqwOpDK1GyAPflb/cRj/2LWkoqHLyc+s9L5gQl6r3Bzj7q&#10;j0ZxUtNhtH8wwIPb1cx3NWapTwFp6eOasTyJER9UJ0oH+g53xCy+iipmOL6d09CJp6FZB7hjuJjN&#10;Eghn07JwYW4sj64jS7Hnbus75mzbmAE7+hK6EWWTZ/3ZYKOlgdkygCxT88ZCN1VtCcC5Tj3d7qC4&#10;OHbPCfW0Kae/AQAA//8DAFBLAwQUAAYACAAAACEAOscV2N8AAAAIAQAADwAAAGRycy9kb3ducmV2&#10;LnhtbEyPQUvDQBCF74L/YZmCN7tpJCWN2ZQSKILoobUXb5NkmwR3Z2N220Z/vdOTPQ7f48338vVk&#10;jTjr0feOFCzmEQhNtWt6ahUcPraPKQgfkBo0jrSCH+1hXdzf5Zg17kI7fd6HVnAJ+QwVdCEMmZS+&#10;7rRFP3eDJmZHN1oMfI6tbEa8cLk1Mo6ipbTYE3/ocNBlp+uv/ckqeC2377irYpv+mvLl7bgZvg+f&#10;iVIPs2nzDCLoKfyH4arP6lCwU+VO1HhhFKySJ04qWEY86cqTeAWiYpCmIItc3g4o/gAAAP//AwBQ&#10;SwECLQAUAAYACAAAACEAtoM4kv4AAADhAQAAEwAAAAAAAAAAAAAAAAAAAAAAW0NvbnRlbnRfVHlw&#10;ZXNdLnhtbFBLAQItABQABgAIAAAAIQA4/SH/1gAAAJQBAAALAAAAAAAAAAAAAAAAAC8BAABfcmVs&#10;cy8ucmVsc1BLAQItABQABgAIAAAAIQBTeY7nnAIAAHEFAAAOAAAAAAAAAAAAAAAAAC4CAABkcnMv&#10;ZTJvRG9jLnhtbFBLAQItABQABgAIAAAAIQA6xxXY3wAAAAgBAAAPAAAAAAAAAAAAAAAAAPYEAABk&#10;cnMvZG93bnJldi54bWxQSwUGAAAAAAQABADzAAAAAgYAAAAA&#10;" filled="f" stroked="f" strokeweight=".5pt">
                <v:textbox>
                  <w:txbxContent>
                    <w:p w:rsidR="00C16B02" w:rsidRDefault="00C16B02" w:rsidP="004002E8">
                      <w:pPr>
                        <w:rPr>
                          <w:sz w:val="16"/>
                          <w:szCs w:val="16"/>
                          <w:lang w:val="en-US"/>
                        </w:rPr>
                      </w:pPr>
                      <w:r>
                        <w:rPr>
                          <w:sz w:val="16"/>
                          <w:szCs w:val="16"/>
                          <w:lang w:val="en-US"/>
                        </w:rPr>
                        <w:t>(31)</w:t>
                      </w:r>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simplePos x="0" y="0"/>
                <wp:positionH relativeFrom="column">
                  <wp:posOffset>2290445</wp:posOffset>
                </wp:positionH>
                <wp:positionV relativeFrom="paragraph">
                  <wp:posOffset>944880</wp:posOffset>
                </wp:positionV>
                <wp:extent cx="365760" cy="246380"/>
                <wp:effectExtent l="0" t="0" r="0" b="1270"/>
                <wp:wrapNone/>
                <wp:docPr id="32" name="Надпись 32"/>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124" type="#_x0000_t202" style="position:absolute;margin-left:180.35pt;margin-top:74.4pt;width:28.8pt;height:1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U3nAIAAHE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DigxTCNHm2+b75sfm1+bn48Pj18JKrBKlfUTBN9YhIf6LdTIdnfv8TImX0un&#10;4x/TIqjHeq+3NRZ1IBwvh+P9gzFqOKoGo/HwMHGQPRlb58M7AZpEIacOKUyVZasLHzAQhHaQ+JaB&#10;81KpRKMypMrpeLjfSwZbDVooE7EiNUTrJibUBJ6ksFYiYpT5ICQWJMUfL1IrilPlyIphEzHOhQkp&#10;9eQX0RElMYiXGLb4p6heYtzk0b0MJmyNdWnApeyfhV186kKWDR4LuZN3FEM9r1MnHB12xM6hWCPf&#10;Dpq58Zafl8jKBfPhmjkcFCQShz9c4UcqwOpDK1GyAPflb/cRj/2LWkoqHLyc+s9L5gQl6r3Bzj7q&#10;j0ZxUtNhtH8wwIPb1cx3NWapTwFp6eOasTyJER9UJ0oH+g53xCy+iipmOL6d09CJp6FZB7hjuJjN&#10;Eghn07JwYW4sj64jS7Hnbus75mzbmAE7+hK6EWWTZ/3ZYKOlgdkygCxT88ZCN1VtCcC5Tj3d7qC4&#10;OHbPCfW0Kae/AQAA//8DAFBLAwQUAAYACAAAACEAEcHpwOIAAAALAQAADwAAAGRycy9kb3ducmV2&#10;LnhtbEyPzU7DMBCE70i8g7WVuFGnP6RWiFNVkSokBIeWXrg5sZtEtdchdtvA07OcynFnPs3O5OvR&#10;WXYxQ+g8SphNE2AGa687bCQcPraPAliICrWyHo2EbxNgXdzf5SrT/oo7c9nHhlEIhkxJaGPsM85D&#10;3RqnwtT3Bsk7+sGpSOfQcD2oK4U7y+dJknKnOqQPrepN2Zr6tD87Ca/l9l3tqrkTP7Z8eTtu+q/D&#10;55OUD5Nx8wwsmjHeYPirT9WhoE6VP6MOzEpYpMmKUDKWgjYQsZyJBbCKFLFKgRc5/7+h+AUAAP//&#10;AwBQSwECLQAUAAYACAAAACEAtoM4kv4AAADhAQAAEwAAAAAAAAAAAAAAAAAAAAAAW0NvbnRlbnRf&#10;VHlwZXNdLnhtbFBLAQItABQABgAIAAAAIQA4/SH/1gAAAJQBAAALAAAAAAAAAAAAAAAAAC8BAABf&#10;cmVscy8ucmVsc1BLAQItABQABgAIAAAAIQAY20U3nAIAAHEFAAAOAAAAAAAAAAAAAAAAAC4CAABk&#10;cnMvZTJvRG9jLnhtbFBLAQItABQABgAIAAAAIQARwenA4gAAAAsBAAAPAAAAAAAAAAAAAAAAAPYE&#10;AABkcnMvZG93bnJldi54bWxQSwUGAAAAAAQABADzAAAABQYAAAAA&#10;" filled="f" stroked="f" strokeweight=".5pt">
                <v:textbox>
                  <w:txbxContent>
                    <w:p w:rsidR="00C16B02" w:rsidRDefault="00C16B02" w:rsidP="004002E8">
                      <w:pPr>
                        <w:rPr>
                          <w:sz w:val="16"/>
                          <w:szCs w:val="16"/>
                          <w:lang w:val="en-US"/>
                        </w:rPr>
                      </w:pPr>
                      <w:r>
                        <w:rPr>
                          <w:sz w:val="16"/>
                          <w:szCs w:val="16"/>
                          <w:lang w:val="en-US"/>
                        </w:rPr>
                        <w:t>(30)</w:t>
                      </w:r>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1338580</wp:posOffset>
                </wp:positionH>
                <wp:positionV relativeFrom="paragraph">
                  <wp:posOffset>924560</wp:posOffset>
                </wp:positionV>
                <wp:extent cx="365760" cy="246380"/>
                <wp:effectExtent l="0" t="0" r="0" b="1270"/>
                <wp:wrapNone/>
                <wp:docPr id="153" name="Надпись 153"/>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3" o:spid="_x0000_s1125" type="#_x0000_t202" style="position:absolute;margin-left:105.4pt;margin-top:72.8pt;width:28.8pt;height:19.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TamwIAAHMFAAAOAAAAZHJzL2Uyb0RvYy54bWysVM1uEzEQviPxDpbvdPNPG3VThVZFSFVb&#10;0aKeHa/drLA9xnayG27ceQXegQMHbrxC+kaMvbtpVLgUcdkde74Zz8w3M8cntVZkLZwvweS0f9Cj&#10;RBgORWnuc/rh9vzVISU+MFMwBUbkdCM8PZm9fHFc2akYwBJUIRxBJ8ZPK5vTZQh2mmWeL4Vm/gCs&#10;MKiU4DQLeHT3WeFYhd61yga93iSrwBXWARfe4+1Zo6Sz5F9KwcOVlF4EonKKsYX0dem7iN9sdsym&#10;947ZZcnbMNg/RKFZafDRnaszFhhZufIPV7rkDjzIcMBBZyBlyUXKAbPp955kc7NkVqRcsDje7srk&#10;/59bfrm+dqQskLvxkBLDNJK0/bb9vv2x/bX9+fDl4SuJGqxTZf0U4TcWDUL9Bmq06e49Xsb0a+l0&#10;/GNiBPVY8c2uyqIOhOPlcDJ+PUENR9VgNBkeJhayR2PrfHgrQJMo5NQhiam2bH3hAwaC0A4S3zJw&#10;XiqViFSGVDmdDMe9ZLDToIUyEStSS7RuYkJN4EkKGyUiRpn3QmJJUvzxIjWjOFWOrBm2EeNcmJBS&#10;T34RHVESg3iOYYt/jOo5xk0e3ctgws5YlwZcyv5J2MXHLmTZ4LGQe3lHMdSLOvXC0VFH7AKKDfLt&#10;oJkcb/l5iaxcMB+umcNRQSJx/MMVfqQCrD60EiVLcJ//dh/x2MGopaTC0cup/7RiTlCi3hns7aP+&#10;aBRnNR1G49cDPLh9zWJfY1b6FJCWPi4ay5MY8UF1onSg73BLzOOrqGKG49s5DZ14GpqFgFuGi/k8&#10;gXA6LQsX5sby6DqyFHvutr5jzraNGbCjL6EbUjZ90p8NNloamK8CyDI1byx0U9WWAJzs1NPtFoqr&#10;Y/+cUI+7cvYbAAD//wMAUEsDBBQABgAIAAAAIQCDNlxW4gAAAAsBAAAPAAAAZHJzL2Rvd25yZXYu&#10;eG1sTI9BS8NAEIXvgv9hmYI3u2lIQ4jZlBIoguihtRdvk+w2Cc3Oxuy2jf56x5Me37zHe98Um9kO&#10;4mom3ztSsFpGIAw1TvfUKji+7x4zED4gaRwcGQVfxsOmvL8rMNfuRntzPYRWcAn5HBV0IYy5lL7p&#10;jEW/dKMh9k5ushhYTq3UE9643A4yjqJUWuyJFzocTdWZ5ny4WAUv1e4N93Vss++hen49bcfP48da&#10;qYfFvH0CEcwc/sLwi8/oUDJT7S6kvRgUxKuI0QMbyToFwYk4zRIQNV+yJAFZFvL/D+UPAAAA//8D&#10;AFBLAQItABQABgAIAAAAIQC2gziS/gAAAOEBAAATAAAAAAAAAAAAAAAAAAAAAABbQ29udGVudF9U&#10;eXBlc10ueG1sUEsBAi0AFAAGAAgAAAAhADj9If/WAAAAlAEAAAsAAAAAAAAAAAAAAAAALwEAAF9y&#10;ZWxzLy5yZWxzUEsBAi0AFAAGAAgAAAAhAFw7RNqbAgAAcwUAAA4AAAAAAAAAAAAAAAAALgIAAGRy&#10;cy9lMm9Eb2MueG1sUEsBAi0AFAAGAAgAAAAhAIM2XFbiAAAACwEAAA8AAAAAAAAAAAAAAAAA9QQA&#10;AGRycy9kb3ducmV2LnhtbFBLBQYAAAAABAAEAPMAAAAEBgAAAAA=&#10;" filled="f" stroked="f" strokeweight=".5pt">
                <v:textbox>
                  <w:txbxContent>
                    <w:p w:rsidR="00C16B02" w:rsidRDefault="00C16B02" w:rsidP="004002E8">
                      <w:pPr>
                        <w:rPr>
                          <w:sz w:val="16"/>
                          <w:szCs w:val="16"/>
                          <w:lang w:val="en-US"/>
                        </w:rPr>
                      </w:pPr>
                      <w:r>
                        <w:rPr>
                          <w:sz w:val="16"/>
                          <w:szCs w:val="16"/>
                          <w:lang w:val="en-US"/>
                        </w:rPr>
                        <w:t>(29</w:t>
                      </w:r>
                    </w:p>
                  </w:txbxContent>
                </v:textbox>
              </v:shape>
            </w:pict>
          </mc:Fallback>
        </mc:AlternateContent>
      </w:r>
      <w:r>
        <w:rPr>
          <w:noProof/>
          <w:lang w:eastAsia="ru-RU"/>
        </w:rPr>
        <mc:AlternateContent>
          <mc:Choice Requires="wps">
            <w:drawing>
              <wp:anchor distT="0" distB="0" distL="114300" distR="114300" simplePos="0" relativeHeight="251732992" behindDoc="0" locked="0" layoutInCell="1" allowOverlap="1">
                <wp:simplePos x="0" y="0"/>
                <wp:positionH relativeFrom="column">
                  <wp:posOffset>4163060</wp:posOffset>
                </wp:positionH>
                <wp:positionV relativeFrom="paragraph">
                  <wp:posOffset>3067050</wp:posOffset>
                </wp:positionV>
                <wp:extent cx="365760" cy="246380"/>
                <wp:effectExtent l="0" t="0" r="0" b="1270"/>
                <wp:wrapNone/>
                <wp:docPr id="152" name="Надпись 152"/>
                <wp:cNvGraphicFramePr/>
                <a:graphic xmlns:a="http://schemas.openxmlformats.org/drawingml/2006/main">
                  <a:graphicData uri="http://schemas.microsoft.com/office/word/2010/wordprocessingShape">
                    <wps:wsp>
                      <wps:cNvSpPr txBox="1"/>
                      <wps:spPr>
                        <a:xfrm>
                          <a:off x="0" y="0"/>
                          <a:ext cx="36576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Default="00C16B02" w:rsidP="004002E8">
                            <w:pPr>
                              <w:rPr>
                                <w:sz w:val="16"/>
                                <w:szCs w:val="16"/>
                                <w:lang w:val="en-US"/>
                              </w:rPr>
                            </w:pPr>
                            <w:r>
                              <w:rPr>
                                <w:sz w:val="16"/>
                                <w:szCs w:val="16"/>
                                <w:lang w:val="en-US"/>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2" o:spid="_x0000_s1126" type="#_x0000_t202" style="position:absolute;margin-left:327.8pt;margin-top:241.5pt;width:28.8pt;height:1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e7mQIAAHQFAAAOAAAAZHJzL2Uyb0RvYy54bWysVM1uEzEQviPxDpbvdJM0SUvUTRVaFSFV&#10;bUWLena8drPC9hjbyW64cecVeAcOHLjxCukbMfbuJlHhUsTFHs98M57/k9NaK7ISzpdgcto/6FEi&#10;DIeiNA85/XB38eqYEh+YKZgCI3K6Fp6eTl++OKnsRAxgAaoQjqAR4yeVzekiBDvJMs8XQjN/AFYY&#10;FEpwmgV8uoescKxC61plg15vnFXgCuuAC++Re94I6TTZl1LwcC2lF4GonKJvIZ0unfN4ZtMTNnlw&#10;zC5K3rrB/sELzUqDn25NnbPAyNKVf5jSJXfgQYYDDjoDKUsuUgwYTb/3JJrbBbMixYLJ8XabJv//&#10;zPKr1Y0jZYG1Gw0oMUxjkTbfNt83Pza/Nj8fvzx+JVGCeaqsnyD81qJCqN9AjTod3yMzhl9Lp+ON&#10;gRGUY8bX2yyLOhCOzMPx6GiMEo6iwXB8eJyqkO2UrfPhrQBNIpFTh0VMuWWrSx/QEYR2kPiXgYtS&#10;qVRIZUiV0/HhqJcUthLUUCZiRWqJ1kwMqHE8UWGtRMQo815ITEnyPzJSM4oz5ciKYRsxzoUJKfRk&#10;F9ERJdGJ5yi2+J1Xz1Fu4uh+BhO2yro04FL0T9wuPnYuywaPidyLO5KhntdNL/RSTSJvDsUaC+6g&#10;GR1v+UWJZblkPtwwh7OClcT5D9d4SAWYfmgpShbgPv+NH/HYwiilpMLZy6n/tGROUKLeGWzu1/3h&#10;MA5regxHRwN8uH3JfF9ilvoMsC593DSWJzLig+pI6UDf45qYxV9RxAzHv3MaOvIsNBsB1wwXs1kC&#10;4XhaFi7NreXRdCxTbLq7+p4523ZmwJa+gm5K2eRJgzbYqGlgtgwgy9S9u6y2FcDRTk3drqG4O/bf&#10;CbVbltPfAAAA//8DAFBLAwQUAAYACAAAACEAW1VRBOMAAAALAQAADwAAAGRycy9kb3ducmV2Lnht&#10;bEyPTU+DQBRF9yb+h8kzcWcHqCBBHk1D0piYumjtxt3AvAJxPpCZtuivd7rS5cs7uffccjVrxc40&#10;ucEahHgRASPTWjmYDuHwvnnIgTkvjBTKGkL4Jger6vamFIW0F7Oj8953LIQYVwiE3vux4Ny1PWnh&#10;FnYkE35HO2nhwzl1XE7iEsK14kkUZVyLwYSGXoxU99R+7k8a4bXevIldk+j8R9Uv2+N6/Dp8pIj3&#10;d/P6GZin2f/BcNUP6lAFp8aejHRMIWRpmgUU4TFfhlGBeIqXCbAGIU3iHHhV8v8bql8AAAD//wMA&#10;UEsBAi0AFAAGAAgAAAAhALaDOJL+AAAA4QEAABMAAAAAAAAAAAAAAAAAAAAAAFtDb250ZW50X1R5&#10;cGVzXS54bWxQSwECLQAUAAYACAAAACEAOP0h/9YAAACUAQAACwAAAAAAAAAAAAAAAAAvAQAAX3Jl&#10;bHMvLnJlbHNQSwECLQAUAAYACAAAACEASun3u5kCAAB0BQAADgAAAAAAAAAAAAAAAAAuAgAAZHJz&#10;L2Uyb0RvYy54bWxQSwECLQAUAAYACAAAACEAW1VRBOMAAAALAQAADwAAAAAAAAAAAAAAAADzBAAA&#10;ZHJzL2Rvd25yZXYueG1sUEsFBgAAAAAEAAQA8wAAAAMGAAAAAA==&#10;" filled="f" stroked="f" strokeweight=".5pt">
                <v:textbox>
                  <w:txbxContent>
                    <w:p w:rsidR="00C16B02" w:rsidRDefault="00C16B02" w:rsidP="004002E8">
                      <w:pPr>
                        <w:rPr>
                          <w:sz w:val="16"/>
                          <w:szCs w:val="16"/>
                          <w:lang w:val="en-US"/>
                        </w:rPr>
                      </w:pPr>
                      <w:r>
                        <w:rPr>
                          <w:sz w:val="16"/>
                          <w:szCs w:val="16"/>
                          <w:lang w:val="en-US"/>
                        </w:rPr>
                        <w:t>(28)</w:t>
                      </w:r>
                    </w:p>
                  </w:txbxContent>
                </v:textbox>
              </v:shape>
            </w:pict>
          </mc:Fallback>
        </mc:AlternateContent>
      </w:r>
    </w:p>
    <w:p w:rsidR="00455A31" w:rsidRDefault="00455A31" w:rsidP="00E05711">
      <w:pPr>
        <w:rPr>
          <w:lang w:val="en-US"/>
        </w:rPr>
        <w:sectPr w:rsidR="00455A31" w:rsidSect="004002E8">
          <w:type w:val="continuous"/>
          <w:pgSz w:w="16838" w:h="11906" w:orient="landscape"/>
          <w:pgMar w:top="1701" w:right="1134" w:bottom="851" w:left="1134" w:header="709" w:footer="709" w:gutter="0"/>
          <w:cols w:space="708"/>
          <w:docGrid w:linePitch="360"/>
        </w:sectPr>
      </w:pPr>
    </w:p>
    <w:p w:rsidR="00455A31" w:rsidRDefault="009B7B03" w:rsidP="00455A31">
      <w:pPr>
        <w:pStyle w:val="1"/>
        <w:rPr>
          <w:lang w:val="en-US"/>
        </w:rPr>
      </w:pPr>
      <w:bookmarkStart w:id="35" w:name="_Toc483074664"/>
      <w:r>
        <w:rPr>
          <w:lang w:val="en-US"/>
        </w:rPr>
        <w:lastRenderedPageBreak/>
        <w:t>Appendix 7</w:t>
      </w:r>
      <w:r w:rsidR="00455A31">
        <w:rPr>
          <w:lang w:val="en-US"/>
        </w:rPr>
        <w:t>. Financial performance of Ingenico Group, 2005-2016</w:t>
      </w:r>
      <w:bookmarkEnd w:id="35"/>
    </w:p>
    <w:p w:rsidR="00455A31" w:rsidRPr="00455A31" w:rsidRDefault="00455A31" w:rsidP="00455A31">
      <w:pPr>
        <w:rPr>
          <w:lang w:val="en-US"/>
        </w:rPr>
      </w:pPr>
    </w:p>
    <w:p w:rsidR="00455A31" w:rsidRDefault="000B73AE" w:rsidP="00455A31">
      <w:pPr>
        <w:pStyle w:val="a5"/>
        <w:rPr>
          <w:rFonts w:cs="Times New Roman"/>
          <w:b/>
          <w:szCs w:val="24"/>
        </w:rPr>
      </w:pPr>
      <w:r>
        <w:rPr>
          <w:rFonts w:cs="Times New Roman"/>
          <w:b/>
          <w:noProof/>
          <w:szCs w:val="24"/>
          <w:lang w:eastAsia="ru-RU"/>
        </w:rPr>
        <mc:AlternateContent>
          <mc:Choice Requires="wps">
            <w:drawing>
              <wp:anchor distT="0" distB="0" distL="114300" distR="114300" simplePos="0" relativeHeight="251824128" behindDoc="0" locked="0" layoutInCell="1" allowOverlap="1">
                <wp:simplePos x="0" y="0"/>
                <wp:positionH relativeFrom="column">
                  <wp:posOffset>3968446</wp:posOffset>
                </wp:positionH>
                <wp:positionV relativeFrom="paragraph">
                  <wp:posOffset>1854089</wp:posOffset>
                </wp:positionV>
                <wp:extent cx="1486894" cy="294198"/>
                <wp:effectExtent l="0" t="0" r="0" b="0"/>
                <wp:wrapNone/>
                <wp:docPr id="215" name="Надпись 215"/>
                <wp:cNvGraphicFramePr/>
                <a:graphic xmlns:a="http://schemas.openxmlformats.org/drawingml/2006/main">
                  <a:graphicData uri="http://schemas.microsoft.com/office/word/2010/wordprocessingShape">
                    <wps:wsp>
                      <wps:cNvSpPr txBox="1"/>
                      <wps:spPr>
                        <a:xfrm>
                          <a:off x="0" y="0"/>
                          <a:ext cx="1486894"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0B73AE" w:rsidRDefault="00C16B02">
                            <w:pPr>
                              <w:rPr>
                                <w:lang w:val="en-US"/>
                              </w:rPr>
                            </w:pPr>
                            <w:r>
                              <w:rPr>
                                <w:lang w:val="en-US"/>
                              </w:rPr>
                              <w:t>Sales, m euros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5" o:spid="_x0000_s1127" type="#_x0000_t202" style="position:absolute;margin-left:312.5pt;margin-top:146pt;width:117.1pt;height:2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5cqQIAAJ0FAAAOAAAAZHJzL2Uyb0RvYy54bWysVM1uEzEQviPxDpbvdLMhLUnUDQqtipCq&#10;tqJFPTteu7HweoztZDfcuPMKvAMHDtx4hfSNGHs3P5Reirjsjj3fzHi++Tl+3VSaLIXzCkxB84Me&#10;JcJwKJW5K+iHm7MXQ0p8YKZkGowo6Ep4+nry/NlxbceiD3PQpXAEnRg/rm1B5yHYcZZ5PhcV8wdg&#10;hUGlBFexgEd3l5WO1ei90lm/1zvKanCldcCF93h72irpJPmXUvBwKaUXgeiC4ttC+rr0ncVvNjlm&#10;4zvH7Fzx7hnsH15RMWUw6NbVKQuMLJz6y1WluAMPMhxwqDKQUnGRcsBs8t6DbK7nzIqUC5Lj7ZYm&#10;///c8ovllSOqLGg/P6TEsAqLtP62/r7+sf61/nn/5f4riRrkqbZ+jPBriwaheQMN1ntz7/Eypt9I&#10;V8U/JkZQj4yvtiyLJhAejQbDo+FoQAlHXX80yEfD6CbbWVvnw1sBFYlCQR1WMZHLluc+tNANJAbz&#10;oFV5prROh9g54kQ7smRYcx3SG9H5HyhtSF3Qo5eHveTYQDRvPWsT3YjUO124mHmbYZLCSouI0ea9&#10;kMhdSvSR2IxzYbbxEzqiJIZ6imGH373qKcZtHmiRIoMJW+NKGXAp+zRsO8rKjxvKZIvH2uzlHcXQ&#10;zJrUNHlv2wIzKFfYGQ7aGfOWnyks3znz4Yo5HCpsBlwU4RI/UgPSD51EyRzc58fuIx57HbWU1Dik&#10;BfWfFswJSvQ7g1MwygeDONXpMDh81ceD29fM9jVmUZ0A9kSOK8nyJEZ80BtROqhucZ9MY1RUMcMx&#10;dkHDRjwJ7erAfcTFdJpAOMeWhXNzbXl0HXmOzXnT3DJnuw4O2PsXsBlnNn7QyC02WhqYLgJIlbo8&#10;Mt2y2lUAd0Cak25fxSWzf06o3Vad/AYAAP//AwBQSwMEFAAGAAgAAAAhADMjZkPjAAAACwEAAA8A&#10;AABkcnMvZG93bnJldi54bWxMj0tPwzAQhO9I/Adrkbgg6mArJQ1xKoR4SL3R8BA3N16SiNiOYjcJ&#10;/57lBLdZzWj2m2K72J5NOIbOOwVXqwQYutqbzjUKXqqHywxYiNoZ3XuHCr4xwLY8PSl0bvzsnnHa&#10;x4ZRiQu5VtDGOOSch7pFq8PKD+jI+/Sj1ZHOseFm1DOV256LJFlzqztHH1o94F2L9df+aBV8XDTv&#10;u7A8vs4ylcP901Rdv5lKqfOz5fYGWMQl/oXhF5/QoSSmgz86E1ivYC1S2hIViI0gQYks3QhgBwVS&#10;ZhJ4WfD/G8ofAAAA//8DAFBLAQItABQABgAIAAAAIQC2gziS/gAAAOEBAAATAAAAAAAAAAAAAAAA&#10;AAAAAABbQ29udGVudF9UeXBlc10ueG1sUEsBAi0AFAAGAAgAAAAhADj9If/WAAAAlAEAAAsAAAAA&#10;AAAAAAAAAAAALwEAAF9yZWxzLy5yZWxzUEsBAi0AFAAGAAgAAAAhALWoflypAgAAnQUAAA4AAAAA&#10;AAAAAAAAAAAALgIAAGRycy9lMm9Eb2MueG1sUEsBAi0AFAAGAAgAAAAhADMjZkPjAAAACwEAAA8A&#10;AAAAAAAAAAAAAAAAAwUAAGRycy9kb3ducmV2LnhtbFBLBQYAAAAABAAEAPMAAAATBgAAAAA=&#10;" fillcolor="white [3201]" stroked="f" strokeweight=".5pt">
                <v:textbox>
                  <w:txbxContent>
                    <w:p w:rsidR="00C16B02" w:rsidRPr="000B73AE" w:rsidRDefault="00C16B02">
                      <w:pPr>
                        <w:rPr>
                          <w:lang w:val="en-US"/>
                        </w:rPr>
                      </w:pPr>
                      <w:r>
                        <w:rPr>
                          <w:lang w:val="en-US"/>
                        </w:rPr>
                        <w:t>Sales, m euros</w:t>
                      </w:r>
                    </w:p>
                  </w:txbxContent>
                </v:textbox>
              </v:shape>
            </w:pict>
          </mc:Fallback>
        </mc:AlternateContent>
      </w:r>
      <w:r w:rsidR="00455A31">
        <w:rPr>
          <w:rFonts w:cs="Times New Roman"/>
          <w:noProof/>
          <w:lang w:eastAsia="ru-RU"/>
        </w:rPr>
        <w:drawing>
          <wp:inline distT="0" distB="0" distL="0" distR="0">
            <wp:extent cx="2791460" cy="2165985"/>
            <wp:effectExtent l="0" t="0" r="8890" b="5715"/>
            <wp:docPr id="166" name="Диаграмма 1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455A31">
        <w:rPr>
          <w:rFonts w:cs="Times New Roman"/>
          <w:noProof/>
          <w:lang w:eastAsia="ru-RU"/>
        </w:rPr>
        <w:t xml:space="preserve">       </w:t>
      </w:r>
      <w:r w:rsidR="00455A31">
        <w:rPr>
          <w:rFonts w:cs="Times New Roman"/>
          <w:noProof/>
          <w:lang w:eastAsia="ru-RU"/>
        </w:rPr>
        <w:drawing>
          <wp:inline distT="0" distB="0" distL="0" distR="0">
            <wp:extent cx="2719070" cy="2165985"/>
            <wp:effectExtent l="0" t="0" r="5080" b="5715"/>
            <wp:docPr id="165" name="Диаграмма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455A31">
        <w:rPr>
          <w:rFonts w:cs="Times New Roman"/>
          <w:b/>
          <w:szCs w:val="24"/>
        </w:rPr>
        <w:t xml:space="preserve">   </w:t>
      </w:r>
    </w:p>
    <w:p w:rsidR="00455A31" w:rsidRDefault="00455A31" w:rsidP="00455A31">
      <w:pPr>
        <w:pStyle w:val="a5"/>
        <w:rPr>
          <w:rFonts w:cs="Times New Roman"/>
          <w:b/>
          <w:szCs w:val="24"/>
        </w:rPr>
      </w:pPr>
    </w:p>
    <w:p w:rsidR="00455A31" w:rsidRDefault="00455A31" w:rsidP="00455A31">
      <w:pPr>
        <w:pStyle w:val="a5"/>
        <w:rPr>
          <w:rFonts w:cs="Times New Roman"/>
          <w:b/>
          <w:szCs w:val="24"/>
        </w:rPr>
      </w:pPr>
    </w:p>
    <w:p w:rsidR="00455A31" w:rsidRDefault="000B73AE" w:rsidP="00455A31">
      <w:pPr>
        <w:pStyle w:val="a5"/>
        <w:rPr>
          <w:rFonts w:cs="Times New Roman"/>
          <w:b/>
          <w:szCs w:val="24"/>
        </w:rPr>
      </w:pPr>
      <w:r>
        <w:rPr>
          <w:rFonts w:cs="Times New Roman"/>
          <w:b/>
          <w:noProof/>
          <w:szCs w:val="24"/>
          <w:lang w:eastAsia="ru-RU"/>
        </w:rPr>
        <mc:AlternateContent>
          <mc:Choice Requires="wps">
            <w:drawing>
              <wp:anchor distT="0" distB="0" distL="114300" distR="114300" simplePos="0" relativeHeight="251828224" behindDoc="0" locked="0" layoutInCell="1" allowOverlap="1" wp14:anchorId="27CFE495" wp14:editId="6D80ED96">
                <wp:simplePos x="0" y="0"/>
                <wp:positionH relativeFrom="column">
                  <wp:posOffset>3548435</wp:posOffset>
                </wp:positionH>
                <wp:positionV relativeFrom="paragraph">
                  <wp:posOffset>1742412</wp:posOffset>
                </wp:positionV>
                <wp:extent cx="1963972" cy="294198"/>
                <wp:effectExtent l="0" t="0" r="0" b="0"/>
                <wp:wrapNone/>
                <wp:docPr id="217" name="Надпись 217"/>
                <wp:cNvGraphicFramePr/>
                <a:graphic xmlns:a="http://schemas.openxmlformats.org/drawingml/2006/main">
                  <a:graphicData uri="http://schemas.microsoft.com/office/word/2010/wordprocessingShape">
                    <wps:wsp>
                      <wps:cNvSpPr txBox="1"/>
                      <wps:spPr>
                        <a:xfrm>
                          <a:off x="0" y="0"/>
                          <a:ext cx="1963972"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0B73AE" w:rsidRDefault="00C16B02" w:rsidP="000B73AE">
                            <w:pPr>
                              <w:jc w:val="center"/>
                              <w:rPr>
                                <w:lang w:val="en-US"/>
                              </w:rPr>
                            </w:pPr>
                            <w:r>
                              <w:rPr>
                                <w:lang w:val="en-US"/>
                              </w:rPr>
                              <w:t>EPS, euros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E495" id="Надпись 217" o:spid="_x0000_s1128" type="#_x0000_t202" style="position:absolute;margin-left:279.4pt;margin-top:137.2pt;width:154.65pt;height:23.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b2qwIAAJ0FAAAOAAAAZHJzL2Uyb0RvYy54bWysVL1u2zAQ3gv0HQjujSzF+bEROXATpCgQ&#10;NEGTIjNNkbFQiseStCV3695X6Dt06NCtr+C8UY+UZLtplhRdpCPvuzvedz8np02lyFJYV4LOabo3&#10;oERoDkWp73P64fbi1TElzjNdMAVa5HQlHD2dvHxxUpuxyGAOqhCWoBPtxrXJ6dx7M04Sx+eiYm4P&#10;jNColGAr5vFo75PCshq9VyrJBoPDpAZbGAtcOIe3562STqJ/KQX3V1I64YnKKb7Nx6+N31n4JpMT&#10;Nr63zMxL3j2D/cMrKlZqDLpxdc48Iwtb/uWqKrkFB9LvcagSkLLkIuaA2aSDR9nczJkRMRckx5kN&#10;Te7/ueXvlteWlEVOs/SIEs0qLNL62/r7+sf61/rnw5eHryRokKfauDHCbwwa+OY1NFjv/t7hZUi/&#10;kbYKf0yMoB4ZX21YFo0nPBiNDvdHRxklHHXZaJiOjoObZGttrPNvBFQkCDm1WMVILlteOt9Ce0gI&#10;5kCVxUWpVDyEzhFnypIlw5orH9+Izv9AKU3qnB7uHwyiYw3BvPWsdHAjYu904ULmbYZR8islAkbp&#10;90IidzHRJ2IzzoXexI/ogJIY6jmGHX77qucYt3mgRYwM2m+Mq1KDjdnHYdtSVnzsKZMtHmuzk3cQ&#10;fTNrYtOkg6xvgRkUK+wMC+2MOcMvSizfJXP+mlkcKmwGXBT+Cj9SAdIPnUTJHOznp+4DHnsdtZTU&#10;OKQ5dZ8WzApK1FuNUzBKh8Mw1fEwPDjK8GB3NbNdjV5UZ4A9keJKMjyKAe9VL0oL1R3uk2mIiiqm&#10;OcbOqe/FM9+uDtxHXEynEYRzbJi/1DeGB9eB59Cct80ds6brYI+9/w76cWbjR43cYoOlhunCgyxj&#10;lwemW1a7CuAOiHPS7auwZHbPEbXdqpPfAAAA//8DAFBLAwQUAAYACAAAACEAy+iMReMAAAALAQAA&#10;DwAAAGRycy9kb3ducmV2LnhtbEyPy26DMBRE95XyD9aN1E3VmEAIiGKiqupDyq6hD3Xn4BtAwdcI&#10;O0D/vu6qXY5mNHMm3826YyMOtjUkYL0KgCFVRrVUC3grn25TYNZJUrIzhAK+0cKuWFzlMlNmolcc&#10;D65mvoRsJgU0zvUZ57ZqUEu7Mj2S905m0NJ5OdRcDXLy5brjYRBsuZYt+YVG9vjQYHU+XLSAr5v6&#10;c2/n5/cpiqP+8WUskw9VCnG9nO/vgDmc3V8YfvE9OhSe6WgupCzrBMRx6tGdgDDZbID5RLpN18CO&#10;AqIwSIAXOf//ofgBAAD//wMAUEsBAi0AFAAGAAgAAAAhALaDOJL+AAAA4QEAABMAAAAAAAAAAAAA&#10;AAAAAAAAAFtDb250ZW50X1R5cGVzXS54bWxQSwECLQAUAAYACAAAACEAOP0h/9YAAACUAQAACwAA&#10;AAAAAAAAAAAAAAAvAQAAX3JlbHMvLnJlbHNQSwECLQAUAAYACAAAACEAJw3W9qsCAACdBQAADgAA&#10;AAAAAAAAAAAAAAAuAgAAZHJzL2Uyb0RvYy54bWxQSwECLQAUAAYACAAAACEAy+iMReMAAAALAQAA&#10;DwAAAAAAAAAAAAAAAAAFBQAAZHJzL2Rvd25yZXYueG1sUEsFBgAAAAAEAAQA8wAAABUGAAAAAA==&#10;" fillcolor="white [3201]" stroked="f" strokeweight=".5pt">
                <v:textbox>
                  <w:txbxContent>
                    <w:p w:rsidR="00C16B02" w:rsidRPr="000B73AE" w:rsidRDefault="00C16B02" w:rsidP="000B73AE">
                      <w:pPr>
                        <w:jc w:val="center"/>
                        <w:rPr>
                          <w:lang w:val="en-US"/>
                        </w:rPr>
                      </w:pPr>
                      <w:r>
                        <w:rPr>
                          <w:lang w:val="en-US"/>
                        </w:rPr>
                        <w:t>EPS, euros</w:t>
                      </w:r>
                    </w:p>
                  </w:txbxContent>
                </v:textbox>
              </v:shape>
            </w:pict>
          </mc:Fallback>
        </mc:AlternateContent>
      </w:r>
      <w:r>
        <w:rPr>
          <w:rFonts w:cs="Times New Roman"/>
          <w:b/>
          <w:noProof/>
          <w:szCs w:val="24"/>
          <w:lang w:eastAsia="ru-RU"/>
        </w:rPr>
        <mc:AlternateContent>
          <mc:Choice Requires="wps">
            <w:drawing>
              <wp:anchor distT="0" distB="0" distL="114300" distR="114300" simplePos="0" relativeHeight="251826176" behindDoc="0" locked="0" layoutInCell="1" allowOverlap="1" wp14:anchorId="5D4691FF" wp14:editId="775BC1E5">
                <wp:simplePos x="0" y="0"/>
                <wp:positionH relativeFrom="column">
                  <wp:posOffset>438564</wp:posOffset>
                </wp:positionH>
                <wp:positionV relativeFrom="paragraph">
                  <wp:posOffset>1789237</wp:posOffset>
                </wp:positionV>
                <wp:extent cx="1963972" cy="294198"/>
                <wp:effectExtent l="0" t="0" r="0" b="0"/>
                <wp:wrapNone/>
                <wp:docPr id="216" name="Надпись 216"/>
                <wp:cNvGraphicFramePr/>
                <a:graphic xmlns:a="http://schemas.openxmlformats.org/drawingml/2006/main">
                  <a:graphicData uri="http://schemas.microsoft.com/office/word/2010/wordprocessingShape">
                    <wps:wsp>
                      <wps:cNvSpPr txBox="1"/>
                      <wps:spPr>
                        <a:xfrm>
                          <a:off x="0" y="0"/>
                          <a:ext cx="1963972"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B02" w:rsidRPr="000B73AE" w:rsidRDefault="00C16B02" w:rsidP="000B73AE">
                            <w:pPr>
                              <w:rPr>
                                <w:lang w:val="en-US"/>
                              </w:rPr>
                            </w:pPr>
                            <w:r>
                              <w:rPr>
                                <w:lang w:val="en-US"/>
                              </w:rPr>
                              <w:t>Operational income, m euros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91FF" id="Надпись 216" o:spid="_x0000_s1129" type="#_x0000_t202" style="position:absolute;margin-left:34.55pt;margin-top:140.9pt;width:154.65pt;height:2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4iqwIAAJ0FAAAOAAAAZHJzL2Uyb0RvYy54bWysVL1u2zAQ3gv0HQjujSzHcWIjcuAmSFEg&#10;SIImRWaaImOhFI8laUvulr2v0Hfo0KFbX8F5ox4pyXbTLCm6SEfed3e8736OT+pSkaWwrgCd0XSv&#10;R4nQHPJC32f04+35myNKnGc6Zwq0yOhKOHoyef3quDJj0Yc5qFxYgk60G1cmo3PvzThJHJ+Lkrk9&#10;MEKjUoItmcejvU9yyyr0Xqqk3+sNkwpsbixw4RzenjVKOon+pRTcX0nphCcqo/g2H782fmfhm0yO&#10;2fjeMjMvePsM9g+vKFmhMejG1RnzjCxs8ZersuAWHEi/x6FMQMqCi5gDZpP2nmRzM2dGxFyQHGc2&#10;NLn/55ZfLq8tKfKM9tMhJZqVWKT1t/X39Y/1r/XPx4fHryRokKfKuDHCbwwa+Pot1Fjv7t7hZUi/&#10;lrYMf0yMoB4ZX21YFrUnPBiNhvujwz4lHHX90SAdHQU3ydbaWOffCShJEDJqsYqRXLa8cL6BdpAQ&#10;zIEq8vNCqXgInSNOlSVLhjVXPr4Rnf+BUppUGR3uH/SiYw3BvPGsdHAjYu+04ULmTYZR8islAkbp&#10;D0IidzHRZ2IzzoXexI/ogJIY6iWGLX77qpcYN3mgRYwM2m+My0KDjdnHYdtSln/qKJMNHmuzk3cQ&#10;fT2rY9Okvf2uBWaQr7AzLDQz5gw/L7B8F8z5a2ZxqLAZcFH4K/xIBUg/tBIlc7BfnrsPeOx11FJS&#10;4ZBm1H1eMCsoUe81TsEoHQzCVMfD4OCwjwe7q5ntavSiPAXsiRRXkuFRDHivOlFaKO9wn0xDVFQx&#10;zTF2Rn0nnvpmdeA+4mI6jSCcY8P8hb4xPLgOPIfmvK3vmDVtB3vs/UvoxpmNnzRygw2WGqYLD7KI&#10;XR6YblhtK4A7IM5Ju6/Cktk9R9R2q05+AwAA//8DAFBLAwQUAAYACAAAACEAr4+c2eEAAAAKAQAA&#10;DwAAAGRycy9kb3ducmV2LnhtbEyPT0+DQBDF7yZ+h82YeDF2oWiLyNIY45/Em6XVeNuyIxDZWcJu&#10;Ab+940lvM/Ne3vxevpltJ0YcfOtIQbyIQCBVzrRUK9iVj5cpCB80Gd05QgXf6GFTnJ7kOjNuolcc&#10;t6EWHEI+0wqaEPpMSl81aLVfuB6JtU83WB14HWppBj1xuO3kMopW0uqW+EOje7xvsPraHq2Cj4v6&#10;/cXPT/spuU76h+exXL+ZUqnzs/nuFkTAOfyZ4Ref0aFgpoM7kvGiU7C6idmpYJnGXIENyTq9AnHg&#10;gU8gi1z+r1D8AAAA//8DAFBLAQItABQABgAIAAAAIQC2gziS/gAAAOEBAAATAAAAAAAAAAAAAAAA&#10;AAAAAABbQ29udGVudF9UeXBlc10ueG1sUEsBAi0AFAAGAAgAAAAhADj9If/WAAAAlAEAAAsAAAAA&#10;AAAAAAAAAAAALwEAAF9yZWxzLy5yZWxzUEsBAi0AFAAGAAgAAAAhACbO3iKrAgAAnQUAAA4AAAAA&#10;AAAAAAAAAAAALgIAAGRycy9lMm9Eb2MueG1sUEsBAi0AFAAGAAgAAAAhAK+PnNnhAAAACgEAAA8A&#10;AAAAAAAAAAAAAAAABQUAAGRycy9kb3ducmV2LnhtbFBLBQYAAAAABAAEAPMAAAATBgAAAAA=&#10;" fillcolor="white [3201]" stroked="f" strokeweight=".5pt">
                <v:textbox>
                  <w:txbxContent>
                    <w:p w:rsidR="00C16B02" w:rsidRPr="000B73AE" w:rsidRDefault="00C16B02" w:rsidP="000B73AE">
                      <w:pPr>
                        <w:rPr>
                          <w:lang w:val="en-US"/>
                        </w:rPr>
                      </w:pPr>
                      <w:r>
                        <w:rPr>
                          <w:lang w:val="en-US"/>
                        </w:rPr>
                        <w:t>Operational income, m euros</w:t>
                      </w:r>
                    </w:p>
                  </w:txbxContent>
                </v:textbox>
              </v:shape>
            </w:pict>
          </mc:Fallback>
        </mc:AlternateContent>
      </w:r>
      <w:r w:rsidR="00455A31">
        <w:rPr>
          <w:rFonts w:cs="Times New Roman"/>
          <w:b/>
          <w:szCs w:val="24"/>
        </w:rPr>
        <w:t xml:space="preserve"> </w:t>
      </w:r>
      <w:r w:rsidR="00455A31">
        <w:rPr>
          <w:rFonts w:cs="Times New Roman"/>
          <w:noProof/>
          <w:lang w:eastAsia="ru-RU"/>
        </w:rPr>
        <w:drawing>
          <wp:inline distT="0" distB="0" distL="0" distR="0">
            <wp:extent cx="2791460" cy="2141855"/>
            <wp:effectExtent l="0" t="0" r="8890" b="10795"/>
            <wp:docPr id="164" name="Диаграмма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455A31">
        <w:rPr>
          <w:rFonts w:cs="Times New Roman"/>
          <w:b/>
          <w:szCs w:val="24"/>
        </w:rPr>
        <w:t xml:space="preserve">      </w:t>
      </w:r>
      <w:r w:rsidR="00455A31">
        <w:rPr>
          <w:rFonts w:cs="Times New Roman"/>
          <w:noProof/>
          <w:lang w:eastAsia="ru-RU"/>
        </w:rPr>
        <w:drawing>
          <wp:inline distT="0" distB="0" distL="0" distR="0">
            <wp:extent cx="2694940" cy="2141855"/>
            <wp:effectExtent l="0" t="0" r="10160" b="10795"/>
            <wp:docPr id="163" name="Диаграмма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455A31">
        <w:rPr>
          <w:rFonts w:cs="Times New Roman"/>
          <w:b/>
          <w:szCs w:val="24"/>
        </w:rPr>
        <w:t xml:space="preserve"> </w:t>
      </w:r>
    </w:p>
    <w:p w:rsidR="00455A31" w:rsidRDefault="00455A31" w:rsidP="00455A31">
      <w:pPr>
        <w:pStyle w:val="a5"/>
        <w:rPr>
          <w:rFonts w:cs="Times New Roman"/>
          <w:b/>
          <w:szCs w:val="24"/>
        </w:rPr>
      </w:pPr>
    </w:p>
    <w:p w:rsidR="00455A31" w:rsidRDefault="00455A31" w:rsidP="00455A31">
      <w:pPr>
        <w:jc w:val="center"/>
      </w:pPr>
      <w:r>
        <w:rPr>
          <w:noProof/>
          <w:lang w:eastAsia="ru-RU"/>
        </w:rPr>
        <w:drawing>
          <wp:inline distT="0" distB="0" distL="0" distR="0" wp14:anchorId="23BC2FCE" wp14:editId="04E3A800">
            <wp:extent cx="4571365" cy="2742565"/>
            <wp:effectExtent l="0" t="0" r="635" b="63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54D1D" w:rsidRDefault="00B54D1D" w:rsidP="00455A31">
      <w:pPr>
        <w:jc w:val="center"/>
      </w:pPr>
    </w:p>
    <w:p w:rsidR="00B54D1D" w:rsidRDefault="00B54D1D" w:rsidP="00455A31">
      <w:pPr>
        <w:jc w:val="center"/>
      </w:pPr>
    </w:p>
    <w:p w:rsidR="00B54D1D" w:rsidRDefault="00B54D1D" w:rsidP="00455A31">
      <w:pPr>
        <w:jc w:val="center"/>
      </w:pPr>
    </w:p>
    <w:p w:rsidR="00B54D1D" w:rsidRDefault="00B54D1D" w:rsidP="00B958F5">
      <w:pPr>
        <w:pStyle w:val="1"/>
        <w:rPr>
          <w:lang w:val="en-US"/>
        </w:rPr>
      </w:pPr>
      <w:bookmarkStart w:id="36" w:name="_Toc421000009"/>
      <w:bookmarkStart w:id="37" w:name="_Toc483074665"/>
      <w:r>
        <w:rPr>
          <w:lang w:val="en-US"/>
        </w:rPr>
        <w:lastRenderedPageBreak/>
        <w:t>Appendix</w:t>
      </w:r>
      <w:r w:rsidR="009B7B03">
        <w:rPr>
          <w:lang w:val="en-US"/>
        </w:rPr>
        <w:t xml:space="preserve"> 8</w:t>
      </w:r>
      <w:r w:rsidRPr="00B54D1D">
        <w:rPr>
          <w:lang w:val="en-US"/>
        </w:rPr>
        <w:t xml:space="preserve">. </w:t>
      </w:r>
      <w:bookmarkEnd w:id="36"/>
      <w:r>
        <w:rPr>
          <w:lang w:val="en-US"/>
        </w:rPr>
        <w:t>Control premium value depending on different factors</w:t>
      </w:r>
      <w:bookmarkEnd w:id="37"/>
    </w:p>
    <w:p w:rsidR="0058657D" w:rsidRPr="0058657D" w:rsidRDefault="0058657D" w:rsidP="0058657D">
      <w:pPr>
        <w:rPr>
          <w:lang w:val="en-US"/>
        </w:rPr>
      </w:pPr>
    </w:p>
    <w:p w:rsidR="00B54D1D" w:rsidRDefault="00B54D1D" w:rsidP="00B54D1D">
      <w:pPr>
        <w:pStyle w:val="a5"/>
        <w:rPr>
          <w:rFonts w:cs="Times New Roman"/>
        </w:rPr>
      </w:pPr>
      <w:r>
        <w:rPr>
          <w:rFonts w:cs="Times New Roman"/>
          <w:noProof/>
          <w:lang w:eastAsia="ru-RU"/>
        </w:rPr>
        <w:drawing>
          <wp:inline distT="0" distB="0" distL="0" distR="0">
            <wp:extent cx="2973788" cy="2044777"/>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1479" cy="2050065"/>
                    </a:xfrm>
                    <a:prstGeom prst="rect">
                      <a:avLst/>
                    </a:prstGeom>
                    <a:noFill/>
                    <a:ln>
                      <a:noFill/>
                    </a:ln>
                  </pic:spPr>
                </pic:pic>
              </a:graphicData>
            </a:graphic>
          </wp:inline>
        </w:drawing>
      </w:r>
      <w:r>
        <w:rPr>
          <w:rFonts w:cs="Times New Roman"/>
          <w:noProof/>
          <w:lang w:eastAsia="ru-RU"/>
        </w:rPr>
        <w:drawing>
          <wp:inline distT="0" distB="0" distL="0" distR="0" wp14:anchorId="59A709F1" wp14:editId="78354FDE">
            <wp:extent cx="2679590" cy="1350536"/>
            <wp:effectExtent l="0" t="0" r="6985" b="254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9832" cy="1360738"/>
                    </a:xfrm>
                    <a:prstGeom prst="rect">
                      <a:avLst/>
                    </a:prstGeom>
                    <a:noFill/>
                    <a:ln>
                      <a:noFill/>
                    </a:ln>
                  </pic:spPr>
                </pic:pic>
              </a:graphicData>
            </a:graphic>
          </wp:inline>
        </w:drawing>
      </w:r>
    </w:p>
    <w:p w:rsidR="0058657D" w:rsidRPr="0058657D" w:rsidRDefault="0058657D" w:rsidP="0058657D">
      <w:pPr>
        <w:pStyle w:val="a5"/>
        <w:jc w:val="center"/>
        <w:rPr>
          <w:rFonts w:cs="Times New Roman"/>
          <w:sz w:val="16"/>
          <w:szCs w:val="16"/>
          <w:lang w:val="en-US"/>
        </w:rPr>
      </w:pPr>
      <w:r w:rsidRPr="0058657D">
        <w:rPr>
          <w:rFonts w:cs="Times New Roman"/>
          <w:sz w:val="16"/>
          <w:szCs w:val="16"/>
          <w:lang w:val="en-US"/>
        </w:rPr>
        <w:t>Pic</w:t>
      </w:r>
      <w:r w:rsidR="00B54D1D" w:rsidRPr="0058657D">
        <w:rPr>
          <w:rFonts w:cs="Times New Roman"/>
          <w:sz w:val="16"/>
          <w:szCs w:val="16"/>
          <w:lang w:val="en-US"/>
        </w:rPr>
        <w:t>. 1</w:t>
      </w:r>
      <w:r>
        <w:rPr>
          <w:rFonts w:cs="Times New Roman"/>
          <w:sz w:val="16"/>
          <w:szCs w:val="16"/>
          <w:lang w:val="en-US"/>
        </w:rPr>
        <w:t xml:space="preserve">. Market premium depending on industry              </w:t>
      </w:r>
      <w:r w:rsidRPr="0058657D">
        <w:rPr>
          <w:rFonts w:cs="Times New Roman"/>
          <w:sz w:val="16"/>
          <w:szCs w:val="16"/>
          <w:lang w:val="en-US"/>
        </w:rPr>
        <w:t xml:space="preserve">   Pic. 2. </w:t>
      </w:r>
      <w:r>
        <w:rPr>
          <w:rFonts w:cs="Times New Roman"/>
          <w:sz w:val="16"/>
          <w:szCs w:val="16"/>
          <w:lang w:val="en-US"/>
        </w:rPr>
        <w:t xml:space="preserve">Market premium depending on industry </w:t>
      </w:r>
    </w:p>
    <w:p w:rsidR="0058657D" w:rsidRPr="007C3FA8" w:rsidRDefault="00B54D1D" w:rsidP="0058657D">
      <w:pPr>
        <w:pStyle w:val="a5"/>
        <w:jc w:val="center"/>
        <w:rPr>
          <w:rFonts w:cs="Times New Roman"/>
          <w:sz w:val="16"/>
          <w:szCs w:val="16"/>
          <w:lang w:val="en-US"/>
        </w:rPr>
      </w:pPr>
      <w:r w:rsidRPr="007C3FA8">
        <w:rPr>
          <w:rFonts w:cs="Times New Roman"/>
          <w:sz w:val="16"/>
          <w:szCs w:val="16"/>
          <w:lang w:val="en-US"/>
        </w:rPr>
        <w:t xml:space="preserve"> [</w:t>
      </w:r>
      <w:r w:rsidRPr="0058657D">
        <w:rPr>
          <w:rFonts w:cs="Times New Roman"/>
          <w:sz w:val="16"/>
          <w:szCs w:val="16"/>
          <w:lang w:val="en-US"/>
        </w:rPr>
        <w:t>Mergerstat</w:t>
      </w:r>
      <w:r w:rsidRPr="007C3FA8">
        <w:rPr>
          <w:rFonts w:cs="Times New Roman"/>
          <w:sz w:val="16"/>
          <w:szCs w:val="16"/>
          <w:lang w:val="en-US"/>
        </w:rPr>
        <w:t xml:space="preserve">, </w:t>
      </w:r>
      <w:r w:rsidRPr="0058657D">
        <w:rPr>
          <w:rFonts w:cs="Times New Roman"/>
          <w:sz w:val="16"/>
          <w:szCs w:val="16"/>
          <w:lang w:val="en-US"/>
        </w:rPr>
        <w:t>Control</w:t>
      </w:r>
      <w:r w:rsidRPr="007C3FA8">
        <w:rPr>
          <w:rFonts w:cs="Times New Roman"/>
          <w:sz w:val="16"/>
          <w:szCs w:val="16"/>
          <w:lang w:val="en-US"/>
        </w:rPr>
        <w:t xml:space="preserve"> </w:t>
      </w:r>
      <w:r w:rsidRPr="0058657D">
        <w:rPr>
          <w:rFonts w:cs="Times New Roman"/>
          <w:sz w:val="16"/>
          <w:szCs w:val="16"/>
          <w:lang w:val="en-US"/>
        </w:rPr>
        <w:t>Premium</w:t>
      </w:r>
      <w:r w:rsidRPr="007C3FA8">
        <w:rPr>
          <w:rFonts w:cs="Times New Roman"/>
          <w:sz w:val="16"/>
          <w:szCs w:val="16"/>
          <w:lang w:val="en-US"/>
        </w:rPr>
        <w:t xml:space="preserve"> </w:t>
      </w:r>
      <w:r w:rsidRPr="0058657D">
        <w:rPr>
          <w:rFonts w:cs="Times New Roman"/>
          <w:sz w:val="16"/>
          <w:szCs w:val="16"/>
          <w:lang w:val="en-US"/>
        </w:rPr>
        <w:t>Study</w:t>
      </w:r>
      <w:r w:rsidRPr="007C3FA8">
        <w:rPr>
          <w:rFonts w:cs="Times New Roman"/>
          <w:sz w:val="16"/>
          <w:szCs w:val="16"/>
          <w:lang w:val="en-US"/>
        </w:rPr>
        <w:t>, 2013]</w:t>
      </w:r>
      <w:r w:rsidR="0058657D" w:rsidRPr="007C3FA8">
        <w:rPr>
          <w:rFonts w:cs="Times New Roman"/>
          <w:sz w:val="16"/>
          <w:szCs w:val="16"/>
          <w:lang w:val="en-US"/>
        </w:rPr>
        <w:t xml:space="preserve">                                     </w:t>
      </w:r>
      <w:r w:rsidR="0058657D" w:rsidRPr="0058657D">
        <w:rPr>
          <w:rFonts w:cs="Times New Roman"/>
          <w:sz w:val="16"/>
          <w:szCs w:val="16"/>
          <w:lang w:val="en-US"/>
        </w:rPr>
        <w:t>RSM</w:t>
      </w:r>
      <w:r w:rsidR="0058657D" w:rsidRPr="007C3FA8">
        <w:rPr>
          <w:rFonts w:cs="Times New Roman"/>
          <w:sz w:val="16"/>
          <w:szCs w:val="16"/>
          <w:lang w:val="en-US"/>
        </w:rPr>
        <w:t xml:space="preserve"> </w:t>
      </w:r>
      <w:r w:rsidR="0058657D" w:rsidRPr="0058657D">
        <w:rPr>
          <w:rFonts w:cs="Times New Roman"/>
          <w:sz w:val="16"/>
          <w:szCs w:val="16"/>
          <w:lang w:val="en-US"/>
        </w:rPr>
        <w:t>Bird</w:t>
      </w:r>
      <w:r w:rsidR="0058657D" w:rsidRPr="007C3FA8">
        <w:rPr>
          <w:rFonts w:cs="Times New Roman"/>
          <w:sz w:val="16"/>
          <w:szCs w:val="16"/>
          <w:lang w:val="en-US"/>
        </w:rPr>
        <w:t xml:space="preserve"> </w:t>
      </w:r>
      <w:r w:rsidR="0058657D" w:rsidRPr="0058657D">
        <w:rPr>
          <w:rFonts w:cs="Times New Roman"/>
          <w:sz w:val="16"/>
          <w:szCs w:val="16"/>
          <w:lang w:val="en-US"/>
        </w:rPr>
        <w:t>Cameron</w:t>
      </w:r>
      <w:r w:rsidR="0058657D" w:rsidRPr="007C3FA8">
        <w:rPr>
          <w:rFonts w:cs="Times New Roman"/>
          <w:sz w:val="16"/>
          <w:szCs w:val="16"/>
          <w:lang w:val="en-US"/>
        </w:rPr>
        <w:t xml:space="preserve">, </w:t>
      </w:r>
      <w:r w:rsidR="0058657D" w:rsidRPr="0058657D">
        <w:rPr>
          <w:rFonts w:cs="Times New Roman"/>
          <w:sz w:val="16"/>
          <w:szCs w:val="16"/>
          <w:lang w:val="en-US"/>
        </w:rPr>
        <w:t>Control</w:t>
      </w:r>
      <w:r w:rsidR="0058657D" w:rsidRPr="007C3FA8">
        <w:rPr>
          <w:rFonts w:cs="Times New Roman"/>
          <w:sz w:val="16"/>
          <w:szCs w:val="16"/>
          <w:lang w:val="en-US"/>
        </w:rPr>
        <w:t xml:space="preserve"> </w:t>
      </w:r>
      <w:r w:rsidR="0058657D" w:rsidRPr="0058657D">
        <w:rPr>
          <w:rFonts w:cs="Times New Roman"/>
          <w:sz w:val="16"/>
          <w:szCs w:val="16"/>
          <w:lang w:val="en-US"/>
        </w:rPr>
        <w:t>Premium</w:t>
      </w:r>
      <w:r w:rsidR="0058657D" w:rsidRPr="007C3FA8">
        <w:rPr>
          <w:rFonts w:cs="Times New Roman"/>
          <w:sz w:val="16"/>
          <w:szCs w:val="16"/>
          <w:lang w:val="en-US"/>
        </w:rPr>
        <w:t xml:space="preserve"> </w:t>
      </w:r>
      <w:r w:rsidR="0058657D" w:rsidRPr="0058657D">
        <w:rPr>
          <w:rFonts w:cs="Times New Roman"/>
          <w:sz w:val="16"/>
          <w:szCs w:val="16"/>
          <w:lang w:val="en-US"/>
        </w:rPr>
        <w:t>Study</w:t>
      </w:r>
      <w:r w:rsidR="0058657D" w:rsidRPr="007C3FA8">
        <w:rPr>
          <w:rFonts w:cs="Times New Roman"/>
          <w:sz w:val="16"/>
          <w:szCs w:val="16"/>
          <w:lang w:val="en-US"/>
        </w:rPr>
        <w:t>, 2014]</w:t>
      </w:r>
    </w:p>
    <w:p w:rsidR="00B54D1D" w:rsidRPr="007C3FA8" w:rsidRDefault="00B54D1D" w:rsidP="0058657D">
      <w:pPr>
        <w:pStyle w:val="a5"/>
        <w:rPr>
          <w:rFonts w:cs="Times New Roman"/>
          <w:sz w:val="16"/>
          <w:szCs w:val="16"/>
          <w:lang w:val="en-US"/>
        </w:rPr>
      </w:pPr>
    </w:p>
    <w:p w:rsidR="00B54D1D" w:rsidRPr="007C3FA8" w:rsidRDefault="00B54D1D" w:rsidP="00B54D1D">
      <w:pPr>
        <w:pStyle w:val="a5"/>
        <w:rPr>
          <w:rFonts w:cs="Times New Roman"/>
          <w:sz w:val="22"/>
          <w:lang w:val="en-US"/>
        </w:rPr>
      </w:pPr>
    </w:p>
    <w:p w:rsidR="0058657D" w:rsidRPr="0058657D" w:rsidRDefault="00B54D1D" w:rsidP="0058657D">
      <w:pPr>
        <w:pStyle w:val="a5"/>
        <w:rPr>
          <w:rFonts w:cs="Times New Roman"/>
          <w:sz w:val="22"/>
          <w:lang w:val="en-US"/>
        </w:rPr>
      </w:pPr>
      <w:r>
        <w:rPr>
          <w:rFonts w:cs="Times New Roman"/>
          <w:noProof/>
          <w:lang w:eastAsia="ru-RU"/>
        </w:rPr>
        <w:drawing>
          <wp:inline distT="0" distB="0" distL="0" distR="0">
            <wp:extent cx="2067340" cy="19144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9309" cy="1934789"/>
                    </a:xfrm>
                    <a:prstGeom prst="rect">
                      <a:avLst/>
                    </a:prstGeom>
                    <a:noFill/>
                    <a:ln>
                      <a:noFill/>
                    </a:ln>
                  </pic:spPr>
                </pic:pic>
              </a:graphicData>
            </a:graphic>
          </wp:inline>
        </w:drawing>
      </w:r>
      <w:r w:rsidR="0058657D">
        <w:rPr>
          <w:rFonts w:cs="Times New Roman"/>
          <w:noProof/>
          <w:szCs w:val="24"/>
          <w:lang w:val="en-US" w:eastAsia="ru-RU"/>
        </w:rPr>
        <w:t xml:space="preserve">                  </w:t>
      </w:r>
      <w:r w:rsidR="0058657D">
        <w:rPr>
          <w:rFonts w:cs="Times New Roman"/>
          <w:noProof/>
          <w:szCs w:val="24"/>
          <w:lang w:eastAsia="ru-RU"/>
        </w:rPr>
        <w:drawing>
          <wp:inline distT="0" distB="0" distL="0" distR="0" wp14:anchorId="7DB9FED8" wp14:editId="6372904A">
            <wp:extent cx="3166643" cy="1401886"/>
            <wp:effectExtent l="0" t="0" r="0"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8647" cy="1411627"/>
                    </a:xfrm>
                    <a:prstGeom prst="rect">
                      <a:avLst/>
                    </a:prstGeom>
                    <a:noFill/>
                    <a:ln>
                      <a:noFill/>
                    </a:ln>
                  </pic:spPr>
                </pic:pic>
              </a:graphicData>
            </a:graphic>
          </wp:inline>
        </w:drawing>
      </w:r>
    </w:p>
    <w:p w:rsidR="0058657D" w:rsidRPr="0058657D" w:rsidRDefault="0058657D" w:rsidP="0058657D">
      <w:pPr>
        <w:pStyle w:val="a5"/>
        <w:jc w:val="center"/>
        <w:rPr>
          <w:rFonts w:cs="Times New Roman"/>
          <w:sz w:val="16"/>
          <w:szCs w:val="16"/>
          <w:lang w:val="en-US"/>
        </w:rPr>
      </w:pPr>
      <w:r w:rsidRPr="0058657D">
        <w:rPr>
          <w:rFonts w:cs="Times New Roman"/>
          <w:sz w:val="16"/>
          <w:szCs w:val="16"/>
          <w:lang w:val="en-US"/>
        </w:rPr>
        <w:t>Pic</w:t>
      </w:r>
      <w:r w:rsidR="00B54D1D" w:rsidRPr="0058657D">
        <w:rPr>
          <w:rFonts w:cs="Times New Roman"/>
          <w:sz w:val="16"/>
          <w:szCs w:val="16"/>
          <w:lang w:val="en-US"/>
        </w:rPr>
        <w:t xml:space="preserve">. 3. </w:t>
      </w:r>
      <w:r>
        <w:rPr>
          <w:rFonts w:cs="Times New Roman"/>
          <w:sz w:val="16"/>
          <w:szCs w:val="16"/>
          <w:lang w:val="en-US"/>
        </w:rPr>
        <w:t xml:space="preserve">Marget premium depending on D/E ratio                       </w:t>
      </w:r>
      <w:r>
        <w:rPr>
          <w:rFonts w:cs="Times New Roman"/>
          <w:sz w:val="16"/>
          <w:szCs w:val="16"/>
        </w:rPr>
        <w:t>Р</w:t>
      </w:r>
      <w:r w:rsidRPr="0058657D">
        <w:rPr>
          <w:rFonts w:cs="Times New Roman"/>
          <w:sz w:val="16"/>
          <w:szCs w:val="16"/>
          <w:lang w:val="en-US"/>
        </w:rPr>
        <w:t xml:space="preserve">ic. 4. </w:t>
      </w:r>
      <w:r>
        <w:rPr>
          <w:rFonts w:cs="Times New Roman"/>
          <w:sz w:val="16"/>
          <w:szCs w:val="16"/>
          <w:lang w:val="en-US"/>
        </w:rPr>
        <w:t>Market premium depending on investor share</w:t>
      </w:r>
    </w:p>
    <w:p w:rsidR="00B54D1D" w:rsidRPr="0058657D" w:rsidRDefault="00B54D1D" w:rsidP="0058657D">
      <w:pPr>
        <w:pStyle w:val="a5"/>
        <w:jc w:val="center"/>
        <w:rPr>
          <w:rFonts w:cs="Times New Roman"/>
          <w:sz w:val="16"/>
          <w:szCs w:val="16"/>
          <w:lang w:val="en-US"/>
        </w:rPr>
      </w:pPr>
      <w:r w:rsidRPr="0058657D">
        <w:rPr>
          <w:rFonts w:cs="Times New Roman"/>
          <w:sz w:val="16"/>
          <w:szCs w:val="16"/>
          <w:lang w:val="en-US"/>
        </w:rPr>
        <w:t>[RSM Bird Cameron, Control Premium Study, 2014]</w:t>
      </w:r>
    </w:p>
    <w:p w:rsidR="00B54D1D" w:rsidRPr="0058657D" w:rsidRDefault="00B54D1D" w:rsidP="00B54D1D">
      <w:pPr>
        <w:pStyle w:val="a5"/>
        <w:jc w:val="center"/>
        <w:rPr>
          <w:rFonts w:cs="Times New Roman"/>
          <w:sz w:val="16"/>
          <w:szCs w:val="16"/>
          <w:lang w:val="en-US"/>
        </w:rPr>
      </w:pPr>
    </w:p>
    <w:p w:rsidR="00B54D1D" w:rsidRPr="0058657D" w:rsidRDefault="00B54D1D" w:rsidP="0058657D">
      <w:pPr>
        <w:pStyle w:val="a5"/>
        <w:rPr>
          <w:rFonts w:cs="Times New Roman"/>
          <w:sz w:val="22"/>
          <w:lang w:val="en-US"/>
        </w:rPr>
      </w:pPr>
      <w:r>
        <w:rPr>
          <w:rFonts w:cs="Times New Roman"/>
          <w:noProof/>
          <w:lang w:eastAsia="ru-RU"/>
        </w:rPr>
        <w:drawing>
          <wp:inline distT="0" distB="0" distL="0" distR="0">
            <wp:extent cx="2742409" cy="2125128"/>
            <wp:effectExtent l="0" t="0" r="1270"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422" cy="2132112"/>
                    </a:xfrm>
                    <a:prstGeom prst="rect">
                      <a:avLst/>
                    </a:prstGeom>
                    <a:noFill/>
                    <a:ln>
                      <a:noFill/>
                    </a:ln>
                  </pic:spPr>
                </pic:pic>
              </a:graphicData>
            </a:graphic>
          </wp:inline>
        </w:drawing>
      </w:r>
      <w:r w:rsidR="0058657D">
        <w:rPr>
          <w:rFonts w:cs="Times New Roman"/>
          <w:noProof/>
          <w:szCs w:val="24"/>
          <w:lang w:eastAsia="ru-RU"/>
        </w:rPr>
        <w:drawing>
          <wp:inline distT="0" distB="0" distL="0" distR="0" wp14:anchorId="4B372BE9" wp14:editId="1E9C5D1E">
            <wp:extent cx="2838616" cy="22511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4253" cy="2255636"/>
                    </a:xfrm>
                    <a:prstGeom prst="rect">
                      <a:avLst/>
                    </a:prstGeom>
                    <a:noFill/>
                    <a:ln>
                      <a:noFill/>
                    </a:ln>
                  </pic:spPr>
                </pic:pic>
              </a:graphicData>
            </a:graphic>
          </wp:inline>
        </w:drawing>
      </w:r>
    </w:p>
    <w:p w:rsidR="00B54D1D" w:rsidRPr="0058657D" w:rsidRDefault="0058657D" w:rsidP="00B54D1D">
      <w:pPr>
        <w:pStyle w:val="a5"/>
        <w:jc w:val="center"/>
        <w:rPr>
          <w:rFonts w:cs="Times New Roman"/>
          <w:sz w:val="16"/>
          <w:szCs w:val="16"/>
          <w:lang w:val="en-US"/>
        </w:rPr>
      </w:pPr>
      <w:r w:rsidRPr="0058657D">
        <w:rPr>
          <w:rFonts w:cs="Times New Roman"/>
          <w:sz w:val="16"/>
          <w:szCs w:val="16"/>
          <w:lang w:val="en-US"/>
        </w:rPr>
        <w:t xml:space="preserve">Pic. 5. Market premium depending on market capitalization </w:t>
      </w:r>
    </w:p>
    <w:p w:rsidR="00B54D1D" w:rsidRPr="0058657D" w:rsidRDefault="00B54D1D" w:rsidP="00B54D1D">
      <w:pPr>
        <w:pStyle w:val="a5"/>
        <w:jc w:val="center"/>
        <w:rPr>
          <w:rFonts w:cs="Times New Roman"/>
          <w:sz w:val="16"/>
          <w:szCs w:val="16"/>
          <w:lang w:val="en-US"/>
        </w:rPr>
      </w:pPr>
      <w:r w:rsidRPr="0058657D">
        <w:rPr>
          <w:rFonts w:cs="Times New Roman"/>
          <w:sz w:val="16"/>
          <w:szCs w:val="16"/>
          <w:lang w:val="en-US"/>
        </w:rPr>
        <w:t xml:space="preserve"> [RSM Bird Cameron, Control Premium Study, 2014]</w:t>
      </w:r>
    </w:p>
    <w:p w:rsidR="00B54D1D" w:rsidRDefault="00B54D1D" w:rsidP="00B54D1D">
      <w:pPr>
        <w:pStyle w:val="a5"/>
        <w:jc w:val="center"/>
        <w:rPr>
          <w:rFonts w:cs="Times New Roman"/>
          <w:szCs w:val="24"/>
          <w:lang w:val="en-US"/>
        </w:rPr>
      </w:pPr>
    </w:p>
    <w:p w:rsidR="00B54D1D" w:rsidRDefault="00B54D1D" w:rsidP="00455A31">
      <w:pPr>
        <w:jc w:val="center"/>
        <w:rPr>
          <w:lang w:val="en-US"/>
        </w:rPr>
      </w:pPr>
    </w:p>
    <w:p w:rsidR="00B958F5" w:rsidRDefault="00B958F5" w:rsidP="00455A31">
      <w:pPr>
        <w:jc w:val="center"/>
        <w:rPr>
          <w:lang w:val="en-US"/>
        </w:rPr>
      </w:pPr>
    </w:p>
    <w:p w:rsidR="00B958F5" w:rsidRDefault="00B958F5" w:rsidP="00455A31">
      <w:pPr>
        <w:jc w:val="center"/>
        <w:rPr>
          <w:lang w:val="en-US"/>
        </w:rPr>
      </w:pPr>
    </w:p>
    <w:p w:rsidR="00B958F5" w:rsidRDefault="00B958F5" w:rsidP="00455A31">
      <w:pPr>
        <w:jc w:val="center"/>
        <w:rPr>
          <w:lang w:val="en-US"/>
        </w:rPr>
      </w:pPr>
    </w:p>
    <w:p w:rsidR="00B958F5" w:rsidRDefault="00B958F5" w:rsidP="00455A31">
      <w:pPr>
        <w:jc w:val="center"/>
        <w:rPr>
          <w:lang w:val="en-US"/>
        </w:rPr>
        <w:sectPr w:rsidR="00B958F5" w:rsidSect="00455A31">
          <w:type w:val="continuous"/>
          <w:pgSz w:w="11906" w:h="16838"/>
          <w:pgMar w:top="1134" w:right="851" w:bottom="1134" w:left="1701" w:header="709" w:footer="709" w:gutter="0"/>
          <w:cols w:space="708"/>
          <w:docGrid w:linePitch="360"/>
        </w:sectPr>
      </w:pPr>
    </w:p>
    <w:p w:rsidR="00B958F5" w:rsidRPr="00405102" w:rsidRDefault="00B958F5" w:rsidP="00B958F5">
      <w:pPr>
        <w:pStyle w:val="1"/>
        <w:rPr>
          <w:lang w:val="en-US"/>
        </w:rPr>
      </w:pPr>
      <w:bookmarkStart w:id="38" w:name="_Toc421000013"/>
      <w:bookmarkStart w:id="39" w:name="_Toc483074666"/>
      <w:r>
        <w:rPr>
          <w:lang w:val="en-US"/>
        </w:rPr>
        <w:lastRenderedPageBreak/>
        <w:t xml:space="preserve">Appendix </w:t>
      </w:r>
      <w:r w:rsidR="009B7B03">
        <w:rPr>
          <w:lang w:val="en-US"/>
        </w:rPr>
        <w:t>9</w:t>
      </w:r>
      <w:r>
        <w:rPr>
          <w:lang w:val="en-US"/>
        </w:rPr>
        <w:t xml:space="preserve">. Building debt schedule </w:t>
      </w:r>
      <w:bookmarkEnd w:id="38"/>
      <w:r w:rsidR="00405102">
        <w:rPr>
          <w:lang w:val="en-US"/>
        </w:rPr>
        <w:t>for Ingenico Group</w:t>
      </w:r>
      <w:bookmarkEnd w:id="39"/>
    </w:p>
    <w:p w:rsidR="00B958F5" w:rsidRDefault="00987C20" w:rsidP="00B958F5">
      <w:r w:rsidRPr="00987C20">
        <w:rPr>
          <w:noProof/>
          <w:lang w:eastAsia="ru-RU"/>
        </w:rPr>
        <w:drawing>
          <wp:inline distT="0" distB="0" distL="0" distR="0">
            <wp:extent cx="4516341" cy="5323667"/>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27339" cy="5336631"/>
                    </a:xfrm>
                    <a:prstGeom prst="rect">
                      <a:avLst/>
                    </a:prstGeom>
                    <a:noFill/>
                    <a:ln>
                      <a:noFill/>
                    </a:ln>
                  </pic:spPr>
                </pic:pic>
              </a:graphicData>
            </a:graphic>
          </wp:inline>
        </w:drawing>
      </w:r>
    </w:p>
    <w:p w:rsidR="00B958F5" w:rsidRPr="00405102" w:rsidRDefault="009B7B03" w:rsidP="00B958F5">
      <w:pPr>
        <w:pStyle w:val="1"/>
        <w:rPr>
          <w:lang w:val="en-US"/>
        </w:rPr>
      </w:pPr>
      <w:bookmarkStart w:id="40" w:name="_Toc421000015"/>
      <w:bookmarkStart w:id="41" w:name="_Toc483074667"/>
      <w:r>
        <w:rPr>
          <w:lang w:val="en-US"/>
        </w:rPr>
        <w:lastRenderedPageBreak/>
        <w:t>Appendix 10</w:t>
      </w:r>
      <w:r w:rsidR="00B958F5">
        <w:rPr>
          <w:lang w:val="en-US"/>
        </w:rPr>
        <w:t>. Building Income Statement</w:t>
      </w:r>
      <w:bookmarkEnd w:id="40"/>
      <w:r w:rsidR="00B958F5" w:rsidRPr="00405102">
        <w:rPr>
          <w:lang w:val="en-US"/>
        </w:rPr>
        <w:t xml:space="preserve"> </w:t>
      </w:r>
      <w:r w:rsidR="00405102">
        <w:rPr>
          <w:lang w:val="en-US"/>
        </w:rPr>
        <w:t>for Ingenico Group</w:t>
      </w:r>
      <w:bookmarkEnd w:id="41"/>
    </w:p>
    <w:p w:rsidR="00B958F5" w:rsidRDefault="00987C20" w:rsidP="00B958F5">
      <w:pPr>
        <w:rPr>
          <w:noProof/>
          <w:lang w:eastAsia="ru-RU"/>
        </w:rPr>
      </w:pPr>
      <w:r w:rsidRPr="00987C20">
        <w:rPr>
          <w:noProof/>
          <w:lang w:eastAsia="ru-RU"/>
        </w:rPr>
        <w:drawing>
          <wp:inline distT="0" distB="0" distL="0" distR="0">
            <wp:extent cx="8102379" cy="5445128"/>
            <wp:effectExtent l="0" t="0" r="0"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18080" cy="5455680"/>
                    </a:xfrm>
                    <a:prstGeom prst="rect">
                      <a:avLst/>
                    </a:prstGeom>
                    <a:noFill/>
                    <a:ln>
                      <a:noFill/>
                    </a:ln>
                  </pic:spPr>
                </pic:pic>
              </a:graphicData>
            </a:graphic>
          </wp:inline>
        </w:drawing>
      </w:r>
    </w:p>
    <w:p w:rsidR="00B958F5" w:rsidRPr="00B958F5" w:rsidRDefault="00B958F5" w:rsidP="00B958F5">
      <w:pPr>
        <w:pStyle w:val="1"/>
        <w:rPr>
          <w:lang w:val="en-US"/>
        </w:rPr>
      </w:pPr>
      <w:bookmarkStart w:id="42" w:name="_Toc483074668"/>
      <w:r>
        <w:rPr>
          <w:lang w:val="en-US"/>
        </w:rPr>
        <w:lastRenderedPageBreak/>
        <w:t>Appendix 1</w:t>
      </w:r>
      <w:r w:rsidR="009B7B03">
        <w:rPr>
          <w:lang w:val="en-US"/>
        </w:rPr>
        <w:t>1</w:t>
      </w:r>
      <w:r>
        <w:rPr>
          <w:lang w:val="en-US"/>
        </w:rPr>
        <w:t xml:space="preserve">. Building Balance Sheet </w:t>
      </w:r>
      <w:r w:rsidR="00405102">
        <w:rPr>
          <w:lang w:val="en-US"/>
        </w:rPr>
        <w:t>for Ingenico Group</w:t>
      </w:r>
      <w:bookmarkEnd w:id="42"/>
    </w:p>
    <w:p w:rsidR="00405102" w:rsidRDefault="00987C20" w:rsidP="00B958F5">
      <w:r w:rsidRPr="00987C20">
        <w:rPr>
          <w:noProof/>
          <w:lang w:eastAsia="ru-RU"/>
        </w:rPr>
        <w:drawing>
          <wp:inline distT="0" distB="0" distL="0" distR="0">
            <wp:extent cx="7926422" cy="5335326"/>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35159" cy="5341207"/>
                    </a:xfrm>
                    <a:prstGeom prst="rect">
                      <a:avLst/>
                    </a:prstGeom>
                    <a:noFill/>
                    <a:ln>
                      <a:noFill/>
                    </a:ln>
                  </pic:spPr>
                </pic:pic>
              </a:graphicData>
            </a:graphic>
          </wp:inline>
        </w:drawing>
      </w:r>
    </w:p>
    <w:p w:rsidR="00405102" w:rsidRDefault="00405102" w:rsidP="00405102">
      <w:pPr>
        <w:pStyle w:val="1"/>
        <w:rPr>
          <w:lang w:val="en-US"/>
        </w:rPr>
      </w:pPr>
      <w:bookmarkStart w:id="43" w:name="_Toc483074669"/>
      <w:r>
        <w:rPr>
          <w:lang w:val="en-US"/>
        </w:rPr>
        <w:lastRenderedPageBreak/>
        <w:t>Appendix 12. Building cash flow statement for Ingenico Group</w:t>
      </w:r>
      <w:bookmarkEnd w:id="43"/>
      <w:r>
        <w:rPr>
          <w:lang w:val="en-US"/>
        </w:rPr>
        <w:t xml:space="preserve"> </w:t>
      </w:r>
    </w:p>
    <w:p w:rsidR="00405102" w:rsidRPr="00405102" w:rsidRDefault="00987C20" w:rsidP="00B958F5">
      <w:pPr>
        <w:rPr>
          <w:lang w:val="en-US"/>
        </w:rPr>
      </w:pPr>
      <w:r w:rsidRPr="00987C20">
        <w:rPr>
          <w:noProof/>
          <w:lang w:eastAsia="ru-RU"/>
        </w:rPr>
        <w:drawing>
          <wp:inline distT="0" distB="0" distL="0" distR="0">
            <wp:extent cx="5955527" cy="5046471"/>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8874" cy="5049307"/>
                    </a:xfrm>
                    <a:prstGeom prst="rect">
                      <a:avLst/>
                    </a:prstGeom>
                    <a:noFill/>
                    <a:ln>
                      <a:noFill/>
                    </a:ln>
                  </pic:spPr>
                </pic:pic>
              </a:graphicData>
            </a:graphic>
          </wp:inline>
        </w:drawing>
      </w:r>
    </w:p>
    <w:p w:rsidR="00B958F5" w:rsidRPr="00405102" w:rsidRDefault="00B958F5">
      <w:pPr>
        <w:spacing w:line="259" w:lineRule="auto"/>
        <w:rPr>
          <w:rFonts w:eastAsiaTheme="majorEastAsia" w:cstheme="majorBidi"/>
          <w:b/>
          <w:szCs w:val="26"/>
          <w:lang w:val="en-US"/>
        </w:rPr>
      </w:pPr>
      <w:bookmarkStart w:id="44" w:name="_Toc421000018"/>
      <w:r w:rsidRPr="00405102">
        <w:rPr>
          <w:lang w:val="en-US"/>
        </w:rPr>
        <w:br w:type="page"/>
      </w:r>
    </w:p>
    <w:p w:rsidR="00B958F5" w:rsidRPr="00B958F5" w:rsidRDefault="00B958F5" w:rsidP="00B958F5">
      <w:pPr>
        <w:pStyle w:val="1"/>
        <w:rPr>
          <w:lang w:val="en-US"/>
        </w:rPr>
      </w:pPr>
      <w:bookmarkStart w:id="45" w:name="_Toc483074670"/>
      <w:bookmarkEnd w:id="44"/>
      <w:r>
        <w:rPr>
          <w:lang w:val="en-US"/>
        </w:rPr>
        <w:lastRenderedPageBreak/>
        <w:t>Appendix 1</w:t>
      </w:r>
      <w:r w:rsidR="00405102">
        <w:rPr>
          <w:lang w:val="en-US"/>
        </w:rPr>
        <w:t>3</w:t>
      </w:r>
      <w:r>
        <w:rPr>
          <w:lang w:val="en-US"/>
        </w:rPr>
        <w:t xml:space="preserve">. Return analysis </w:t>
      </w:r>
      <w:r w:rsidR="00405102">
        <w:rPr>
          <w:lang w:val="en-US"/>
        </w:rPr>
        <w:t>for Ingenico Group</w:t>
      </w:r>
      <w:bookmarkEnd w:id="45"/>
    </w:p>
    <w:p w:rsidR="00B958F5" w:rsidRPr="00405102" w:rsidRDefault="00B958F5" w:rsidP="00B958F5">
      <w:pPr>
        <w:pStyle w:val="a5"/>
        <w:rPr>
          <w:lang w:val="en-US"/>
        </w:rPr>
      </w:pPr>
      <w:r w:rsidRPr="00405102">
        <w:rPr>
          <w:lang w:val="en-US"/>
        </w:rPr>
        <w:t xml:space="preserve"> </w:t>
      </w:r>
    </w:p>
    <w:p w:rsidR="00B958F5" w:rsidRPr="00405102" w:rsidRDefault="00987C20" w:rsidP="00B958F5">
      <w:pPr>
        <w:rPr>
          <w:lang w:val="en-US"/>
        </w:rPr>
      </w:pPr>
      <w:r w:rsidRPr="00987C20">
        <w:rPr>
          <w:noProof/>
          <w:lang w:eastAsia="ru-RU"/>
        </w:rPr>
        <w:drawing>
          <wp:inline distT="0" distB="0" distL="0" distR="0">
            <wp:extent cx="9251950" cy="4505651"/>
            <wp:effectExtent l="0" t="0" r="635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4505651"/>
                    </a:xfrm>
                    <a:prstGeom prst="rect">
                      <a:avLst/>
                    </a:prstGeom>
                    <a:noFill/>
                    <a:ln>
                      <a:noFill/>
                    </a:ln>
                  </pic:spPr>
                </pic:pic>
              </a:graphicData>
            </a:graphic>
          </wp:inline>
        </w:drawing>
      </w:r>
    </w:p>
    <w:p w:rsidR="00B958F5" w:rsidRPr="00B54D1D" w:rsidRDefault="000B73AE" w:rsidP="00455A31">
      <w:pPr>
        <w:jc w:val="center"/>
        <w:rPr>
          <w:lang w:val="en-US"/>
        </w:rPr>
      </w:pPr>
      <w:r>
        <w:rPr>
          <w:rFonts w:asciiTheme="minorHAnsi" w:hAnsi="Calibri"/>
          <w:sz w:val="22"/>
          <w:lang w:val="en-US"/>
        </w:rPr>
        <w:t xml:space="preserve"> </w:t>
      </w:r>
    </w:p>
    <w:sectPr w:rsidR="00B958F5" w:rsidRPr="00B54D1D" w:rsidSect="00B958F5">
      <w:type w:val="continuous"/>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CA" w:rsidRDefault="00E977CA" w:rsidP="00C732B0">
      <w:pPr>
        <w:spacing w:after="0" w:line="240" w:lineRule="auto"/>
      </w:pPr>
      <w:r>
        <w:separator/>
      </w:r>
    </w:p>
  </w:endnote>
  <w:endnote w:type="continuationSeparator" w:id="0">
    <w:p w:rsidR="00E977CA" w:rsidRDefault="00E977CA" w:rsidP="00C73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FDHC P+intirr">
    <w:altName w:val="intirr"/>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522646"/>
      <w:docPartObj>
        <w:docPartGallery w:val="Page Numbers (Bottom of Page)"/>
        <w:docPartUnique/>
      </w:docPartObj>
    </w:sdtPr>
    <w:sdtEndPr>
      <w:rPr>
        <w:rFonts w:cs="Times New Roman"/>
        <w:szCs w:val="24"/>
      </w:rPr>
    </w:sdtEndPr>
    <w:sdtContent>
      <w:p w:rsidR="00C16B02" w:rsidRPr="003C62BE" w:rsidRDefault="00C16B02">
        <w:pPr>
          <w:pStyle w:val="ad"/>
          <w:jc w:val="right"/>
          <w:rPr>
            <w:rFonts w:cs="Times New Roman"/>
            <w:szCs w:val="24"/>
          </w:rPr>
        </w:pPr>
        <w:r w:rsidRPr="003C62BE">
          <w:rPr>
            <w:rFonts w:cs="Times New Roman"/>
            <w:szCs w:val="24"/>
          </w:rPr>
          <w:fldChar w:fldCharType="begin"/>
        </w:r>
        <w:r w:rsidRPr="003C62BE">
          <w:rPr>
            <w:rFonts w:cs="Times New Roman"/>
            <w:szCs w:val="24"/>
          </w:rPr>
          <w:instrText>PAGE   \* MERGEFORMAT</w:instrText>
        </w:r>
        <w:r w:rsidRPr="003C62BE">
          <w:rPr>
            <w:rFonts w:cs="Times New Roman"/>
            <w:szCs w:val="24"/>
          </w:rPr>
          <w:fldChar w:fldCharType="separate"/>
        </w:r>
        <w:r w:rsidR="004D64C0">
          <w:rPr>
            <w:rFonts w:cs="Times New Roman"/>
            <w:noProof/>
            <w:szCs w:val="24"/>
          </w:rPr>
          <w:t>89</w:t>
        </w:r>
        <w:r w:rsidRPr="003C62BE">
          <w:rPr>
            <w:rFonts w:cs="Times New Roman"/>
            <w:szCs w:val="24"/>
          </w:rPr>
          <w:fldChar w:fldCharType="end"/>
        </w:r>
      </w:p>
    </w:sdtContent>
  </w:sdt>
  <w:p w:rsidR="00C16B02" w:rsidRDefault="00C16B0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CA" w:rsidRDefault="00E977CA" w:rsidP="00C732B0">
      <w:pPr>
        <w:spacing w:after="0" w:line="240" w:lineRule="auto"/>
      </w:pPr>
      <w:r>
        <w:separator/>
      </w:r>
    </w:p>
  </w:footnote>
  <w:footnote w:type="continuationSeparator" w:id="0">
    <w:p w:rsidR="00E977CA" w:rsidRDefault="00E977CA" w:rsidP="00C732B0">
      <w:pPr>
        <w:spacing w:after="0" w:line="240" w:lineRule="auto"/>
      </w:pPr>
      <w:r>
        <w:continuationSeparator/>
      </w:r>
    </w:p>
  </w:footnote>
  <w:footnote w:id="1">
    <w:p w:rsidR="00C16B02" w:rsidRDefault="00C16B02" w:rsidP="00D81F22">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2">
    <w:p w:rsidR="00C16B02" w:rsidRDefault="00C16B02" w:rsidP="00C732B0">
      <w:pPr>
        <w:pStyle w:val="a7"/>
        <w:rPr>
          <w:lang w:val="en-US"/>
        </w:rPr>
      </w:pPr>
      <w:r>
        <w:rPr>
          <w:rStyle w:val="a9"/>
        </w:rPr>
        <w:footnoteRef/>
      </w:r>
      <w:r>
        <w:rPr>
          <w:lang w:val="en-US"/>
        </w:rPr>
        <w:t xml:space="preserve"> Cao J. The Performance of Reverse Leveraged Buyouts / Jennifer Palthe // Journal of Education for Business. — 2013. — Vol. 88, Issue 2. — p. 41-49</w:t>
      </w:r>
    </w:p>
  </w:footnote>
  <w:footnote w:id="3">
    <w:p w:rsidR="00C16B02" w:rsidRDefault="00C16B02" w:rsidP="00C732B0">
      <w:pPr>
        <w:pStyle w:val="a7"/>
        <w:rPr>
          <w:lang w:val="en-US"/>
        </w:rPr>
      </w:pPr>
      <w:r>
        <w:rPr>
          <w:rStyle w:val="a9"/>
        </w:rPr>
        <w:footnoteRef/>
      </w:r>
      <w:r>
        <w:rPr>
          <w:lang w:val="en-US"/>
        </w:rPr>
        <w:t xml:space="preserve"> Grandstorm J., Wnastorm P. The Determinants of Bankruptcies post LBO. – Master’s Thesis in Finance, Stockholm School of Economics, 2010. – 40 p.</w:t>
      </w:r>
    </w:p>
  </w:footnote>
  <w:footnote w:id="4">
    <w:p w:rsidR="00C16B02" w:rsidRDefault="00C16B02" w:rsidP="00A15338">
      <w:pPr>
        <w:pStyle w:val="a7"/>
        <w:rPr>
          <w:lang w:val="en-US"/>
        </w:rPr>
      </w:pPr>
      <w:r>
        <w:rPr>
          <w:rStyle w:val="a9"/>
        </w:rPr>
        <w:footnoteRef/>
      </w:r>
      <w:r>
        <w:rPr>
          <w:lang w:val="en-US"/>
        </w:rPr>
        <w:t xml:space="preserve"> Carl-Johan Strandberg, Levered Buyouts: an LBO valuation model, Master’s Thesis, Karlstad Business School </w:t>
      </w:r>
    </w:p>
  </w:footnote>
  <w:footnote w:id="5">
    <w:p w:rsidR="00C16B02" w:rsidRDefault="00C16B02" w:rsidP="00A15338">
      <w:pPr>
        <w:pStyle w:val="a7"/>
        <w:rPr>
          <w:lang w:val="en-US"/>
        </w:rPr>
      </w:pPr>
      <w:r>
        <w:rPr>
          <w:rStyle w:val="a9"/>
        </w:rPr>
        <w:footnoteRef/>
      </w:r>
      <w:r>
        <w:rPr>
          <w:lang w:val="en-US"/>
        </w:rPr>
        <w:t xml:space="preserve"> Buffett’s Kraft Heinz Bet Valued at $24 Billion in Debut – https://www.bloomberg.com/news/articles/2015-07-06/buffett-s-kraft-heinz-bet-valued-at-24-billion-in-debut</w:t>
      </w:r>
    </w:p>
  </w:footnote>
  <w:footnote w:id="6">
    <w:p w:rsidR="00C16B02" w:rsidRDefault="00C16B02" w:rsidP="00A15338">
      <w:pPr>
        <w:pStyle w:val="a7"/>
        <w:rPr>
          <w:lang w:val="en-US"/>
        </w:rPr>
      </w:pPr>
      <w:r>
        <w:rPr>
          <w:rStyle w:val="a9"/>
        </w:rPr>
        <w:footnoteRef/>
      </w:r>
      <w:r>
        <w:rPr>
          <w:lang w:val="en-US"/>
        </w:rPr>
        <w:t xml:space="preserve"> Dell Completes $24.9 Billion Leveraged Buyout – https://www.bloomberg.com/news/articles/2013-10-29/dell-completes-24-9-billion-leveraged-buyout</w:t>
      </w:r>
    </w:p>
  </w:footnote>
  <w:footnote w:id="7">
    <w:p w:rsidR="00C16B02" w:rsidRDefault="00C16B02" w:rsidP="00C732B0">
      <w:pPr>
        <w:pStyle w:val="a7"/>
        <w:rPr>
          <w:lang w:val="en-US"/>
        </w:rPr>
      </w:pPr>
      <w:r>
        <w:rPr>
          <w:rStyle w:val="a9"/>
        </w:rPr>
        <w:footnoteRef/>
      </w:r>
      <w:r>
        <w:rPr>
          <w:lang w:val="en-US"/>
        </w:rPr>
        <w:t xml:space="preserve"> The Biggest Private Equity Buyouts in History –  http://en.wikipedia.org/wiki/Leveraged_buyout </w:t>
      </w:r>
    </w:p>
  </w:footnote>
  <w:footnote w:id="8">
    <w:p w:rsidR="00C16B02" w:rsidRDefault="00C16B02" w:rsidP="00A0075A">
      <w:pPr>
        <w:pStyle w:val="a7"/>
        <w:jc w:val="both"/>
        <w:rPr>
          <w:lang w:val="en-US"/>
        </w:rPr>
      </w:pPr>
      <w:r>
        <w:rPr>
          <w:rStyle w:val="a9"/>
        </w:rPr>
        <w:footnoteRef/>
      </w:r>
      <w:r>
        <w:rPr>
          <w:lang w:val="en-US"/>
        </w:rPr>
        <w:t xml:space="preserve"> Big European leveraged buyouts back on the agenda – http://www.reuters.com/article/us-lbo-loans-idUSBREA1N13R20140224</w:t>
      </w:r>
    </w:p>
  </w:footnote>
  <w:footnote w:id="9">
    <w:p w:rsidR="00C16B02" w:rsidRDefault="00C16B02" w:rsidP="00A0075A">
      <w:pPr>
        <w:pStyle w:val="a7"/>
        <w:jc w:val="both"/>
        <w:rPr>
          <w:lang w:val="en-US"/>
        </w:rPr>
      </w:pPr>
      <w:r>
        <w:rPr>
          <w:rStyle w:val="a9"/>
        </w:rPr>
        <w:footnoteRef/>
      </w:r>
      <w:r>
        <w:rPr>
          <w:lang w:val="en-US"/>
        </w:rPr>
        <w:t xml:space="preserve"> Zhilenkov </w:t>
      </w:r>
      <w:r>
        <w:t>М</w:t>
      </w:r>
      <w:r>
        <w:rPr>
          <w:lang w:val="en-US"/>
        </w:rPr>
        <w:t>.</w:t>
      </w:r>
      <w:r>
        <w:t>О</w:t>
      </w:r>
      <w:r>
        <w:rPr>
          <w:lang w:val="en-US"/>
        </w:rPr>
        <w:t xml:space="preserve">., Innovations in organization of M&amp;A financing: world trends and Russian </w:t>
      </w:r>
      <w:proofErr w:type="gramStart"/>
      <w:r>
        <w:rPr>
          <w:lang w:val="en-US"/>
        </w:rPr>
        <w:t>perspectives  /</w:t>
      </w:r>
      <w:proofErr w:type="gramEnd"/>
      <w:r>
        <w:rPr>
          <w:lang w:val="en-US"/>
        </w:rPr>
        <w:t>/ Innovations. ― 2007. ― № 6. ― p. 47-50</w:t>
      </w:r>
    </w:p>
  </w:footnote>
  <w:footnote w:id="10">
    <w:p w:rsidR="00C16B02" w:rsidRDefault="00C16B02" w:rsidP="00A0075A">
      <w:pPr>
        <w:pStyle w:val="a7"/>
        <w:jc w:val="both"/>
        <w:rPr>
          <w:lang w:val="en-US"/>
        </w:rPr>
      </w:pPr>
      <w:r>
        <w:rPr>
          <w:rStyle w:val="a9"/>
        </w:rPr>
        <w:footnoteRef/>
      </w:r>
      <w:r>
        <w:rPr>
          <w:lang w:val="en-US"/>
        </w:rPr>
        <w:t xml:space="preserve"> Almgren M., Haland K. Why LBO firms can outbid strategic buyers. – Master’s Thesis in Accounting and Financial Management, Stockholm School of Economics, 2006. – 44 p.</w:t>
      </w:r>
    </w:p>
  </w:footnote>
  <w:footnote w:id="11">
    <w:p w:rsidR="00C16B02" w:rsidRDefault="00C16B02" w:rsidP="00A0075A">
      <w:pPr>
        <w:pStyle w:val="a7"/>
        <w:jc w:val="both"/>
        <w:rPr>
          <w:lang w:val="en-US"/>
        </w:rPr>
      </w:pPr>
      <w:r>
        <w:rPr>
          <w:rStyle w:val="a9"/>
        </w:rPr>
        <w:footnoteRef/>
      </w:r>
      <w:r>
        <w:rPr>
          <w:lang w:val="en-US"/>
        </w:rPr>
        <w:t xml:space="preserve"> FinanceAsia – http://www.financeasia.com/Country/236,asia.aspx </w:t>
      </w:r>
    </w:p>
  </w:footnote>
  <w:footnote w:id="12">
    <w:p w:rsidR="00C16B02" w:rsidRPr="00211C80" w:rsidRDefault="00C16B02" w:rsidP="00A0075A">
      <w:pPr>
        <w:pStyle w:val="a7"/>
        <w:jc w:val="both"/>
        <w:rPr>
          <w:lang w:val="en-US"/>
        </w:rPr>
      </w:pPr>
      <w:r>
        <w:rPr>
          <w:rStyle w:val="a9"/>
        </w:rPr>
        <w:footnoteRef/>
      </w:r>
      <w:r w:rsidRPr="00211C80">
        <w:rPr>
          <w:lang w:val="en-US"/>
        </w:rPr>
        <w:t xml:space="preserve"> </w:t>
      </w:r>
      <w:r w:rsidRPr="00A0075A">
        <w:rPr>
          <w:rFonts w:cs="Times New Roman"/>
          <w:szCs w:val="24"/>
          <w:lang w:val="en-US"/>
        </w:rPr>
        <w:t>Kaplan S.  Leveraged Buyouts and Private Equity/ Kaplan S., Stromberg P. // Journal of Economic Perspectives. – 2009. – Vol. 23 (1). – P. 21-46.</w:t>
      </w:r>
    </w:p>
  </w:footnote>
  <w:footnote w:id="13">
    <w:p w:rsidR="00C16B02" w:rsidRDefault="00C16B02" w:rsidP="002539CB">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14">
    <w:p w:rsidR="00C16B02" w:rsidRDefault="00C16B02" w:rsidP="007739E6">
      <w:pPr>
        <w:pStyle w:val="a7"/>
        <w:rPr>
          <w:lang w:val="en-US"/>
        </w:rPr>
      </w:pPr>
      <w:r>
        <w:rPr>
          <w:rStyle w:val="a9"/>
        </w:rPr>
        <w:footnoteRef/>
      </w:r>
      <w:r>
        <w:rPr>
          <w:lang w:val="en-US"/>
        </w:rPr>
        <w:t xml:space="preserve"> Carl-Johan Strandberg, Levered Buyouts: an LBO valuation model, Master’s Thesis, Karlstad Business School </w:t>
      </w:r>
    </w:p>
  </w:footnote>
  <w:footnote w:id="15">
    <w:p w:rsidR="00C16B02" w:rsidRDefault="00C16B02" w:rsidP="003C62BE">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16">
    <w:p w:rsidR="00C16B02" w:rsidRDefault="00C16B02" w:rsidP="003C62BE">
      <w:pPr>
        <w:pStyle w:val="a7"/>
        <w:rPr>
          <w:lang w:val="en-US"/>
        </w:rPr>
      </w:pPr>
      <w:r>
        <w:rPr>
          <w:rStyle w:val="a9"/>
        </w:rPr>
        <w:footnoteRef/>
      </w:r>
      <w:r>
        <w:rPr>
          <w:lang w:val="en-US"/>
        </w:rPr>
        <w:t xml:space="preserve"> </w:t>
      </w:r>
      <w:r w:rsidRPr="00A0075A">
        <w:rPr>
          <w:lang w:val="en-US"/>
        </w:rPr>
        <w:t xml:space="preserve">Kohlberg Kravis Roberts &amp; Co. (1989), Leveraged buy-outs, Journal of Applied Corporate Finance, </w:t>
      </w:r>
      <w:proofErr w:type="gramStart"/>
      <w:r w:rsidRPr="00A0075A">
        <w:rPr>
          <w:lang w:val="en-US"/>
        </w:rPr>
        <w:t>Spring</w:t>
      </w:r>
      <w:proofErr w:type="gramEnd"/>
      <w:r w:rsidRPr="00A0075A">
        <w:rPr>
          <w:lang w:val="en-US"/>
        </w:rPr>
        <w:t>, Volume 2.1, 64–70.</w:t>
      </w:r>
    </w:p>
  </w:footnote>
  <w:footnote w:id="17">
    <w:p w:rsidR="00C16B02" w:rsidRDefault="00C16B02" w:rsidP="003C62BE">
      <w:pPr>
        <w:pStyle w:val="a7"/>
        <w:rPr>
          <w:lang w:val="en-US"/>
        </w:rPr>
      </w:pPr>
      <w:r>
        <w:rPr>
          <w:rStyle w:val="a9"/>
        </w:rPr>
        <w:footnoteRef/>
      </w:r>
      <w:r>
        <w:rPr>
          <w:lang w:val="en-US"/>
        </w:rPr>
        <w:t xml:space="preserve"> </w:t>
      </w:r>
      <w:r w:rsidRPr="00A0075A">
        <w:rPr>
          <w:lang w:val="en-US"/>
        </w:rPr>
        <w:t>Almgren M., Haland K. Why LBO firms can outbid strategic buyers. – Master’s Thesis in Accounting and Financial Management, Stockholm School of Economics, 2006. – 44 p.</w:t>
      </w:r>
    </w:p>
  </w:footnote>
  <w:footnote w:id="18">
    <w:p w:rsidR="00C16B02" w:rsidRDefault="00C16B02" w:rsidP="003C62BE">
      <w:pPr>
        <w:pStyle w:val="a7"/>
        <w:rPr>
          <w:lang w:val="en-US"/>
        </w:rPr>
      </w:pPr>
      <w:r>
        <w:rPr>
          <w:rStyle w:val="a9"/>
        </w:rPr>
        <w:footnoteRef/>
      </w:r>
      <w:r>
        <w:rPr>
          <w:lang w:val="en-US"/>
        </w:rPr>
        <w:t xml:space="preserve"> </w:t>
      </w:r>
      <w:r w:rsidRPr="00A0075A">
        <w:rPr>
          <w:lang w:val="en-US"/>
        </w:rPr>
        <w:t xml:space="preserve">Kohlberg Kravis Roberts &amp; Co. (1989), Leveraged buy-outs, Journal of Applied Corporate Finance, </w:t>
      </w:r>
      <w:proofErr w:type="gramStart"/>
      <w:r w:rsidRPr="00A0075A">
        <w:rPr>
          <w:lang w:val="en-US"/>
        </w:rPr>
        <w:t>Spring</w:t>
      </w:r>
      <w:proofErr w:type="gramEnd"/>
      <w:r w:rsidRPr="00A0075A">
        <w:rPr>
          <w:lang w:val="en-US"/>
        </w:rPr>
        <w:t>, Volume 2.1, 64–70.</w:t>
      </w:r>
    </w:p>
  </w:footnote>
  <w:footnote w:id="19">
    <w:p w:rsidR="00C16B02" w:rsidRDefault="00C16B02" w:rsidP="00676AD0">
      <w:pPr>
        <w:pStyle w:val="a7"/>
        <w:rPr>
          <w:lang w:val="en-US"/>
        </w:rPr>
      </w:pPr>
      <w:r>
        <w:rPr>
          <w:rStyle w:val="a9"/>
        </w:rPr>
        <w:footnoteRef/>
      </w:r>
      <w:r>
        <w:rPr>
          <w:lang w:val="en-US"/>
        </w:rPr>
        <w:t xml:space="preserve"> Marc Martos-Vila, Matthew Rhodes-Kropf, Jarrad Harford, Financial vs. Strategic Buyers, 2014</w:t>
      </w:r>
    </w:p>
  </w:footnote>
  <w:footnote w:id="20">
    <w:p w:rsidR="00C16B02" w:rsidRDefault="00C16B02" w:rsidP="00D07BD3">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21">
    <w:p w:rsidR="00C16B02" w:rsidRDefault="00C16B02" w:rsidP="00D07BD3">
      <w:pPr>
        <w:pStyle w:val="a7"/>
        <w:rPr>
          <w:lang w:val="en-US"/>
        </w:rPr>
      </w:pPr>
      <w:r>
        <w:rPr>
          <w:rStyle w:val="a9"/>
        </w:rPr>
        <w:footnoteRef/>
      </w:r>
      <w:r>
        <w:rPr>
          <w:lang w:val="en-US"/>
        </w:rPr>
        <w:t xml:space="preserve"> Rosenbaum J., Pearl J. Investment Banking Workbook. – New Jersey: John Wiley &amp; Sons, Inc., 2013. – 373 </w:t>
      </w:r>
    </w:p>
  </w:footnote>
  <w:footnote w:id="22">
    <w:p w:rsidR="00C16B02" w:rsidRDefault="00C16B02" w:rsidP="00D07BD3">
      <w:pPr>
        <w:pStyle w:val="a7"/>
        <w:rPr>
          <w:lang w:val="en-US"/>
        </w:rPr>
      </w:pPr>
      <w:r>
        <w:rPr>
          <w:rStyle w:val="a9"/>
        </w:rPr>
        <w:footnoteRef/>
      </w:r>
      <w:r>
        <w:rPr>
          <w:lang w:val="en-US"/>
        </w:rPr>
        <w:t xml:space="preserve"> Kohlberg Kravis Roberts &amp; Co. (1989), Leveraged buy-outs, Journal of Applied Corporate Finance, </w:t>
      </w:r>
      <w:proofErr w:type="gramStart"/>
      <w:r>
        <w:rPr>
          <w:lang w:val="en-US"/>
        </w:rPr>
        <w:t>Spring</w:t>
      </w:r>
      <w:proofErr w:type="gramEnd"/>
      <w:r>
        <w:rPr>
          <w:lang w:val="en-US"/>
        </w:rPr>
        <w:t>, Volume 2.1, 64–70.</w:t>
      </w:r>
    </w:p>
  </w:footnote>
  <w:footnote w:id="23">
    <w:p w:rsidR="00C16B02" w:rsidRDefault="00C16B02" w:rsidP="00D07BD3">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24">
    <w:p w:rsidR="00C16B02" w:rsidRPr="00D43FC6" w:rsidRDefault="00C16B02">
      <w:pPr>
        <w:pStyle w:val="a7"/>
        <w:rPr>
          <w:lang w:val="en-US"/>
        </w:rPr>
      </w:pPr>
      <w:r>
        <w:rPr>
          <w:rStyle w:val="a9"/>
        </w:rPr>
        <w:footnoteRef/>
      </w:r>
      <w:r w:rsidRPr="00D43FC6">
        <w:rPr>
          <w:lang w:val="en-US"/>
        </w:rPr>
        <w:t xml:space="preserve"> </w:t>
      </w:r>
      <w:r w:rsidRPr="00A0075A">
        <w:rPr>
          <w:lang w:val="en-US"/>
        </w:rPr>
        <w:t>Axelson U. Why are Buyouts Levered? The Financial Strucrute of Private Equity Firms / Axelson U., Stromberg P., Weisbach M. // Journal of Finance. – 2009. – Vol. 64. – P. 1549-1582</w:t>
      </w:r>
    </w:p>
  </w:footnote>
  <w:footnote w:id="25">
    <w:p w:rsidR="00C16B02" w:rsidRDefault="00C16B02" w:rsidP="00D43FC6">
      <w:pPr>
        <w:pStyle w:val="a7"/>
        <w:rPr>
          <w:lang w:val="en-US"/>
        </w:rPr>
      </w:pPr>
      <w:r>
        <w:rPr>
          <w:rStyle w:val="a9"/>
        </w:rPr>
        <w:footnoteRef/>
      </w:r>
      <w:r>
        <w:rPr>
          <w:lang w:val="en-US"/>
        </w:rPr>
        <w:t xml:space="preserve"> Loos, N. (2005), Value creation in leveraged buyouts, Dissertation No. 3052, University of St. Gallen, 2005.</w:t>
      </w:r>
    </w:p>
  </w:footnote>
  <w:footnote w:id="26">
    <w:p w:rsidR="00C16B02" w:rsidRDefault="00C16B02" w:rsidP="00D43FC6">
      <w:pPr>
        <w:pStyle w:val="a7"/>
        <w:rPr>
          <w:lang w:val="en-US"/>
        </w:rPr>
      </w:pPr>
      <w:r>
        <w:rPr>
          <w:rStyle w:val="a9"/>
        </w:rPr>
        <w:footnoteRef/>
      </w:r>
      <w:r>
        <w:rPr>
          <w:lang w:val="en-US"/>
        </w:rPr>
        <w:t xml:space="preserve"> Carl-Johan Strandberg, Levered Buyouts: an LBO valuation model, Master’s Thesis, Karlstad Business School</w:t>
      </w:r>
    </w:p>
  </w:footnote>
  <w:footnote w:id="27">
    <w:p w:rsidR="00C16B02" w:rsidRDefault="00C16B02" w:rsidP="00D43FC6">
      <w:pPr>
        <w:pStyle w:val="a7"/>
        <w:rPr>
          <w:lang w:val="en-US"/>
        </w:rPr>
      </w:pPr>
      <w:r>
        <w:rPr>
          <w:rStyle w:val="a9"/>
        </w:rPr>
        <w:footnoteRef/>
      </w:r>
      <w:r>
        <w:rPr>
          <w:lang w:val="en-US"/>
        </w:rPr>
        <w:t xml:space="preserve"> Damodaran, A. (2005a), </w:t>
      </w:r>
      <w:proofErr w:type="gramStart"/>
      <w:r>
        <w:rPr>
          <w:lang w:val="en-US"/>
        </w:rPr>
        <w:t>The</w:t>
      </w:r>
      <w:proofErr w:type="gramEnd"/>
      <w:r>
        <w:rPr>
          <w:lang w:val="en-US"/>
        </w:rPr>
        <w:t xml:space="preserve"> value of control: implications for control premia, minority discounts and voting share differentials, Working Paper, Stern School of Business, June.</w:t>
      </w:r>
    </w:p>
  </w:footnote>
  <w:footnote w:id="28">
    <w:p w:rsidR="00C16B02" w:rsidRDefault="00C16B02" w:rsidP="008810F7">
      <w:pPr>
        <w:pStyle w:val="a7"/>
        <w:rPr>
          <w:lang w:val="en-US"/>
        </w:rPr>
      </w:pPr>
      <w:r>
        <w:rPr>
          <w:rStyle w:val="a9"/>
        </w:rPr>
        <w:footnoteRef/>
      </w:r>
      <w:r>
        <w:rPr>
          <w:lang w:val="en-US"/>
        </w:rPr>
        <w:t xml:space="preserve"> Carl-Johan Strandberg, Levered Buyouts: an LBO valuation model, Master’s Thesis, Karlstad Business School</w:t>
      </w:r>
    </w:p>
  </w:footnote>
  <w:footnote w:id="29">
    <w:p w:rsidR="00C16B02" w:rsidRDefault="00C16B02" w:rsidP="008810F7">
      <w:pPr>
        <w:pStyle w:val="a7"/>
        <w:rPr>
          <w:lang w:val="en-US"/>
        </w:rPr>
      </w:pPr>
      <w:r>
        <w:rPr>
          <w:rStyle w:val="a9"/>
        </w:rPr>
        <w:footnoteRef/>
      </w:r>
      <w:r>
        <w:rPr>
          <w:lang w:val="en-US"/>
        </w:rPr>
        <w:t xml:space="preserve"> Carl-Johan Strandberg, Levered Buyouts: an LBO valuation model, Master’s Thesis, Karlstad Business School</w:t>
      </w:r>
    </w:p>
  </w:footnote>
  <w:footnote w:id="30">
    <w:p w:rsidR="00C16B02" w:rsidRDefault="00C16B02" w:rsidP="00A0075A">
      <w:pPr>
        <w:pStyle w:val="a7"/>
        <w:jc w:val="both"/>
        <w:rPr>
          <w:rFonts w:asciiTheme="minorHAnsi" w:hAnsiTheme="minorHAnsi"/>
          <w:lang w:val="en-US"/>
        </w:rPr>
      </w:pPr>
      <w:r>
        <w:rPr>
          <w:rStyle w:val="a9"/>
        </w:rPr>
        <w:footnoteRef/>
      </w:r>
      <w:r>
        <w:rPr>
          <w:lang w:val="en-US"/>
        </w:rPr>
        <w:t xml:space="preserve"> Equity valuation Equity valuation : models from leading investment banks / Jan Viebig, Thorsten Poddig, and</w:t>
      </w:r>
    </w:p>
    <w:p w:rsidR="00C16B02" w:rsidRDefault="00C16B02" w:rsidP="00A0075A">
      <w:pPr>
        <w:pStyle w:val="a7"/>
        <w:jc w:val="both"/>
        <w:rPr>
          <w:lang w:val="en-US"/>
        </w:rPr>
      </w:pPr>
      <w:r>
        <w:rPr>
          <w:lang w:val="en-US"/>
        </w:rPr>
        <w:t>Armin Varmaz. p. cm. — (The Wiley finance series)</w:t>
      </w:r>
    </w:p>
  </w:footnote>
  <w:footnote w:id="31">
    <w:p w:rsidR="00C16B02" w:rsidRDefault="00C16B02" w:rsidP="00A0075A">
      <w:pPr>
        <w:pStyle w:val="a7"/>
        <w:jc w:val="both"/>
        <w:rPr>
          <w:lang w:val="en-US"/>
        </w:rPr>
      </w:pPr>
      <w:r>
        <w:rPr>
          <w:rStyle w:val="a9"/>
        </w:rPr>
        <w:footnoteRef/>
      </w:r>
      <w:r>
        <w:rPr>
          <w:lang w:val="en-US"/>
        </w:rPr>
        <w:t xml:space="preserve"> </w:t>
      </w:r>
      <w:r w:rsidRPr="00A0075A">
        <w:rPr>
          <w:lang w:val="en-US"/>
        </w:rPr>
        <w:t>Almgren M., Haland K. Why LBO firms can outbid strategic buyers. – Master’s Thesis in Accounting and Financial Management, Stockholm School of Economics, 2006. – 44 p.</w:t>
      </w:r>
    </w:p>
  </w:footnote>
  <w:footnote w:id="32">
    <w:p w:rsidR="00C16B02" w:rsidRDefault="00C16B02" w:rsidP="00A0075A">
      <w:pPr>
        <w:pStyle w:val="a7"/>
        <w:jc w:val="both"/>
        <w:rPr>
          <w:rFonts w:asciiTheme="minorHAnsi" w:hAnsiTheme="minorHAnsi"/>
          <w:lang w:val="en-US"/>
        </w:rPr>
      </w:pPr>
      <w:r>
        <w:rPr>
          <w:rStyle w:val="a9"/>
        </w:rPr>
        <w:footnoteRef/>
      </w:r>
      <w:r>
        <w:rPr>
          <w:lang w:val="en-US"/>
        </w:rPr>
        <w:t xml:space="preserve"> Charlotte Jonson Leveraged Buyout - A Case Study on Unibet Group Plc</w:t>
      </w:r>
    </w:p>
  </w:footnote>
  <w:footnote w:id="33">
    <w:p w:rsidR="00C16B02" w:rsidRDefault="00C16B02" w:rsidP="00636895">
      <w:pPr>
        <w:pStyle w:val="a7"/>
        <w:rPr>
          <w:rFonts w:asciiTheme="minorHAnsi" w:hAnsiTheme="minorHAnsi"/>
          <w:lang w:val="en-US"/>
        </w:rPr>
      </w:pPr>
      <w:r>
        <w:rPr>
          <w:rStyle w:val="a9"/>
        </w:rPr>
        <w:footnoteRef/>
      </w:r>
      <w:r>
        <w:rPr>
          <w:lang w:val="en-US"/>
        </w:rPr>
        <w:t xml:space="preserve"> Carl-Johan Strandberg, Levered Buyouts: an LBO valuation model, Master’s Thesis, Karlstad Business School</w:t>
      </w:r>
    </w:p>
  </w:footnote>
  <w:footnote w:id="34">
    <w:p w:rsidR="00C16B02" w:rsidRDefault="00C16B02" w:rsidP="00636895">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35">
    <w:p w:rsidR="00C16B02" w:rsidRDefault="00C16B02" w:rsidP="00636895">
      <w:pPr>
        <w:pStyle w:val="a7"/>
        <w:rPr>
          <w:lang w:val="en-US"/>
        </w:rPr>
      </w:pPr>
      <w:r>
        <w:rPr>
          <w:rStyle w:val="a9"/>
        </w:rPr>
        <w:footnoteRef/>
      </w:r>
      <w:r>
        <w:rPr>
          <w:lang w:val="en-US"/>
        </w:rPr>
        <w:t xml:space="preserve"> </w:t>
      </w:r>
      <w:r>
        <w:rPr>
          <w:rFonts w:cs="AFDHC P+intirr"/>
          <w:color w:val="000000"/>
          <w:lang w:val="en-US"/>
        </w:rPr>
        <w:t xml:space="preserve"> Brealey, R.A., Myers, S.C., and Allen, F. (2006), Corporate Finance, Eighth International Edition.</w:t>
      </w:r>
    </w:p>
  </w:footnote>
  <w:footnote w:id="36">
    <w:p w:rsidR="00C16B02" w:rsidRDefault="00C16B02" w:rsidP="00636895">
      <w:pPr>
        <w:pStyle w:val="a7"/>
        <w:rPr>
          <w:lang w:val="en-US"/>
        </w:rPr>
      </w:pPr>
      <w:r>
        <w:rPr>
          <w:rStyle w:val="a9"/>
        </w:rPr>
        <w:footnoteRef/>
      </w:r>
      <w:r>
        <w:rPr>
          <w:lang w:val="en-US"/>
        </w:rPr>
        <w:t xml:space="preserve"> Equity valuation Equity valuation : models from leading investment banks / Jan Viebig, Thorsten Poddig, and</w:t>
      </w:r>
    </w:p>
    <w:p w:rsidR="00C16B02" w:rsidRDefault="00C16B02" w:rsidP="00636895">
      <w:pPr>
        <w:pStyle w:val="a7"/>
        <w:rPr>
          <w:lang w:val="en-US"/>
        </w:rPr>
      </w:pPr>
      <w:r>
        <w:rPr>
          <w:lang w:val="en-US"/>
        </w:rPr>
        <w:t>Armin Varmaz. p. cm. — (The Wiley finance series)</w:t>
      </w:r>
    </w:p>
  </w:footnote>
  <w:footnote w:id="37">
    <w:p w:rsidR="00C16B02" w:rsidRDefault="00C16B02" w:rsidP="00636895">
      <w:pPr>
        <w:pStyle w:val="a7"/>
        <w:rPr>
          <w:lang w:val="en-US"/>
        </w:rPr>
      </w:pPr>
      <w:r>
        <w:rPr>
          <w:rStyle w:val="a9"/>
        </w:rPr>
        <w:footnoteRef/>
      </w:r>
      <w:r>
        <w:rPr>
          <w:lang w:val="en-US"/>
        </w:rPr>
        <w:t xml:space="preserve"> Pignataro P. Leverage Buyouts: A Practical Guide to Investment Banking and Private Equity. – New Jersey: John Wiley &amp; Sons, Inc., 2014. – 450 p.</w:t>
      </w:r>
    </w:p>
  </w:footnote>
  <w:footnote w:id="38">
    <w:p w:rsidR="00C16B02" w:rsidRDefault="00C16B02" w:rsidP="00F06CF3">
      <w:pPr>
        <w:pStyle w:val="a7"/>
        <w:rPr>
          <w:rFonts w:asciiTheme="minorHAnsi" w:hAnsiTheme="minorHAnsi"/>
          <w:lang w:val="en-US"/>
        </w:rPr>
      </w:pPr>
      <w:r>
        <w:rPr>
          <w:rStyle w:val="a9"/>
        </w:rPr>
        <w:footnoteRef/>
      </w:r>
      <w:r>
        <w:rPr>
          <w:lang w:val="en-US"/>
        </w:rPr>
        <w:t xml:space="preserve"> </w:t>
      </w:r>
      <w:r w:rsidRPr="00C16B02">
        <w:rPr>
          <w:lang w:val="en-US"/>
        </w:rPr>
        <w:t xml:space="preserve">Equity </w:t>
      </w:r>
      <w:proofErr w:type="gramStart"/>
      <w:r w:rsidRPr="00C16B02">
        <w:rPr>
          <w:lang w:val="en-US"/>
        </w:rPr>
        <w:t>valuation :</w:t>
      </w:r>
      <w:proofErr w:type="gramEnd"/>
      <w:r w:rsidRPr="00C16B02">
        <w:rPr>
          <w:lang w:val="en-US"/>
        </w:rPr>
        <w:t xml:space="preserve"> models from leading investment banks/J</w:t>
      </w:r>
      <w:r>
        <w:rPr>
          <w:lang w:val="en-US"/>
        </w:rPr>
        <w:t xml:space="preserve">an Viebig, Thorsten Poddig, and Armin Varmaz. </w:t>
      </w:r>
      <w:r w:rsidRPr="00C16B02">
        <w:rPr>
          <w:lang w:val="en-US"/>
        </w:rPr>
        <w:t>p. cm. — (The Wiley finance series)</w:t>
      </w:r>
    </w:p>
  </w:footnote>
  <w:footnote w:id="39">
    <w:p w:rsidR="00C16B02" w:rsidRDefault="00C16B02" w:rsidP="00145ACD">
      <w:pPr>
        <w:pStyle w:val="a7"/>
        <w:rPr>
          <w:rFonts w:asciiTheme="minorHAnsi" w:hAnsiTheme="minorHAnsi"/>
          <w:lang w:val="en-US"/>
        </w:rPr>
      </w:pPr>
      <w:r>
        <w:rPr>
          <w:rStyle w:val="a9"/>
        </w:rPr>
        <w:footnoteRef/>
      </w:r>
      <w:r>
        <w:rPr>
          <w:lang w:val="en-US"/>
        </w:rPr>
        <w:t xml:space="preserve"> </w:t>
      </w:r>
      <w:r w:rsidRPr="00C16B02">
        <w:rPr>
          <w:lang w:val="en-US"/>
        </w:rPr>
        <w:t xml:space="preserve">Equity </w:t>
      </w:r>
      <w:proofErr w:type="gramStart"/>
      <w:r w:rsidRPr="00C16B02">
        <w:rPr>
          <w:lang w:val="en-US"/>
        </w:rPr>
        <w:t>valuation :</w:t>
      </w:r>
      <w:proofErr w:type="gramEnd"/>
      <w:r w:rsidRPr="00C16B02">
        <w:rPr>
          <w:lang w:val="en-US"/>
        </w:rPr>
        <w:t xml:space="preserve"> models from leading investment banks/Jan Viebig, Thorsten Poddig, and Armin Varmaz. p. cm. — (The Wiley finance series)</w:t>
      </w:r>
    </w:p>
  </w:footnote>
  <w:footnote w:id="40">
    <w:p w:rsidR="00C16B02" w:rsidRDefault="00C16B02" w:rsidP="00145ACD">
      <w:pPr>
        <w:pStyle w:val="a7"/>
        <w:rPr>
          <w:lang w:val="en-US"/>
        </w:rPr>
      </w:pPr>
      <w:r>
        <w:rPr>
          <w:rStyle w:val="a9"/>
        </w:rPr>
        <w:footnoteRef/>
      </w:r>
      <w:r>
        <w:rPr>
          <w:lang w:val="en-US"/>
        </w:rPr>
        <w:t xml:space="preserve"> https://www.divestopedia.com/definition/5064/control-premium</w:t>
      </w:r>
    </w:p>
  </w:footnote>
  <w:footnote w:id="41">
    <w:p w:rsidR="00C16B02" w:rsidRPr="00A850E2" w:rsidRDefault="00C16B02" w:rsidP="00005412">
      <w:pPr>
        <w:pStyle w:val="a7"/>
        <w:rPr>
          <w:rFonts w:asciiTheme="minorHAnsi" w:hAnsiTheme="minorHAnsi"/>
          <w:lang w:val="en-US"/>
        </w:rPr>
      </w:pPr>
      <w:r w:rsidRPr="00A850E2">
        <w:rPr>
          <w:rStyle w:val="a9"/>
        </w:rPr>
        <w:footnoteRef/>
      </w:r>
      <w:r w:rsidRPr="00A850E2">
        <w:rPr>
          <w:lang w:val="en-US"/>
        </w:rPr>
        <w:t xml:space="preserve"> </w:t>
      </w:r>
      <w:r w:rsidR="00A850E2" w:rsidRPr="00A850E2">
        <w:rPr>
          <w:rFonts w:cs="AFDHC P+intirr"/>
          <w:color w:val="000000"/>
          <w:lang w:val="en-US"/>
        </w:rPr>
        <w:t>Goldman Sachs (2007), Private equity and the GS LBO model, Research Report by David J. Kostin et al., March 22, 2007</w:t>
      </w:r>
      <w:r w:rsidR="00A850E2">
        <w:rPr>
          <w:rFonts w:cs="AFDHC P+intirr"/>
          <w:color w:val="000000"/>
          <w:lang w:val="en-US"/>
        </w:rPr>
        <w:t xml:space="preserve">, </w:t>
      </w:r>
      <w:r w:rsidRPr="00A850E2">
        <w:rPr>
          <w:rFonts w:cs="AFDHC P+intirr"/>
          <w:color w:val="000000"/>
          <w:lang w:val="en-US"/>
        </w:rPr>
        <w:t>pp. 21–26.</w:t>
      </w:r>
    </w:p>
  </w:footnote>
  <w:footnote w:id="42">
    <w:p w:rsidR="00C16B02" w:rsidRPr="00A850E2" w:rsidRDefault="00C16B02" w:rsidP="00005412">
      <w:pPr>
        <w:pStyle w:val="a7"/>
        <w:rPr>
          <w:lang w:val="en-US"/>
        </w:rPr>
      </w:pPr>
      <w:r w:rsidRPr="00A850E2">
        <w:rPr>
          <w:rStyle w:val="a9"/>
        </w:rPr>
        <w:footnoteRef/>
      </w:r>
      <w:r w:rsidRPr="00A850E2">
        <w:rPr>
          <w:lang w:val="en-US"/>
        </w:rPr>
        <w:t xml:space="preserve"> </w:t>
      </w:r>
      <w:r w:rsidR="00A850E2" w:rsidRPr="00A850E2">
        <w:rPr>
          <w:rFonts w:cs="AFDHC P+intirr"/>
          <w:color w:val="000000"/>
          <w:lang w:val="en-US"/>
        </w:rPr>
        <w:t xml:space="preserve">Deutsche Bank (2007), Retail LBO screen revisited, another look at LBO candidates, Research Report by Vin Chao et al., February 13. </w:t>
      </w:r>
      <w:r w:rsidRPr="00A850E2">
        <w:rPr>
          <w:rFonts w:cs="AFDHC P+intirr"/>
          <w:color w:val="000000"/>
          <w:lang w:val="en-US"/>
        </w:rPr>
        <w:t>p. 12.</w:t>
      </w:r>
    </w:p>
  </w:footnote>
  <w:footnote w:id="43">
    <w:p w:rsidR="00C16B02" w:rsidRPr="00A850E2" w:rsidRDefault="00C16B02" w:rsidP="00005412">
      <w:pPr>
        <w:pStyle w:val="a7"/>
        <w:rPr>
          <w:lang w:val="en-US"/>
        </w:rPr>
      </w:pPr>
      <w:r w:rsidRPr="00A850E2">
        <w:rPr>
          <w:rStyle w:val="a9"/>
        </w:rPr>
        <w:footnoteRef/>
      </w:r>
      <w:r w:rsidRPr="00A850E2">
        <w:rPr>
          <w:lang w:val="en-US"/>
        </w:rPr>
        <w:t xml:space="preserve"> </w:t>
      </w:r>
      <w:r w:rsidR="00A850E2" w:rsidRPr="00A850E2">
        <w:rPr>
          <w:rFonts w:cs="AFDHC P+intirr"/>
          <w:color w:val="000000"/>
          <w:lang w:val="en-US"/>
        </w:rPr>
        <w:t>Morgan Stanley (2003), Barbarians can wait: LBO as a valuation tool, Research Report by Adam M. Jonas et al., New York.</w:t>
      </w:r>
      <w:r w:rsidRPr="00A850E2">
        <w:rPr>
          <w:rFonts w:cs="AFDHC P+intirr"/>
          <w:color w:val="000000"/>
          <w:lang w:val="en-US"/>
        </w:rPr>
        <w:t xml:space="preserve">, </w:t>
      </w:r>
      <w:proofErr w:type="gramStart"/>
      <w:r w:rsidRPr="00A850E2">
        <w:rPr>
          <w:rFonts w:cs="AFDHC P+intirr"/>
          <w:color w:val="000000"/>
          <w:lang w:val="en-US"/>
        </w:rPr>
        <w:t>p</w:t>
      </w:r>
      <w:proofErr w:type="gramEnd"/>
      <w:r w:rsidRPr="00A850E2">
        <w:rPr>
          <w:rFonts w:cs="AFDHC P+intirr"/>
          <w:color w:val="000000"/>
          <w:lang w:val="en-US"/>
        </w:rPr>
        <w:t>. 3.</w:t>
      </w:r>
    </w:p>
  </w:footnote>
  <w:footnote w:id="44">
    <w:p w:rsidR="00C16B02" w:rsidRPr="00A850E2" w:rsidRDefault="00C16B02" w:rsidP="00005412">
      <w:pPr>
        <w:pStyle w:val="a7"/>
        <w:rPr>
          <w:lang w:val="en-US"/>
        </w:rPr>
      </w:pPr>
      <w:r w:rsidRPr="00A850E2">
        <w:rPr>
          <w:rStyle w:val="a9"/>
        </w:rPr>
        <w:footnoteRef/>
      </w:r>
      <w:r w:rsidRPr="00A850E2">
        <w:rPr>
          <w:lang w:val="en-US"/>
        </w:rPr>
        <w:t xml:space="preserve"> </w:t>
      </w:r>
      <w:r w:rsidR="00A850E2" w:rsidRPr="00A850E2">
        <w:rPr>
          <w:rFonts w:cs="AFDHC P+intirr"/>
          <w:color w:val="000000"/>
          <w:lang w:val="en-US"/>
        </w:rPr>
        <w:t>UBS (2006), How big is the private equity factor</w:t>
      </w:r>
      <w:proofErr w:type="gramStart"/>
      <w:r w:rsidR="00A850E2" w:rsidRPr="00A850E2">
        <w:rPr>
          <w:rFonts w:cs="AFDHC P+intirr"/>
          <w:color w:val="000000"/>
          <w:lang w:val="en-US"/>
        </w:rPr>
        <w:t>?,</w:t>
      </w:r>
      <w:proofErr w:type="gramEnd"/>
      <w:r w:rsidR="00A850E2" w:rsidRPr="00A850E2">
        <w:rPr>
          <w:rFonts w:cs="AFDHC P+intirr"/>
          <w:color w:val="000000"/>
          <w:lang w:val="en-US"/>
        </w:rPr>
        <w:t xml:space="preserve"> Research Report by Daniel Stillit, July 7. </w:t>
      </w:r>
      <w:r w:rsidRPr="00A850E2">
        <w:rPr>
          <w:rFonts w:cs="AFDHC P+intirr"/>
          <w:color w:val="000000"/>
          <w:lang w:val="en-US"/>
        </w:rPr>
        <w:t>p. 22.</w:t>
      </w:r>
    </w:p>
  </w:footnote>
  <w:footnote w:id="45">
    <w:p w:rsidR="00C16B02" w:rsidRDefault="00C16B02" w:rsidP="00005412">
      <w:pPr>
        <w:pStyle w:val="a7"/>
        <w:rPr>
          <w:lang w:val="en-US"/>
        </w:rPr>
      </w:pPr>
      <w:r w:rsidRPr="00A850E2">
        <w:rPr>
          <w:rStyle w:val="a9"/>
        </w:rPr>
        <w:footnoteRef/>
      </w:r>
      <w:r w:rsidRPr="00A850E2">
        <w:rPr>
          <w:lang w:val="en-US"/>
        </w:rPr>
        <w:t xml:space="preserve"> </w:t>
      </w:r>
      <w:r w:rsidR="00B165B8" w:rsidRPr="00B165B8">
        <w:rPr>
          <w:rFonts w:cs="AFDHC P+intirr"/>
          <w:color w:val="000000"/>
          <w:lang w:val="en-US"/>
        </w:rPr>
        <w:t>Kohlberg Kravis Roberts &amp; Co. (1989), Leveraged buy-outs, Journal of Applied Corporate</w:t>
      </w:r>
    </w:p>
  </w:footnote>
  <w:footnote w:id="46">
    <w:p w:rsidR="00C16B02" w:rsidRPr="00B165B8" w:rsidRDefault="00C16B02" w:rsidP="00005412">
      <w:pPr>
        <w:pStyle w:val="a7"/>
        <w:rPr>
          <w:lang w:val="en-US"/>
        </w:rPr>
      </w:pPr>
      <w:r>
        <w:rPr>
          <w:rStyle w:val="a9"/>
        </w:rPr>
        <w:footnoteRef/>
      </w:r>
      <w:r>
        <w:rPr>
          <w:lang w:val="en-US"/>
        </w:rPr>
        <w:t xml:space="preserve"> </w:t>
      </w:r>
      <w:r w:rsidRPr="00B165B8">
        <w:rPr>
          <w:lang w:val="en-US"/>
        </w:rPr>
        <w:t>Goldman Sachs (2007), pp. 24f.</w:t>
      </w:r>
    </w:p>
  </w:footnote>
  <w:footnote w:id="47">
    <w:p w:rsidR="00C16B02" w:rsidRDefault="00C16B02" w:rsidP="00CC0C04">
      <w:pPr>
        <w:pStyle w:val="a7"/>
        <w:rPr>
          <w:rFonts w:asciiTheme="minorHAnsi" w:hAnsiTheme="minorHAnsi"/>
          <w:lang w:val="en-US"/>
        </w:rPr>
      </w:pPr>
      <w:r w:rsidRPr="00B165B8">
        <w:rPr>
          <w:rStyle w:val="a9"/>
        </w:rPr>
        <w:footnoteRef/>
      </w:r>
      <w:r w:rsidRPr="00B165B8">
        <w:rPr>
          <w:lang w:val="en-US"/>
        </w:rPr>
        <w:t xml:space="preserve"> </w:t>
      </w:r>
      <w:r w:rsidRPr="00B165B8">
        <w:rPr>
          <w:rFonts w:cs="AFDHC P+intirr"/>
          <w:color w:val="000000"/>
          <w:lang w:val="en-US"/>
        </w:rPr>
        <w:t>Goldman Sachs (2007), p. 26, Morgan Stanley (2003), p. 3, Deutsche Bank (2007), p. 13, UBS (2006), p. 22.</w:t>
      </w:r>
    </w:p>
  </w:footnote>
  <w:footnote w:id="48">
    <w:p w:rsidR="00C16B02" w:rsidRDefault="00C16B02" w:rsidP="004F0183">
      <w:pPr>
        <w:pStyle w:val="a7"/>
        <w:rPr>
          <w:rFonts w:asciiTheme="minorHAnsi" w:hAnsiTheme="minorHAnsi"/>
          <w:lang w:val="en-US"/>
        </w:rPr>
      </w:pPr>
      <w:r>
        <w:rPr>
          <w:rStyle w:val="a9"/>
        </w:rPr>
        <w:footnoteRef/>
      </w:r>
      <w:r>
        <w:rPr>
          <w:lang w:val="en-US"/>
        </w:rPr>
        <w:t xml:space="preserve"> </w:t>
      </w:r>
      <w:r w:rsidR="00B165B8" w:rsidRPr="00B165B8">
        <w:rPr>
          <w:lang w:val="en-US"/>
        </w:rPr>
        <w:t>Pignataro P. Leverage Buyouts: A Practical Guide to Investment Banking and Private Equity. – New Jersey: John Wiley &amp; Sons, Inc., 2014. – 450 p.</w:t>
      </w:r>
      <w:r>
        <w:rPr>
          <w:lang w:val="en-US"/>
        </w:rPr>
        <w:t>Paul Pignataro (2008)</w:t>
      </w:r>
    </w:p>
  </w:footnote>
  <w:footnote w:id="49">
    <w:p w:rsidR="00C16B02" w:rsidRDefault="00C16B02" w:rsidP="00644478">
      <w:pPr>
        <w:pStyle w:val="a7"/>
        <w:rPr>
          <w:rFonts w:asciiTheme="minorHAnsi" w:hAnsiTheme="minorHAnsi"/>
          <w:lang w:val="en-US"/>
        </w:rPr>
      </w:pPr>
      <w:r>
        <w:rPr>
          <w:rStyle w:val="a9"/>
        </w:rPr>
        <w:footnoteRef/>
      </w:r>
      <w:r>
        <w:rPr>
          <w:lang w:val="en-US"/>
        </w:rPr>
        <w:t xml:space="preserve"> </w:t>
      </w:r>
      <w:r w:rsidR="00B165B8" w:rsidRPr="00B165B8">
        <w:rPr>
          <w:lang w:val="en-US"/>
        </w:rPr>
        <w:t xml:space="preserve">Equity </w:t>
      </w:r>
      <w:proofErr w:type="gramStart"/>
      <w:r w:rsidR="00B165B8" w:rsidRPr="00B165B8">
        <w:rPr>
          <w:lang w:val="en-US"/>
        </w:rPr>
        <w:t>valuation :</w:t>
      </w:r>
      <w:proofErr w:type="gramEnd"/>
      <w:r w:rsidR="00B165B8" w:rsidRPr="00B165B8">
        <w:rPr>
          <w:lang w:val="en-US"/>
        </w:rPr>
        <w:t xml:space="preserve"> models from leading investment banks/Jan Viebig, Thorsten Poddig, and Armin Varmaz. p. cm. — (The Wiley finance series)</w:t>
      </w:r>
    </w:p>
  </w:footnote>
  <w:footnote w:id="50">
    <w:p w:rsidR="00C16B02" w:rsidRDefault="00C16B02" w:rsidP="00644478">
      <w:pPr>
        <w:pStyle w:val="a7"/>
        <w:rPr>
          <w:rFonts w:asciiTheme="minorHAnsi" w:hAnsiTheme="minorHAnsi"/>
          <w:lang w:val="en-US"/>
        </w:rPr>
      </w:pPr>
      <w:r>
        <w:rPr>
          <w:rStyle w:val="a9"/>
        </w:rPr>
        <w:footnoteRef/>
      </w:r>
      <w:r>
        <w:rPr>
          <w:lang w:val="en-US"/>
        </w:rPr>
        <w:t xml:space="preserve"> </w:t>
      </w:r>
      <w:r w:rsidR="00B165B8">
        <w:rPr>
          <w:lang w:val="en-US"/>
        </w:rPr>
        <w:t>Same resource</w:t>
      </w:r>
    </w:p>
  </w:footnote>
  <w:footnote w:id="51">
    <w:p w:rsidR="00C16B02" w:rsidRDefault="00C16B02" w:rsidP="00644478">
      <w:pPr>
        <w:pStyle w:val="a7"/>
        <w:rPr>
          <w:lang w:val="en-US"/>
        </w:rPr>
      </w:pPr>
      <w:r>
        <w:rPr>
          <w:rStyle w:val="a9"/>
        </w:rPr>
        <w:footnoteRef/>
      </w:r>
      <w:r w:rsidR="00B165B8">
        <w:rPr>
          <w:lang w:val="en-US"/>
        </w:rPr>
        <w:t xml:space="preserve"> Same resource</w:t>
      </w:r>
    </w:p>
  </w:footnote>
  <w:footnote w:id="52">
    <w:p w:rsidR="00C16B02" w:rsidRPr="00B165B8" w:rsidRDefault="00C16B02" w:rsidP="00644478">
      <w:pPr>
        <w:pStyle w:val="a7"/>
        <w:rPr>
          <w:lang w:val="en-US"/>
        </w:rPr>
      </w:pPr>
      <w:r>
        <w:rPr>
          <w:rStyle w:val="a9"/>
        </w:rPr>
        <w:footnoteRef/>
      </w:r>
      <w:r>
        <w:rPr>
          <w:lang w:val="en-US"/>
        </w:rPr>
        <w:t xml:space="preserve"> </w:t>
      </w:r>
      <w:r w:rsidR="00B165B8" w:rsidRPr="00B165B8">
        <w:rPr>
          <w:rFonts w:cs="Times New Roman"/>
          <w:bCs/>
          <w:lang w:val="en-US"/>
        </w:rPr>
        <w:t>Control Premium Study 2013 [Electronic resource] // RSM Bird Cameron [2015]. –https://www.rsmi.com.au</w:t>
      </w:r>
    </w:p>
  </w:footnote>
  <w:footnote w:id="53">
    <w:p w:rsidR="00C16B02" w:rsidRDefault="00C16B02" w:rsidP="00644478">
      <w:pPr>
        <w:pStyle w:val="a7"/>
        <w:rPr>
          <w:lang w:val="en-US"/>
        </w:rPr>
      </w:pPr>
      <w:r>
        <w:rPr>
          <w:rStyle w:val="a9"/>
        </w:rPr>
        <w:footnoteRef/>
      </w:r>
      <w:r>
        <w:rPr>
          <w:lang w:val="en-US"/>
        </w:rPr>
        <w:t xml:space="preserve"> </w:t>
      </w:r>
      <w:r w:rsidR="00B165B8" w:rsidRPr="00B165B8">
        <w:rPr>
          <w:lang w:val="en-US"/>
        </w:rPr>
        <w:t>Carl-Johan Strandberg, Levered Buyouts: an LBO valuation model, Master’s Thesis, Karlstad Business School</w:t>
      </w:r>
    </w:p>
  </w:footnote>
  <w:footnote w:id="54">
    <w:p w:rsidR="00C16B02" w:rsidRDefault="00C16B02" w:rsidP="009C49DB">
      <w:pPr>
        <w:pStyle w:val="a7"/>
        <w:rPr>
          <w:rFonts w:asciiTheme="minorHAnsi" w:hAnsiTheme="minorHAnsi"/>
          <w:lang w:val="en-US"/>
        </w:rPr>
      </w:pPr>
      <w:r>
        <w:rPr>
          <w:rStyle w:val="a9"/>
        </w:rPr>
        <w:footnoteRef/>
      </w:r>
      <w:r>
        <w:rPr>
          <w:lang w:val="en-US"/>
        </w:rPr>
        <w:t xml:space="preserve"> </w:t>
      </w:r>
      <w:r w:rsidRPr="00B165B8">
        <w:rPr>
          <w:rFonts w:cs="AFDHC P+intirr"/>
          <w:color w:val="000000"/>
          <w:lang w:val="en-US"/>
        </w:rPr>
        <w:t>Goldman Sachs (2007), p. 26, Morgan Stanley (2003), p. 3, Deutsche Bank (2007), p. 13, UBS (2006), p. 22.</w:t>
      </w:r>
    </w:p>
  </w:footnote>
  <w:footnote w:id="55">
    <w:p w:rsidR="00C16B02" w:rsidRDefault="00C16B02" w:rsidP="00201D86">
      <w:pPr>
        <w:pStyle w:val="a7"/>
        <w:rPr>
          <w:rFonts w:asciiTheme="minorHAnsi" w:hAnsiTheme="minorHAnsi"/>
          <w:lang w:val="en-US"/>
        </w:rPr>
      </w:pPr>
      <w:r>
        <w:rPr>
          <w:rStyle w:val="a9"/>
        </w:rPr>
        <w:footnoteRef/>
      </w:r>
      <w:r>
        <w:rPr>
          <w:lang w:val="en-US"/>
        </w:rPr>
        <w:t xml:space="preserve"> http://www.investopedia.com/ask/answers/061715/whats-difference-between-basic-shares-and-fully-diluted-shares.asp</w:t>
      </w:r>
    </w:p>
  </w:footnote>
  <w:footnote w:id="56">
    <w:p w:rsidR="00C16B02" w:rsidRPr="00B165B8" w:rsidRDefault="00C16B02" w:rsidP="002A1B9E">
      <w:pPr>
        <w:pStyle w:val="a7"/>
        <w:rPr>
          <w:rFonts w:asciiTheme="minorHAnsi" w:hAnsiTheme="minorHAnsi"/>
          <w:lang w:val="en-US"/>
        </w:rPr>
      </w:pPr>
      <w:r w:rsidRPr="00B165B8">
        <w:rPr>
          <w:rStyle w:val="a9"/>
        </w:rPr>
        <w:footnoteRef/>
      </w:r>
      <w:r w:rsidRPr="00B165B8">
        <w:rPr>
          <w:lang w:val="en-US"/>
        </w:rPr>
        <w:t xml:space="preserve"> </w:t>
      </w:r>
      <w:r w:rsidR="00B165B8" w:rsidRPr="00B165B8">
        <w:rPr>
          <w:rFonts w:cs="AFDHC P+intirr"/>
          <w:color w:val="000000"/>
          <w:lang w:val="en-US"/>
        </w:rPr>
        <w:t>Brealey, R.A., Myers, S.C., and Allen, F. (2006), Corporate Finance, Eighth International Edition.</w:t>
      </w:r>
    </w:p>
  </w:footnote>
  <w:footnote w:id="57">
    <w:p w:rsidR="00C16B02" w:rsidRDefault="00C16B02" w:rsidP="00602A11">
      <w:pPr>
        <w:pStyle w:val="a7"/>
        <w:rPr>
          <w:lang w:val="en-US"/>
        </w:rPr>
      </w:pPr>
      <w:r>
        <w:rPr>
          <w:rStyle w:val="a9"/>
        </w:rPr>
        <w:footnoteRef/>
      </w:r>
      <w:r>
        <w:rPr>
          <w:lang w:val="en-US"/>
        </w:rPr>
        <w:t xml:space="preserve"> </w:t>
      </w:r>
      <w:r w:rsidR="00B165B8" w:rsidRPr="00B165B8">
        <w:rPr>
          <w:lang w:val="en-US"/>
        </w:rPr>
        <w:t xml:space="preserve">Equity </w:t>
      </w:r>
      <w:proofErr w:type="gramStart"/>
      <w:r w:rsidR="00B165B8" w:rsidRPr="00B165B8">
        <w:rPr>
          <w:lang w:val="en-US"/>
        </w:rPr>
        <w:t>valuation :</w:t>
      </w:r>
      <w:proofErr w:type="gramEnd"/>
      <w:r w:rsidR="00B165B8" w:rsidRPr="00B165B8">
        <w:rPr>
          <w:lang w:val="en-US"/>
        </w:rPr>
        <w:t xml:space="preserve"> models from leading investment banks/Jan Viebig, Thorsten Poddig, and Armin Varmaz. p. cm. — (The Wiley finance series)</w:t>
      </w:r>
    </w:p>
  </w:footnote>
  <w:footnote w:id="58">
    <w:p w:rsidR="00C16B02" w:rsidRDefault="00C16B02" w:rsidP="00602A11">
      <w:pPr>
        <w:pStyle w:val="a7"/>
        <w:rPr>
          <w:lang w:val="en-US"/>
        </w:rPr>
      </w:pPr>
      <w:r>
        <w:rPr>
          <w:rStyle w:val="a9"/>
        </w:rPr>
        <w:footnoteRef/>
      </w:r>
      <w:r>
        <w:rPr>
          <w:lang w:val="en-US"/>
        </w:rPr>
        <w:t xml:space="preserve"> </w:t>
      </w:r>
      <w:r w:rsidR="00B165B8" w:rsidRPr="00B165B8">
        <w:rPr>
          <w:lang w:val="en-US"/>
        </w:rPr>
        <w:t>Francos Grimaud and Patric Legland (2015) – “What is the impact of Private Equity Funds on the LBO value creation?”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5D4"/>
    <w:multiLevelType w:val="hybridMultilevel"/>
    <w:tmpl w:val="276A5DD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15:restartNumberingAfterBreak="0">
    <w:nsid w:val="0B4218F0"/>
    <w:multiLevelType w:val="hybridMultilevel"/>
    <w:tmpl w:val="AAE6C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0180B9A"/>
    <w:multiLevelType w:val="hybridMultilevel"/>
    <w:tmpl w:val="67861DF2"/>
    <w:lvl w:ilvl="0" w:tplc="15B2D6D0">
      <w:start w:val="42"/>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6817AED"/>
    <w:multiLevelType w:val="hybridMultilevel"/>
    <w:tmpl w:val="5F8854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6B268F9"/>
    <w:multiLevelType w:val="hybridMultilevel"/>
    <w:tmpl w:val="BC0CC0DC"/>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 w15:restartNumberingAfterBreak="0">
    <w:nsid w:val="192B4ADC"/>
    <w:multiLevelType w:val="hybridMultilevel"/>
    <w:tmpl w:val="DE12E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D214EA"/>
    <w:multiLevelType w:val="hybridMultilevel"/>
    <w:tmpl w:val="0678685C"/>
    <w:lvl w:ilvl="0" w:tplc="15B2D6D0">
      <w:start w:val="42"/>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CB7575"/>
    <w:multiLevelType w:val="hybridMultilevel"/>
    <w:tmpl w:val="93A0F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150463"/>
    <w:multiLevelType w:val="hybridMultilevel"/>
    <w:tmpl w:val="E4D45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2280BD4"/>
    <w:multiLevelType w:val="hybridMultilevel"/>
    <w:tmpl w:val="DE560346"/>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 w15:restartNumberingAfterBreak="0">
    <w:nsid w:val="22A84C76"/>
    <w:multiLevelType w:val="hybridMultilevel"/>
    <w:tmpl w:val="0AE2B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38D1C16"/>
    <w:multiLevelType w:val="hybridMultilevel"/>
    <w:tmpl w:val="7A6E653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260E13EF"/>
    <w:multiLevelType w:val="hybridMultilevel"/>
    <w:tmpl w:val="1074A4E6"/>
    <w:lvl w:ilvl="0" w:tplc="90E6519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D2226DE"/>
    <w:multiLevelType w:val="hybridMultilevel"/>
    <w:tmpl w:val="79D43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326B25"/>
    <w:multiLevelType w:val="hybridMultilevel"/>
    <w:tmpl w:val="7A84B7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15:restartNumberingAfterBreak="0">
    <w:nsid w:val="325B0002"/>
    <w:multiLevelType w:val="hybridMultilevel"/>
    <w:tmpl w:val="032060B6"/>
    <w:lvl w:ilvl="0" w:tplc="FFFFFFFF">
      <w:start w:val="1"/>
      <w:numFmt w:val="bullet"/>
      <w:lvlText w:val="•"/>
      <w:lvlJc w:val="left"/>
      <w:pPr>
        <w:ind w:left="180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84326A8"/>
    <w:multiLevelType w:val="multilevel"/>
    <w:tmpl w:val="87147278"/>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0BCB"/>
    <w:multiLevelType w:val="hybridMultilevel"/>
    <w:tmpl w:val="EDECF97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A8B2746"/>
    <w:multiLevelType w:val="hybridMultilevel"/>
    <w:tmpl w:val="451823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C2809B1"/>
    <w:multiLevelType w:val="hybridMultilevel"/>
    <w:tmpl w:val="9B72F55A"/>
    <w:lvl w:ilvl="0" w:tplc="0419000D">
      <w:start w:val="1"/>
      <w:numFmt w:val="bullet"/>
      <w:lvlText w:val=""/>
      <w:lvlJc w:val="left"/>
      <w:pPr>
        <w:ind w:left="702" w:hanging="360"/>
      </w:pPr>
      <w:rPr>
        <w:rFonts w:ascii="Wingdings" w:hAnsi="Wingdings" w:hint="default"/>
      </w:rPr>
    </w:lvl>
    <w:lvl w:ilvl="1" w:tplc="04190003">
      <w:start w:val="1"/>
      <w:numFmt w:val="bullet"/>
      <w:lvlText w:val="o"/>
      <w:lvlJc w:val="left"/>
      <w:pPr>
        <w:ind w:left="1422" w:hanging="360"/>
      </w:pPr>
      <w:rPr>
        <w:rFonts w:ascii="Courier New" w:hAnsi="Courier New" w:cs="Courier New" w:hint="default"/>
      </w:rPr>
    </w:lvl>
    <w:lvl w:ilvl="2" w:tplc="04190005">
      <w:start w:val="1"/>
      <w:numFmt w:val="bullet"/>
      <w:lvlText w:val=""/>
      <w:lvlJc w:val="left"/>
      <w:pPr>
        <w:ind w:left="2142" w:hanging="360"/>
      </w:pPr>
      <w:rPr>
        <w:rFonts w:ascii="Wingdings" w:hAnsi="Wingdings" w:hint="default"/>
      </w:rPr>
    </w:lvl>
    <w:lvl w:ilvl="3" w:tplc="04190001">
      <w:start w:val="1"/>
      <w:numFmt w:val="bullet"/>
      <w:lvlText w:val=""/>
      <w:lvlJc w:val="left"/>
      <w:pPr>
        <w:ind w:left="2862" w:hanging="360"/>
      </w:pPr>
      <w:rPr>
        <w:rFonts w:ascii="Symbol" w:hAnsi="Symbol" w:hint="default"/>
      </w:rPr>
    </w:lvl>
    <w:lvl w:ilvl="4" w:tplc="04190003">
      <w:start w:val="1"/>
      <w:numFmt w:val="bullet"/>
      <w:lvlText w:val="o"/>
      <w:lvlJc w:val="left"/>
      <w:pPr>
        <w:ind w:left="3582" w:hanging="360"/>
      </w:pPr>
      <w:rPr>
        <w:rFonts w:ascii="Courier New" w:hAnsi="Courier New" w:cs="Courier New" w:hint="default"/>
      </w:rPr>
    </w:lvl>
    <w:lvl w:ilvl="5" w:tplc="04190005">
      <w:start w:val="1"/>
      <w:numFmt w:val="bullet"/>
      <w:lvlText w:val=""/>
      <w:lvlJc w:val="left"/>
      <w:pPr>
        <w:ind w:left="4302" w:hanging="360"/>
      </w:pPr>
      <w:rPr>
        <w:rFonts w:ascii="Wingdings" w:hAnsi="Wingdings" w:hint="default"/>
      </w:rPr>
    </w:lvl>
    <w:lvl w:ilvl="6" w:tplc="04190001">
      <w:start w:val="1"/>
      <w:numFmt w:val="bullet"/>
      <w:lvlText w:val=""/>
      <w:lvlJc w:val="left"/>
      <w:pPr>
        <w:ind w:left="5022" w:hanging="360"/>
      </w:pPr>
      <w:rPr>
        <w:rFonts w:ascii="Symbol" w:hAnsi="Symbol" w:hint="default"/>
      </w:rPr>
    </w:lvl>
    <w:lvl w:ilvl="7" w:tplc="04190003">
      <w:start w:val="1"/>
      <w:numFmt w:val="bullet"/>
      <w:lvlText w:val="o"/>
      <w:lvlJc w:val="left"/>
      <w:pPr>
        <w:ind w:left="5742" w:hanging="360"/>
      </w:pPr>
      <w:rPr>
        <w:rFonts w:ascii="Courier New" w:hAnsi="Courier New" w:cs="Courier New" w:hint="default"/>
      </w:rPr>
    </w:lvl>
    <w:lvl w:ilvl="8" w:tplc="04190005">
      <w:start w:val="1"/>
      <w:numFmt w:val="bullet"/>
      <w:lvlText w:val=""/>
      <w:lvlJc w:val="left"/>
      <w:pPr>
        <w:ind w:left="6462" w:hanging="360"/>
      </w:pPr>
      <w:rPr>
        <w:rFonts w:ascii="Wingdings" w:hAnsi="Wingdings" w:hint="default"/>
      </w:rPr>
    </w:lvl>
  </w:abstractNum>
  <w:abstractNum w:abstractNumId="20" w15:restartNumberingAfterBreak="0">
    <w:nsid w:val="42EE6841"/>
    <w:multiLevelType w:val="hybridMultilevel"/>
    <w:tmpl w:val="7FC2B3E6"/>
    <w:lvl w:ilvl="0" w:tplc="0E9A9F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86A5615"/>
    <w:multiLevelType w:val="hybridMultilevel"/>
    <w:tmpl w:val="51AE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760E3C"/>
    <w:multiLevelType w:val="hybridMultilevel"/>
    <w:tmpl w:val="3586DB9E"/>
    <w:lvl w:ilvl="0" w:tplc="15B2D6D0">
      <w:start w:val="42"/>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DB14B8D"/>
    <w:multiLevelType w:val="hybridMultilevel"/>
    <w:tmpl w:val="27D20438"/>
    <w:lvl w:ilvl="0" w:tplc="FFFFFFFF">
      <w:start w:val="1"/>
      <w:numFmt w:val="bullet"/>
      <w:lvlText w:val="•"/>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F832643"/>
    <w:multiLevelType w:val="hybridMultilevel"/>
    <w:tmpl w:val="B65C65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F8F70A7"/>
    <w:multiLevelType w:val="hybridMultilevel"/>
    <w:tmpl w:val="B846D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6974AA"/>
    <w:multiLevelType w:val="multilevel"/>
    <w:tmpl w:val="FB629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7B4344"/>
    <w:multiLevelType w:val="hybridMultilevel"/>
    <w:tmpl w:val="AC3AC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7E09A6"/>
    <w:multiLevelType w:val="multilevel"/>
    <w:tmpl w:val="9E8E172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0E2754"/>
    <w:multiLevelType w:val="hybridMultilevel"/>
    <w:tmpl w:val="171AC2EE"/>
    <w:lvl w:ilvl="0" w:tplc="15B2D6D0">
      <w:start w:val="42"/>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4C7743"/>
    <w:multiLevelType w:val="hybridMultilevel"/>
    <w:tmpl w:val="2436A0C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620D68E4"/>
    <w:multiLevelType w:val="hybridMultilevel"/>
    <w:tmpl w:val="99062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7E4FCA"/>
    <w:multiLevelType w:val="multilevel"/>
    <w:tmpl w:val="7826D3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6CA301A"/>
    <w:multiLevelType w:val="hybridMultilevel"/>
    <w:tmpl w:val="14FC46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99D73B3"/>
    <w:multiLevelType w:val="hybridMultilevel"/>
    <w:tmpl w:val="D2B60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980986"/>
    <w:multiLevelType w:val="hybridMultilevel"/>
    <w:tmpl w:val="76F290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D7D246C"/>
    <w:multiLevelType w:val="multilevel"/>
    <w:tmpl w:val="D3B454B2"/>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E0B6512"/>
    <w:multiLevelType w:val="hybridMultilevel"/>
    <w:tmpl w:val="59EE6D2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974202D"/>
    <w:multiLevelType w:val="hybridMultilevel"/>
    <w:tmpl w:val="27A42ECA"/>
    <w:lvl w:ilvl="0" w:tplc="0419000D">
      <w:start w:val="1"/>
      <w:numFmt w:val="bullet"/>
      <w:lvlText w:val=""/>
      <w:lvlJc w:val="left"/>
      <w:pPr>
        <w:ind w:left="724" w:hanging="360"/>
      </w:pPr>
      <w:rPr>
        <w:rFonts w:ascii="Wingdings" w:hAnsi="Wingdings" w:hint="default"/>
      </w:rPr>
    </w:lvl>
    <w:lvl w:ilvl="1" w:tplc="04190003">
      <w:start w:val="1"/>
      <w:numFmt w:val="bullet"/>
      <w:lvlText w:val="o"/>
      <w:lvlJc w:val="left"/>
      <w:pPr>
        <w:ind w:left="1444" w:hanging="360"/>
      </w:pPr>
      <w:rPr>
        <w:rFonts w:ascii="Courier New" w:hAnsi="Courier New" w:cs="Courier New" w:hint="default"/>
      </w:rPr>
    </w:lvl>
    <w:lvl w:ilvl="2" w:tplc="04190005">
      <w:start w:val="1"/>
      <w:numFmt w:val="bullet"/>
      <w:lvlText w:val=""/>
      <w:lvlJc w:val="left"/>
      <w:pPr>
        <w:ind w:left="2164" w:hanging="360"/>
      </w:pPr>
      <w:rPr>
        <w:rFonts w:ascii="Wingdings" w:hAnsi="Wingdings" w:hint="default"/>
      </w:rPr>
    </w:lvl>
    <w:lvl w:ilvl="3" w:tplc="04190001">
      <w:start w:val="1"/>
      <w:numFmt w:val="bullet"/>
      <w:lvlText w:val=""/>
      <w:lvlJc w:val="left"/>
      <w:pPr>
        <w:ind w:left="2884" w:hanging="360"/>
      </w:pPr>
      <w:rPr>
        <w:rFonts w:ascii="Symbol" w:hAnsi="Symbol" w:hint="default"/>
      </w:rPr>
    </w:lvl>
    <w:lvl w:ilvl="4" w:tplc="04190003">
      <w:start w:val="1"/>
      <w:numFmt w:val="bullet"/>
      <w:lvlText w:val="o"/>
      <w:lvlJc w:val="left"/>
      <w:pPr>
        <w:ind w:left="3604" w:hanging="360"/>
      </w:pPr>
      <w:rPr>
        <w:rFonts w:ascii="Courier New" w:hAnsi="Courier New" w:cs="Courier New" w:hint="default"/>
      </w:rPr>
    </w:lvl>
    <w:lvl w:ilvl="5" w:tplc="04190005">
      <w:start w:val="1"/>
      <w:numFmt w:val="bullet"/>
      <w:lvlText w:val=""/>
      <w:lvlJc w:val="left"/>
      <w:pPr>
        <w:ind w:left="4324" w:hanging="360"/>
      </w:pPr>
      <w:rPr>
        <w:rFonts w:ascii="Wingdings" w:hAnsi="Wingdings" w:hint="default"/>
      </w:rPr>
    </w:lvl>
    <w:lvl w:ilvl="6" w:tplc="04190001">
      <w:start w:val="1"/>
      <w:numFmt w:val="bullet"/>
      <w:lvlText w:val=""/>
      <w:lvlJc w:val="left"/>
      <w:pPr>
        <w:ind w:left="5044" w:hanging="360"/>
      </w:pPr>
      <w:rPr>
        <w:rFonts w:ascii="Symbol" w:hAnsi="Symbol" w:hint="default"/>
      </w:rPr>
    </w:lvl>
    <w:lvl w:ilvl="7" w:tplc="04190003">
      <w:start w:val="1"/>
      <w:numFmt w:val="bullet"/>
      <w:lvlText w:val="o"/>
      <w:lvlJc w:val="left"/>
      <w:pPr>
        <w:ind w:left="5764" w:hanging="360"/>
      </w:pPr>
      <w:rPr>
        <w:rFonts w:ascii="Courier New" w:hAnsi="Courier New" w:cs="Courier New" w:hint="default"/>
      </w:rPr>
    </w:lvl>
    <w:lvl w:ilvl="8" w:tplc="04190005">
      <w:start w:val="1"/>
      <w:numFmt w:val="bullet"/>
      <w:lvlText w:val=""/>
      <w:lvlJc w:val="left"/>
      <w:pPr>
        <w:ind w:left="6484" w:hanging="360"/>
      </w:pPr>
      <w:rPr>
        <w:rFonts w:ascii="Wingdings" w:hAnsi="Wingdings" w:hint="default"/>
      </w:rPr>
    </w:lvl>
  </w:abstractNum>
  <w:abstractNum w:abstractNumId="39" w15:restartNumberingAfterBreak="0">
    <w:nsid w:val="7B083A1F"/>
    <w:multiLevelType w:val="hybridMultilevel"/>
    <w:tmpl w:val="5568EA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BAD72B2"/>
    <w:multiLevelType w:val="hybridMultilevel"/>
    <w:tmpl w:val="1C14799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39"/>
  </w:num>
  <w:num w:numId="4">
    <w:abstractNumId w:val="39"/>
  </w:num>
  <w:num w:numId="5">
    <w:abstractNumId w:val="12"/>
  </w:num>
  <w:num w:numId="6">
    <w:abstractNumId w:val="7"/>
  </w:num>
  <w:num w:numId="7">
    <w:abstractNumId w:val="5"/>
  </w:num>
  <w:num w:numId="8">
    <w:abstractNumId w:val="2"/>
  </w:num>
  <w:num w:numId="9">
    <w:abstractNumId w:val="22"/>
  </w:num>
  <w:num w:numId="10">
    <w:abstractNumId w:val="29"/>
  </w:num>
  <w:num w:numId="11">
    <w:abstractNumId w:val="17"/>
  </w:num>
  <w:num w:numId="12">
    <w:abstractNumId w:val="9"/>
  </w:num>
  <w:num w:numId="13">
    <w:abstractNumId w:val="18"/>
  </w:num>
  <w:num w:numId="14">
    <w:abstractNumId w:val="35"/>
  </w:num>
  <w:num w:numId="15">
    <w:abstractNumId w:val="30"/>
  </w:num>
  <w:num w:numId="16">
    <w:abstractNumId w:val="33"/>
  </w:num>
  <w:num w:numId="17">
    <w:abstractNumId w:val="37"/>
  </w:num>
  <w:num w:numId="18">
    <w:abstractNumId w:val="40"/>
  </w:num>
  <w:num w:numId="19">
    <w:abstractNumId w:val="3"/>
  </w:num>
  <w:num w:numId="20">
    <w:abstractNumId w:val="38"/>
  </w:num>
  <w:num w:numId="21">
    <w:abstractNumId w:val="19"/>
  </w:num>
  <w:num w:numId="22">
    <w:abstractNumId w:val="32"/>
  </w:num>
  <w:num w:numId="23">
    <w:abstractNumId w:val="0"/>
  </w:num>
  <w:num w:numId="24">
    <w:abstractNumId w:val="1"/>
  </w:num>
  <w:num w:numId="25">
    <w:abstractNumId w:val="8"/>
  </w:num>
  <w:num w:numId="26">
    <w:abstractNumId w:val="21"/>
  </w:num>
  <w:num w:numId="27">
    <w:abstractNumId w:val="28"/>
  </w:num>
  <w:num w:numId="28">
    <w:abstractNumId w:val="11"/>
  </w:num>
  <w:num w:numId="29">
    <w:abstractNumId w:val="10"/>
  </w:num>
  <w:num w:numId="30">
    <w:abstractNumId w:val="25"/>
  </w:num>
  <w:num w:numId="31">
    <w:abstractNumId w:val="1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6"/>
  </w:num>
  <w:num w:numId="35">
    <w:abstractNumId w:val="14"/>
  </w:num>
  <w:num w:numId="36">
    <w:abstractNumId w:val="36"/>
  </w:num>
  <w:num w:numId="37">
    <w:abstractNumId w:val="39"/>
  </w:num>
  <w:num w:numId="38">
    <w:abstractNumId w:val="34"/>
  </w:num>
  <w:num w:numId="39">
    <w:abstractNumId w:val="6"/>
  </w:num>
  <w:num w:numId="40">
    <w:abstractNumId w:val="20"/>
  </w:num>
  <w:num w:numId="41">
    <w:abstractNumId w:val="23"/>
  </w:num>
  <w:num w:numId="42">
    <w:abstractNumId w:val="15"/>
  </w:num>
  <w:num w:numId="43">
    <w:abstractNumId w:val="24"/>
  </w:num>
  <w:num w:numId="44">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F"/>
    <w:rsid w:val="00004C94"/>
    <w:rsid w:val="00005412"/>
    <w:rsid w:val="00005809"/>
    <w:rsid w:val="00021B10"/>
    <w:rsid w:val="000263ED"/>
    <w:rsid w:val="00033B2A"/>
    <w:rsid w:val="0004085C"/>
    <w:rsid w:val="00057980"/>
    <w:rsid w:val="00060D26"/>
    <w:rsid w:val="00061049"/>
    <w:rsid w:val="00061403"/>
    <w:rsid w:val="00070550"/>
    <w:rsid w:val="00072A73"/>
    <w:rsid w:val="00073670"/>
    <w:rsid w:val="00073AA8"/>
    <w:rsid w:val="00073ED0"/>
    <w:rsid w:val="00084BE9"/>
    <w:rsid w:val="00094EBB"/>
    <w:rsid w:val="00096196"/>
    <w:rsid w:val="00097AA7"/>
    <w:rsid w:val="000A2174"/>
    <w:rsid w:val="000B4603"/>
    <w:rsid w:val="000B4BFB"/>
    <w:rsid w:val="000B73AE"/>
    <w:rsid w:val="000D7C97"/>
    <w:rsid w:val="000E4733"/>
    <w:rsid w:val="000F4840"/>
    <w:rsid w:val="00117425"/>
    <w:rsid w:val="00141625"/>
    <w:rsid w:val="00145ACD"/>
    <w:rsid w:val="00171E0C"/>
    <w:rsid w:val="00172D03"/>
    <w:rsid w:val="00183C7E"/>
    <w:rsid w:val="001840C2"/>
    <w:rsid w:val="00184C20"/>
    <w:rsid w:val="001908E9"/>
    <w:rsid w:val="001920B6"/>
    <w:rsid w:val="00197DAB"/>
    <w:rsid w:val="001A651F"/>
    <w:rsid w:val="001B5A80"/>
    <w:rsid w:val="001C28F1"/>
    <w:rsid w:val="001C71A0"/>
    <w:rsid w:val="001D2823"/>
    <w:rsid w:val="001E45AD"/>
    <w:rsid w:val="001E4F2F"/>
    <w:rsid w:val="001F4111"/>
    <w:rsid w:val="001F7BFC"/>
    <w:rsid w:val="00201D86"/>
    <w:rsid w:val="00211C80"/>
    <w:rsid w:val="002162CC"/>
    <w:rsid w:val="00233CD2"/>
    <w:rsid w:val="002539CB"/>
    <w:rsid w:val="00257152"/>
    <w:rsid w:val="00266903"/>
    <w:rsid w:val="002777DD"/>
    <w:rsid w:val="00294338"/>
    <w:rsid w:val="00294CA0"/>
    <w:rsid w:val="00295824"/>
    <w:rsid w:val="002A05B7"/>
    <w:rsid w:val="002A1B9E"/>
    <w:rsid w:val="002A26E3"/>
    <w:rsid w:val="002A531A"/>
    <w:rsid w:val="002A61B8"/>
    <w:rsid w:val="002B0C8F"/>
    <w:rsid w:val="002B5649"/>
    <w:rsid w:val="002B664F"/>
    <w:rsid w:val="002E024C"/>
    <w:rsid w:val="002F255D"/>
    <w:rsid w:val="0030435D"/>
    <w:rsid w:val="00307966"/>
    <w:rsid w:val="00315257"/>
    <w:rsid w:val="00320781"/>
    <w:rsid w:val="00327FB6"/>
    <w:rsid w:val="0035377A"/>
    <w:rsid w:val="00355E6A"/>
    <w:rsid w:val="003566FC"/>
    <w:rsid w:val="00361BEC"/>
    <w:rsid w:val="00364776"/>
    <w:rsid w:val="003767B9"/>
    <w:rsid w:val="00381113"/>
    <w:rsid w:val="003A15CF"/>
    <w:rsid w:val="003C62BE"/>
    <w:rsid w:val="003D3F91"/>
    <w:rsid w:val="003D6FD1"/>
    <w:rsid w:val="003D7CBA"/>
    <w:rsid w:val="003E1E92"/>
    <w:rsid w:val="003E323A"/>
    <w:rsid w:val="003E4504"/>
    <w:rsid w:val="003E6FBB"/>
    <w:rsid w:val="003E7347"/>
    <w:rsid w:val="003F230D"/>
    <w:rsid w:val="004002E8"/>
    <w:rsid w:val="00401CE6"/>
    <w:rsid w:val="00401D9F"/>
    <w:rsid w:val="00405102"/>
    <w:rsid w:val="00415659"/>
    <w:rsid w:val="00417385"/>
    <w:rsid w:val="004341DE"/>
    <w:rsid w:val="00455A31"/>
    <w:rsid w:val="0045604E"/>
    <w:rsid w:val="0045677C"/>
    <w:rsid w:val="00466E3B"/>
    <w:rsid w:val="00466ECB"/>
    <w:rsid w:val="00471B2A"/>
    <w:rsid w:val="00472FBB"/>
    <w:rsid w:val="00475EAE"/>
    <w:rsid w:val="0047625A"/>
    <w:rsid w:val="00486967"/>
    <w:rsid w:val="00496C05"/>
    <w:rsid w:val="004B10CC"/>
    <w:rsid w:val="004B6610"/>
    <w:rsid w:val="004B794F"/>
    <w:rsid w:val="004D0455"/>
    <w:rsid w:val="004D64C0"/>
    <w:rsid w:val="004E3D48"/>
    <w:rsid w:val="004F0183"/>
    <w:rsid w:val="004F41C4"/>
    <w:rsid w:val="004F6E67"/>
    <w:rsid w:val="004F755F"/>
    <w:rsid w:val="004F767D"/>
    <w:rsid w:val="00503604"/>
    <w:rsid w:val="005168E6"/>
    <w:rsid w:val="00527057"/>
    <w:rsid w:val="005300B5"/>
    <w:rsid w:val="00556BE8"/>
    <w:rsid w:val="0057689B"/>
    <w:rsid w:val="0058657D"/>
    <w:rsid w:val="005930B3"/>
    <w:rsid w:val="005B545A"/>
    <w:rsid w:val="005B7F1A"/>
    <w:rsid w:val="005C5DE1"/>
    <w:rsid w:val="005D0D3E"/>
    <w:rsid w:val="005D213F"/>
    <w:rsid w:val="005D2D65"/>
    <w:rsid w:val="00601A5D"/>
    <w:rsid w:val="00602A11"/>
    <w:rsid w:val="00620271"/>
    <w:rsid w:val="006225BC"/>
    <w:rsid w:val="00622623"/>
    <w:rsid w:val="00636895"/>
    <w:rsid w:val="006412D9"/>
    <w:rsid w:val="006415F5"/>
    <w:rsid w:val="00644478"/>
    <w:rsid w:val="00644F48"/>
    <w:rsid w:val="00647CB6"/>
    <w:rsid w:val="00651BBF"/>
    <w:rsid w:val="00653B38"/>
    <w:rsid w:val="006554EF"/>
    <w:rsid w:val="00657173"/>
    <w:rsid w:val="0065760E"/>
    <w:rsid w:val="00660387"/>
    <w:rsid w:val="00671ACF"/>
    <w:rsid w:val="00676AD0"/>
    <w:rsid w:val="0068356D"/>
    <w:rsid w:val="00684FF5"/>
    <w:rsid w:val="006950E0"/>
    <w:rsid w:val="0069799C"/>
    <w:rsid w:val="006A7D29"/>
    <w:rsid w:val="006B1996"/>
    <w:rsid w:val="006C692C"/>
    <w:rsid w:val="006C6A55"/>
    <w:rsid w:val="00701A82"/>
    <w:rsid w:val="00704815"/>
    <w:rsid w:val="0070796F"/>
    <w:rsid w:val="00714647"/>
    <w:rsid w:val="007235E9"/>
    <w:rsid w:val="0073086C"/>
    <w:rsid w:val="00741FFE"/>
    <w:rsid w:val="00756956"/>
    <w:rsid w:val="007572E2"/>
    <w:rsid w:val="007739E6"/>
    <w:rsid w:val="00780E7D"/>
    <w:rsid w:val="007829D2"/>
    <w:rsid w:val="007844E5"/>
    <w:rsid w:val="007A06C4"/>
    <w:rsid w:val="007A3E39"/>
    <w:rsid w:val="007A5867"/>
    <w:rsid w:val="007A7800"/>
    <w:rsid w:val="007B079B"/>
    <w:rsid w:val="007B6CAA"/>
    <w:rsid w:val="007C1D1E"/>
    <w:rsid w:val="007C3FA8"/>
    <w:rsid w:val="007C50C9"/>
    <w:rsid w:val="007C6A16"/>
    <w:rsid w:val="007D444D"/>
    <w:rsid w:val="007D59F1"/>
    <w:rsid w:val="007E2FFA"/>
    <w:rsid w:val="007E7D8E"/>
    <w:rsid w:val="007F6DBF"/>
    <w:rsid w:val="00803007"/>
    <w:rsid w:val="00803D0F"/>
    <w:rsid w:val="00810861"/>
    <w:rsid w:val="00824500"/>
    <w:rsid w:val="008478D8"/>
    <w:rsid w:val="00850353"/>
    <w:rsid w:val="0086782C"/>
    <w:rsid w:val="00876CED"/>
    <w:rsid w:val="00880A0F"/>
    <w:rsid w:val="008810F7"/>
    <w:rsid w:val="00890B4C"/>
    <w:rsid w:val="00895579"/>
    <w:rsid w:val="00897905"/>
    <w:rsid w:val="008B22BC"/>
    <w:rsid w:val="008D3386"/>
    <w:rsid w:val="008D3CCB"/>
    <w:rsid w:val="008F0112"/>
    <w:rsid w:val="008F2DA3"/>
    <w:rsid w:val="008F3DF1"/>
    <w:rsid w:val="00911118"/>
    <w:rsid w:val="00912CA1"/>
    <w:rsid w:val="00913DF9"/>
    <w:rsid w:val="00915F47"/>
    <w:rsid w:val="00927CFC"/>
    <w:rsid w:val="009300D5"/>
    <w:rsid w:val="009316EC"/>
    <w:rsid w:val="00940972"/>
    <w:rsid w:val="00951FCF"/>
    <w:rsid w:val="0095500D"/>
    <w:rsid w:val="009719EF"/>
    <w:rsid w:val="00987C20"/>
    <w:rsid w:val="00990BF0"/>
    <w:rsid w:val="009A2CC9"/>
    <w:rsid w:val="009A65AA"/>
    <w:rsid w:val="009A67B5"/>
    <w:rsid w:val="009B0CE2"/>
    <w:rsid w:val="009B66F4"/>
    <w:rsid w:val="009B7B03"/>
    <w:rsid w:val="009C49DB"/>
    <w:rsid w:val="009C6EDD"/>
    <w:rsid w:val="009E0C38"/>
    <w:rsid w:val="00A0075A"/>
    <w:rsid w:val="00A15338"/>
    <w:rsid w:val="00A164E2"/>
    <w:rsid w:val="00A20009"/>
    <w:rsid w:val="00A2640D"/>
    <w:rsid w:val="00A46B96"/>
    <w:rsid w:val="00A542DE"/>
    <w:rsid w:val="00A704C0"/>
    <w:rsid w:val="00A737F0"/>
    <w:rsid w:val="00A802EB"/>
    <w:rsid w:val="00A850E2"/>
    <w:rsid w:val="00A8783C"/>
    <w:rsid w:val="00A93A1E"/>
    <w:rsid w:val="00A9615E"/>
    <w:rsid w:val="00A96CFF"/>
    <w:rsid w:val="00A97450"/>
    <w:rsid w:val="00AA1352"/>
    <w:rsid w:val="00AB3FD8"/>
    <w:rsid w:val="00AB43E0"/>
    <w:rsid w:val="00AC2E85"/>
    <w:rsid w:val="00AE76F3"/>
    <w:rsid w:val="00AF7626"/>
    <w:rsid w:val="00B15CED"/>
    <w:rsid w:val="00B165B8"/>
    <w:rsid w:val="00B26308"/>
    <w:rsid w:val="00B2795E"/>
    <w:rsid w:val="00B3193B"/>
    <w:rsid w:val="00B34601"/>
    <w:rsid w:val="00B54D1D"/>
    <w:rsid w:val="00B63841"/>
    <w:rsid w:val="00B65DF4"/>
    <w:rsid w:val="00B726FF"/>
    <w:rsid w:val="00B81136"/>
    <w:rsid w:val="00B9361B"/>
    <w:rsid w:val="00B958F5"/>
    <w:rsid w:val="00B97E06"/>
    <w:rsid w:val="00BA1FE5"/>
    <w:rsid w:val="00BA26C1"/>
    <w:rsid w:val="00BA4CBD"/>
    <w:rsid w:val="00BB5250"/>
    <w:rsid w:val="00BC4E3D"/>
    <w:rsid w:val="00BE2ACB"/>
    <w:rsid w:val="00BE33F9"/>
    <w:rsid w:val="00BF2EF4"/>
    <w:rsid w:val="00BF3177"/>
    <w:rsid w:val="00BF6D29"/>
    <w:rsid w:val="00C026D8"/>
    <w:rsid w:val="00C12012"/>
    <w:rsid w:val="00C12B5D"/>
    <w:rsid w:val="00C16B02"/>
    <w:rsid w:val="00C33FAB"/>
    <w:rsid w:val="00C409AB"/>
    <w:rsid w:val="00C42C2C"/>
    <w:rsid w:val="00C46A3C"/>
    <w:rsid w:val="00C5492C"/>
    <w:rsid w:val="00C57848"/>
    <w:rsid w:val="00C7023F"/>
    <w:rsid w:val="00C714E1"/>
    <w:rsid w:val="00C732B0"/>
    <w:rsid w:val="00C93C1E"/>
    <w:rsid w:val="00CB0F33"/>
    <w:rsid w:val="00CB20FF"/>
    <w:rsid w:val="00CB224D"/>
    <w:rsid w:val="00CB3BBF"/>
    <w:rsid w:val="00CC0C04"/>
    <w:rsid w:val="00CC2531"/>
    <w:rsid w:val="00CC5388"/>
    <w:rsid w:val="00CD0D98"/>
    <w:rsid w:val="00CE2E85"/>
    <w:rsid w:val="00CF52DB"/>
    <w:rsid w:val="00D07BD3"/>
    <w:rsid w:val="00D1696C"/>
    <w:rsid w:val="00D17DB9"/>
    <w:rsid w:val="00D254BF"/>
    <w:rsid w:val="00D26B32"/>
    <w:rsid w:val="00D33494"/>
    <w:rsid w:val="00D43FC6"/>
    <w:rsid w:val="00D45679"/>
    <w:rsid w:val="00D515DD"/>
    <w:rsid w:val="00D5340F"/>
    <w:rsid w:val="00D55D2E"/>
    <w:rsid w:val="00D61DA3"/>
    <w:rsid w:val="00D71B3A"/>
    <w:rsid w:val="00D81F22"/>
    <w:rsid w:val="00D844E6"/>
    <w:rsid w:val="00D87133"/>
    <w:rsid w:val="00D95D00"/>
    <w:rsid w:val="00DA0551"/>
    <w:rsid w:val="00DA2639"/>
    <w:rsid w:val="00DB0DC2"/>
    <w:rsid w:val="00DB1706"/>
    <w:rsid w:val="00DD4129"/>
    <w:rsid w:val="00DE000F"/>
    <w:rsid w:val="00DE0F0A"/>
    <w:rsid w:val="00DF33C2"/>
    <w:rsid w:val="00DF485C"/>
    <w:rsid w:val="00DF7B24"/>
    <w:rsid w:val="00E05711"/>
    <w:rsid w:val="00E10798"/>
    <w:rsid w:val="00E16C3A"/>
    <w:rsid w:val="00E26DE2"/>
    <w:rsid w:val="00E31114"/>
    <w:rsid w:val="00E33559"/>
    <w:rsid w:val="00E434CF"/>
    <w:rsid w:val="00E65904"/>
    <w:rsid w:val="00E7335F"/>
    <w:rsid w:val="00E734E3"/>
    <w:rsid w:val="00E74478"/>
    <w:rsid w:val="00E80A0A"/>
    <w:rsid w:val="00E831BB"/>
    <w:rsid w:val="00E838F8"/>
    <w:rsid w:val="00E977CA"/>
    <w:rsid w:val="00EA1BB5"/>
    <w:rsid w:val="00EA2A8B"/>
    <w:rsid w:val="00EA376F"/>
    <w:rsid w:val="00EB6390"/>
    <w:rsid w:val="00ED56D3"/>
    <w:rsid w:val="00EE1DD1"/>
    <w:rsid w:val="00EE2A3F"/>
    <w:rsid w:val="00EE6C56"/>
    <w:rsid w:val="00EF0ED4"/>
    <w:rsid w:val="00F06544"/>
    <w:rsid w:val="00F06CF3"/>
    <w:rsid w:val="00F109E4"/>
    <w:rsid w:val="00F311F9"/>
    <w:rsid w:val="00F52BEB"/>
    <w:rsid w:val="00F52F96"/>
    <w:rsid w:val="00F5317A"/>
    <w:rsid w:val="00F71F36"/>
    <w:rsid w:val="00F777AC"/>
    <w:rsid w:val="00F7785D"/>
    <w:rsid w:val="00F77893"/>
    <w:rsid w:val="00F81AEB"/>
    <w:rsid w:val="00F96A04"/>
    <w:rsid w:val="00FA0FFA"/>
    <w:rsid w:val="00FA78CF"/>
    <w:rsid w:val="00FB4C57"/>
    <w:rsid w:val="00FB4DC1"/>
    <w:rsid w:val="00FC326B"/>
    <w:rsid w:val="00FC5765"/>
    <w:rsid w:val="00FD545B"/>
    <w:rsid w:val="00FD6864"/>
    <w:rsid w:val="00FE0D62"/>
    <w:rsid w:val="00FE1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3D5C1-2E3D-4818-AD99-F0555E7C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C97"/>
    <w:pPr>
      <w:spacing w:line="256" w:lineRule="auto"/>
    </w:pPr>
    <w:rPr>
      <w:rFonts w:ascii="Times New Roman" w:hAnsi="Times New Roman"/>
      <w:sz w:val="24"/>
    </w:rPr>
  </w:style>
  <w:style w:type="paragraph" w:styleId="1">
    <w:name w:val="heading 1"/>
    <w:basedOn w:val="a"/>
    <w:next w:val="a"/>
    <w:link w:val="10"/>
    <w:uiPriority w:val="9"/>
    <w:qFormat/>
    <w:rsid w:val="00D254BF"/>
    <w:pPr>
      <w:keepNext/>
      <w:keepLines/>
      <w:spacing w:before="240" w:after="0"/>
      <w:outlineLvl w:val="0"/>
    </w:pPr>
    <w:rPr>
      <w:rFonts w:eastAsiaTheme="majorEastAsia" w:cstheme="majorBidi"/>
      <w:b/>
      <w:szCs w:val="32"/>
    </w:rPr>
  </w:style>
  <w:style w:type="paragraph" w:styleId="2">
    <w:name w:val="heading 2"/>
    <w:basedOn w:val="a"/>
    <w:next w:val="a"/>
    <w:link w:val="20"/>
    <w:uiPriority w:val="9"/>
    <w:unhideWhenUsed/>
    <w:qFormat/>
    <w:rsid w:val="00D254BF"/>
    <w:pPr>
      <w:keepNext/>
      <w:keepLines/>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3C62BE"/>
    <w:pPr>
      <w:keepNext/>
      <w:keepLines/>
      <w:spacing w:before="40" w:after="0"/>
      <w:outlineLvl w:val="2"/>
    </w:pPr>
    <w:rPr>
      <w:rFonts w:eastAsiaTheme="majorEastAsia" w:cstheme="majorBidi"/>
      <w:b/>
      <w:szCs w:val="24"/>
    </w:rPr>
  </w:style>
  <w:style w:type="paragraph" w:styleId="4">
    <w:name w:val="heading 4"/>
    <w:basedOn w:val="a"/>
    <w:next w:val="a"/>
    <w:link w:val="40"/>
    <w:uiPriority w:val="9"/>
    <w:unhideWhenUsed/>
    <w:qFormat/>
    <w:rsid w:val="004E3D48"/>
    <w:pPr>
      <w:keepNext/>
      <w:keepLines/>
      <w:spacing w:before="40" w:after="0"/>
      <w:outlineLvl w:val="3"/>
    </w:pPr>
    <w:rPr>
      <w:rFonts w:eastAsiaTheme="majorEastAsia" w:cstheme="majorBidi"/>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4BF"/>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D254BF"/>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3C62BE"/>
    <w:rPr>
      <w:rFonts w:ascii="Times New Roman" w:eastAsiaTheme="majorEastAsia" w:hAnsi="Times New Roman" w:cstheme="majorBidi"/>
      <w:b/>
      <w:sz w:val="24"/>
      <w:szCs w:val="24"/>
    </w:rPr>
  </w:style>
  <w:style w:type="character" w:customStyle="1" w:styleId="40">
    <w:name w:val="Заголовок 4 Знак"/>
    <w:basedOn w:val="a0"/>
    <w:link w:val="4"/>
    <w:uiPriority w:val="9"/>
    <w:rsid w:val="004E3D48"/>
    <w:rPr>
      <w:rFonts w:ascii="Times New Roman" w:eastAsiaTheme="majorEastAsia" w:hAnsi="Times New Roman" w:cstheme="majorBidi"/>
      <w:b/>
      <w:i/>
      <w:iCs/>
      <w:sz w:val="24"/>
    </w:rPr>
  </w:style>
  <w:style w:type="paragraph" w:styleId="a3">
    <w:name w:val="Body Text Indent"/>
    <w:basedOn w:val="a"/>
    <w:link w:val="a4"/>
    <w:uiPriority w:val="99"/>
    <w:semiHidden/>
    <w:unhideWhenUsed/>
    <w:rsid w:val="00CB3BBF"/>
    <w:pPr>
      <w:spacing w:after="120" w:line="276" w:lineRule="auto"/>
      <w:ind w:left="283"/>
    </w:pPr>
    <w:rPr>
      <w:rFonts w:ascii="Calibri" w:eastAsia="Calibri" w:hAnsi="Calibri" w:cs="Times New Roman"/>
      <w:lang w:val="x-none"/>
    </w:rPr>
  </w:style>
  <w:style w:type="character" w:customStyle="1" w:styleId="a4">
    <w:name w:val="Основной текст с отступом Знак"/>
    <w:basedOn w:val="a0"/>
    <w:link w:val="a3"/>
    <w:uiPriority w:val="99"/>
    <w:semiHidden/>
    <w:rsid w:val="00CB3BBF"/>
    <w:rPr>
      <w:rFonts w:ascii="Calibri" w:eastAsia="Calibri" w:hAnsi="Calibri" w:cs="Times New Roman"/>
      <w:lang w:val="x-none"/>
    </w:rPr>
  </w:style>
  <w:style w:type="paragraph" w:styleId="a5">
    <w:name w:val="No Spacing"/>
    <w:uiPriority w:val="1"/>
    <w:qFormat/>
    <w:rsid w:val="00471B2A"/>
    <w:pPr>
      <w:spacing w:after="0" w:line="240" w:lineRule="auto"/>
    </w:pPr>
    <w:rPr>
      <w:rFonts w:ascii="Times New Roman" w:hAnsi="Times New Roman"/>
      <w:sz w:val="24"/>
    </w:rPr>
  </w:style>
  <w:style w:type="table" w:styleId="a6">
    <w:name w:val="Table Grid"/>
    <w:basedOn w:val="a1"/>
    <w:uiPriority w:val="59"/>
    <w:rsid w:val="00CB3B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semiHidden/>
    <w:unhideWhenUsed/>
    <w:rsid w:val="00C732B0"/>
    <w:pPr>
      <w:spacing w:after="0" w:line="240" w:lineRule="auto"/>
    </w:pPr>
    <w:rPr>
      <w:sz w:val="20"/>
      <w:szCs w:val="20"/>
    </w:rPr>
  </w:style>
  <w:style w:type="character" w:customStyle="1" w:styleId="a8">
    <w:name w:val="Текст сноски Знак"/>
    <w:basedOn w:val="a0"/>
    <w:link w:val="a7"/>
    <w:semiHidden/>
    <w:rsid w:val="00C732B0"/>
    <w:rPr>
      <w:sz w:val="20"/>
      <w:szCs w:val="20"/>
    </w:rPr>
  </w:style>
  <w:style w:type="character" w:styleId="a9">
    <w:name w:val="footnote reference"/>
    <w:basedOn w:val="a0"/>
    <w:semiHidden/>
    <w:unhideWhenUsed/>
    <w:rsid w:val="00C732B0"/>
    <w:rPr>
      <w:vertAlign w:val="superscript"/>
    </w:rPr>
  </w:style>
  <w:style w:type="paragraph" w:styleId="aa">
    <w:name w:val="List Paragraph"/>
    <w:basedOn w:val="a"/>
    <w:uiPriority w:val="34"/>
    <w:qFormat/>
    <w:rsid w:val="00D254BF"/>
    <w:pPr>
      <w:ind w:left="720"/>
      <w:contextualSpacing/>
    </w:pPr>
  </w:style>
  <w:style w:type="paragraph" w:styleId="ab">
    <w:name w:val="header"/>
    <w:basedOn w:val="a"/>
    <w:link w:val="ac"/>
    <w:uiPriority w:val="99"/>
    <w:unhideWhenUsed/>
    <w:rsid w:val="003C62B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62BE"/>
  </w:style>
  <w:style w:type="paragraph" w:styleId="ad">
    <w:name w:val="footer"/>
    <w:basedOn w:val="a"/>
    <w:link w:val="ae"/>
    <w:uiPriority w:val="99"/>
    <w:unhideWhenUsed/>
    <w:rsid w:val="003C62B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62BE"/>
  </w:style>
  <w:style w:type="paragraph" w:styleId="af">
    <w:name w:val="TOC Heading"/>
    <w:basedOn w:val="1"/>
    <w:next w:val="a"/>
    <w:uiPriority w:val="39"/>
    <w:unhideWhenUsed/>
    <w:qFormat/>
    <w:rsid w:val="003C62BE"/>
    <w:pPr>
      <w:spacing w:line="259" w:lineRule="auto"/>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3C62BE"/>
    <w:pPr>
      <w:spacing w:after="100"/>
    </w:pPr>
  </w:style>
  <w:style w:type="paragraph" w:styleId="21">
    <w:name w:val="toc 2"/>
    <w:basedOn w:val="a"/>
    <w:next w:val="a"/>
    <w:autoRedefine/>
    <w:uiPriority w:val="39"/>
    <w:unhideWhenUsed/>
    <w:rsid w:val="003C62BE"/>
    <w:pPr>
      <w:spacing w:after="100"/>
      <w:ind w:left="220"/>
    </w:pPr>
  </w:style>
  <w:style w:type="character" w:styleId="af0">
    <w:name w:val="Hyperlink"/>
    <w:basedOn w:val="a0"/>
    <w:uiPriority w:val="99"/>
    <w:unhideWhenUsed/>
    <w:rsid w:val="003C62BE"/>
    <w:rPr>
      <w:color w:val="0563C1" w:themeColor="hyperlink"/>
      <w:u w:val="single"/>
    </w:rPr>
  </w:style>
  <w:style w:type="paragraph" w:styleId="31">
    <w:name w:val="toc 3"/>
    <w:basedOn w:val="a"/>
    <w:next w:val="a"/>
    <w:autoRedefine/>
    <w:uiPriority w:val="39"/>
    <w:unhideWhenUsed/>
    <w:rsid w:val="003C62BE"/>
    <w:pPr>
      <w:spacing w:after="100"/>
      <w:ind w:left="440"/>
    </w:pPr>
  </w:style>
  <w:style w:type="table" w:styleId="af1">
    <w:name w:val="Grid Table Light"/>
    <w:basedOn w:val="a1"/>
    <w:uiPriority w:val="40"/>
    <w:rsid w:val="000610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5840">
      <w:bodyDiv w:val="1"/>
      <w:marLeft w:val="0"/>
      <w:marRight w:val="0"/>
      <w:marTop w:val="0"/>
      <w:marBottom w:val="0"/>
      <w:divBdr>
        <w:top w:val="none" w:sz="0" w:space="0" w:color="auto"/>
        <w:left w:val="none" w:sz="0" w:space="0" w:color="auto"/>
        <w:bottom w:val="none" w:sz="0" w:space="0" w:color="auto"/>
        <w:right w:val="none" w:sz="0" w:space="0" w:color="auto"/>
      </w:divBdr>
    </w:div>
    <w:div w:id="25523433">
      <w:bodyDiv w:val="1"/>
      <w:marLeft w:val="0"/>
      <w:marRight w:val="0"/>
      <w:marTop w:val="0"/>
      <w:marBottom w:val="0"/>
      <w:divBdr>
        <w:top w:val="none" w:sz="0" w:space="0" w:color="auto"/>
        <w:left w:val="none" w:sz="0" w:space="0" w:color="auto"/>
        <w:bottom w:val="none" w:sz="0" w:space="0" w:color="auto"/>
        <w:right w:val="none" w:sz="0" w:space="0" w:color="auto"/>
      </w:divBdr>
    </w:div>
    <w:div w:id="168520043">
      <w:bodyDiv w:val="1"/>
      <w:marLeft w:val="0"/>
      <w:marRight w:val="0"/>
      <w:marTop w:val="0"/>
      <w:marBottom w:val="0"/>
      <w:divBdr>
        <w:top w:val="none" w:sz="0" w:space="0" w:color="auto"/>
        <w:left w:val="none" w:sz="0" w:space="0" w:color="auto"/>
        <w:bottom w:val="none" w:sz="0" w:space="0" w:color="auto"/>
        <w:right w:val="none" w:sz="0" w:space="0" w:color="auto"/>
      </w:divBdr>
    </w:div>
    <w:div w:id="206307789">
      <w:bodyDiv w:val="1"/>
      <w:marLeft w:val="0"/>
      <w:marRight w:val="0"/>
      <w:marTop w:val="0"/>
      <w:marBottom w:val="0"/>
      <w:divBdr>
        <w:top w:val="none" w:sz="0" w:space="0" w:color="auto"/>
        <w:left w:val="none" w:sz="0" w:space="0" w:color="auto"/>
        <w:bottom w:val="none" w:sz="0" w:space="0" w:color="auto"/>
        <w:right w:val="none" w:sz="0" w:space="0" w:color="auto"/>
      </w:divBdr>
    </w:div>
    <w:div w:id="236597960">
      <w:bodyDiv w:val="1"/>
      <w:marLeft w:val="0"/>
      <w:marRight w:val="0"/>
      <w:marTop w:val="0"/>
      <w:marBottom w:val="0"/>
      <w:divBdr>
        <w:top w:val="none" w:sz="0" w:space="0" w:color="auto"/>
        <w:left w:val="none" w:sz="0" w:space="0" w:color="auto"/>
        <w:bottom w:val="none" w:sz="0" w:space="0" w:color="auto"/>
        <w:right w:val="none" w:sz="0" w:space="0" w:color="auto"/>
      </w:divBdr>
    </w:div>
    <w:div w:id="264460151">
      <w:bodyDiv w:val="1"/>
      <w:marLeft w:val="0"/>
      <w:marRight w:val="0"/>
      <w:marTop w:val="0"/>
      <w:marBottom w:val="0"/>
      <w:divBdr>
        <w:top w:val="none" w:sz="0" w:space="0" w:color="auto"/>
        <w:left w:val="none" w:sz="0" w:space="0" w:color="auto"/>
        <w:bottom w:val="none" w:sz="0" w:space="0" w:color="auto"/>
        <w:right w:val="none" w:sz="0" w:space="0" w:color="auto"/>
      </w:divBdr>
    </w:div>
    <w:div w:id="276496578">
      <w:bodyDiv w:val="1"/>
      <w:marLeft w:val="0"/>
      <w:marRight w:val="0"/>
      <w:marTop w:val="0"/>
      <w:marBottom w:val="0"/>
      <w:divBdr>
        <w:top w:val="none" w:sz="0" w:space="0" w:color="auto"/>
        <w:left w:val="none" w:sz="0" w:space="0" w:color="auto"/>
        <w:bottom w:val="none" w:sz="0" w:space="0" w:color="auto"/>
        <w:right w:val="none" w:sz="0" w:space="0" w:color="auto"/>
      </w:divBdr>
    </w:div>
    <w:div w:id="280041779">
      <w:bodyDiv w:val="1"/>
      <w:marLeft w:val="0"/>
      <w:marRight w:val="0"/>
      <w:marTop w:val="0"/>
      <w:marBottom w:val="0"/>
      <w:divBdr>
        <w:top w:val="none" w:sz="0" w:space="0" w:color="auto"/>
        <w:left w:val="none" w:sz="0" w:space="0" w:color="auto"/>
        <w:bottom w:val="none" w:sz="0" w:space="0" w:color="auto"/>
        <w:right w:val="none" w:sz="0" w:space="0" w:color="auto"/>
      </w:divBdr>
    </w:div>
    <w:div w:id="282275327">
      <w:bodyDiv w:val="1"/>
      <w:marLeft w:val="0"/>
      <w:marRight w:val="0"/>
      <w:marTop w:val="0"/>
      <w:marBottom w:val="0"/>
      <w:divBdr>
        <w:top w:val="none" w:sz="0" w:space="0" w:color="auto"/>
        <w:left w:val="none" w:sz="0" w:space="0" w:color="auto"/>
        <w:bottom w:val="none" w:sz="0" w:space="0" w:color="auto"/>
        <w:right w:val="none" w:sz="0" w:space="0" w:color="auto"/>
      </w:divBdr>
    </w:div>
    <w:div w:id="334964264">
      <w:bodyDiv w:val="1"/>
      <w:marLeft w:val="0"/>
      <w:marRight w:val="0"/>
      <w:marTop w:val="0"/>
      <w:marBottom w:val="0"/>
      <w:divBdr>
        <w:top w:val="none" w:sz="0" w:space="0" w:color="auto"/>
        <w:left w:val="none" w:sz="0" w:space="0" w:color="auto"/>
        <w:bottom w:val="none" w:sz="0" w:space="0" w:color="auto"/>
        <w:right w:val="none" w:sz="0" w:space="0" w:color="auto"/>
      </w:divBdr>
    </w:div>
    <w:div w:id="366566288">
      <w:bodyDiv w:val="1"/>
      <w:marLeft w:val="0"/>
      <w:marRight w:val="0"/>
      <w:marTop w:val="0"/>
      <w:marBottom w:val="0"/>
      <w:divBdr>
        <w:top w:val="none" w:sz="0" w:space="0" w:color="auto"/>
        <w:left w:val="none" w:sz="0" w:space="0" w:color="auto"/>
        <w:bottom w:val="none" w:sz="0" w:space="0" w:color="auto"/>
        <w:right w:val="none" w:sz="0" w:space="0" w:color="auto"/>
      </w:divBdr>
    </w:div>
    <w:div w:id="384566342">
      <w:bodyDiv w:val="1"/>
      <w:marLeft w:val="0"/>
      <w:marRight w:val="0"/>
      <w:marTop w:val="0"/>
      <w:marBottom w:val="0"/>
      <w:divBdr>
        <w:top w:val="none" w:sz="0" w:space="0" w:color="auto"/>
        <w:left w:val="none" w:sz="0" w:space="0" w:color="auto"/>
        <w:bottom w:val="none" w:sz="0" w:space="0" w:color="auto"/>
        <w:right w:val="none" w:sz="0" w:space="0" w:color="auto"/>
      </w:divBdr>
    </w:div>
    <w:div w:id="408891672">
      <w:bodyDiv w:val="1"/>
      <w:marLeft w:val="0"/>
      <w:marRight w:val="0"/>
      <w:marTop w:val="0"/>
      <w:marBottom w:val="0"/>
      <w:divBdr>
        <w:top w:val="none" w:sz="0" w:space="0" w:color="auto"/>
        <w:left w:val="none" w:sz="0" w:space="0" w:color="auto"/>
        <w:bottom w:val="none" w:sz="0" w:space="0" w:color="auto"/>
        <w:right w:val="none" w:sz="0" w:space="0" w:color="auto"/>
      </w:divBdr>
    </w:div>
    <w:div w:id="415713807">
      <w:bodyDiv w:val="1"/>
      <w:marLeft w:val="0"/>
      <w:marRight w:val="0"/>
      <w:marTop w:val="0"/>
      <w:marBottom w:val="0"/>
      <w:divBdr>
        <w:top w:val="none" w:sz="0" w:space="0" w:color="auto"/>
        <w:left w:val="none" w:sz="0" w:space="0" w:color="auto"/>
        <w:bottom w:val="none" w:sz="0" w:space="0" w:color="auto"/>
        <w:right w:val="none" w:sz="0" w:space="0" w:color="auto"/>
      </w:divBdr>
    </w:div>
    <w:div w:id="417334830">
      <w:bodyDiv w:val="1"/>
      <w:marLeft w:val="0"/>
      <w:marRight w:val="0"/>
      <w:marTop w:val="0"/>
      <w:marBottom w:val="0"/>
      <w:divBdr>
        <w:top w:val="none" w:sz="0" w:space="0" w:color="auto"/>
        <w:left w:val="none" w:sz="0" w:space="0" w:color="auto"/>
        <w:bottom w:val="none" w:sz="0" w:space="0" w:color="auto"/>
        <w:right w:val="none" w:sz="0" w:space="0" w:color="auto"/>
      </w:divBdr>
    </w:div>
    <w:div w:id="425854647">
      <w:bodyDiv w:val="1"/>
      <w:marLeft w:val="0"/>
      <w:marRight w:val="0"/>
      <w:marTop w:val="0"/>
      <w:marBottom w:val="0"/>
      <w:divBdr>
        <w:top w:val="none" w:sz="0" w:space="0" w:color="auto"/>
        <w:left w:val="none" w:sz="0" w:space="0" w:color="auto"/>
        <w:bottom w:val="none" w:sz="0" w:space="0" w:color="auto"/>
        <w:right w:val="none" w:sz="0" w:space="0" w:color="auto"/>
      </w:divBdr>
    </w:div>
    <w:div w:id="487400817">
      <w:bodyDiv w:val="1"/>
      <w:marLeft w:val="0"/>
      <w:marRight w:val="0"/>
      <w:marTop w:val="0"/>
      <w:marBottom w:val="0"/>
      <w:divBdr>
        <w:top w:val="none" w:sz="0" w:space="0" w:color="auto"/>
        <w:left w:val="none" w:sz="0" w:space="0" w:color="auto"/>
        <w:bottom w:val="none" w:sz="0" w:space="0" w:color="auto"/>
        <w:right w:val="none" w:sz="0" w:space="0" w:color="auto"/>
      </w:divBdr>
    </w:div>
    <w:div w:id="491415309">
      <w:bodyDiv w:val="1"/>
      <w:marLeft w:val="0"/>
      <w:marRight w:val="0"/>
      <w:marTop w:val="0"/>
      <w:marBottom w:val="0"/>
      <w:divBdr>
        <w:top w:val="none" w:sz="0" w:space="0" w:color="auto"/>
        <w:left w:val="none" w:sz="0" w:space="0" w:color="auto"/>
        <w:bottom w:val="none" w:sz="0" w:space="0" w:color="auto"/>
        <w:right w:val="none" w:sz="0" w:space="0" w:color="auto"/>
      </w:divBdr>
    </w:div>
    <w:div w:id="526068779">
      <w:bodyDiv w:val="1"/>
      <w:marLeft w:val="0"/>
      <w:marRight w:val="0"/>
      <w:marTop w:val="0"/>
      <w:marBottom w:val="0"/>
      <w:divBdr>
        <w:top w:val="none" w:sz="0" w:space="0" w:color="auto"/>
        <w:left w:val="none" w:sz="0" w:space="0" w:color="auto"/>
        <w:bottom w:val="none" w:sz="0" w:space="0" w:color="auto"/>
        <w:right w:val="none" w:sz="0" w:space="0" w:color="auto"/>
      </w:divBdr>
    </w:div>
    <w:div w:id="630332770">
      <w:bodyDiv w:val="1"/>
      <w:marLeft w:val="0"/>
      <w:marRight w:val="0"/>
      <w:marTop w:val="0"/>
      <w:marBottom w:val="0"/>
      <w:divBdr>
        <w:top w:val="none" w:sz="0" w:space="0" w:color="auto"/>
        <w:left w:val="none" w:sz="0" w:space="0" w:color="auto"/>
        <w:bottom w:val="none" w:sz="0" w:space="0" w:color="auto"/>
        <w:right w:val="none" w:sz="0" w:space="0" w:color="auto"/>
      </w:divBdr>
    </w:div>
    <w:div w:id="667176911">
      <w:bodyDiv w:val="1"/>
      <w:marLeft w:val="0"/>
      <w:marRight w:val="0"/>
      <w:marTop w:val="0"/>
      <w:marBottom w:val="0"/>
      <w:divBdr>
        <w:top w:val="none" w:sz="0" w:space="0" w:color="auto"/>
        <w:left w:val="none" w:sz="0" w:space="0" w:color="auto"/>
        <w:bottom w:val="none" w:sz="0" w:space="0" w:color="auto"/>
        <w:right w:val="none" w:sz="0" w:space="0" w:color="auto"/>
      </w:divBdr>
    </w:div>
    <w:div w:id="685061986">
      <w:bodyDiv w:val="1"/>
      <w:marLeft w:val="0"/>
      <w:marRight w:val="0"/>
      <w:marTop w:val="0"/>
      <w:marBottom w:val="0"/>
      <w:divBdr>
        <w:top w:val="none" w:sz="0" w:space="0" w:color="auto"/>
        <w:left w:val="none" w:sz="0" w:space="0" w:color="auto"/>
        <w:bottom w:val="none" w:sz="0" w:space="0" w:color="auto"/>
        <w:right w:val="none" w:sz="0" w:space="0" w:color="auto"/>
      </w:divBdr>
    </w:div>
    <w:div w:id="706873745">
      <w:bodyDiv w:val="1"/>
      <w:marLeft w:val="0"/>
      <w:marRight w:val="0"/>
      <w:marTop w:val="0"/>
      <w:marBottom w:val="0"/>
      <w:divBdr>
        <w:top w:val="none" w:sz="0" w:space="0" w:color="auto"/>
        <w:left w:val="none" w:sz="0" w:space="0" w:color="auto"/>
        <w:bottom w:val="none" w:sz="0" w:space="0" w:color="auto"/>
        <w:right w:val="none" w:sz="0" w:space="0" w:color="auto"/>
      </w:divBdr>
    </w:div>
    <w:div w:id="707535055">
      <w:bodyDiv w:val="1"/>
      <w:marLeft w:val="0"/>
      <w:marRight w:val="0"/>
      <w:marTop w:val="0"/>
      <w:marBottom w:val="0"/>
      <w:divBdr>
        <w:top w:val="none" w:sz="0" w:space="0" w:color="auto"/>
        <w:left w:val="none" w:sz="0" w:space="0" w:color="auto"/>
        <w:bottom w:val="none" w:sz="0" w:space="0" w:color="auto"/>
        <w:right w:val="none" w:sz="0" w:space="0" w:color="auto"/>
      </w:divBdr>
    </w:div>
    <w:div w:id="713771879">
      <w:bodyDiv w:val="1"/>
      <w:marLeft w:val="0"/>
      <w:marRight w:val="0"/>
      <w:marTop w:val="0"/>
      <w:marBottom w:val="0"/>
      <w:divBdr>
        <w:top w:val="none" w:sz="0" w:space="0" w:color="auto"/>
        <w:left w:val="none" w:sz="0" w:space="0" w:color="auto"/>
        <w:bottom w:val="none" w:sz="0" w:space="0" w:color="auto"/>
        <w:right w:val="none" w:sz="0" w:space="0" w:color="auto"/>
      </w:divBdr>
    </w:div>
    <w:div w:id="852113564">
      <w:bodyDiv w:val="1"/>
      <w:marLeft w:val="0"/>
      <w:marRight w:val="0"/>
      <w:marTop w:val="0"/>
      <w:marBottom w:val="0"/>
      <w:divBdr>
        <w:top w:val="none" w:sz="0" w:space="0" w:color="auto"/>
        <w:left w:val="none" w:sz="0" w:space="0" w:color="auto"/>
        <w:bottom w:val="none" w:sz="0" w:space="0" w:color="auto"/>
        <w:right w:val="none" w:sz="0" w:space="0" w:color="auto"/>
      </w:divBdr>
    </w:div>
    <w:div w:id="937131797">
      <w:bodyDiv w:val="1"/>
      <w:marLeft w:val="0"/>
      <w:marRight w:val="0"/>
      <w:marTop w:val="0"/>
      <w:marBottom w:val="0"/>
      <w:divBdr>
        <w:top w:val="none" w:sz="0" w:space="0" w:color="auto"/>
        <w:left w:val="none" w:sz="0" w:space="0" w:color="auto"/>
        <w:bottom w:val="none" w:sz="0" w:space="0" w:color="auto"/>
        <w:right w:val="none" w:sz="0" w:space="0" w:color="auto"/>
      </w:divBdr>
    </w:div>
    <w:div w:id="946699181">
      <w:bodyDiv w:val="1"/>
      <w:marLeft w:val="0"/>
      <w:marRight w:val="0"/>
      <w:marTop w:val="0"/>
      <w:marBottom w:val="0"/>
      <w:divBdr>
        <w:top w:val="none" w:sz="0" w:space="0" w:color="auto"/>
        <w:left w:val="none" w:sz="0" w:space="0" w:color="auto"/>
        <w:bottom w:val="none" w:sz="0" w:space="0" w:color="auto"/>
        <w:right w:val="none" w:sz="0" w:space="0" w:color="auto"/>
      </w:divBdr>
    </w:div>
    <w:div w:id="1030109305">
      <w:bodyDiv w:val="1"/>
      <w:marLeft w:val="0"/>
      <w:marRight w:val="0"/>
      <w:marTop w:val="0"/>
      <w:marBottom w:val="0"/>
      <w:divBdr>
        <w:top w:val="none" w:sz="0" w:space="0" w:color="auto"/>
        <w:left w:val="none" w:sz="0" w:space="0" w:color="auto"/>
        <w:bottom w:val="none" w:sz="0" w:space="0" w:color="auto"/>
        <w:right w:val="none" w:sz="0" w:space="0" w:color="auto"/>
      </w:divBdr>
    </w:div>
    <w:div w:id="1047873527">
      <w:bodyDiv w:val="1"/>
      <w:marLeft w:val="0"/>
      <w:marRight w:val="0"/>
      <w:marTop w:val="0"/>
      <w:marBottom w:val="0"/>
      <w:divBdr>
        <w:top w:val="none" w:sz="0" w:space="0" w:color="auto"/>
        <w:left w:val="none" w:sz="0" w:space="0" w:color="auto"/>
        <w:bottom w:val="none" w:sz="0" w:space="0" w:color="auto"/>
        <w:right w:val="none" w:sz="0" w:space="0" w:color="auto"/>
      </w:divBdr>
    </w:div>
    <w:div w:id="1051929562">
      <w:bodyDiv w:val="1"/>
      <w:marLeft w:val="0"/>
      <w:marRight w:val="0"/>
      <w:marTop w:val="0"/>
      <w:marBottom w:val="0"/>
      <w:divBdr>
        <w:top w:val="none" w:sz="0" w:space="0" w:color="auto"/>
        <w:left w:val="none" w:sz="0" w:space="0" w:color="auto"/>
        <w:bottom w:val="none" w:sz="0" w:space="0" w:color="auto"/>
        <w:right w:val="none" w:sz="0" w:space="0" w:color="auto"/>
      </w:divBdr>
    </w:div>
    <w:div w:id="1069772084">
      <w:bodyDiv w:val="1"/>
      <w:marLeft w:val="0"/>
      <w:marRight w:val="0"/>
      <w:marTop w:val="0"/>
      <w:marBottom w:val="0"/>
      <w:divBdr>
        <w:top w:val="none" w:sz="0" w:space="0" w:color="auto"/>
        <w:left w:val="none" w:sz="0" w:space="0" w:color="auto"/>
        <w:bottom w:val="none" w:sz="0" w:space="0" w:color="auto"/>
        <w:right w:val="none" w:sz="0" w:space="0" w:color="auto"/>
      </w:divBdr>
    </w:div>
    <w:div w:id="1089231049">
      <w:bodyDiv w:val="1"/>
      <w:marLeft w:val="0"/>
      <w:marRight w:val="0"/>
      <w:marTop w:val="0"/>
      <w:marBottom w:val="0"/>
      <w:divBdr>
        <w:top w:val="none" w:sz="0" w:space="0" w:color="auto"/>
        <w:left w:val="none" w:sz="0" w:space="0" w:color="auto"/>
        <w:bottom w:val="none" w:sz="0" w:space="0" w:color="auto"/>
        <w:right w:val="none" w:sz="0" w:space="0" w:color="auto"/>
      </w:divBdr>
    </w:div>
    <w:div w:id="1100835881">
      <w:bodyDiv w:val="1"/>
      <w:marLeft w:val="0"/>
      <w:marRight w:val="0"/>
      <w:marTop w:val="0"/>
      <w:marBottom w:val="0"/>
      <w:divBdr>
        <w:top w:val="none" w:sz="0" w:space="0" w:color="auto"/>
        <w:left w:val="none" w:sz="0" w:space="0" w:color="auto"/>
        <w:bottom w:val="none" w:sz="0" w:space="0" w:color="auto"/>
        <w:right w:val="none" w:sz="0" w:space="0" w:color="auto"/>
      </w:divBdr>
    </w:div>
    <w:div w:id="1107504635">
      <w:bodyDiv w:val="1"/>
      <w:marLeft w:val="0"/>
      <w:marRight w:val="0"/>
      <w:marTop w:val="0"/>
      <w:marBottom w:val="0"/>
      <w:divBdr>
        <w:top w:val="none" w:sz="0" w:space="0" w:color="auto"/>
        <w:left w:val="none" w:sz="0" w:space="0" w:color="auto"/>
        <w:bottom w:val="none" w:sz="0" w:space="0" w:color="auto"/>
        <w:right w:val="none" w:sz="0" w:space="0" w:color="auto"/>
      </w:divBdr>
    </w:div>
    <w:div w:id="1172791518">
      <w:bodyDiv w:val="1"/>
      <w:marLeft w:val="0"/>
      <w:marRight w:val="0"/>
      <w:marTop w:val="0"/>
      <w:marBottom w:val="0"/>
      <w:divBdr>
        <w:top w:val="none" w:sz="0" w:space="0" w:color="auto"/>
        <w:left w:val="none" w:sz="0" w:space="0" w:color="auto"/>
        <w:bottom w:val="none" w:sz="0" w:space="0" w:color="auto"/>
        <w:right w:val="none" w:sz="0" w:space="0" w:color="auto"/>
      </w:divBdr>
    </w:div>
    <w:div w:id="1186209061">
      <w:bodyDiv w:val="1"/>
      <w:marLeft w:val="0"/>
      <w:marRight w:val="0"/>
      <w:marTop w:val="0"/>
      <w:marBottom w:val="0"/>
      <w:divBdr>
        <w:top w:val="none" w:sz="0" w:space="0" w:color="auto"/>
        <w:left w:val="none" w:sz="0" w:space="0" w:color="auto"/>
        <w:bottom w:val="none" w:sz="0" w:space="0" w:color="auto"/>
        <w:right w:val="none" w:sz="0" w:space="0" w:color="auto"/>
      </w:divBdr>
    </w:div>
    <w:div w:id="1196575983">
      <w:bodyDiv w:val="1"/>
      <w:marLeft w:val="0"/>
      <w:marRight w:val="0"/>
      <w:marTop w:val="0"/>
      <w:marBottom w:val="0"/>
      <w:divBdr>
        <w:top w:val="none" w:sz="0" w:space="0" w:color="auto"/>
        <w:left w:val="none" w:sz="0" w:space="0" w:color="auto"/>
        <w:bottom w:val="none" w:sz="0" w:space="0" w:color="auto"/>
        <w:right w:val="none" w:sz="0" w:space="0" w:color="auto"/>
      </w:divBdr>
    </w:div>
    <w:div w:id="1205749089">
      <w:bodyDiv w:val="1"/>
      <w:marLeft w:val="0"/>
      <w:marRight w:val="0"/>
      <w:marTop w:val="0"/>
      <w:marBottom w:val="0"/>
      <w:divBdr>
        <w:top w:val="none" w:sz="0" w:space="0" w:color="auto"/>
        <w:left w:val="none" w:sz="0" w:space="0" w:color="auto"/>
        <w:bottom w:val="none" w:sz="0" w:space="0" w:color="auto"/>
        <w:right w:val="none" w:sz="0" w:space="0" w:color="auto"/>
      </w:divBdr>
    </w:div>
    <w:div w:id="1282153698">
      <w:bodyDiv w:val="1"/>
      <w:marLeft w:val="0"/>
      <w:marRight w:val="0"/>
      <w:marTop w:val="0"/>
      <w:marBottom w:val="0"/>
      <w:divBdr>
        <w:top w:val="none" w:sz="0" w:space="0" w:color="auto"/>
        <w:left w:val="none" w:sz="0" w:space="0" w:color="auto"/>
        <w:bottom w:val="none" w:sz="0" w:space="0" w:color="auto"/>
        <w:right w:val="none" w:sz="0" w:space="0" w:color="auto"/>
      </w:divBdr>
    </w:div>
    <w:div w:id="1283686021">
      <w:bodyDiv w:val="1"/>
      <w:marLeft w:val="0"/>
      <w:marRight w:val="0"/>
      <w:marTop w:val="0"/>
      <w:marBottom w:val="0"/>
      <w:divBdr>
        <w:top w:val="none" w:sz="0" w:space="0" w:color="auto"/>
        <w:left w:val="none" w:sz="0" w:space="0" w:color="auto"/>
        <w:bottom w:val="none" w:sz="0" w:space="0" w:color="auto"/>
        <w:right w:val="none" w:sz="0" w:space="0" w:color="auto"/>
      </w:divBdr>
    </w:div>
    <w:div w:id="1320423568">
      <w:bodyDiv w:val="1"/>
      <w:marLeft w:val="0"/>
      <w:marRight w:val="0"/>
      <w:marTop w:val="0"/>
      <w:marBottom w:val="0"/>
      <w:divBdr>
        <w:top w:val="none" w:sz="0" w:space="0" w:color="auto"/>
        <w:left w:val="none" w:sz="0" w:space="0" w:color="auto"/>
        <w:bottom w:val="none" w:sz="0" w:space="0" w:color="auto"/>
        <w:right w:val="none" w:sz="0" w:space="0" w:color="auto"/>
      </w:divBdr>
    </w:div>
    <w:div w:id="1337921055">
      <w:bodyDiv w:val="1"/>
      <w:marLeft w:val="0"/>
      <w:marRight w:val="0"/>
      <w:marTop w:val="0"/>
      <w:marBottom w:val="0"/>
      <w:divBdr>
        <w:top w:val="none" w:sz="0" w:space="0" w:color="auto"/>
        <w:left w:val="none" w:sz="0" w:space="0" w:color="auto"/>
        <w:bottom w:val="none" w:sz="0" w:space="0" w:color="auto"/>
        <w:right w:val="none" w:sz="0" w:space="0" w:color="auto"/>
      </w:divBdr>
    </w:div>
    <w:div w:id="1357778295">
      <w:bodyDiv w:val="1"/>
      <w:marLeft w:val="0"/>
      <w:marRight w:val="0"/>
      <w:marTop w:val="0"/>
      <w:marBottom w:val="0"/>
      <w:divBdr>
        <w:top w:val="none" w:sz="0" w:space="0" w:color="auto"/>
        <w:left w:val="none" w:sz="0" w:space="0" w:color="auto"/>
        <w:bottom w:val="none" w:sz="0" w:space="0" w:color="auto"/>
        <w:right w:val="none" w:sz="0" w:space="0" w:color="auto"/>
      </w:divBdr>
    </w:div>
    <w:div w:id="1361249252">
      <w:bodyDiv w:val="1"/>
      <w:marLeft w:val="0"/>
      <w:marRight w:val="0"/>
      <w:marTop w:val="0"/>
      <w:marBottom w:val="0"/>
      <w:divBdr>
        <w:top w:val="none" w:sz="0" w:space="0" w:color="auto"/>
        <w:left w:val="none" w:sz="0" w:space="0" w:color="auto"/>
        <w:bottom w:val="none" w:sz="0" w:space="0" w:color="auto"/>
        <w:right w:val="none" w:sz="0" w:space="0" w:color="auto"/>
      </w:divBdr>
    </w:div>
    <w:div w:id="1413966178">
      <w:bodyDiv w:val="1"/>
      <w:marLeft w:val="0"/>
      <w:marRight w:val="0"/>
      <w:marTop w:val="0"/>
      <w:marBottom w:val="0"/>
      <w:divBdr>
        <w:top w:val="none" w:sz="0" w:space="0" w:color="auto"/>
        <w:left w:val="none" w:sz="0" w:space="0" w:color="auto"/>
        <w:bottom w:val="none" w:sz="0" w:space="0" w:color="auto"/>
        <w:right w:val="none" w:sz="0" w:space="0" w:color="auto"/>
      </w:divBdr>
    </w:div>
    <w:div w:id="1428817447">
      <w:bodyDiv w:val="1"/>
      <w:marLeft w:val="0"/>
      <w:marRight w:val="0"/>
      <w:marTop w:val="0"/>
      <w:marBottom w:val="0"/>
      <w:divBdr>
        <w:top w:val="none" w:sz="0" w:space="0" w:color="auto"/>
        <w:left w:val="none" w:sz="0" w:space="0" w:color="auto"/>
        <w:bottom w:val="none" w:sz="0" w:space="0" w:color="auto"/>
        <w:right w:val="none" w:sz="0" w:space="0" w:color="auto"/>
      </w:divBdr>
    </w:div>
    <w:div w:id="1433429277">
      <w:bodyDiv w:val="1"/>
      <w:marLeft w:val="0"/>
      <w:marRight w:val="0"/>
      <w:marTop w:val="0"/>
      <w:marBottom w:val="0"/>
      <w:divBdr>
        <w:top w:val="none" w:sz="0" w:space="0" w:color="auto"/>
        <w:left w:val="none" w:sz="0" w:space="0" w:color="auto"/>
        <w:bottom w:val="none" w:sz="0" w:space="0" w:color="auto"/>
        <w:right w:val="none" w:sz="0" w:space="0" w:color="auto"/>
      </w:divBdr>
    </w:div>
    <w:div w:id="1439595991">
      <w:bodyDiv w:val="1"/>
      <w:marLeft w:val="0"/>
      <w:marRight w:val="0"/>
      <w:marTop w:val="0"/>
      <w:marBottom w:val="0"/>
      <w:divBdr>
        <w:top w:val="none" w:sz="0" w:space="0" w:color="auto"/>
        <w:left w:val="none" w:sz="0" w:space="0" w:color="auto"/>
        <w:bottom w:val="none" w:sz="0" w:space="0" w:color="auto"/>
        <w:right w:val="none" w:sz="0" w:space="0" w:color="auto"/>
      </w:divBdr>
    </w:div>
    <w:div w:id="1484783996">
      <w:bodyDiv w:val="1"/>
      <w:marLeft w:val="0"/>
      <w:marRight w:val="0"/>
      <w:marTop w:val="0"/>
      <w:marBottom w:val="0"/>
      <w:divBdr>
        <w:top w:val="none" w:sz="0" w:space="0" w:color="auto"/>
        <w:left w:val="none" w:sz="0" w:space="0" w:color="auto"/>
        <w:bottom w:val="none" w:sz="0" w:space="0" w:color="auto"/>
        <w:right w:val="none" w:sz="0" w:space="0" w:color="auto"/>
      </w:divBdr>
    </w:div>
    <w:div w:id="1487238173">
      <w:bodyDiv w:val="1"/>
      <w:marLeft w:val="0"/>
      <w:marRight w:val="0"/>
      <w:marTop w:val="0"/>
      <w:marBottom w:val="0"/>
      <w:divBdr>
        <w:top w:val="none" w:sz="0" w:space="0" w:color="auto"/>
        <w:left w:val="none" w:sz="0" w:space="0" w:color="auto"/>
        <w:bottom w:val="none" w:sz="0" w:space="0" w:color="auto"/>
        <w:right w:val="none" w:sz="0" w:space="0" w:color="auto"/>
      </w:divBdr>
    </w:div>
    <w:div w:id="1497260153">
      <w:bodyDiv w:val="1"/>
      <w:marLeft w:val="0"/>
      <w:marRight w:val="0"/>
      <w:marTop w:val="0"/>
      <w:marBottom w:val="0"/>
      <w:divBdr>
        <w:top w:val="none" w:sz="0" w:space="0" w:color="auto"/>
        <w:left w:val="none" w:sz="0" w:space="0" w:color="auto"/>
        <w:bottom w:val="none" w:sz="0" w:space="0" w:color="auto"/>
        <w:right w:val="none" w:sz="0" w:space="0" w:color="auto"/>
      </w:divBdr>
    </w:div>
    <w:div w:id="1505322930">
      <w:bodyDiv w:val="1"/>
      <w:marLeft w:val="0"/>
      <w:marRight w:val="0"/>
      <w:marTop w:val="0"/>
      <w:marBottom w:val="0"/>
      <w:divBdr>
        <w:top w:val="none" w:sz="0" w:space="0" w:color="auto"/>
        <w:left w:val="none" w:sz="0" w:space="0" w:color="auto"/>
        <w:bottom w:val="none" w:sz="0" w:space="0" w:color="auto"/>
        <w:right w:val="none" w:sz="0" w:space="0" w:color="auto"/>
      </w:divBdr>
    </w:div>
    <w:div w:id="1547179607">
      <w:bodyDiv w:val="1"/>
      <w:marLeft w:val="0"/>
      <w:marRight w:val="0"/>
      <w:marTop w:val="0"/>
      <w:marBottom w:val="0"/>
      <w:divBdr>
        <w:top w:val="none" w:sz="0" w:space="0" w:color="auto"/>
        <w:left w:val="none" w:sz="0" w:space="0" w:color="auto"/>
        <w:bottom w:val="none" w:sz="0" w:space="0" w:color="auto"/>
        <w:right w:val="none" w:sz="0" w:space="0" w:color="auto"/>
      </w:divBdr>
    </w:div>
    <w:div w:id="1549024220">
      <w:bodyDiv w:val="1"/>
      <w:marLeft w:val="0"/>
      <w:marRight w:val="0"/>
      <w:marTop w:val="0"/>
      <w:marBottom w:val="0"/>
      <w:divBdr>
        <w:top w:val="none" w:sz="0" w:space="0" w:color="auto"/>
        <w:left w:val="none" w:sz="0" w:space="0" w:color="auto"/>
        <w:bottom w:val="none" w:sz="0" w:space="0" w:color="auto"/>
        <w:right w:val="none" w:sz="0" w:space="0" w:color="auto"/>
      </w:divBdr>
    </w:div>
    <w:div w:id="1575506638">
      <w:bodyDiv w:val="1"/>
      <w:marLeft w:val="0"/>
      <w:marRight w:val="0"/>
      <w:marTop w:val="0"/>
      <w:marBottom w:val="0"/>
      <w:divBdr>
        <w:top w:val="none" w:sz="0" w:space="0" w:color="auto"/>
        <w:left w:val="none" w:sz="0" w:space="0" w:color="auto"/>
        <w:bottom w:val="none" w:sz="0" w:space="0" w:color="auto"/>
        <w:right w:val="none" w:sz="0" w:space="0" w:color="auto"/>
      </w:divBdr>
    </w:div>
    <w:div w:id="1576669559">
      <w:bodyDiv w:val="1"/>
      <w:marLeft w:val="0"/>
      <w:marRight w:val="0"/>
      <w:marTop w:val="0"/>
      <w:marBottom w:val="0"/>
      <w:divBdr>
        <w:top w:val="none" w:sz="0" w:space="0" w:color="auto"/>
        <w:left w:val="none" w:sz="0" w:space="0" w:color="auto"/>
        <w:bottom w:val="none" w:sz="0" w:space="0" w:color="auto"/>
        <w:right w:val="none" w:sz="0" w:space="0" w:color="auto"/>
      </w:divBdr>
    </w:div>
    <w:div w:id="1599101545">
      <w:bodyDiv w:val="1"/>
      <w:marLeft w:val="0"/>
      <w:marRight w:val="0"/>
      <w:marTop w:val="0"/>
      <w:marBottom w:val="0"/>
      <w:divBdr>
        <w:top w:val="none" w:sz="0" w:space="0" w:color="auto"/>
        <w:left w:val="none" w:sz="0" w:space="0" w:color="auto"/>
        <w:bottom w:val="none" w:sz="0" w:space="0" w:color="auto"/>
        <w:right w:val="none" w:sz="0" w:space="0" w:color="auto"/>
      </w:divBdr>
    </w:div>
    <w:div w:id="1611357537">
      <w:bodyDiv w:val="1"/>
      <w:marLeft w:val="0"/>
      <w:marRight w:val="0"/>
      <w:marTop w:val="0"/>
      <w:marBottom w:val="0"/>
      <w:divBdr>
        <w:top w:val="none" w:sz="0" w:space="0" w:color="auto"/>
        <w:left w:val="none" w:sz="0" w:space="0" w:color="auto"/>
        <w:bottom w:val="none" w:sz="0" w:space="0" w:color="auto"/>
        <w:right w:val="none" w:sz="0" w:space="0" w:color="auto"/>
      </w:divBdr>
    </w:div>
    <w:div w:id="1654093890">
      <w:bodyDiv w:val="1"/>
      <w:marLeft w:val="0"/>
      <w:marRight w:val="0"/>
      <w:marTop w:val="0"/>
      <w:marBottom w:val="0"/>
      <w:divBdr>
        <w:top w:val="none" w:sz="0" w:space="0" w:color="auto"/>
        <w:left w:val="none" w:sz="0" w:space="0" w:color="auto"/>
        <w:bottom w:val="none" w:sz="0" w:space="0" w:color="auto"/>
        <w:right w:val="none" w:sz="0" w:space="0" w:color="auto"/>
      </w:divBdr>
    </w:div>
    <w:div w:id="1683507531">
      <w:bodyDiv w:val="1"/>
      <w:marLeft w:val="0"/>
      <w:marRight w:val="0"/>
      <w:marTop w:val="0"/>
      <w:marBottom w:val="0"/>
      <w:divBdr>
        <w:top w:val="none" w:sz="0" w:space="0" w:color="auto"/>
        <w:left w:val="none" w:sz="0" w:space="0" w:color="auto"/>
        <w:bottom w:val="none" w:sz="0" w:space="0" w:color="auto"/>
        <w:right w:val="none" w:sz="0" w:space="0" w:color="auto"/>
      </w:divBdr>
    </w:div>
    <w:div w:id="1717511676">
      <w:bodyDiv w:val="1"/>
      <w:marLeft w:val="0"/>
      <w:marRight w:val="0"/>
      <w:marTop w:val="0"/>
      <w:marBottom w:val="0"/>
      <w:divBdr>
        <w:top w:val="none" w:sz="0" w:space="0" w:color="auto"/>
        <w:left w:val="none" w:sz="0" w:space="0" w:color="auto"/>
        <w:bottom w:val="none" w:sz="0" w:space="0" w:color="auto"/>
        <w:right w:val="none" w:sz="0" w:space="0" w:color="auto"/>
      </w:divBdr>
    </w:div>
    <w:div w:id="1765497250">
      <w:bodyDiv w:val="1"/>
      <w:marLeft w:val="0"/>
      <w:marRight w:val="0"/>
      <w:marTop w:val="0"/>
      <w:marBottom w:val="0"/>
      <w:divBdr>
        <w:top w:val="none" w:sz="0" w:space="0" w:color="auto"/>
        <w:left w:val="none" w:sz="0" w:space="0" w:color="auto"/>
        <w:bottom w:val="none" w:sz="0" w:space="0" w:color="auto"/>
        <w:right w:val="none" w:sz="0" w:space="0" w:color="auto"/>
      </w:divBdr>
    </w:div>
    <w:div w:id="1780829237">
      <w:bodyDiv w:val="1"/>
      <w:marLeft w:val="0"/>
      <w:marRight w:val="0"/>
      <w:marTop w:val="0"/>
      <w:marBottom w:val="0"/>
      <w:divBdr>
        <w:top w:val="none" w:sz="0" w:space="0" w:color="auto"/>
        <w:left w:val="none" w:sz="0" w:space="0" w:color="auto"/>
        <w:bottom w:val="none" w:sz="0" w:space="0" w:color="auto"/>
        <w:right w:val="none" w:sz="0" w:space="0" w:color="auto"/>
      </w:divBdr>
    </w:div>
    <w:div w:id="1801803011">
      <w:bodyDiv w:val="1"/>
      <w:marLeft w:val="0"/>
      <w:marRight w:val="0"/>
      <w:marTop w:val="0"/>
      <w:marBottom w:val="0"/>
      <w:divBdr>
        <w:top w:val="none" w:sz="0" w:space="0" w:color="auto"/>
        <w:left w:val="none" w:sz="0" w:space="0" w:color="auto"/>
        <w:bottom w:val="none" w:sz="0" w:space="0" w:color="auto"/>
        <w:right w:val="none" w:sz="0" w:space="0" w:color="auto"/>
      </w:divBdr>
    </w:div>
    <w:div w:id="1802335495">
      <w:bodyDiv w:val="1"/>
      <w:marLeft w:val="0"/>
      <w:marRight w:val="0"/>
      <w:marTop w:val="0"/>
      <w:marBottom w:val="0"/>
      <w:divBdr>
        <w:top w:val="none" w:sz="0" w:space="0" w:color="auto"/>
        <w:left w:val="none" w:sz="0" w:space="0" w:color="auto"/>
        <w:bottom w:val="none" w:sz="0" w:space="0" w:color="auto"/>
        <w:right w:val="none" w:sz="0" w:space="0" w:color="auto"/>
      </w:divBdr>
    </w:div>
    <w:div w:id="1807355064">
      <w:bodyDiv w:val="1"/>
      <w:marLeft w:val="0"/>
      <w:marRight w:val="0"/>
      <w:marTop w:val="0"/>
      <w:marBottom w:val="0"/>
      <w:divBdr>
        <w:top w:val="none" w:sz="0" w:space="0" w:color="auto"/>
        <w:left w:val="none" w:sz="0" w:space="0" w:color="auto"/>
        <w:bottom w:val="none" w:sz="0" w:space="0" w:color="auto"/>
        <w:right w:val="none" w:sz="0" w:space="0" w:color="auto"/>
      </w:divBdr>
    </w:div>
    <w:div w:id="1866749621">
      <w:bodyDiv w:val="1"/>
      <w:marLeft w:val="0"/>
      <w:marRight w:val="0"/>
      <w:marTop w:val="0"/>
      <w:marBottom w:val="0"/>
      <w:divBdr>
        <w:top w:val="none" w:sz="0" w:space="0" w:color="auto"/>
        <w:left w:val="none" w:sz="0" w:space="0" w:color="auto"/>
        <w:bottom w:val="none" w:sz="0" w:space="0" w:color="auto"/>
        <w:right w:val="none" w:sz="0" w:space="0" w:color="auto"/>
      </w:divBdr>
    </w:div>
    <w:div w:id="1898974930">
      <w:bodyDiv w:val="1"/>
      <w:marLeft w:val="0"/>
      <w:marRight w:val="0"/>
      <w:marTop w:val="0"/>
      <w:marBottom w:val="0"/>
      <w:divBdr>
        <w:top w:val="none" w:sz="0" w:space="0" w:color="auto"/>
        <w:left w:val="none" w:sz="0" w:space="0" w:color="auto"/>
        <w:bottom w:val="none" w:sz="0" w:space="0" w:color="auto"/>
        <w:right w:val="none" w:sz="0" w:space="0" w:color="auto"/>
      </w:divBdr>
    </w:div>
    <w:div w:id="1899130168">
      <w:bodyDiv w:val="1"/>
      <w:marLeft w:val="0"/>
      <w:marRight w:val="0"/>
      <w:marTop w:val="0"/>
      <w:marBottom w:val="0"/>
      <w:divBdr>
        <w:top w:val="none" w:sz="0" w:space="0" w:color="auto"/>
        <w:left w:val="none" w:sz="0" w:space="0" w:color="auto"/>
        <w:bottom w:val="none" w:sz="0" w:space="0" w:color="auto"/>
        <w:right w:val="none" w:sz="0" w:space="0" w:color="auto"/>
      </w:divBdr>
    </w:div>
    <w:div w:id="1922371537">
      <w:bodyDiv w:val="1"/>
      <w:marLeft w:val="0"/>
      <w:marRight w:val="0"/>
      <w:marTop w:val="0"/>
      <w:marBottom w:val="0"/>
      <w:divBdr>
        <w:top w:val="none" w:sz="0" w:space="0" w:color="auto"/>
        <w:left w:val="none" w:sz="0" w:space="0" w:color="auto"/>
        <w:bottom w:val="none" w:sz="0" w:space="0" w:color="auto"/>
        <w:right w:val="none" w:sz="0" w:space="0" w:color="auto"/>
      </w:divBdr>
    </w:div>
    <w:div w:id="1924102085">
      <w:bodyDiv w:val="1"/>
      <w:marLeft w:val="0"/>
      <w:marRight w:val="0"/>
      <w:marTop w:val="0"/>
      <w:marBottom w:val="0"/>
      <w:divBdr>
        <w:top w:val="none" w:sz="0" w:space="0" w:color="auto"/>
        <w:left w:val="none" w:sz="0" w:space="0" w:color="auto"/>
        <w:bottom w:val="none" w:sz="0" w:space="0" w:color="auto"/>
        <w:right w:val="none" w:sz="0" w:space="0" w:color="auto"/>
      </w:divBdr>
    </w:div>
    <w:div w:id="1952780404">
      <w:bodyDiv w:val="1"/>
      <w:marLeft w:val="0"/>
      <w:marRight w:val="0"/>
      <w:marTop w:val="0"/>
      <w:marBottom w:val="0"/>
      <w:divBdr>
        <w:top w:val="none" w:sz="0" w:space="0" w:color="auto"/>
        <w:left w:val="none" w:sz="0" w:space="0" w:color="auto"/>
        <w:bottom w:val="none" w:sz="0" w:space="0" w:color="auto"/>
        <w:right w:val="none" w:sz="0" w:space="0" w:color="auto"/>
      </w:divBdr>
    </w:div>
    <w:div w:id="2024358050">
      <w:bodyDiv w:val="1"/>
      <w:marLeft w:val="0"/>
      <w:marRight w:val="0"/>
      <w:marTop w:val="0"/>
      <w:marBottom w:val="0"/>
      <w:divBdr>
        <w:top w:val="none" w:sz="0" w:space="0" w:color="auto"/>
        <w:left w:val="none" w:sz="0" w:space="0" w:color="auto"/>
        <w:bottom w:val="none" w:sz="0" w:space="0" w:color="auto"/>
        <w:right w:val="none" w:sz="0" w:space="0" w:color="auto"/>
      </w:divBdr>
    </w:div>
    <w:div w:id="2047489152">
      <w:bodyDiv w:val="1"/>
      <w:marLeft w:val="0"/>
      <w:marRight w:val="0"/>
      <w:marTop w:val="0"/>
      <w:marBottom w:val="0"/>
      <w:divBdr>
        <w:top w:val="none" w:sz="0" w:space="0" w:color="auto"/>
        <w:left w:val="none" w:sz="0" w:space="0" w:color="auto"/>
        <w:bottom w:val="none" w:sz="0" w:space="0" w:color="auto"/>
        <w:right w:val="none" w:sz="0" w:space="0" w:color="auto"/>
      </w:divBdr>
    </w:div>
    <w:div w:id="2048682516">
      <w:bodyDiv w:val="1"/>
      <w:marLeft w:val="0"/>
      <w:marRight w:val="0"/>
      <w:marTop w:val="0"/>
      <w:marBottom w:val="0"/>
      <w:divBdr>
        <w:top w:val="none" w:sz="0" w:space="0" w:color="auto"/>
        <w:left w:val="none" w:sz="0" w:space="0" w:color="auto"/>
        <w:bottom w:val="none" w:sz="0" w:space="0" w:color="auto"/>
        <w:right w:val="none" w:sz="0" w:space="0" w:color="auto"/>
      </w:divBdr>
    </w:div>
    <w:div w:id="2054033346">
      <w:bodyDiv w:val="1"/>
      <w:marLeft w:val="0"/>
      <w:marRight w:val="0"/>
      <w:marTop w:val="0"/>
      <w:marBottom w:val="0"/>
      <w:divBdr>
        <w:top w:val="none" w:sz="0" w:space="0" w:color="auto"/>
        <w:left w:val="none" w:sz="0" w:space="0" w:color="auto"/>
        <w:bottom w:val="none" w:sz="0" w:space="0" w:color="auto"/>
        <w:right w:val="none" w:sz="0" w:space="0" w:color="auto"/>
      </w:divBdr>
    </w:div>
    <w:div w:id="2076320799">
      <w:bodyDiv w:val="1"/>
      <w:marLeft w:val="0"/>
      <w:marRight w:val="0"/>
      <w:marTop w:val="0"/>
      <w:marBottom w:val="0"/>
      <w:divBdr>
        <w:top w:val="none" w:sz="0" w:space="0" w:color="auto"/>
        <w:left w:val="none" w:sz="0" w:space="0" w:color="auto"/>
        <w:bottom w:val="none" w:sz="0" w:space="0" w:color="auto"/>
        <w:right w:val="none" w:sz="0" w:space="0" w:color="auto"/>
      </w:divBdr>
    </w:div>
    <w:div w:id="2077774267">
      <w:bodyDiv w:val="1"/>
      <w:marLeft w:val="0"/>
      <w:marRight w:val="0"/>
      <w:marTop w:val="0"/>
      <w:marBottom w:val="0"/>
      <w:divBdr>
        <w:top w:val="none" w:sz="0" w:space="0" w:color="auto"/>
        <w:left w:val="none" w:sz="0" w:space="0" w:color="auto"/>
        <w:bottom w:val="none" w:sz="0" w:space="0" w:color="auto"/>
        <w:right w:val="none" w:sz="0" w:space="0" w:color="auto"/>
      </w:divBdr>
    </w:div>
    <w:div w:id="21425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microsoft.com/office/2007/relationships/diagramDrawing" Target="diagrams/drawing2.xml"/><Relationship Id="rId21" Type="http://schemas.openxmlformats.org/officeDocument/2006/relationships/image" Target="media/image8.jpg"/><Relationship Id="rId34" Type="http://schemas.openxmlformats.org/officeDocument/2006/relationships/image" Target="media/image16.emf"/><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8.emf"/><Relationship Id="rId68" Type="http://schemas.openxmlformats.org/officeDocument/2006/relationships/chart" Target="charts/chart7.xml"/><Relationship Id="rId76"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s://www.wallstreetprep.com/" TargetMode="External"/><Relationship Id="rId29" Type="http://schemas.openxmlformats.org/officeDocument/2006/relationships/diagramQuickStyle" Target="diagrams/quickStyle1.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4.jpg"/><Relationship Id="rId37" Type="http://schemas.openxmlformats.org/officeDocument/2006/relationships/diagramQuickStyle" Target="diagrams/quickStyle2.xm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chart" Target="charts/chart5.xml"/><Relationship Id="rId74" Type="http://schemas.openxmlformats.org/officeDocument/2006/relationships/image" Target="media/image44.jpeg"/><Relationship Id="rId79"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31" Type="http://schemas.microsoft.com/office/2007/relationships/diagramDrawing" Target="diagrams/drawing1.xml"/><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image" Target="media/image35.png"/><Relationship Id="rId65" Type="http://schemas.openxmlformats.org/officeDocument/2006/relationships/chart" Target="charts/chart4.xml"/><Relationship Id="rId73" Type="http://schemas.openxmlformats.org/officeDocument/2006/relationships/image" Target="media/image43.jpeg"/><Relationship Id="rId78" Type="http://schemas.openxmlformats.org/officeDocument/2006/relationships/image" Target="media/image48.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reetofwalls.com" TargetMode="External"/><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Data" Target="diagrams/data2.xml"/><Relationship Id="rId43" Type="http://schemas.openxmlformats.org/officeDocument/2006/relationships/footer" Target="footer1.xml"/><Relationship Id="rId48" Type="http://schemas.openxmlformats.org/officeDocument/2006/relationships/image" Target="media/image24.emf"/><Relationship Id="rId56" Type="http://schemas.openxmlformats.org/officeDocument/2006/relationships/chart" Target="charts/chart3.xml"/><Relationship Id="rId64" Type="http://schemas.openxmlformats.org/officeDocument/2006/relationships/image" Target="media/image39.jpeg"/><Relationship Id="rId69" Type="http://schemas.openxmlformats.org/officeDocument/2006/relationships/chart" Target="charts/chart8.xml"/><Relationship Id="rId77"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image" Target="media/image42.jpeg"/><Relationship Id="rId80"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ergersandinquisitions.com/"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diagramColors" Target="diagrams/colors2.xml"/><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chart" Target="charts/chart6.xml"/><Relationship Id="rId20" Type="http://schemas.openxmlformats.org/officeDocument/2006/relationships/image" Target="media/image7.emf"/><Relationship Id="rId41" Type="http://schemas.openxmlformats.org/officeDocument/2006/relationships/image" Target="media/image18.png"/><Relationship Id="rId54" Type="http://schemas.openxmlformats.org/officeDocument/2006/relationships/image" Target="media/image30.emf"/><Relationship Id="rId62" Type="http://schemas.openxmlformats.org/officeDocument/2006/relationships/image" Target="media/image37.jpg"/><Relationship Id="rId70" Type="http://schemas.openxmlformats.org/officeDocument/2006/relationships/image" Target="media/image40.jpe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eakingintowallstreet.com/" TargetMode="External"/><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diagramLayout" Target="diagrams/layout2.xml"/><Relationship Id="rId49" Type="http://schemas.openxmlformats.org/officeDocument/2006/relationships/image" Target="media/image25.emf"/><Relationship Id="rId57"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86;&#1085;&#1080;&#1082;&#1072;\AppData\Local\Temp\Ingenic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86;&#1085;&#1080;&#1082;&#1072;\AppData\Local\Temp\Ingenico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2;&#1086;&#1085;&#1080;&#1082;&#1072;\Desktop\&#1048;&#1085;&#1075;&#1077;&#1085;&#1080;&#1082;&#1086;%20&#1048;&#1090;&#1086;&#1075;.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F:\&#1048;&#1085;&#1075;&#1077;&#1085;&#1080;&#1082;&#1086;\&#1083;&#1091;&#1085;%20&#1082;&#1092;&#1077;&#1096;&#1097;&#109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F:\&#1048;&#1085;&#1075;&#1077;&#1085;&#1080;&#1082;&#1086;\&#1083;&#1091;&#1085;%20&#1082;&#1092;&#1077;&#1096;&#1097;&#1099;.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F:\&#1048;&#1085;&#1075;&#1077;&#1085;&#1080;&#1082;&#1086;\&#1083;&#1091;&#1085;%20&#1082;&#1092;&#1077;&#1096;&#1097;&#109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F:\&#1048;&#1085;&#1075;&#1077;&#1085;&#1080;&#1082;&#1086;\&#1083;&#1091;&#1085;%20&#1082;&#1092;&#1077;&#1096;&#1097;&#109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F:\&#1048;&#1085;&#1075;&#1077;&#1085;&#1080;&#1082;&#1086;\&#1083;&#1091;&#1085;%20&#1082;&#1092;&#1077;&#1096;&#1097;&#109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The number of </a:t>
            </a:r>
            <a:r>
              <a:rPr lang="en-US" sz="1200" b="1" baseline="0">
                <a:latin typeface="Times New Roman" panose="02020603050405020304" pitchFamily="18" charset="0"/>
                <a:cs typeface="Times New Roman" panose="02020603050405020304" pitchFamily="18" charset="0"/>
              </a:rPr>
              <a:t>LBO transactions, </a:t>
            </a:r>
            <a:r>
              <a:rPr lang="ru-RU" sz="1200" b="1" baseline="0">
                <a:latin typeface="Times New Roman" panose="02020603050405020304" pitchFamily="18" charset="0"/>
                <a:cs typeface="Times New Roman" panose="02020603050405020304" pitchFamily="18" charset="0"/>
              </a:rPr>
              <a:t>м. </a:t>
            </a:r>
            <a:r>
              <a:rPr lang="en-US" sz="1200" b="1" baseline="0">
                <a:latin typeface="Times New Roman" panose="02020603050405020304" pitchFamily="18" charset="0"/>
                <a:cs typeface="Times New Roman" panose="02020603050405020304" pitchFamily="18" charset="0"/>
              </a:rPr>
              <a:t>$</a:t>
            </a:r>
            <a:r>
              <a:rPr lang="ru-RU" sz="1200" b="1" baseline="0">
                <a:latin typeface="Times New Roman" panose="02020603050405020304" pitchFamily="18" charset="0"/>
                <a:cs typeface="Times New Roman" panose="02020603050405020304" pitchFamily="18" charset="0"/>
              </a:rPr>
              <a:t>., 1980-2014</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11489415778335"/>
          <c:y val="2.58648625600500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numRef>
              <c:f>[Ingenico1.xlsx]LBO!$B$43:$B$77</c:f>
              <c:numCache>
                <c:formatCode>General</c:formatCod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numCache>
            </c:numRef>
          </c:cat>
          <c:val>
            <c:numRef>
              <c:f>[Ingenico1.xlsx]LBO!$E$43:$E$77</c:f>
              <c:numCache>
                <c:formatCode>General</c:formatCode>
                <c:ptCount val="35"/>
                <c:pt idx="0">
                  <c:v>10</c:v>
                </c:pt>
                <c:pt idx="1">
                  <c:v>20</c:v>
                </c:pt>
                <c:pt idx="2">
                  <c:v>30</c:v>
                </c:pt>
                <c:pt idx="3">
                  <c:v>60</c:v>
                </c:pt>
                <c:pt idx="4">
                  <c:v>100</c:v>
                </c:pt>
                <c:pt idx="5">
                  <c:v>250</c:v>
                </c:pt>
                <c:pt idx="6">
                  <c:v>300</c:v>
                </c:pt>
                <c:pt idx="7">
                  <c:v>400</c:v>
                </c:pt>
                <c:pt idx="8">
                  <c:v>600</c:v>
                </c:pt>
                <c:pt idx="9">
                  <c:v>700</c:v>
                </c:pt>
                <c:pt idx="10">
                  <c:v>500</c:v>
                </c:pt>
                <c:pt idx="11">
                  <c:v>700</c:v>
                </c:pt>
                <c:pt idx="12">
                  <c:v>800</c:v>
                </c:pt>
                <c:pt idx="13">
                  <c:v>600</c:v>
                </c:pt>
                <c:pt idx="14">
                  <c:v>600</c:v>
                </c:pt>
                <c:pt idx="15">
                  <c:v>680</c:v>
                </c:pt>
                <c:pt idx="16">
                  <c:v>640</c:v>
                </c:pt>
                <c:pt idx="17">
                  <c:v>700</c:v>
                </c:pt>
                <c:pt idx="18">
                  <c:v>750</c:v>
                </c:pt>
                <c:pt idx="19">
                  <c:v>1250</c:v>
                </c:pt>
                <c:pt idx="20">
                  <c:v>1300</c:v>
                </c:pt>
                <c:pt idx="21">
                  <c:v>1100</c:v>
                </c:pt>
                <c:pt idx="22">
                  <c:v>980</c:v>
                </c:pt>
                <c:pt idx="23">
                  <c:v>1090</c:v>
                </c:pt>
                <c:pt idx="24">
                  <c:v>1250</c:v>
                </c:pt>
                <c:pt idx="25">
                  <c:v>1600</c:v>
                </c:pt>
                <c:pt idx="26">
                  <c:v>2000</c:v>
                </c:pt>
                <c:pt idx="27">
                  <c:v>1970</c:v>
                </c:pt>
                <c:pt idx="28">
                  <c:v>1510</c:v>
                </c:pt>
                <c:pt idx="29">
                  <c:v>990</c:v>
                </c:pt>
                <c:pt idx="30">
                  <c:v>1280</c:v>
                </c:pt>
                <c:pt idx="31">
                  <c:v>1510</c:v>
                </c:pt>
                <c:pt idx="32">
                  <c:v>1750</c:v>
                </c:pt>
                <c:pt idx="33">
                  <c:v>1800</c:v>
                </c:pt>
                <c:pt idx="34">
                  <c:v>2100</c:v>
                </c:pt>
              </c:numCache>
            </c:numRef>
          </c:val>
        </c:ser>
        <c:dLbls>
          <c:showLegendKey val="0"/>
          <c:showVal val="1"/>
          <c:showCatName val="0"/>
          <c:showSerName val="0"/>
          <c:showPercent val="0"/>
          <c:showBubbleSize val="0"/>
        </c:dLbls>
        <c:gapWidth val="75"/>
        <c:overlap val="-25"/>
        <c:axId val="424054384"/>
        <c:axId val="424056344"/>
      </c:barChart>
      <c:catAx>
        <c:axId val="424054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056344"/>
        <c:crosses val="autoZero"/>
        <c:auto val="1"/>
        <c:lblAlgn val="ctr"/>
        <c:lblOffset val="100"/>
        <c:tickLblSkip val="2"/>
        <c:noMultiLvlLbl val="0"/>
      </c:catAx>
      <c:valAx>
        <c:axId val="42405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054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Dynamics of</a:t>
            </a:r>
            <a:r>
              <a:rPr lang="en-US" sz="1200" b="1" baseline="0">
                <a:latin typeface="Times New Roman" panose="02020603050405020304" pitchFamily="18" charset="0"/>
                <a:cs typeface="Times New Roman" panose="02020603050405020304" pitchFamily="18" charset="0"/>
              </a:rPr>
              <a:t> global </a:t>
            </a:r>
            <a:r>
              <a:rPr lang="en-US" sz="1200" b="1">
                <a:latin typeface="Times New Roman" panose="02020603050405020304" pitchFamily="18" charset="0"/>
                <a:cs typeface="Times New Roman" panose="02020603050405020304" pitchFamily="18" charset="0"/>
              </a:rPr>
              <a:t>LBO</a:t>
            </a:r>
            <a:r>
              <a:rPr lang="en-US" sz="1200" b="1" baseline="0">
                <a:latin typeface="Times New Roman" panose="02020603050405020304" pitchFamily="18" charset="0"/>
                <a:cs typeface="Times New Roman" panose="02020603050405020304" pitchFamily="18" charset="0"/>
              </a:rPr>
              <a:t> volume</a:t>
            </a:r>
            <a:r>
              <a:rPr lang="en-US" sz="1200" b="1">
                <a:latin typeface="Times New Roman" panose="02020603050405020304" pitchFamily="18" charset="0"/>
                <a:cs typeface="Times New Roman" panose="02020603050405020304" pitchFamily="18" charset="0"/>
              </a:rPr>
              <a:t>,</a:t>
            </a:r>
            <a:r>
              <a:rPr lang="en-US" sz="1200" b="1" baseline="0">
                <a:latin typeface="Times New Roman" panose="02020603050405020304" pitchFamily="18" charset="0"/>
                <a:cs typeface="Times New Roman" panose="02020603050405020304" pitchFamily="18" charset="0"/>
              </a:rPr>
              <a:t> m</a:t>
            </a:r>
            <a:r>
              <a:rPr lang="ru-RU" sz="1200" b="1" baseline="0">
                <a:latin typeface="Times New Roman" panose="02020603050405020304" pitchFamily="18" charset="0"/>
                <a:cs typeface="Times New Roman" panose="02020603050405020304" pitchFamily="18" charset="0"/>
              </a:rPr>
              <a:t>. </a:t>
            </a:r>
            <a:r>
              <a:rPr lang="en-US" sz="1200" b="1" baseline="0">
                <a:latin typeface="Times New Roman" panose="02020603050405020304" pitchFamily="18" charset="0"/>
                <a:cs typeface="Times New Roman" panose="02020603050405020304" pitchFamily="18" charset="0"/>
              </a:rPr>
              <a:t>$</a:t>
            </a:r>
            <a:r>
              <a:rPr lang="ru-RU" sz="1200" b="1" baseline="0">
                <a:latin typeface="Times New Roman" panose="02020603050405020304" pitchFamily="18" charset="0"/>
                <a:cs typeface="Times New Roman" panose="02020603050405020304" pitchFamily="18" charset="0"/>
              </a:rPr>
              <a:t>., 1980-2014</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11488190341536"/>
          <c:y val="2.590592545348968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numRef>
              <c:f>[Ingenico1.xlsx]LBO!$B$43:$B$77</c:f>
              <c:numCache>
                <c:formatCode>General</c:formatCod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numCache>
            </c:numRef>
          </c:cat>
          <c:val>
            <c:numRef>
              <c:f>[Ingenico1.xlsx]LBO!$E$43:$E$77</c:f>
              <c:numCache>
                <c:formatCode>General</c:formatCode>
                <c:ptCount val="35"/>
                <c:pt idx="0">
                  <c:v>10000</c:v>
                </c:pt>
                <c:pt idx="1">
                  <c:v>10500</c:v>
                </c:pt>
                <c:pt idx="2">
                  <c:v>11000</c:v>
                </c:pt>
                <c:pt idx="3">
                  <c:v>20000</c:v>
                </c:pt>
                <c:pt idx="4">
                  <c:v>30000</c:v>
                </c:pt>
                <c:pt idx="5">
                  <c:v>60000</c:v>
                </c:pt>
                <c:pt idx="6">
                  <c:v>50000</c:v>
                </c:pt>
                <c:pt idx="7">
                  <c:v>80000</c:v>
                </c:pt>
                <c:pt idx="8">
                  <c:v>200000</c:v>
                </c:pt>
                <c:pt idx="9">
                  <c:v>150000</c:v>
                </c:pt>
                <c:pt idx="10">
                  <c:v>40000</c:v>
                </c:pt>
                <c:pt idx="11">
                  <c:v>24000</c:v>
                </c:pt>
                <c:pt idx="12">
                  <c:v>25000</c:v>
                </c:pt>
                <c:pt idx="13">
                  <c:v>23000</c:v>
                </c:pt>
                <c:pt idx="14">
                  <c:v>24000</c:v>
                </c:pt>
                <c:pt idx="15">
                  <c:v>65000</c:v>
                </c:pt>
                <c:pt idx="16">
                  <c:v>28000</c:v>
                </c:pt>
                <c:pt idx="17">
                  <c:v>40000</c:v>
                </c:pt>
                <c:pt idx="18">
                  <c:v>45000</c:v>
                </c:pt>
                <c:pt idx="19">
                  <c:v>90000</c:v>
                </c:pt>
                <c:pt idx="20">
                  <c:v>100000</c:v>
                </c:pt>
                <c:pt idx="21">
                  <c:v>70000</c:v>
                </c:pt>
                <c:pt idx="22">
                  <c:v>95000</c:v>
                </c:pt>
                <c:pt idx="23">
                  <c:v>92000</c:v>
                </c:pt>
                <c:pt idx="24">
                  <c:v>190000</c:v>
                </c:pt>
                <c:pt idx="25">
                  <c:v>310000</c:v>
                </c:pt>
                <c:pt idx="26">
                  <c:v>780000</c:v>
                </c:pt>
                <c:pt idx="27">
                  <c:v>750000</c:v>
                </c:pt>
                <c:pt idx="28">
                  <c:v>110000</c:v>
                </c:pt>
                <c:pt idx="29">
                  <c:v>50000</c:v>
                </c:pt>
                <c:pt idx="30">
                  <c:v>150000</c:v>
                </c:pt>
                <c:pt idx="31">
                  <c:v>170000</c:v>
                </c:pt>
                <c:pt idx="32">
                  <c:v>177000</c:v>
                </c:pt>
                <c:pt idx="33">
                  <c:v>230000</c:v>
                </c:pt>
                <c:pt idx="34">
                  <c:v>250000</c:v>
                </c:pt>
              </c:numCache>
            </c:numRef>
          </c:val>
        </c:ser>
        <c:dLbls>
          <c:showLegendKey val="0"/>
          <c:showVal val="1"/>
          <c:showCatName val="0"/>
          <c:showSerName val="0"/>
          <c:showPercent val="0"/>
          <c:showBubbleSize val="0"/>
        </c:dLbls>
        <c:gapWidth val="75"/>
        <c:overlap val="-25"/>
        <c:axId val="424055560"/>
        <c:axId val="424053992"/>
      </c:barChart>
      <c:catAx>
        <c:axId val="424055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053992"/>
        <c:crosses val="autoZero"/>
        <c:auto val="1"/>
        <c:lblAlgn val="ctr"/>
        <c:lblOffset val="100"/>
        <c:tickLblSkip val="2"/>
        <c:noMultiLvlLbl val="0"/>
      </c:catAx>
      <c:valAx>
        <c:axId val="42405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055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4663167104112"/>
          <c:y val="9.9338072728126711E-2"/>
          <c:w val="0.84996787433352894"/>
          <c:h val="0.74989582948914513"/>
        </c:manualLayout>
      </c:layout>
      <c:lineChart>
        <c:grouping val="standard"/>
        <c:varyColors val="0"/>
        <c:ser>
          <c:idx val="0"/>
          <c:order val="0"/>
          <c:tx>
            <c:strRef>
              <c:f>IRR!$N$21</c:f>
              <c:strCache>
                <c:ptCount val="1"/>
                <c:pt idx="0">
                  <c:v>IRR</c:v>
                </c:pt>
              </c:strCache>
            </c:strRef>
          </c:tx>
          <c:spPr>
            <a:ln w="22225" cap="rnd" cmpd="sng" algn="ctr">
              <a:solidFill>
                <a:schemeClr val="accent1"/>
              </a:solidFill>
              <a:round/>
            </a:ln>
            <a:effectLst/>
          </c:spPr>
          <c:marker>
            <c:symbol val="none"/>
          </c:marker>
          <c:dLbls>
            <c:dLbl>
              <c:idx val="2"/>
              <c:layout>
                <c:manualLayout>
                  <c:x val="-1.5347717185681849E-2"/>
                  <c:y val="-6.05666944224274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553939446306933E-3"/>
                  <c:y val="-3.93683513745778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553939446306933E-3"/>
                  <c:y val="-3.936835137457782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7.6738585928409243E-3"/>
                  <c:y val="-3.3311681932335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IRR!$B$23:$B$28</c:f>
              <c:numCache>
                <c:formatCode>General</c:formatCode>
                <c:ptCount val="6"/>
                <c:pt idx="0">
                  <c:v>2016</c:v>
                </c:pt>
                <c:pt idx="1">
                  <c:v>2017</c:v>
                </c:pt>
                <c:pt idx="2">
                  <c:v>2018</c:v>
                </c:pt>
                <c:pt idx="3">
                  <c:v>2019</c:v>
                </c:pt>
                <c:pt idx="4">
                  <c:v>2020</c:v>
                </c:pt>
                <c:pt idx="5">
                  <c:v>2021</c:v>
                </c:pt>
              </c:numCache>
            </c:numRef>
          </c:cat>
          <c:val>
            <c:numRef>
              <c:f>IRR!$N$23:$N$29</c:f>
              <c:numCache>
                <c:formatCode>0.00%</c:formatCode>
                <c:ptCount val="7"/>
                <c:pt idx="0">
                  <c:v>-0.12367772729983662</c:v>
                </c:pt>
                <c:pt idx="1">
                  <c:v>0.14210500258011383</c:v>
                </c:pt>
                <c:pt idx="2">
                  <c:v>0.2021</c:v>
                </c:pt>
                <c:pt idx="3">
                  <c:v>0.29737172989415628</c:v>
                </c:pt>
                <c:pt idx="4">
                  <c:v>0.31956692635088402</c:v>
                </c:pt>
                <c:pt idx="5">
                  <c:v>0.30739590685316887</c:v>
                </c:pt>
                <c:pt idx="6">
                  <c:v>0.29245752476226383</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70088576"/>
        <c:axId val="470088184"/>
      </c:lineChart>
      <c:catAx>
        <c:axId val="470088576"/>
        <c:scaling>
          <c:orientation val="minMax"/>
        </c:scaling>
        <c:delete val="0"/>
        <c:axPos val="b"/>
        <c:numFmt formatCode="yyyy" sourceLinked="0"/>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70088184"/>
        <c:crosses val="autoZero"/>
        <c:auto val="1"/>
        <c:lblAlgn val="ctr"/>
        <c:lblOffset val="100"/>
        <c:noMultiLvlLbl val="0"/>
      </c:catAx>
      <c:valAx>
        <c:axId val="470088184"/>
        <c:scaling>
          <c:orientation val="minMax"/>
        </c:scaling>
        <c:delete val="0"/>
        <c:axPos val="l"/>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70088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Чистая прибыль, млн евро</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'[Ingenico.xlsx]Ingenico Group'!$C$3:$M$3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'[Ingenico.xlsx]Ingenico Group'!$C$8:$M$8</c:f>
              <c:numCache>
                <c:formatCode>General</c:formatCode>
                <c:ptCount val="11"/>
                <c:pt idx="0">
                  <c:v>3</c:v>
                </c:pt>
                <c:pt idx="1">
                  <c:v>-40</c:v>
                </c:pt>
                <c:pt idx="2">
                  <c:v>16</c:v>
                </c:pt>
                <c:pt idx="3">
                  <c:v>39</c:v>
                </c:pt>
                <c:pt idx="4">
                  <c:v>37</c:v>
                </c:pt>
                <c:pt idx="5">
                  <c:v>27</c:v>
                </c:pt>
                <c:pt idx="6">
                  <c:v>40</c:v>
                </c:pt>
                <c:pt idx="7">
                  <c:v>58</c:v>
                </c:pt>
                <c:pt idx="8">
                  <c:v>97</c:v>
                </c:pt>
                <c:pt idx="9">
                  <c:v>114</c:v>
                </c:pt>
                <c:pt idx="10">
                  <c:v>172</c:v>
                </c:pt>
              </c:numCache>
            </c:numRef>
          </c:val>
        </c:ser>
        <c:dLbls>
          <c:showLegendKey val="0"/>
          <c:showVal val="1"/>
          <c:showCatName val="0"/>
          <c:showSerName val="0"/>
          <c:showPercent val="0"/>
          <c:showBubbleSize val="0"/>
        </c:dLbls>
        <c:gapWidth val="75"/>
        <c:axId val="470089752"/>
        <c:axId val="470090144"/>
      </c:barChart>
      <c:catAx>
        <c:axId val="47008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0144"/>
        <c:crosses val="autoZero"/>
        <c:auto val="1"/>
        <c:lblAlgn val="ctr"/>
        <c:lblOffset val="100"/>
        <c:noMultiLvlLbl val="0"/>
      </c:catAx>
      <c:valAx>
        <c:axId val="470090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8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Выручка, млн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'[Ingenico.xlsx]Ingenico Group'!$C$3:$M$3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'[Ingenico.xlsx]Ingenico Group'!$C$4:$M$4</c:f>
              <c:numCache>
                <c:formatCode>General</c:formatCode>
                <c:ptCount val="11"/>
                <c:pt idx="0">
                  <c:v>427</c:v>
                </c:pt>
                <c:pt idx="1">
                  <c:v>437</c:v>
                </c:pt>
                <c:pt idx="2">
                  <c:v>506</c:v>
                </c:pt>
                <c:pt idx="3">
                  <c:v>568</c:v>
                </c:pt>
                <c:pt idx="4">
                  <c:v>728</c:v>
                </c:pt>
                <c:pt idx="5">
                  <c:v>701</c:v>
                </c:pt>
                <c:pt idx="6">
                  <c:v>907</c:v>
                </c:pt>
                <c:pt idx="7">
                  <c:v>1001</c:v>
                </c:pt>
                <c:pt idx="8">
                  <c:v>1206</c:v>
                </c:pt>
                <c:pt idx="9">
                  <c:v>1371</c:v>
                </c:pt>
                <c:pt idx="10">
                  <c:v>1607</c:v>
                </c:pt>
              </c:numCache>
            </c:numRef>
          </c:val>
        </c:ser>
        <c:dLbls>
          <c:showLegendKey val="0"/>
          <c:showVal val="1"/>
          <c:showCatName val="0"/>
          <c:showSerName val="0"/>
          <c:showPercent val="0"/>
          <c:showBubbleSize val="0"/>
        </c:dLbls>
        <c:gapWidth val="150"/>
        <c:overlap val="-25"/>
        <c:axId val="470090928"/>
        <c:axId val="470091320"/>
      </c:barChart>
      <c:catAx>
        <c:axId val="47009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1320"/>
        <c:crosses val="autoZero"/>
        <c:auto val="1"/>
        <c:lblAlgn val="ctr"/>
        <c:lblOffset val="100"/>
        <c:noMultiLvlLbl val="0"/>
      </c:catAx>
      <c:valAx>
        <c:axId val="470091320"/>
        <c:scaling>
          <c:orientation val="minMax"/>
        </c:scaling>
        <c:delete val="1"/>
        <c:axPos val="l"/>
        <c:numFmt formatCode="General" sourceLinked="1"/>
        <c:majorTickMark val="none"/>
        <c:minorTickMark val="none"/>
        <c:tickLblPos val="nextTo"/>
        <c:crossAx val="47009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Операционная прибыль, млн евро</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'[Ingenico.xlsx]Ingenico Group'!$C$3:$M$3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'[Ingenico.xlsx]Ingenico Group'!$C$6:$M$6</c:f>
              <c:numCache>
                <c:formatCode>General</c:formatCode>
                <c:ptCount val="11"/>
                <c:pt idx="0">
                  <c:v>12</c:v>
                </c:pt>
                <c:pt idx="1">
                  <c:v>-34</c:v>
                </c:pt>
                <c:pt idx="2">
                  <c:v>31</c:v>
                </c:pt>
                <c:pt idx="3">
                  <c:v>57</c:v>
                </c:pt>
                <c:pt idx="4">
                  <c:v>58</c:v>
                </c:pt>
                <c:pt idx="5">
                  <c:v>47</c:v>
                </c:pt>
                <c:pt idx="6">
                  <c:v>74</c:v>
                </c:pt>
                <c:pt idx="7">
                  <c:v>111</c:v>
                </c:pt>
                <c:pt idx="8">
                  <c:v>164</c:v>
                </c:pt>
                <c:pt idx="9">
                  <c:v>187</c:v>
                </c:pt>
                <c:pt idx="10">
                  <c:v>327</c:v>
                </c:pt>
              </c:numCache>
            </c:numRef>
          </c:val>
        </c:ser>
        <c:dLbls>
          <c:showLegendKey val="0"/>
          <c:showVal val="1"/>
          <c:showCatName val="0"/>
          <c:showSerName val="0"/>
          <c:showPercent val="0"/>
          <c:showBubbleSize val="0"/>
        </c:dLbls>
        <c:gapWidth val="75"/>
        <c:axId val="470092104"/>
        <c:axId val="470092496"/>
      </c:barChart>
      <c:catAx>
        <c:axId val="47009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2496"/>
        <c:crosses val="autoZero"/>
        <c:auto val="1"/>
        <c:lblAlgn val="ctr"/>
        <c:lblOffset val="100"/>
        <c:noMultiLvlLbl val="0"/>
      </c:catAx>
      <c:valAx>
        <c:axId val="470092496"/>
        <c:scaling>
          <c:orientation val="minMax"/>
        </c:scaling>
        <c:delete val="1"/>
        <c:axPos val="l"/>
        <c:numFmt formatCode="General" sourceLinked="1"/>
        <c:majorTickMark val="none"/>
        <c:minorTickMark val="none"/>
        <c:tickLblPos val="nextTo"/>
        <c:crossAx val="4700921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EPS, евро</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'[Ingenico.xlsx]Ingenico Group'!$C$3:$M$3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'[Ingenico.xlsx]Ingenico Group'!$C$9:$M$9</c:f>
              <c:numCache>
                <c:formatCode>General</c:formatCode>
                <c:ptCount val="11"/>
                <c:pt idx="0">
                  <c:v>0.08</c:v>
                </c:pt>
                <c:pt idx="1">
                  <c:v>-1.35</c:v>
                </c:pt>
                <c:pt idx="2">
                  <c:v>0.53</c:v>
                </c:pt>
                <c:pt idx="3">
                  <c:v>1.21</c:v>
                </c:pt>
                <c:pt idx="4">
                  <c:v>0.82</c:v>
                </c:pt>
                <c:pt idx="5">
                  <c:v>0.56000000000000005</c:v>
                </c:pt>
                <c:pt idx="6">
                  <c:v>0.8</c:v>
                </c:pt>
                <c:pt idx="7">
                  <c:v>1.0900000000000001</c:v>
                </c:pt>
                <c:pt idx="8">
                  <c:v>1.8</c:v>
                </c:pt>
                <c:pt idx="9">
                  <c:v>2.17</c:v>
                </c:pt>
                <c:pt idx="10">
                  <c:v>3.16</c:v>
                </c:pt>
              </c:numCache>
            </c:numRef>
          </c:val>
        </c:ser>
        <c:dLbls>
          <c:showLegendKey val="0"/>
          <c:showVal val="1"/>
          <c:showCatName val="0"/>
          <c:showSerName val="0"/>
          <c:showPercent val="0"/>
          <c:showBubbleSize val="0"/>
        </c:dLbls>
        <c:gapWidth val="150"/>
        <c:overlap val="-25"/>
        <c:axId val="470093280"/>
        <c:axId val="470093672"/>
      </c:barChart>
      <c:catAx>
        <c:axId val="4700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3672"/>
        <c:crosses val="autoZero"/>
        <c:auto val="1"/>
        <c:lblAlgn val="ctr"/>
        <c:lblOffset val="100"/>
        <c:noMultiLvlLbl val="0"/>
      </c:catAx>
      <c:valAx>
        <c:axId val="470093672"/>
        <c:scaling>
          <c:orientation val="minMax"/>
        </c:scaling>
        <c:delete val="1"/>
        <c:axPos val="l"/>
        <c:numFmt formatCode="General" sourceLinked="1"/>
        <c:majorTickMark val="none"/>
        <c:minorTickMark val="none"/>
        <c:tickLblPos val="nextTo"/>
        <c:crossAx val="4700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FCF</c:v>
          </c:tx>
          <c:spPr>
            <a:solidFill>
              <a:schemeClr val="accent1"/>
            </a:solidFill>
            <a:ln>
              <a:noFill/>
            </a:ln>
            <a:effectLst/>
          </c:spPr>
          <c:invertIfNegative val="0"/>
          <c:cat>
            <c:strRef>
              <c:f>'Ingenico Group'!$D$2:$M$3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'Ingenico Group'!$D$16:$M$16</c:f>
              <c:numCache>
                <c:formatCode>General</c:formatCode>
                <c:ptCount val="10"/>
                <c:pt idx="0">
                  <c:v>-15</c:v>
                </c:pt>
                <c:pt idx="1">
                  <c:v>43</c:v>
                </c:pt>
                <c:pt idx="2">
                  <c:v>50</c:v>
                </c:pt>
                <c:pt idx="3">
                  <c:v>69</c:v>
                </c:pt>
                <c:pt idx="4">
                  <c:v>50</c:v>
                </c:pt>
                <c:pt idx="5">
                  <c:v>100</c:v>
                </c:pt>
                <c:pt idx="6">
                  <c:v>75</c:v>
                </c:pt>
                <c:pt idx="7">
                  <c:v>125</c:v>
                </c:pt>
                <c:pt idx="8">
                  <c:v>177</c:v>
                </c:pt>
                <c:pt idx="9">
                  <c:v>255</c:v>
                </c:pt>
              </c:numCache>
            </c:numRef>
          </c:val>
        </c:ser>
        <c:dLbls>
          <c:showLegendKey val="0"/>
          <c:showVal val="0"/>
          <c:showCatName val="0"/>
          <c:showSerName val="0"/>
          <c:showPercent val="0"/>
          <c:showBubbleSize val="0"/>
        </c:dLbls>
        <c:gapWidth val="219"/>
        <c:axId val="470094456"/>
        <c:axId val="470094848"/>
      </c:barChart>
      <c:lineChart>
        <c:grouping val="stacked"/>
        <c:varyColors val="0"/>
        <c:ser>
          <c:idx val="1"/>
          <c:order val="1"/>
          <c:tx>
            <c:v>EBIT</c:v>
          </c:tx>
          <c:spPr>
            <a:ln w="12700" cap="rnd">
              <a:solidFill>
                <a:schemeClr val="accent2"/>
              </a:solidFill>
              <a:round/>
            </a:ln>
            <a:effectLst/>
          </c:spPr>
          <c:marker>
            <c:symbol val="circle"/>
            <c:size val="5"/>
            <c:spPr>
              <a:solidFill>
                <a:schemeClr val="accent2"/>
              </a:solidFill>
              <a:ln w="12700">
                <a:solidFill>
                  <a:schemeClr val="accent2"/>
                </a:solidFill>
              </a:ln>
              <a:effectLst/>
            </c:spPr>
          </c:marker>
          <c:val>
            <c:numRef>
              <c:f>'Ingenico Group'!$D$6:$M$6</c:f>
              <c:numCache>
                <c:formatCode>General</c:formatCode>
                <c:ptCount val="10"/>
                <c:pt idx="0">
                  <c:v>-34</c:v>
                </c:pt>
                <c:pt idx="1">
                  <c:v>31</c:v>
                </c:pt>
                <c:pt idx="2">
                  <c:v>57</c:v>
                </c:pt>
                <c:pt idx="3">
                  <c:v>58</c:v>
                </c:pt>
                <c:pt idx="4">
                  <c:v>47</c:v>
                </c:pt>
                <c:pt idx="5">
                  <c:v>74</c:v>
                </c:pt>
                <c:pt idx="6">
                  <c:v>111</c:v>
                </c:pt>
                <c:pt idx="7">
                  <c:v>164</c:v>
                </c:pt>
                <c:pt idx="8">
                  <c:v>187</c:v>
                </c:pt>
                <c:pt idx="9">
                  <c:v>327</c:v>
                </c:pt>
              </c:numCache>
            </c:numRef>
          </c:val>
          <c:smooth val="0"/>
        </c:ser>
        <c:dLbls>
          <c:showLegendKey val="0"/>
          <c:showVal val="0"/>
          <c:showCatName val="0"/>
          <c:showSerName val="0"/>
          <c:showPercent val="0"/>
          <c:showBubbleSize val="0"/>
        </c:dLbls>
        <c:marker val="1"/>
        <c:smooth val="0"/>
        <c:axId val="470094456"/>
        <c:axId val="470094848"/>
      </c:lineChart>
      <c:catAx>
        <c:axId val="47009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4848"/>
        <c:crosses val="autoZero"/>
        <c:auto val="1"/>
        <c:lblAlgn val="ctr"/>
        <c:lblOffset val="100"/>
        <c:noMultiLvlLbl val="0"/>
      </c:catAx>
      <c:valAx>
        <c:axId val="47009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FCF, </a:t>
                </a:r>
                <a:r>
                  <a:rPr lang="ru-RU"/>
                  <a:t>млн евро</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9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D7A613-0486-4B86-BD1D-30D6A4AB216D}"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BA287DC5-3ACE-4727-900D-7A1509D05FE2}">
      <dgm:prSet phldrT="[Текст]"/>
      <dgm:spPr/>
      <dgm:t>
        <a:bodyPr/>
        <a:lstStyle/>
        <a:p>
          <a:r>
            <a:rPr lang="en-US"/>
            <a:t>IRR</a:t>
          </a:r>
          <a:endParaRPr lang="ru-RU"/>
        </a:p>
      </dgm:t>
    </dgm:pt>
    <dgm:pt modelId="{6F1CF909-74BF-485E-B418-88C09F555F08}" type="parTrans" cxnId="{628FE3D7-37C6-46A7-A826-6EAE4D4E81F1}">
      <dgm:prSet/>
      <dgm:spPr/>
      <dgm:t>
        <a:bodyPr/>
        <a:lstStyle/>
        <a:p>
          <a:endParaRPr lang="ru-RU"/>
        </a:p>
      </dgm:t>
    </dgm:pt>
    <dgm:pt modelId="{FB4C7D8A-FBC6-43D1-A453-459D34C41C55}" type="sibTrans" cxnId="{628FE3D7-37C6-46A7-A826-6EAE4D4E81F1}">
      <dgm:prSet/>
      <dgm:spPr/>
      <dgm:t>
        <a:bodyPr/>
        <a:lstStyle/>
        <a:p>
          <a:endParaRPr lang="ru-RU"/>
        </a:p>
      </dgm:t>
    </dgm:pt>
    <dgm:pt modelId="{206AE940-0767-4D2D-839B-6DA07C5916A4}">
      <dgm:prSet phldrT="[Текст]"/>
      <dgm:spPr/>
      <dgm:t>
        <a:bodyPr/>
        <a:lstStyle/>
        <a:p>
          <a:r>
            <a:rPr lang="en-US"/>
            <a:t>Equity contribution</a:t>
          </a:r>
          <a:endParaRPr lang="ru-RU"/>
        </a:p>
      </dgm:t>
    </dgm:pt>
    <dgm:pt modelId="{3D176CA9-9747-47A2-ACC0-BD313FBB16F6}" type="parTrans" cxnId="{11FFB046-5FF5-47D7-9259-0133E339D5DA}">
      <dgm:prSet/>
      <dgm:spPr/>
      <dgm:t>
        <a:bodyPr/>
        <a:lstStyle/>
        <a:p>
          <a:endParaRPr lang="ru-RU"/>
        </a:p>
      </dgm:t>
    </dgm:pt>
    <dgm:pt modelId="{6F9C3DBE-4CE8-4249-ABE9-B9EF3C8F4F0E}" type="sibTrans" cxnId="{11FFB046-5FF5-47D7-9259-0133E339D5DA}">
      <dgm:prSet/>
      <dgm:spPr/>
      <dgm:t>
        <a:bodyPr/>
        <a:lstStyle/>
        <a:p>
          <a:endParaRPr lang="ru-RU"/>
        </a:p>
      </dgm:t>
    </dgm:pt>
    <dgm:pt modelId="{7CF2E6C9-27B9-4B36-9FAF-2F455A4178EC}">
      <dgm:prSet phldrT="[Текст]"/>
      <dgm:spPr/>
      <dgm:t>
        <a:bodyPr/>
        <a:lstStyle/>
        <a:p>
          <a:r>
            <a:rPr lang="en-US"/>
            <a:t>Company value</a:t>
          </a:r>
          <a:endParaRPr lang="ru-RU"/>
        </a:p>
      </dgm:t>
    </dgm:pt>
    <dgm:pt modelId="{C257B41E-8537-4C76-BE0D-C64EF3A83749}" type="parTrans" cxnId="{45017EED-9EF5-44D6-BFB9-9736E8CCCCDD}">
      <dgm:prSet/>
      <dgm:spPr/>
      <dgm:t>
        <a:bodyPr/>
        <a:lstStyle/>
        <a:p>
          <a:endParaRPr lang="ru-RU"/>
        </a:p>
      </dgm:t>
    </dgm:pt>
    <dgm:pt modelId="{81EABC2D-4DD4-45AF-82BE-D0675064D17A}" type="sibTrans" cxnId="{45017EED-9EF5-44D6-BFB9-9736E8CCCCDD}">
      <dgm:prSet/>
      <dgm:spPr/>
      <dgm:t>
        <a:bodyPr/>
        <a:lstStyle/>
        <a:p>
          <a:endParaRPr lang="ru-RU"/>
        </a:p>
      </dgm:t>
    </dgm:pt>
    <dgm:pt modelId="{ADA9FA69-E057-4405-B83F-44565158606E}">
      <dgm:prSet phldrT="[Текст]"/>
      <dgm:spPr/>
      <dgm:t>
        <a:bodyPr/>
        <a:lstStyle/>
        <a:p>
          <a:r>
            <a:rPr lang="en-US"/>
            <a:t>Debt contribution </a:t>
          </a:r>
          <a:endParaRPr lang="ru-RU"/>
        </a:p>
      </dgm:t>
    </dgm:pt>
    <dgm:pt modelId="{A08DB55B-0E62-4C37-BE95-FE7F0B9D3623}" type="parTrans" cxnId="{3CD946B0-2294-4C1A-B0AB-F010A1CF241A}">
      <dgm:prSet/>
      <dgm:spPr/>
      <dgm:t>
        <a:bodyPr/>
        <a:lstStyle/>
        <a:p>
          <a:endParaRPr lang="ru-RU"/>
        </a:p>
      </dgm:t>
    </dgm:pt>
    <dgm:pt modelId="{F1AEF516-98DC-401E-9FF9-D65911A07370}" type="sibTrans" cxnId="{3CD946B0-2294-4C1A-B0AB-F010A1CF241A}">
      <dgm:prSet/>
      <dgm:spPr/>
      <dgm:t>
        <a:bodyPr/>
        <a:lstStyle/>
        <a:p>
          <a:endParaRPr lang="ru-RU"/>
        </a:p>
      </dgm:t>
    </dgm:pt>
    <dgm:pt modelId="{E92D5C11-110F-4DB8-BADE-2B89BC5DFB34}">
      <dgm:prSet phldrT="[Текст]"/>
      <dgm:spPr/>
      <dgm:t>
        <a:bodyPr/>
        <a:lstStyle/>
        <a:p>
          <a:r>
            <a:rPr lang="en-US"/>
            <a:t>Equity value at exit </a:t>
          </a:r>
          <a:endParaRPr lang="ru-RU"/>
        </a:p>
      </dgm:t>
    </dgm:pt>
    <dgm:pt modelId="{6805BF92-91FF-4C84-8D57-9F90AB812069}" type="parTrans" cxnId="{707631D7-8D54-4DD8-8EB9-9D047F3A56D3}">
      <dgm:prSet/>
      <dgm:spPr/>
      <dgm:t>
        <a:bodyPr/>
        <a:lstStyle/>
        <a:p>
          <a:endParaRPr lang="ru-RU"/>
        </a:p>
      </dgm:t>
    </dgm:pt>
    <dgm:pt modelId="{DAF77FED-E00A-480C-9A8A-4674DFC50CB3}" type="sibTrans" cxnId="{707631D7-8D54-4DD8-8EB9-9D047F3A56D3}">
      <dgm:prSet/>
      <dgm:spPr/>
      <dgm:t>
        <a:bodyPr/>
        <a:lstStyle/>
        <a:p>
          <a:endParaRPr lang="ru-RU"/>
        </a:p>
      </dgm:t>
    </dgm:pt>
    <dgm:pt modelId="{61102EA8-F0D9-40CD-80A5-B9F32D06341B}">
      <dgm:prSet/>
      <dgm:spPr/>
      <dgm:t>
        <a:bodyPr/>
        <a:lstStyle/>
        <a:p>
          <a:r>
            <a:rPr lang="en-US"/>
            <a:t>EV/EBITDA exit multiple </a:t>
          </a:r>
          <a:endParaRPr lang="ru-RU"/>
        </a:p>
      </dgm:t>
    </dgm:pt>
    <dgm:pt modelId="{F1DD52F4-8097-4AEC-ABA2-61179AD4362B}" type="parTrans" cxnId="{A6AB6973-F808-419F-8459-1BAA2351807C}">
      <dgm:prSet/>
      <dgm:spPr/>
      <dgm:t>
        <a:bodyPr/>
        <a:lstStyle/>
        <a:p>
          <a:endParaRPr lang="ru-RU"/>
        </a:p>
      </dgm:t>
    </dgm:pt>
    <dgm:pt modelId="{B04533E2-5FF9-48ED-BE9F-2AFE953DA5BA}" type="sibTrans" cxnId="{A6AB6973-F808-419F-8459-1BAA2351807C}">
      <dgm:prSet/>
      <dgm:spPr/>
      <dgm:t>
        <a:bodyPr/>
        <a:lstStyle/>
        <a:p>
          <a:endParaRPr lang="ru-RU"/>
        </a:p>
      </dgm:t>
    </dgm:pt>
    <dgm:pt modelId="{5DD2F1E4-6B18-42D4-A8C8-8CF8E69A151F}">
      <dgm:prSet/>
      <dgm:spPr/>
      <dgm:t>
        <a:bodyPr/>
        <a:lstStyle/>
        <a:p>
          <a:r>
            <a:rPr lang="en-US"/>
            <a:t>Equity value </a:t>
          </a:r>
          <a:endParaRPr lang="ru-RU"/>
        </a:p>
      </dgm:t>
    </dgm:pt>
    <dgm:pt modelId="{CCFF8A97-8586-4756-AF49-973139663322}" type="parTrans" cxnId="{E81C820A-8FB8-4A44-8044-85BC77A78B6C}">
      <dgm:prSet/>
      <dgm:spPr/>
      <dgm:t>
        <a:bodyPr/>
        <a:lstStyle/>
        <a:p>
          <a:endParaRPr lang="ru-RU"/>
        </a:p>
      </dgm:t>
    </dgm:pt>
    <dgm:pt modelId="{93F5AE8F-EA80-4F11-8A19-E34C3444C506}" type="sibTrans" cxnId="{E81C820A-8FB8-4A44-8044-85BC77A78B6C}">
      <dgm:prSet/>
      <dgm:spPr/>
      <dgm:t>
        <a:bodyPr/>
        <a:lstStyle/>
        <a:p>
          <a:endParaRPr lang="ru-RU"/>
        </a:p>
      </dgm:t>
    </dgm:pt>
    <dgm:pt modelId="{C83FE7B9-C93A-48C2-9513-53DFD0D19E8B}">
      <dgm:prSet/>
      <dgm:spPr/>
      <dgm:t>
        <a:bodyPr/>
        <a:lstStyle/>
        <a:p>
          <a:r>
            <a:rPr lang="en-US"/>
            <a:t>Net debt </a:t>
          </a:r>
          <a:endParaRPr lang="ru-RU"/>
        </a:p>
      </dgm:t>
    </dgm:pt>
    <dgm:pt modelId="{BD5D4ACF-A693-4AC7-8BC9-AFFC8152740D}" type="parTrans" cxnId="{F37E5BC7-06E5-42D4-A78A-952997F9B5CC}">
      <dgm:prSet/>
      <dgm:spPr/>
      <dgm:t>
        <a:bodyPr/>
        <a:lstStyle/>
        <a:p>
          <a:endParaRPr lang="ru-RU"/>
        </a:p>
      </dgm:t>
    </dgm:pt>
    <dgm:pt modelId="{1C41FA93-E9DA-4B91-AA4F-958A5645467D}" type="sibTrans" cxnId="{F37E5BC7-06E5-42D4-A78A-952997F9B5CC}">
      <dgm:prSet/>
      <dgm:spPr/>
      <dgm:t>
        <a:bodyPr/>
        <a:lstStyle/>
        <a:p>
          <a:endParaRPr lang="ru-RU"/>
        </a:p>
      </dgm:t>
    </dgm:pt>
    <dgm:pt modelId="{6A5E28E9-5022-496B-8FDC-9AFD221104E2}">
      <dgm:prSet/>
      <dgm:spPr/>
      <dgm:t>
        <a:bodyPr/>
        <a:lstStyle/>
        <a:p>
          <a:r>
            <a:rPr lang="en-US"/>
            <a:t>industry specific Debt/EBITDA</a:t>
          </a:r>
          <a:endParaRPr lang="ru-RU"/>
        </a:p>
      </dgm:t>
    </dgm:pt>
    <dgm:pt modelId="{04118E3F-A228-4190-8F29-7EAD2BFE2064}" type="parTrans" cxnId="{F03A97BE-15FF-41FB-BAB7-F8F4ED005B24}">
      <dgm:prSet/>
      <dgm:spPr/>
      <dgm:t>
        <a:bodyPr/>
        <a:lstStyle/>
        <a:p>
          <a:endParaRPr lang="ru-RU"/>
        </a:p>
      </dgm:t>
    </dgm:pt>
    <dgm:pt modelId="{0089EDCA-F624-4C06-BFB8-89F8E34B7692}" type="sibTrans" cxnId="{F03A97BE-15FF-41FB-BAB7-F8F4ED005B24}">
      <dgm:prSet/>
      <dgm:spPr/>
      <dgm:t>
        <a:bodyPr/>
        <a:lstStyle/>
        <a:p>
          <a:endParaRPr lang="ru-RU"/>
        </a:p>
      </dgm:t>
    </dgm:pt>
    <dgm:pt modelId="{9F185C1F-5E67-4255-BD46-134809D74B13}">
      <dgm:prSet/>
      <dgm:spPr/>
      <dgm:t>
        <a:bodyPr/>
        <a:lstStyle/>
        <a:p>
          <a:r>
            <a:rPr lang="en-US"/>
            <a:t>EBITDA </a:t>
          </a:r>
          <a:endParaRPr lang="ru-RU"/>
        </a:p>
      </dgm:t>
    </dgm:pt>
    <dgm:pt modelId="{6684EF53-C982-4921-8E2C-5A8BBC37BEE2}" type="parTrans" cxnId="{144E48AF-0BAD-46E3-BA6A-CA34AE086C48}">
      <dgm:prSet/>
      <dgm:spPr/>
      <dgm:t>
        <a:bodyPr/>
        <a:lstStyle/>
        <a:p>
          <a:endParaRPr lang="ru-RU"/>
        </a:p>
      </dgm:t>
    </dgm:pt>
    <dgm:pt modelId="{9CFD6988-3C43-4ECB-89FA-730C0E8A4D86}" type="sibTrans" cxnId="{144E48AF-0BAD-46E3-BA6A-CA34AE086C48}">
      <dgm:prSet/>
      <dgm:spPr/>
      <dgm:t>
        <a:bodyPr/>
        <a:lstStyle/>
        <a:p>
          <a:endParaRPr lang="ru-RU"/>
        </a:p>
      </dgm:t>
    </dgm:pt>
    <dgm:pt modelId="{29D3D101-9C90-4898-8519-552DA99178A7}">
      <dgm:prSet/>
      <dgm:spPr>
        <a:solidFill>
          <a:schemeClr val="accent1">
            <a:lumMod val="40000"/>
            <a:lumOff val="60000"/>
          </a:schemeClr>
        </a:solidFill>
      </dgm:spPr>
      <dgm:t>
        <a:bodyPr/>
        <a:lstStyle/>
        <a:p>
          <a:r>
            <a:rPr lang="en-US"/>
            <a:t>Depends on chosen assumption</a:t>
          </a:r>
          <a:endParaRPr lang="ru-RU"/>
        </a:p>
      </dgm:t>
    </dgm:pt>
    <dgm:pt modelId="{4E20CD21-9199-4A00-95F3-7FD92C6340B9}" type="parTrans" cxnId="{9639D6C5-5252-4CE5-9A32-A96196493AD0}">
      <dgm:prSet/>
      <dgm:spPr/>
      <dgm:t>
        <a:bodyPr/>
        <a:lstStyle/>
        <a:p>
          <a:endParaRPr lang="ru-RU"/>
        </a:p>
      </dgm:t>
    </dgm:pt>
    <dgm:pt modelId="{FF22B1CD-E56A-4C9E-817A-F13C0B282ED7}" type="sibTrans" cxnId="{9639D6C5-5252-4CE5-9A32-A96196493AD0}">
      <dgm:prSet/>
      <dgm:spPr/>
      <dgm:t>
        <a:bodyPr/>
        <a:lstStyle/>
        <a:p>
          <a:endParaRPr lang="ru-RU"/>
        </a:p>
      </dgm:t>
    </dgm:pt>
    <dgm:pt modelId="{DCBE32EB-2AF5-4B26-A1D7-39ED774C2B36}">
      <dgm:prSet/>
      <dgm:spPr/>
      <dgm:t>
        <a:bodyPr/>
        <a:lstStyle/>
        <a:p>
          <a:r>
            <a:rPr lang="en-US"/>
            <a:t>Net Debt  at exit </a:t>
          </a:r>
          <a:endParaRPr lang="ru-RU"/>
        </a:p>
      </dgm:t>
    </dgm:pt>
    <dgm:pt modelId="{FD375F7E-3E5A-43FB-8B2B-05305085215E}" type="parTrans" cxnId="{846E104A-40AE-498E-9917-94A1E6EF1CDD}">
      <dgm:prSet/>
      <dgm:spPr/>
      <dgm:t>
        <a:bodyPr/>
        <a:lstStyle/>
        <a:p>
          <a:endParaRPr lang="ru-RU"/>
        </a:p>
      </dgm:t>
    </dgm:pt>
    <dgm:pt modelId="{7731FAE1-A241-49DD-94DC-A9CD51E85252}" type="sibTrans" cxnId="{846E104A-40AE-498E-9917-94A1E6EF1CDD}">
      <dgm:prSet/>
      <dgm:spPr/>
      <dgm:t>
        <a:bodyPr/>
        <a:lstStyle/>
        <a:p>
          <a:endParaRPr lang="ru-RU"/>
        </a:p>
      </dgm:t>
    </dgm:pt>
    <dgm:pt modelId="{ABB98512-E0A7-485B-B9E9-D53F11E09C79}">
      <dgm:prSet/>
      <dgm:spPr/>
      <dgm:t>
        <a:bodyPr/>
        <a:lstStyle/>
        <a:p>
          <a:r>
            <a:rPr lang="en-US"/>
            <a:t>EV at exit</a:t>
          </a:r>
          <a:endParaRPr lang="ru-RU"/>
        </a:p>
      </dgm:t>
    </dgm:pt>
    <dgm:pt modelId="{852C30CA-54E5-4DC3-A364-F3954D6C12CD}" type="parTrans" cxnId="{2B6303F9-0D86-4A05-AAE2-DA9BA1302EC1}">
      <dgm:prSet/>
      <dgm:spPr/>
      <dgm:t>
        <a:bodyPr/>
        <a:lstStyle/>
        <a:p>
          <a:endParaRPr lang="ru-RU"/>
        </a:p>
      </dgm:t>
    </dgm:pt>
    <dgm:pt modelId="{9209B53B-0E7E-46EB-8FBF-075395AD739A}" type="sibTrans" cxnId="{2B6303F9-0D86-4A05-AAE2-DA9BA1302EC1}">
      <dgm:prSet/>
      <dgm:spPr/>
      <dgm:t>
        <a:bodyPr/>
        <a:lstStyle/>
        <a:p>
          <a:endParaRPr lang="ru-RU"/>
        </a:p>
      </dgm:t>
    </dgm:pt>
    <dgm:pt modelId="{B1C3C6F3-57F7-4C6B-90F7-E1C6CDFAA9BD}">
      <dgm:prSet/>
      <dgm:spPr/>
      <dgm:t>
        <a:bodyPr/>
        <a:lstStyle/>
        <a:p>
          <a:r>
            <a:rPr lang="en-US"/>
            <a:t>EBITDA exit </a:t>
          </a:r>
          <a:endParaRPr lang="ru-RU"/>
        </a:p>
      </dgm:t>
    </dgm:pt>
    <dgm:pt modelId="{CF70CC1D-F9DA-4810-9518-D66C1B091E6E}" type="parTrans" cxnId="{3D6B0AC4-8FA6-4FC9-AF2B-AD824D434F46}">
      <dgm:prSet/>
      <dgm:spPr/>
      <dgm:t>
        <a:bodyPr/>
        <a:lstStyle/>
        <a:p>
          <a:endParaRPr lang="ru-RU"/>
        </a:p>
      </dgm:t>
    </dgm:pt>
    <dgm:pt modelId="{D744A00A-28F1-456B-A1C1-6002C9140ACB}" type="sibTrans" cxnId="{3D6B0AC4-8FA6-4FC9-AF2B-AD824D434F46}">
      <dgm:prSet/>
      <dgm:spPr/>
      <dgm:t>
        <a:bodyPr/>
        <a:lstStyle/>
        <a:p>
          <a:endParaRPr lang="ru-RU"/>
        </a:p>
      </dgm:t>
    </dgm:pt>
    <dgm:pt modelId="{ED626206-75FF-49AD-9B5A-7D518F4F80FA}">
      <dgm:prSet/>
      <dgm:spPr>
        <a:solidFill>
          <a:schemeClr val="accent1">
            <a:lumMod val="40000"/>
            <a:lumOff val="60000"/>
          </a:schemeClr>
        </a:solidFill>
      </dgm:spPr>
      <dgm:t>
        <a:bodyPr/>
        <a:lstStyle/>
        <a:p>
          <a:r>
            <a:rPr lang="en-US"/>
            <a:t>Depends on sales growth and EBITDA margin assumtion </a:t>
          </a:r>
          <a:endParaRPr lang="ru-RU"/>
        </a:p>
      </dgm:t>
    </dgm:pt>
    <dgm:pt modelId="{67197197-B990-4B1B-98BC-11BAC07C7C01}" type="parTrans" cxnId="{EB2D8122-DEDF-44B8-8B40-AFEE73C492E6}">
      <dgm:prSet/>
      <dgm:spPr/>
      <dgm:t>
        <a:bodyPr/>
        <a:lstStyle/>
        <a:p>
          <a:endParaRPr lang="ru-RU"/>
        </a:p>
      </dgm:t>
    </dgm:pt>
    <dgm:pt modelId="{CE43229D-7773-41DD-8D67-F649060322D2}" type="sibTrans" cxnId="{EB2D8122-DEDF-44B8-8B40-AFEE73C492E6}">
      <dgm:prSet/>
      <dgm:spPr/>
      <dgm:t>
        <a:bodyPr/>
        <a:lstStyle/>
        <a:p>
          <a:endParaRPr lang="ru-RU"/>
        </a:p>
      </dgm:t>
    </dgm:pt>
    <dgm:pt modelId="{FAF02B38-0FE0-4911-8103-FBEA6BF5E2AB}">
      <dgm:prSet/>
      <dgm:spPr>
        <a:solidFill>
          <a:schemeClr val="accent1">
            <a:lumMod val="40000"/>
            <a:lumOff val="60000"/>
          </a:schemeClr>
        </a:solidFill>
      </dgm:spPr>
      <dgm:t>
        <a:bodyPr/>
        <a:lstStyle/>
        <a:p>
          <a:r>
            <a:rPr lang="en-US"/>
            <a:t>MV + control premium </a:t>
          </a:r>
          <a:endParaRPr lang="ru-RU"/>
        </a:p>
      </dgm:t>
    </dgm:pt>
    <dgm:pt modelId="{3104A313-A627-4B3F-88EA-A8C77175892A}" type="parTrans" cxnId="{AF2E2AD9-ACAF-4274-98ED-9E3FA5D229C2}">
      <dgm:prSet/>
      <dgm:spPr/>
      <dgm:t>
        <a:bodyPr/>
        <a:lstStyle/>
        <a:p>
          <a:endParaRPr lang="ru-RU"/>
        </a:p>
      </dgm:t>
    </dgm:pt>
    <dgm:pt modelId="{26D35E6C-7046-4CAA-B548-DE70B4082EF3}" type="sibTrans" cxnId="{AF2E2AD9-ACAF-4274-98ED-9E3FA5D229C2}">
      <dgm:prSet/>
      <dgm:spPr/>
      <dgm:t>
        <a:bodyPr/>
        <a:lstStyle/>
        <a:p>
          <a:endParaRPr lang="ru-RU"/>
        </a:p>
      </dgm:t>
    </dgm:pt>
    <dgm:pt modelId="{718604DC-3F69-449D-ADC7-048CEEDBE7CA}">
      <dgm:prSet/>
      <dgm:spPr/>
      <dgm:t>
        <a:bodyPr/>
        <a:lstStyle/>
        <a:p>
          <a:r>
            <a:rPr lang="en-US"/>
            <a:t>Balance at exit </a:t>
          </a:r>
          <a:endParaRPr lang="ru-RU"/>
        </a:p>
      </dgm:t>
    </dgm:pt>
    <dgm:pt modelId="{0E9814BC-E707-48FD-AA59-6D4F4AE2233C}" type="parTrans" cxnId="{E16EF5EE-3D3A-4B8E-BF41-A5ABE74A56CC}">
      <dgm:prSet/>
      <dgm:spPr/>
      <dgm:t>
        <a:bodyPr/>
        <a:lstStyle/>
        <a:p>
          <a:endParaRPr lang="ru-RU"/>
        </a:p>
      </dgm:t>
    </dgm:pt>
    <dgm:pt modelId="{155CCCBC-69D5-4565-93DB-0AB1080579A2}" type="sibTrans" cxnId="{E16EF5EE-3D3A-4B8E-BF41-A5ABE74A56CC}">
      <dgm:prSet/>
      <dgm:spPr/>
      <dgm:t>
        <a:bodyPr/>
        <a:lstStyle/>
        <a:p>
          <a:endParaRPr lang="ru-RU"/>
        </a:p>
      </dgm:t>
    </dgm:pt>
    <dgm:pt modelId="{D6D754DC-39FD-499B-B075-754660587B4D}">
      <dgm:prSet/>
      <dgm:spPr/>
      <dgm:t>
        <a:bodyPr/>
        <a:lstStyle/>
        <a:p>
          <a:r>
            <a:rPr lang="en-US"/>
            <a:t>Cash at exit </a:t>
          </a:r>
          <a:endParaRPr lang="ru-RU"/>
        </a:p>
      </dgm:t>
    </dgm:pt>
    <dgm:pt modelId="{1AD2F189-0ABC-4666-8EC0-1B3C31990BFC}" type="parTrans" cxnId="{49DA7E93-4293-4EEC-AA17-B3715C36CBFB}">
      <dgm:prSet/>
      <dgm:spPr/>
      <dgm:t>
        <a:bodyPr/>
        <a:lstStyle/>
        <a:p>
          <a:endParaRPr lang="ru-RU"/>
        </a:p>
      </dgm:t>
    </dgm:pt>
    <dgm:pt modelId="{6F55E2CD-A72F-412B-B9A8-F9824B884D4B}" type="sibTrans" cxnId="{49DA7E93-4293-4EEC-AA17-B3715C36CBFB}">
      <dgm:prSet/>
      <dgm:spPr/>
      <dgm:t>
        <a:bodyPr/>
        <a:lstStyle/>
        <a:p>
          <a:endParaRPr lang="ru-RU"/>
        </a:p>
      </dgm:t>
    </dgm:pt>
    <dgm:pt modelId="{798920EF-FD9A-4316-8936-1302BC88E72F}">
      <dgm:prSet/>
      <dgm:spPr>
        <a:solidFill>
          <a:schemeClr val="accent1">
            <a:lumMod val="40000"/>
            <a:lumOff val="60000"/>
          </a:schemeClr>
        </a:solidFill>
      </dgm:spPr>
      <dgm:t>
        <a:bodyPr/>
        <a:lstStyle/>
        <a:p>
          <a:r>
            <a:rPr lang="en-US"/>
            <a:t>Depends on Income </a:t>
          </a:r>
          <a:endParaRPr lang="ru-RU"/>
        </a:p>
      </dgm:t>
    </dgm:pt>
    <dgm:pt modelId="{AA8A32F9-F1EE-458D-8572-066B33F17671}" type="parTrans" cxnId="{494265D1-9980-4B79-981E-99747F28D4F0}">
      <dgm:prSet/>
      <dgm:spPr/>
      <dgm:t>
        <a:bodyPr/>
        <a:lstStyle/>
        <a:p>
          <a:endParaRPr lang="ru-RU"/>
        </a:p>
      </dgm:t>
    </dgm:pt>
    <dgm:pt modelId="{2B31CCF4-4CB7-4E29-A3C2-26D959FB2967}" type="sibTrans" cxnId="{494265D1-9980-4B79-981E-99747F28D4F0}">
      <dgm:prSet/>
      <dgm:spPr/>
      <dgm:t>
        <a:bodyPr/>
        <a:lstStyle/>
        <a:p>
          <a:endParaRPr lang="ru-RU"/>
        </a:p>
      </dgm:t>
    </dgm:pt>
    <dgm:pt modelId="{67653E3C-E3E8-485C-9F3F-8488D00DF451}">
      <dgm:prSet/>
      <dgm:spPr>
        <a:solidFill>
          <a:schemeClr val="accent1">
            <a:lumMod val="40000"/>
            <a:lumOff val="60000"/>
          </a:schemeClr>
        </a:solidFill>
      </dgm:spPr>
      <dgm:t>
        <a:bodyPr/>
        <a:lstStyle/>
        <a:p>
          <a:r>
            <a:rPr lang="en-US"/>
            <a:t>Depends on CAPEX assumption</a:t>
          </a:r>
          <a:endParaRPr lang="ru-RU"/>
        </a:p>
      </dgm:t>
    </dgm:pt>
    <dgm:pt modelId="{73BFC302-5EA3-4186-85C3-A483550C5E00}" type="parTrans" cxnId="{EC469AEA-BD9D-46AF-888A-0BCB9F11D264}">
      <dgm:prSet/>
      <dgm:spPr/>
      <dgm:t>
        <a:bodyPr/>
        <a:lstStyle/>
        <a:p>
          <a:endParaRPr lang="ru-RU"/>
        </a:p>
      </dgm:t>
    </dgm:pt>
    <dgm:pt modelId="{91A252DE-EBB7-429B-978C-9D204928808E}" type="sibTrans" cxnId="{EC469AEA-BD9D-46AF-888A-0BCB9F11D264}">
      <dgm:prSet/>
      <dgm:spPr/>
      <dgm:t>
        <a:bodyPr/>
        <a:lstStyle/>
        <a:p>
          <a:endParaRPr lang="ru-RU"/>
        </a:p>
      </dgm:t>
    </dgm:pt>
    <dgm:pt modelId="{A41DF11A-B9EF-41D8-9002-0307DE04AF25}" type="pres">
      <dgm:prSet presAssocID="{0ED7A613-0486-4B86-BD1D-30D6A4AB216D}" presName="Name0" presStyleCnt="0">
        <dgm:presLayoutVars>
          <dgm:chPref val="1"/>
          <dgm:dir/>
          <dgm:animOne val="branch"/>
          <dgm:animLvl val="lvl"/>
          <dgm:resizeHandles val="exact"/>
        </dgm:presLayoutVars>
      </dgm:prSet>
      <dgm:spPr/>
      <dgm:t>
        <a:bodyPr/>
        <a:lstStyle/>
        <a:p>
          <a:endParaRPr lang="ru-RU"/>
        </a:p>
      </dgm:t>
    </dgm:pt>
    <dgm:pt modelId="{BE98C63A-80F8-4DB4-AFC3-1C3E059AC08E}" type="pres">
      <dgm:prSet presAssocID="{BA287DC5-3ACE-4727-900D-7A1509D05FE2}" presName="root1" presStyleCnt="0"/>
      <dgm:spPr/>
    </dgm:pt>
    <dgm:pt modelId="{325A10F7-9CD2-4E93-955A-71F07E406DE3}" type="pres">
      <dgm:prSet presAssocID="{BA287DC5-3ACE-4727-900D-7A1509D05FE2}" presName="LevelOneTextNode" presStyleLbl="node0" presStyleIdx="0" presStyleCnt="1">
        <dgm:presLayoutVars>
          <dgm:chPref val="3"/>
        </dgm:presLayoutVars>
      </dgm:prSet>
      <dgm:spPr/>
      <dgm:t>
        <a:bodyPr/>
        <a:lstStyle/>
        <a:p>
          <a:endParaRPr lang="ru-RU"/>
        </a:p>
      </dgm:t>
    </dgm:pt>
    <dgm:pt modelId="{6C055368-403E-4D06-9034-259735147629}" type="pres">
      <dgm:prSet presAssocID="{BA287DC5-3ACE-4727-900D-7A1509D05FE2}" presName="level2hierChild" presStyleCnt="0"/>
      <dgm:spPr/>
    </dgm:pt>
    <dgm:pt modelId="{D9FBD13E-DAD0-4054-BC29-ACD7DC94DFA2}" type="pres">
      <dgm:prSet presAssocID="{3D176CA9-9747-47A2-ACC0-BD313FBB16F6}" presName="conn2-1" presStyleLbl="parChTrans1D2" presStyleIdx="0" presStyleCnt="2"/>
      <dgm:spPr/>
      <dgm:t>
        <a:bodyPr/>
        <a:lstStyle/>
        <a:p>
          <a:endParaRPr lang="ru-RU"/>
        </a:p>
      </dgm:t>
    </dgm:pt>
    <dgm:pt modelId="{1431BFCD-7010-40A2-A31C-D91D95E28BA1}" type="pres">
      <dgm:prSet presAssocID="{3D176CA9-9747-47A2-ACC0-BD313FBB16F6}" presName="connTx" presStyleLbl="parChTrans1D2" presStyleIdx="0" presStyleCnt="2"/>
      <dgm:spPr/>
      <dgm:t>
        <a:bodyPr/>
        <a:lstStyle/>
        <a:p>
          <a:endParaRPr lang="ru-RU"/>
        </a:p>
      </dgm:t>
    </dgm:pt>
    <dgm:pt modelId="{7FF34006-76A0-4AF6-8514-91FCEC1F3724}" type="pres">
      <dgm:prSet presAssocID="{206AE940-0767-4D2D-839B-6DA07C5916A4}" presName="root2" presStyleCnt="0"/>
      <dgm:spPr/>
    </dgm:pt>
    <dgm:pt modelId="{0D024333-F0F7-4EAA-8736-7447206DB436}" type="pres">
      <dgm:prSet presAssocID="{206AE940-0767-4D2D-839B-6DA07C5916A4}" presName="LevelTwoTextNode" presStyleLbl="node2" presStyleIdx="0" presStyleCnt="2">
        <dgm:presLayoutVars>
          <dgm:chPref val="3"/>
        </dgm:presLayoutVars>
      </dgm:prSet>
      <dgm:spPr/>
      <dgm:t>
        <a:bodyPr/>
        <a:lstStyle/>
        <a:p>
          <a:endParaRPr lang="ru-RU"/>
        </a:p>
      </dgm:t>
    </dgm:pt>
    <dgm:pt modelId="{EE3D6045-7764-4164-A236-76ABB17826C9}" type="pres">
      <dgm:prSet presAssocID="{206AE940-0767-4D2D-839B-6DA07C5916A4}" presName="level3hierChild" presStyleCnt="0"/>
      <dgm:spPr/>
    </dgm:pt>
    <dgm:pt modelId="{187AF643-A1A7-4634-884C-A361EE3C0F76}" type="pres">
      <dgm:prSet presAssocID="{C257B41E-8537-4C76-BE0D-C64EF3A83749}" presName="conn2-1" presStyleLbl="parChTrans1D3" presStyleIdx="0" presStyleCnt="4"/>
      <dgm:spPr/>
      <dgm:t>
        <a:bodyPr/>
        <a:lstStyle/>
        <a:p>
          <a:endParaRPr lang="ru-RU"/>
        </a:p>
      </dgm:t>
    </dgm:pt>
    <dgm:pt modelId="{70172374-2007-45E7-81BE-C8502CE88DBA}" type="pres">
      <dgm:prSet presAssocID="{C257B41E-8537-4C76-BE0D-C64EF3A83749}" presName="connTx" presStyleLbl="parChTrans1D3" presStyleIdx="0" presStyleCnt="4"/>
      <dgm:spPr/>
      <dgm:t>
        <a:bodyPr/>
        <a:lstStyle/>
        <a:p>
          <a:endParaRPr lang="ru-RU"/>
        </a:p>
      </dgm:t>
    </dgm:pt>
    <dgm:pt modelId="{C0B3AD13-9D1B-466C-A7D2-A375F37261C0}" type="pres">
      <dgm:prSet presAssocID="{7CF2E6C9-27B9-4B36-9FAF-2F455A4178EC}" presName="root2" presStyleCnt="0"/>
      <dgm:spPr/>
    </dgm:pt>
    <dgm:pt modelId="{A1A2771A-783B-4F9A-8BD4-646D223F705D}" type="pres">
      <dgm:prSet presAssocID="{7CF2E6C9-27B9-4B36-9FAF-2F455A4178EC}" presName="LevelTwoTextNode" presStyleLbl="node3" presStyleIdx="0" presStyleCnt="4">
        <dgm:presLayoutVars>
          <dgm:chPref val="3"/>
        </dgm:presLayoutVars>
      </dgm:prSet>
      <dgm:spPr/>
      <dgm:t>
        <a:bodyPr/>
        <a:lstStyle/>
        <a:p>
          <a:endParaRPr lang="ru-RU"/>
        </a:p>
      </dgm:t>
    </dgm:pt>
    <dgm:pt modelId="{CD478678-86E5-42C2-8204-4C521710D630}" type="pres">
      <dgm:prSet presAssocID="{7CF2E6C9-27B9-4B36-9FAF-2F455A4178EC}" presName="level3hierChild" presStyleCnt="0"/>
      <dgm:spPr/>
    </dgm:pt>
    <dgm:pt modelId="{648BAB03-01ED-47B0-A807-62CEDBF0610C}" type="pres">
      <dgm:prSet presAssocID="{CCFF8A97-8586-4756-AF49-973139663322}" presName="conn2-1" presStyleLbl="parChTrans1D4" presStyleIdx="0" presStyleCnt="13"/>
      <dgm:spPr/>
      <dgm:t>
        <a:bodyPr/>
        <a:lstStyle/>
        <a:p>
          <a:endParaRPr lang="ru-RU"/>
        </a:p>
      </dgm:t>
    </dgm:pt>
    <dgm:pt modelId="{6AC909A6-C03D-46F7-AE61-EF8BAB620973}" type="pres">
      <dgm:prSet presAssocID="{CCFF8A97-8586-4756-AF49-973139663322}" presName="connTx" presStyleLbl="parChTrans1D4" presStyleIdx="0" presStyleCnt="13"/>
      <dgm:spPr/>
      <dgm:t>
        <a:bodyPr/>
        <a:lstStyle/>
        <a:p>
          <a:endParaRPr lang="ru-RU"/>
        </a:p>
      </dgm:t>
    </dgm:pt>
    <dgm:pt modelId="{63EA7BD6-5FE4-4DED-A701-35D0E9AF6673}" type="pres">
      <dgm:prSet presAssocID="{5DD2F1E4-6B18-42D4-A8C8-8CF8E69A151F}" presName="root2" presStyleCnt="0"/>
      <dgm:spPr/>
    </dgm:pt>
    <dgm:pt modelId="{7F113BC2-1216-4458-9638-5912D449F452}" type="pres">
      <dgm:prSet presAssocID="{5DD2F1E4-6B18-42D4-A8C8-8CF8E69A151F}" presName="LevelTwoTextNode" presStyleLbl="node4" presStyleIdx="0" presStyleCnt="13">
        <dgm:presLayoutVars>
          <dgm:chPref val="3"/>
        </dgm:presLayoutVars>
      </dgm:prSet>
      <dgm:spPr/>
      <dgm:t>
        <a:bodyPr/>
        <a:lstStyle/>
        <a:p>
          <a:endParaRPr lang="ru-RU"/>
        </a:p>
      </dgm:t>
    </dgm:pt>
    <dgm:pt modelId="{9BD5BF74-6ABD-42A3-9335-1CCFA0579C6B}" type="pres">
      <dgm:prSet presAssocID="{5DD2F1E4-6B18-42D4-A8C8-8CF8E69A151F}" presName="level3hierChild" presStyleCnt="0"/>
      <dgm:spPr/>
    </dgm:pt>
    <dgm:pt modelId="{A49DBE2F-9DCA-4D7A-8FB1-B7C43B96D18E}" type="pres">
      <dgm:prSet presAssocID="{3104A313-A627-4B3F-88EA-A8C77175892A}" presName="conn2-1" presStyleLbl="parChTrans1D4" presStyleIdx="1" presStyleCnt="13"/>
      <dgm:spPr/>
      <dgm:t>
        <a:bodyPr/>
        <a:lstStyle/>
        <a:p>
          <a:endParaRPr lang="ru-RU"/>
        </a:p>
      </dgm:t>
    </dgm:pt>
    <dgm:pt modelId="{F5BE4527-7F76-4B1B-8C9E-6870171FF32F}" type="pres">
      <dgm:prSet presAssocID="{3104A313-A627-4B3F-88EA-A8C77175892A}" presName="connTx" presStyleLbl="parChTrans1D4" presStyleIdx="1" presStyleCnt="13"/>
      <dgm:spPr/>
      <dgm:t>
        <a:bodyPr/>
        <a:lstStyle/>
        <a:p>
          <a:endParaRPr lang="ru-RU"/>
        </a:p>
      </dgm:t>
    </dgm:pt>
    <dgm:pt modelId="{2676F698-C975-457A-B057-DF05F241831F}" type="pres">
      <dgm:prSet presAssocID="{FAF02B38-0FE0-4911-8103-FBEA6BF5E2AB}" presName="root2" presStyleCnt="0"/>
      <dgm:spPr/>
    </dgm:pt>
    <dgm:pt modelId="{3688ED0A-A417-41F3-BDC4-24FEF8FE0848}" type="pres">
      <dgm:prSet presAssocID="{FAF02B38-0FE0-4911-8103-FBEA6BF5E2AB}" presName="LevelTwoTextNode" presStyleLbl="node4" presStyleIdx="1" presStyleCnt="13">
        <dgm:presLayoutVars>
          <dgm:chPref val="3"/>
        </dgm:presLayoutVars>
      </dgm:prSet>
      <dgm:spPr/>
      <dgm:t>
        <a:bodyPr/>
        <a:lstStyle/>
        <a:p>
          <a:endParaRPr lang="ru-RU"/>
        </a:p>
      </dgm:t>
    </dgm:pt>
    <dgm:pt modelId="{4F24AF24-6B09-494A-B079-27B711595610}" type="pres">
      <dgm:prSet presAssocID="{FAF02B38-0FE0-4911-8103-FBEA6BF5E2AB}" presName="level3hierChild" presStyleCnt="0"/>
      <dgm:spPr/>
    </dgm:pt>
    <dgm:pt modelId="{894FC5C3-369C-4AFF-8124-D8CC90546394}" type="pres">
      <dgm:prSet presAssocID="{BD5D4ACF-A693-4AC7-8BC9-AFFC8152740D}" presName="conn2-1" presStyleLbl="parChTrans1D4" presStyleIdx="2" presStyleCnt="13"/>
      <dgm:spPr/>
      <dgm:t>
        <a:bodyPr/>
        <a:lstStyle/>
        <a:p>
          <a:endParaRPr lang="ru-RU"/>
        </a:p>
      </dgm:t>
    </dgm:pt>
    <dgm:pt modelId="{51213AC6-6AFA-4A87-8DEF-CE3E89133D30}" type="pres">
      <dgm:prSet presAssocID="{BD5D4ACF-A693-4AC7-8BC9-AFFC8152740D}" presName="connTx" presStyleLbl="parChTrans1D4" presStyleIdx="2" presStyleCnt="13"/>
      <dgm:spPr/>
      <dgm:t>
        <a:bodyPr/>
        <a:lstStyle/>
        <a:p>
          <a:endParaRPr lang="ru-RU"/>
        </a:p>
      </dgm:t>
    </dgm:pt>
    <dgm:pt modelId="{430D4686-C38A-412A-843A-EC2894B97EE2}" type="pres">
      <dgm:prSet presAssocID="{C83FE7B9-C93A-48C2-9513-53DFD0D19E8B}" presName="root2" presStyleCnt="0"/>
      <dgm:spPr/>
    </dgm:pt>
    <dgm:pt modelId="{81FE9F42-ED39-4208-A14C-52CD8E41DC56}" type="pres">
      <dgm:prSet presAssocID="{C83FE7B9-C93A-48C2-9513-53DFD0D19E8B}" presName="LevelTwoTextNode" presStyleLbl="node4" presStyleIdx="2" presStyleCnt="13">
        <dgm:presLayoutVars>
          <dgm:chPref val="3"/>
        </dgm:presLayoutVars>
      </dgm:prSet>
      <dgm:spPr/>
      <dgm:t>
        <a:bodyPr/>
        <a:lstStyle/>
        <a:p>
          <a:endParaRPr lang="ru-RU"/>
        </a:p>
      </dgm:t>
    </dgm:pt>
    <dgm:pt modelId="{250CCA7F-62D8-40E8-B838-2B1600891440}" type="pres">
      <dgm:prSet presAssocID="{C83FE7B9-C93A-48C2-9513-53DFD0D19E8B}" presName="level3hierChild" presStyleCnt="0"/>
      <dgm:spPr/>
    </dgm:pt>
    <dgm:pt modelId="{F1E86A5D-7AB1-4734-A854-5F89AC3E1FBE}" type="pres">
      <dgm:prSet presAssocID="{A08DB55B-0E62-4C37-BE95-FE7F0B9D3623}" presName="conn2-1" presStyleLbl="parChTrans1D3" presStyleIdx="1" presStyleCnt="4"/>
      <dgm:spPr/>
      <dgm:t>
        <a:bodyPr/>
        <a:lstStyle/>
        <a:p>
          <a:endParaRPr lang="ru-RU"/>
        </a:p>
      </dgm:t>
    </dgm:pt>
    <dgm:pt modelId="{E5F51204-5BD6-4513-8A51-4F0734C02E29}" type="pres">
      <dgm:prSet presAssocID="{A08DB55B-0E62-4C37-BE95-FE7F0B9D3623}" presName="connTx" presStyleLbl="parChTrans1D3" presStyleIdx="1" presStyleCnt="4"/>
      <dgm:spPr/>
      <dgm:t>
        <a:bodyPr/>
        <a:lstStyle/>
        <a:p>
          <a:endParaRPr lang="ru-RU"/>
        </a:p>
      </dgm:t>
    </dgm:pt>
    <dgm:pt modelId="{43C4447C-A8CA-47BC-BF04-505DF82F74A2}" type="pres">
      <dgm:prSet presAssocID="{ADA9FA69-E057-4405-B83F-44565158606E}" presName="root2" presStyleCnt="0"/>
      <dgm:spPr/>
    </dgm:pt>
    <dgm:pt modelId="{629F6466-3676-422F-AB1A-47D7C6C2AFAD}" type="pres">
      <dgm:prSet presAssocID="{ADA9FA69-E057-4405-B83F-44565158606E}" presName="LevelTwoTextNode" presStyleLbl="node3" presStyleIdx="1" presStyleCnt="4">
        <dgm:presLayoutVars>
          <dgm:chPref val="3"/>
        </dgm:presLayoutVars>
      </dgm:prSet>
      <dgm:spPr/>
      <dgm:t>
        <a:bodyPr/>
        <a:lstStyle/>
        <a:p>
          <a:endParaRPr lang="ru-RU"/>
        </a:p>
      </dgm:t>
    </dgm:pt>
    <dgm:pt modelId="{161F5C0E-0CAF-4460-9A76-B31AFAE3C540}" type="pres">
      <dgm:prSet presAssocID="{ADA9FA69-E057-4405-B83F-44565158606E}" presName="level3hierChild" presStyleCnt="0"/>
      <dgm:spPr/>
    </dgm:pt>
    <dgm:pt modelId="{D8495F37-739B-4BEC-B768-850B23C914E7}" type="pres">
      <dgm:prSet presAssocID="{04118E3F-A228-4190-8F29-7EAD2BFE2064}" presName="conn2-1" presStyleLbl="parChTrans1D4" presStyleIdx="3" presStyleCnt="13"/>
      <dgm:spPr/>
      <dgm:t>
        <a:bodyPr/>
        <a:lstStyle/>
        <a:p>
          <a:endParaRPr lang="ru-RU"/>
        </a:p>
      </dgm:t>
    </dgm:pt>
    <dgm:pt modelId="{D3BAE59F-79F5-4CBC-B07C-7803485E2487}" type="pres">
      <dgm:prSet presAssocID="{04118E3F-A228-4190-8F29-7EAD2BFE2064}" presName="connTx" presStyleLbl="parChTrans1D4" presStyleIdx="3" presStyleCnt="13"/>
      <dgm:spPr/>
      <dgm:t>
        <a:bodyPr/>
        <a:lstStyle/>
        <a:p>
          <a:endParaRPr lang="ru-RU"/>
        </a:p>
      </dgm:t>
    </dgm:pt>
    <dgm:pt modelId="{281236AE-4BBE-4F9C-B80F-09C9E9E51C5E}" type="pres">
      <dgm:prSet presAssocID="{6A5E28E9-5022-496B-8FDC-9AFD221104E2}" presName="root2" presStyleCnt="0"/>
      <dgm:spPr/>
    </dgm:pt>
    <dgm:pt modelId="{0CB665F3-C12D-4E77-9917-4A14DBC65BDA}" type="pres">
      <dgm:prSet presAssocID="{6A5E28E9-5022-496B-8FDC-9AFD221104E2}" presName="LevelTwoTextNode" presStyleLbl="node4" presStyleIdx="3" presStyleCnt="13">
        <dgm:presLayoutVars>
          <dgm:chPref val="3"/>
        </dgm:presLayoutVars>
      </dgm:prSet>
      <dgm:spPr/>
      <dgm:t>
        <a:bodyPr/>
        <a:lstStyle/>
        <a:p>
          <a:endParaRPr lang="ru-RU"/>
        </a:p>
      </dgm:t>
    </dgm:pt>
    <dgm:pt modelId="{43B498CE-5AEE-4AB1-83A8-35946709A0D4}" type="pres">
      <dgm:prSet presAssocID="{6A5E28E9-5022-496B-8FDC-9AFD221104E2}" presName="level3hierChild" presStyleCnt="0"/>
      <dgm:spPr/>
    </dgm:pt>
    <dgm:pt modelId="{13B5AD91-E92E-4FF1-8E0F-0C90035EEDF0}" type="pres">
      <dgm:prSet presAssocID="{6684EF53-C982-4921-8E2C-5A8BBC37BEE2}" presName="conn2-1" presStyleLbl="parChTrans1D4" presStyleIdx="4" presStyleCnt="13"/>
      <dgm:spPr/>
      <dgm:t>
        <a:bodyPr/>
        <a:lstStyle/>
        <a:p>
          <a:endParaRPr lang="ru-RU"/>
        </a:p>
      </dgm:t>
    </dgm:pt>
    <dgm:pt modelId="{A950B8B1-5CD1-4E40-B44C-4A0C16706C83}" type="pres">
      <dgm:prSet presAssocID="{6684EF53-C982-4921-8E2C-5A8BBC37BEE2}" presName="connTx" presStyleLbl="parChTrans1D4" presStyleIdx="4" presStyleCnt="13"/>
      <dgm:spPr/>
      <dgm:t>
        <a:bodyPr/>
        <a:lstStyle/>
        <a:p>
          <a:endParaRPr lang="ru-RU"/>
        </a:p>
      </dgm:t>
    </dgm:pt>
    <dgm:pt modelId="{A1ECAC85-96AB-455B-BAFB-D7949426784C}" type="pres">
      <dgm:prSet presAssocID="{9F185C1F-5E67-4255-BD46-134809D74B13}" presName="root2" presStyleCnt="0"/>
      <dgm:spPr/>
    </dgm:pt>
    <dgm:pt modelId="{39F3A44F-E0EE-4938-A6FD-2791B71AC16F}" type="pres">
      <dgm:prSet presAssocID="{9F185C1F-5E67-4255-BD46-134809D74B13}" presName="LevelTwoTextNode" presStyleLbl="node4" presStyleIdx="4" presStyleCnt="13">
        <dgm:presLayoutVars>
          <dgm:chPref val="3"/>
        </dgm:presLayoutVars>
      </dgm:prSet>
      <dgm:spPr/>
      <dgm:t>
        <a:bodyPr/>
        <a:lstStyle/>
        <a:p>
          <a:endParaRPr lang="ru-RU"/>
        </a:p>
      </dgm:t>
    </dgm:pt>
    <dgm:pt modelId="{1B352222-965C-450A-A3F2-4E5803978225}" type="pres">
      <dgm:prSet presAssocID="{9F185C1F-5E67-4255-BD46-134809D74B13}" presName="level3hierChild" presStyleCnt="0"/>
      <dgm:spPr/>
    </dgm:pt>
    <dgm:pt modelId="{8A02B35E-E78C-40DE-8CE1-0CAA1B980798}" type="pres">
      <dgm:prSet presAssocID="{6805BF92-91FF-4C84-8D57-9F90AB812069}" presName="conn2-1" presStyleLbl="parChTrans1D2" presStyleIdx="1" presStyleCnt="2"/>
      <dgm:spPr/>
      <dgm:t>
        <a:bodyPr/>
        <a:lstStyle/>
        <a:p>
          <a:endParaRPr lang="ru-RU"/>
        </a:p>
      </dgm:t>
    </dgm:pt>
    <dgm:pt modelId="{3C75E06F-5ADE-48D5-9D16-2B21A3515E68}" type="pres">
      <dgm:prSet presAssocID="{6805BF92-91FF-4C84-8D57-9F90AB812069}" presName="connTx" presStyleLbl="parChTrans1D2" presStyleIdx="1" presStyleCnt="2"/>
      <dgm:spPr/>
      <dgm:t>
        <a:bodyPr/>
        <a:lstStyle/>
        <a:p>
          <a:endParaRPr lang="ru-RU"/>
        </a:p>
      </dgm:t>
    </dgm:pt>
    <dgm:pt modelId="{3C6C24B2-DC17-4696-9FA2-8E66909D91CD}" type="pres">
      <dgm:prSet presAssocID="{E92D5C11-110F-4DB8-BADE-2B89BC5DFB34}" presName="root2" presStyleCnt="0"/>
      <dgm:spPr/>
    </dgm:pt>
    <dgm:pt modelId="{B2A7EB4B-FB50-49C2-BFED-A8CF59CCE5AB}" type="pres">
      <dgm:prSet presAssocID="{E92D5C11-110F-4DB8-BADE-2B89BC5DFB34}" presName="LevelTwoTextNode" presStyleLbl="node2" presStyleIdx="1" presStyleCnt="2">
        <dgm:presLayoutVars>
          <dgm:chPref val="3"/>
        </dgm:presLayoutVars>
      </dgm:prSet>
      <dgm:spPr/>
      <dgm:t>
        <a:bodyPr/>
        <a:lstStyle/>
        <a:p>
          <a:endParaRPr lang="ru-RU"/>
        </a:p>
      </dgm:t>
    </dgm:pt>
    <dgm:pt modelId="{E3198D5C-6AC0-451C-82E6-91287F486020}" type="pres">
      <dgm:prSet presAssocID="{E92D5C11-110F-4DB8-BADE-2B89BC5DFB34}" presName="level3hierChild" presStyleCnt="0"/>
      <dgm:spPr/>
    </dgm:pt>
    <dgm:pt modelId="{68BEEBFB-57F4-42F0-8933-4269B9CD77D9}" type="pres">
      <dgm:prSet presAssocID="{852C30CA-54E5-4DC3-A364-F3954D6C12CD}" presName="conn2-1" presStyleLbl="parChTrans1D3" presStyleIdx="2" presStyleCnt="4"/>
      <dgm:spPr/>
      <dgm:t>
        <a:bodyPr/>
        <a:lstStyle/>
        <a:p>
          <a:endParaRPr lang="ru-RU"/>
        </a:p>
      </dgm:t>
    </dgm:pt>
    <dgm:pt modelId="{7EA5EEEA-B0E6-4D2F-A42B-A65E78178F63}" type="pres">
      <dgm:prSet presAssocID="{852C30CA-54E5-4DC3-A364-F3954D6C12CD}" presName="connTx" presStyleLbl="parChTrans1D3" presStyleIdx="2" presStyleCnt="4"/>
      <dgm:spPr/>
      <dgm:t>
        <a:bodyPr/>
        <a:lstStyle/>
        <a:p>
          <a:endParaRPr lang="ru-RU"/>
        </a:p>
      </dgm:t>
    </dgm:pt>
    <dgm:pt modelId="{270B71AC-DE59-4F25-B08D-F896C2AD29B0}" type="pres">
      <dgm:prSet presAssocID="{ABB98512-E0A7-485B-B9E9-D53F11E09C79}" presName="root2" presStyleCnt="0"/>
      <dgm:spPr/>
    </dgm:pt>
    <dgm:pt modelId="{49FA38C0-5CA6-44C3-B76B-B24FD1A1F5EB}" type="pres">
      <dgm:prSet presAssocID="{ABB98512-E0A7-485B-B9E9-D53F11E09C79}" presName="LevelTwoTextNode" presStyleLbl="node3" presStyleIdx="2" presStyleCnt="4">
        <dgm:presLayoutVars>
          <dgm:chPref val="3"/>
        </dgm:presLayoutVars>
      </dgm:prSet>
      <dgm:spPr/>
      <dgm:t>
        <a:bodyPr/>
        <a:lstStyle/>
        <a:p>
          <a:endParaRPr lang="ru-RU"/>
        </a:p>
      </dgm:t>
    </dgm:pt>
    <dgm:pt modelId="{92BD871A-6FD6-4028-A123-BC176604EA6B}" type="pres">
      <dgm:prSet presAssocID="{ABB98512-E0A7-485B-B9E9-D53F11E09C79}" presName="level3hierChild" presStyleCnt="0"/>
      <dgm:spPr/>
    </dgm:pt>
    <dgm:pt modelId="{B58AF588-7AC3-49A2-A2CA-71E8F49A4BBF}" type="pres">
      <dgm:prSet presAssocID="{CF70CC1D-F9DA-4810-9518-D66C1B091E6E}" presName="conn2-1" presStyleLbl="parChTrans1D4" presStyleIdx="5" presStyleCnt="13"/>
      <dgm:spPr/>
      <dgm:t>
        <a:bodyPr/>
        <a:lstStyle/>
        <a:p>
          <a:endParaRPr lang="ru-RU"/>
        </a:p>
      </dgm:t>
    </dgm:pt>
    <dgm:pt modelId="{450F7E89-457E-433E-9D73-141765A4E5F2}" type="pres">
      <dgm:prSet presAssocID="{CF70CC1D-F9DA-4810-9518-D66C1B091E6E}" presName="connTx" presStyleLbl="parChTrans1D4" presStyleIdx="5" presStyleCnt="13"/>
      <dgm:spPr/>
      <dgm:t>
        <a:bodyPr/>
        <a:lstStyle/>
        <a:p>
          <a:endParaRPr lang="ru-RU"/>
        </a:p>
      </dgm:t>
    </dgm:pt>
    <dgm:pt modelId="{4FEFE57C-2377-4C78-BC14-AC4B3F051C70}" type="pres">
      <dgm:prSet presAssocID="{B1C3C6F3-57F7-4C6B-90F7-E1C6CDFAA9BD}" presName="root2" presStyleCnt="0"/>
      <dgm:spPr/>
    </dgm:pt>
    <dgm:pt modelId="{AE7AB187-8996-43E1-96E9-611BD5B92C5C}" type="pres">
      <dgm:prSet presAssocID="{B1C3C6F3-57F7-4C6B-90F7-E1C6CDFAA9BD}" presName="LevelTwoTextNode" presStyleLbl="node4" presStyleIdx="5" presStyleCnt="13">
        <dgm:presLayoutVars>
          <dgm:chPref val="3"/>
        </dgm:presLayoutVars>
      </dgm:prSet>
      <dgm:spPr/>
      <dgm:t>
        <a:bodyPr/>
        <a:lstStyle/>
        <a:p>
          <a:endParaRPr lang="ru-RU"/>
        </a:p>
      </dgm:t>
    </dgm:pt>
    <dgm:pt modelId="{4135B1BD-790A-4FD4-8386-117B76903DDA}" type="pres">
      <dgm:prSet presAssocID="{B1C3C6F3-57F7-4C6B-90F7-E1C6CDFAA9BD}" presName="level3hierChild" presStyleCnt="0"/>
      <dgm:spPr/>
    </dgm:pt>
    <dgm:pt modelId="{FBC5ECF3-A413-46B8-AAAE-45FCA1189F5E}" type="pres">
      <dgm:prSet presAssocID="{67197197-B990-4B1B-98BC-11BAC07C7C01}" presName="conn2-1" presStyleLbl="parChTrans1D4" presStyleIdx="6" presStyleCnt="13"/>
      <dgm:spPr/>
      <dgm:t>
        <a:bodyPr/>
        <a:lstStyle/>
        <a:p>
          <a:endParaRPr lang="ru-RU"/>
        </a:p>
      </dgm:t>
    </dgm:pt>
    <dgm:pt modelId="{F04FCFF8-5FE9-4153-88D2-0DAA85036E8F}" type="pres">
      <dgm:prSet presAssocID="{67197197-B990-4B1B-98BC-11BAC07C7C01}" presName="connTx" presStyleLbl="parChTrans1D4" presStyleIdx="6" presStyleCnt="13"/>
      <dgm:spPr/>
      <dgm:t>
        <a:bodyPr/>
        <a:lstStyle/>
        <a:p>
          <a:endParaRPr lang="ru-RU"/>
        </a:p>
      </dgm:t>
    </dgm:pt>
    <dgm:pt modelId="{05F0D4C5-9896-44F6-93D6-047893275126}" type="pres">
      <dgm:prSet presAssocID="{ED626206-75FF-49AD-9B5A-7D518F4F80FA}" presName="root2" presStyleCnt="0"/>
      <dgm:spPr/>
    </dgm:pt>
    <dgm:pt modelId="{48D827A2-EB4D-4835-BCF8-C97C8022DD40}" type="pres">
      <dgm:prSet presAssocID="{ED626206-75FF-49AD-9B5A-7D518F4F80FA}" presName="LevelTwoTextNode" presStyleLbl="node4" presStyleIdx="6" presStyleCnt="13">
        <dgm:presLayoutVars>
          <dgm:chPref val="3"/>
        </dgm:presLayoutVars>
      </dgm:prSet>
      <dgm:spPr/>
      <dgm:t>
        <a:bodyPr/>
        <a:lstStyle/>
        <a:p>
          <a:endParaRPr lang="ru-RU"/>
        </a:p>
      </dgm:t>
    </dgm:pt>
    <dgm:pt modelId="{817FB3D2-E834-4728-8AB1-FA2194F42242}" type="pres">
      <dgm:prSet presAssocID="{ED626206-75FF-49AD-9B5A-7D518F4F80FA}" presName="level3hierChild" presStyleCnt="0"/>
      <dgm:spPr/>
    </dgm:pt>
    <dgm:pt modelId="{433E38DB-3FEB-4951-AC06-CF9F758E5A1F}" type="pres">
      <dgm:prSet presAssocID="{F1DD52F4-8097-4AEC-ABA2-61179AD4362B}" presName="conn2-1" presStyleLbl="parChTrans1D4" presStyleIdx="7" presStyleCnt="13"/>
      <dgm:spPr/>
      <dgm:t>
        <a:bodyPr/>
        <a:lstStyle/>
        <a:p>
          <a:endParaRPr lang="ru-RU"/>
        </a:p>
      </dgm:t>
    </dgm:pt>
    <dgm:pt modelId="{86E819EE-4036-4149-A4BE-746C28B1074A}" type="pres">
      <dgm:prSet presAssocID="{F1DD52F4-8097-4AEC-ABA2-61179AD4362B}" presName="connTx" presStyleLbl="parChTrans1D4" presStyleIdx="7" presStyleCnt="13"/>
      <dgm:spPr/>
      <dgm:t>
        <a:bodyPr/>
        <a:lstStyle/>
        <a:p>
          <a:endParaRPr lang="ru-RU"/>
        </a:p>
      </dgm:t>
    </dgm:pt>
    <dgm:pt modelId="{7281F477-4C0A-4699-96AB-23ED99345E98}" type="pres">
      <dgm:prSet presAssocID="{61102EA8-F0D9-40CD-80A5-B9F32D06341B}" presName="root2" presStyleCnt="0"/>
      <dgm:spPr/>
    </dgm:pt>
    <dgm:pt modelId="{0159E730-A826-4AF0-93B2-CCCFF510E8F7}" type="pres">
      <dgm:prSet presAssocID="{61102EA8-F0D9-40CD-80A5-B9F32D06341B}" presName="LevelTwoTextNode" presStyleLbl="node4" presStyleIdx="7" presStyleCnt="13">
        <dgm:presLayoutVars>
          <dgm:chPref val="3"/>
        </dgm:presLayoutVars>
      </dgm:prSet>
      <dgm:spPr/>
      <dgm:t>
        <a:bodyPr/>
        <a:lstStyle/>
        <a:p>
          <a:endParaRPr lang="ru-RU"/>
        </a:p>
      </dgm:t>
    </dgm:pt>
    <dgm:pt modelId="{A3B41B31-8DAC-4DAE-82D1-7058DE643707}" type="pres">
      <dgm:prSet presAssocID="{61102EA8-F0D9-40CD-80A5-B9F32D06341B}" presName="level3hierChild" presStyleCnt="0"/>
      <dgm:spPr/>
    </dgm:pt>
    <dgm:pt modelId="{C3CE7C95-33D1-4DD5-AC32-399B2E266F58}" type="pres">
      <dgm:prSet presAssocID="{4E20CD21-9199-4A00-95F3-7FD92C6340B9}" presName="conn2-1" presStyleLbl="parChTrans1D4" presStyleIdx="8" presStyleCnt="13"/>
      <dgm:spPr/>
      <dgm:t>
        <a:bodyPr/>
        <a:lstStyle/>
        <a:p>
          <a:endParaRPr lang="ru-RU"/>
        </a:p>
      </dgm:t>
    </dgm:pt>
    <dgm:pt modelId="{B04BA130-6448-4DCC-849A-8AD89319F29C}" type="pres">
      <dgm:prSet presAssocID="{4E20CD21-9199-4A00-95F3-7FD92C6340B9}" presName="connTx" presStyleLbl="parChTrans1D4" presStyleIdx="8" presStyleCnt="13"/>
      <dgm:spPr/>
      <dgm:t>
        <a:bodyPr/>
        <a:lstStyle/>
        <a:p>
          <a:endParaRPr lang="ru-RU"/>
        </a:p>
      </dgm:t>
    </dgm:pt>
    <dgm:pt modelId="{C4FFB41E-3FCF-4ABE-840E-B98791EB1AEC}" type="pres">
      <dgm:prSet presAssocID="{29D3D101-9C90-4898-8519-552DA99178A7}" presName="root2" presStyleCnt="0"/>
      <dgm:spPr/>
    </dgm:pt>
    <dgm:pt modelId="{FE1A2B62-01F8-47A9-9BE6-47892333F2DA}" type="pres">
      <dgm:prSet presAssocID="{29D3D101-9C90-4898-8519-552DA99178A7}" presName="LevelTwoTextNode" presStyleLbl="node4" presStyleIdx="8" presStyleCnt="13">
        <dgm:presLayoutVars>
          <dgm:chPref val="3"/>
        </dgm:presLayoutVars>
      </dgm:prSet>
      <dgm:spPr/>
      <dgm:t>
        <a:bodyPr/>
        <a:lstStyle/>
        <a:p>
          <a:endParaRPr lang="ru-RU"/>
        </a:p>
      </dgm:t>
    </dgm:pt>
    <dgm:pt modelId="{7B181E60-1DBA-41A4-8342-CEAE5D74B0B1}" type="pres">
      <dgm:prSet presAssocID="{29D3D101-9C90-4898-8519-552DA99178A7}" presName="level3hierChild" presStyleCnt="0"/>
      <dgm:spPr/>
    </dgm:pt>
    <dgm:pt modelId="{D0A47B63-0D7B-4707-8EFB-9D8C068597CC}" type="pres">
      <dgm:prSet presAssocID="{FD375F7E-3E5A-43FB-8B2B-05305085215E}" presName="conn2-1" presStyleLbl="parChTrans1D3" presStyleIdx="3" presStyleCnt="4"/>
      <dgm:spPr/>
      <dgm:t>
        <a:bodyPr/>
        <a:lstStyle/>
        <a:p>
          <a:endParaRPr lang="ru-RU"/>
        </a:p>
      </dgm:t>
    </dgm:pt>
    <dgm:pt modelId="{3DC14E93-217C-4CB2-AEB0-16AB688850D5}" type="pres">
      <dgm:prSet presAssocID="{FD375F7E-3E5A-43FB-8B2B-05305085215E}" presName="connTx" presStyleLbl="parChTrans1D3" presStyleIdx="3" presStyleCnt="4"/>
      <dgm:spPr/>
      <dgm:t>
        <a:bodyPr/>
        <a:lstStyle/>
        <a:p>
          <a:endParaRPr lang="ru-RU"/>
        </a:p>
      </dgm:t>
    </dgm:pt>
    <dgm:pt modelId="{45F18DE8-1EE1-444A-9D64-E3E0BDA8BE32}" type="pres">
      <dgm:prSet presAssocID="{DCBE32EB-2AF5-4B26-A1D7-39ED774C2B36}" presName="root2" presStyleCnt="0"/>
      <dgm:spPr/>
    </dgm:pt>
    <dgm:pt modelId="{201D9AB7-14D4-4EB3-8369-3194985B783A}" type="pres">
      <dgm:prSet presAssocID="{DCBE32EB-2AF5-4B26-A1D7-39ED774C2B36}" presName="LevelTwoTextNode" presStyleLbl="node3" presStyleIdx="3" presStyleCnt="4">
        <dgm:presLayoutVars>
          <dgm:chPref val="3"/>
        </dgm:presLayoutVars>
      </dgm:prSet>
      <dgm:spPr/>
      <dgm:t>
        <a:bodyPr/>
        <a:lstStyle/>
        <a:p>
          <a:endParaRPr lang="ru-RU"/>
        </a:p>
      </dgm:t>
    </dgm:pt>
    <dgm:pt modelId="{B855D8F1-410D-4590-9016-5306E1D835E4}" type="pres">
      <dgm:prSet presAssocID="{DCBE32EB-2AF5-4B26-A1D7-39ED774C2B36}" presName="level3hierChild" presStyleCnt="0"/>
      <dgm:spPr/>
    </dgm:pt>
    <dgm:pt modelId="{AFCAAFAF-B4CE-4F8F-AB08-677174757650}" type="pres">
      <dgm:prSet presAssocID="{0E9814BC-E707-48FD-AA59-6D4F4AE2233C}" presName="conn2-1" presStyleLbl="parChTrans1D4" presStyleIdx="9" presStyleCnt="13"/>
      <dgm:spPr/>
      <dgm:t>
        <a:bodyPr/>
        <a:lstStyle/>
        <a:p>
          <a:endParaRPr lang="ru-RU"/>
        </a:p>
      </dgm:t>
    </dgm:pt>
    <dgm:pt modelId="{50E317BA-0128-4779-B489-8A48A0D16203}" type="pres">
      <dgm:prSet presAssocID="{0E9814BC-E707-48FD-AA59-6D4F4AE2233C}" presName="connTx" presStyleLbl="parChTrans1D4" presStyleIdx="9" presStyleCnt="13"/>
      <dgm:spPr/>
      <dgm:t>
        <a:bodyPr/>
        <a:lstStyle/>
        <a:p>
          <a:endParaRPr lang="ru-RU"/>
        </a:p>
      </dgm:t>
    </dgm:pt>
    <dgm:pt modelId="{EA5D397C-6EDB-46CB-A80F-CBD76867D06E}" type="pres">
      <dgm:prSet presAssocID="{718604DC-3F69-449D-ADC7-048CEEDBE7CA}" presName="root2" presStyleCnt="0"/>
      <dgm:spPr/>
    </dgm:pt>
    <dgm:pt modelId="{D2F1D3DF-7BBE-4BBD-A7E1-BC20B1905B72}" type="pres">
      <dgm:prSet presAssocID="{718604DC-3F69-449D-ADC7-048CEEDBE7CA}" presName="LevelTwoTextNode" presStyleLbl="node4" presStyleIdx="9" presStyleCnt="13">
        <dgm:presLayoutVars>
          <dgm:chPref val="3"/>
        </dgm:presLayoutVars>
      </dgm:prSet>
      <dgm:spPr/>
      <dgm:t>
        <a:bodyPr/>
        <a:lstStyle/>
        <a:p>
          <a:endParaRPr lang="ru-RU"/>
        </a:p>
      </dgm:t>
    </dgm:pt>
    <dgm:pt modelId="{FB8B0BD7-5B9D-43FC-A41B-41482D1A7340}" type="pres">
      <dgm:prSet presAssocID="{718604DC-3F69-449D-ADC7-048CEEDBE7CA}" presName="level3hierChild" presStyleCnt="0"/>
      <dgm:spPr/>
    </dgm:pt>
    <dgm:pt modelId="{A60CE85E-9786-45EA-BC5D-7346F5805F06}" type="pres">
      <dgm:prSet presAssocID="{AA8A32F9-F1EE-458D-8572-066B33F17671}" presName="conn2-1" presStyleLbl="parChTrans1D4" presStyleIdx="10" presStyleCnt="13"/>
      <dgm:spPr/>
      <dgm:t>
        <a:bodyPr/>
        <a:lstStyle/>
        <a:p>
          <a:endParaRPr lang="ru-RU"/>
        </a:p>
      </dgm:t>
    </dgm:pt>
    <dgm:pt modelId="{C144CB39-785A-447F-A769-5F20D729E98D}" type="pres">
      <dgm:prSet presAssocID="{AA8A32F9-F1EE-458D-8572-066B33F17671}" presName="connTx" presStyleLbl="parChTrans1D4" presStyleIdx="10" presStyleCnt="13"/>
      <dgm:spPr/>
      <dgm:t>
        <a:bodyPr/>
        <a:lstStyle/>
        <a:p>
          <a:endParaRPr lang="ru-RU"/>
        </a:p>
      </dgm:t>
    </dgm:pt>
    <dgm:pt modelId="{4571A809-C6A0-4703-9C9F-A5306BB43AAC}" type="pres">
      <dgm:prSet presAssocID="{798920EF-FD9A-4316-8936-1302BC88E72F}" presName="root2" presStyleCnt="0"/>
      <dgm:spPr/>
    </dgm:pt>
    <dgm:pt modelId="{6EDB4838-75E3-4635-A715-2D3E2AF10F87}" type="pres">
      <dgm:prSet presAssocID="{798920EF-FD9A-4316-8936-1302BC88E72F}" presName="LevelTwoTextNode" presStyleLbl="node4" presStyleIdx="10" presStyleCnt="13">
        <dgm:presLayoutVars>
          <dgm:chPref val="3"/>
        </dgm:presLayoutVars>
      </dgm:prSet>
      <dgm:spPr/>
      <dgm:t>
        <a:bodyPr/>
        <a:lstStyle/>
        <a:p>
          <a:endParaRPr lang="ru-RU"/>
        </a:p>
      </dgm:t>
    </dgm:pt>
    <dgm:pt modelId="{287A6021-292F-4B0E-B9D9-9C1E4EBF5787}" type="pres">
      <dgm:prSet presAssocID="{798920EF-FD9A-4316-8936-1302BC88E72F}" presName="level3hierChild" presStyleCnt="0"/>
      <dgm:spPr/>
    </dgm:pt>
    <dgm:pt modelId="{86D75669-448D-4800-ABB8-C5D39D236E39}" type="pres">
      <dgm:prSet presAssocID="{1AD2F189-0ABC-4666-8EC0-1B3C31990BFC}" presName="conn2-1" presStyleLbl="parChTrans1D4" presStyleIdx="11" presStyleCnt="13"/>
      <dgm:spPr/>
      <dgm:t>
        <a:bodyPr/>
        <a:lstStyle/>
        <a:p>
          <a:endParaRPr lang="ru-RU"/>
        </a:p>
      </dgm:t>
    </dgm:pt>
    <dgm:pt modelId="{943387E4-F62E-44BD-9E83-85DBA99A64FC}" type="pres">
      <dgm:prSet presAssocID="{1AD2F189-0ABC-4666-8EC0-1B3C31990BFC}" presName="connTx" presStyleLbl="parChTrans1D4" presStyleIdx="11" presStyleCnt="13"/>
      <dgm:spPr/>
      <dgm:t>
        <a:bodyPr/>
        <a:lstStyle/>
        <a:p>
          <a:endParaRPr lang="ru-RU"/>
        </a:p>
      </dgm:t>
    </dgm:pt>
    <dgm:pt modelId="{69C8166B-935B-4046-8200-2AF7D7CCA4D3}" type="pres">
      <dgm:prSet presAssocID="{D6D754DC-39FD-499B-B075-754660587B4D}" presName="root2" presStyleCnt="0"/>
      <dgm:spPr/>
    </dgm:pt>
    <dgm:pt modelId="{16EEE52C-02EB-418A-98CA-D3F8399FA552}" type="pres">
      <dgm:prSet presAssocID="{D6D754DC-39FD-499B-B075-754660587B4D}" presName="LevelTwoTextNode" presStyleLbl="node4" presStyleIdx="11" presStyleCnt="13">
        <dgm:presLayoutVars>
          <dgm:chPref val="3"/>
        </dgm:presLayoutVars>
      </dgm:prSet>
      <dgm:spPr/>
      <dgm:t>
        <a:bodyPr/>
        <a:lstStyle/>
        <a:p>
          <a:endParaRPr lang="ru-RU"/>
        </a:p>
      </dgm:t>
    </dgm:pt>
    <dgm:pt modelId="{25A718EE-5873-437A-B777-E1AF36A47466}" type="pres">
      <dgm:prSet presAssocID="{D6D754DC-39FD-499B-B075-754660587B4D}" presName="level3hierChild" presStyleCnt="0"/>
      <dgm:spPr/>
    </dgm:pt>
    <dgm:pt modelId="{A0C200D4-A6FF-47D5-8A10-568287B7A41B}" type="pres">
      <dgm:prSet presAssocID="{73BFC302-5EA3-4186-85C3-A483550C5E00}" presName="conn2-1" presStyleLbl="parChTrans1D4" presStyleIdx="12" presStyleCnt="13"/>
      <dgm:spPr/>
      <dgm:t>
        <a:bodyPr/>
        <a:lstStyle/>
        <a:p>
          <a:endParaRPr lang="ru-RU"/>
        </a:p>
      </dgm:t>
    </dgm:pt>
    <dgm:pt modelId="{D5E4F64A-ED6F-4A9D-90FF-7F4060A41A20}" type="pres">
      <dgm:prSet presAssocID="{73BFC302-5EA3-4186-85C3-A483550C5E00}" presName="connTx" presStyleLbl="parChTrans1D4" presStyleIdx="12" presStyleCnt="13"/>
      <dgm:spPr/>
      <dgm:t>
        <a:bodyPr/>
        <a:lstStyle/>
        <a:p>
          <a:endParaRPr lang="ru-RU"/>
        </a:p>
      </dgm:t>
    </dgm:pt>
    <dgm:pt modelId="{110FEBB8-B66B-4482-89B2-44D9D24F9AB7}" type="pres">
      <dgm:prSet presAssocID="{67653E3C-E3E8-485C-9F3F-8488D00DF451}" presName="root2" presStyleCnt="0"/>
      <dgm:spPr/>
    </dgm:pt>
    <dgm:pt modelId="{E81F83D1-942E-4AA8-A7B8-74038067EDF8}" type="pres">
      <dgm:prSet presAssocID="{67653E3C-E3E8-485C-9F3F-8488D00DF451}" presName="LevelTwoTextNode" presStyleLbl="node4" presStyleIdx="12" presStyleCnt="13">
        <dgm:presLayoutVars>
          <dgm:chPref val="3"/>
        </dgm:presLayoutVars>
      </dgm:prSet>
      <dgm:spPr/>
      <dgm:t>
        <a:bodyPr/>
        <a:lstStyle/>
        <a:p>
          <a:endParaRPr lang="ru-RU"/>
        </a:p>
      </dgm:t>
    </dgm:pt>
    <dgm:pt modelId="{D3D9C5AA-5136-44B5-8001-C245D9DCE4EA}" type="pres">
      <dgm:prSet presAssocID="{67653E3C-E3E8-485C-9F3F-8488D00DF451}" presName="level3hierChild" presStyleCnt="0"/>
      <dgm:spPr/>
    </dgm:pt>
  </dgm:ptLst>
  <dgm:cxnLst>
    <dgm:cxn modelId="{11FFB046-5FF5-47D7-9259-0133E339D5DA}" srcId="{BA287DC5-3ACE-4727-900D-7A1509D05FE2}" destId="{206AE940-0767-4D2D-839B-6DA07C5916A4}" srcOrd="0" destOrd="0" parTransId="{3D176CA9-9747-47A2-ACC0-BD313FBB16F6}" sibTransId="{6F9C3DBE-4CE8-4249-ABE9-B9EF3C8F4F0E}"/>
    <dgm:cxn modelId="{9F69BB51-9043-4014-B540-51DD9E7E988B}" type="presOf" srcId="{ABB98512-E0A7-485B-B9E9-D53F11E09C79}" destId="{49FA38C0-5CA6-44C3-B76B-B24FD1A1F5EB}" srcOrd="0" destOrd="0" presId="urn:microsoft.com/office/officeart/2008/layout/HorizontalMultiLevelHierarchy"/>
    <dgm:cxn modelId="{F37E5BC7-06E5-42D4-A78A-952997F9B5CC}" srcId="{7CF2E6C9-27B9-4B36-9FAF-2F455A4178EC}" destId="{C83FE7B9-C93A-48C2-9513-53DFD0D19E8B}" srcOrd="1" destOrd="0" parTransId="{BD5D4ACF-A693-4AC7-8BC9-AFFC8152740D}" sibTransId="{1C41FA93-E9DA-4B91-AA4F-958A5645467D}"/>
    <dgm:cxn modelId="{846E104A-40AE-498E-9917-94A1E6EF1CDD}" srcId="{E92D5C11-110F-4DB8-BADE-2B89BC5DFB34}" destId="{DCBE32EB-2AF5-4B26-A1D7-39ED774C2B36}" srcOrd="1" destOrd="0" parTransId="{FD375F7E-3E5A-43FB-8B2B-05305085215E}" sibTransId="{7731FAE1-A241-49DD-94DC-A9CD51E85252}"/>
    <dgm:cxn modelId="{CB290AFE-1905-4300-A6DD-01B81C3D6B86}" type="presOf" srcId="{67197197-B990-4B1B-98BC-11BAC07C7C01}" destId="{FBC5ECF3-A413-46B8-AAAE-45FCA1189F5E}" srcOrd="0" destOrd="0" presId="urn:microsoft.com/office/officeart/2008/layout/HorizontalMultiLevelHierarchy"/>
    <dgm:cxn modelId="{BD2308B2-273A-4615-BD03-45EA017F2690}" type="presOf" srcId="{0E9814BC-E707-48FD-AA59-6D4F4AE2233C}" destId="{AFCAAFAF-B4CE-4F8F-AB08-677174757650}" srcOrd="0" destOrd="0" presId="urn:microsoft.com/office/officeart/2008/layout/HorizontalMultiLevelHierarchy"/>
    <dgm:cxn modelId="{03F02C05-A136-4486-9914-53B6FDDD8EEE}" type="presOf" srcId="{3D176CA9-9747-47A2-ACC0-BD313FBB16F6}" destId="{1431BFCD-7010-40A2-A31C-D91D95E28BA1}" srcOrd="1" destOrd="0" presId="urn:microsoft.com/office/officeart/2008/layout/HorizontalMultiLevelHierarchy"/>
    <dgm:cxn modelId="{87C67651-C417-4213-BEB3-32E4FF7C5C29}" type="presOf" srcId="{852C30CA-54E5-4DC3-A364-F3954D6C12CD}" destId="{68BEEBFB-57F4-42F0-8933-4269B9CD77D9}" srcOrd="0" destOrd="0" presId="urn:microsoft.com/office/officeart/2008/layout/HorizontalMultiLevelHierarchy"/>
    <dgm:cxn modelId="{391D8C02-71C3-4C1F-BAF2-969B54A89E86}" type="presOf" srcId="{1AD2F189-0ABC-4666-8EC0-1B3C31990BFC}" destId="{943387E4-F62E-44BD-9E83-85DBA99A64FC}" srcOrd="1" destOrd="0" presId="urn:microsoft.com/office/officeart/2008/layout/HorizontalMultiLevelHierarchy"/>
    <dgm:cxn modelId="{F7B847C1-A1DE-49A6-A6F6-E3344173B81C}" type="presOf" srcId="{3104A313-A627-4B3F-88EA-A8C77175892A}" destId="{A49DBE2F-9DCA-4D7A-8FB1-B7C43B96D18E}" srcOrd="0" destOrd="0" presId="urn:microsoft.com/office/officeart/2008/layout/HorizontalMultiLevelHierarchy"/>
    <dgm:cxn modelId="{3AC1C62D-E310-4634-A1E5-24E6B2A9079E}" type="presOf" srcId="{718604DC-3F69-449D-ADC7-048CEEDBE7CA}" destId="{D2F1D3DF-7BBE-4BBD-A7E1-BC20B1905B72}" srcOrd="0" destOrd="0" presId="urn:microsoft.com/office/officeart/2008/layout/HorizontalMultiLevelHierarchy"/>
    <dgm:cxn modelId="{8FAB816B-C4D3-4C63-B57B-A7620D8F5CC0}" type="presOf" srcId="{5DD2F1E4-6B18-42D4-A8C8-8CF8E69A151F}" destId="{7F113BC2-1216-4458-9638-5912D449F452}" srcOrd="0" destOrd="0" presId="urn:microsoft.com/office/officeart/2008/layout/HorizontalMultiLevelHierarchy"/>
    <dgm:cxn modelId="{7E41EF21-6804-4024-A114-BDA9A9127BE2}" type="presOf" srcId="{9F185C1F-5E67-4255-BD46-134809D74B13}" destId="{39F3A44F-E0EE-4938-A6FD-2791B71AC16F}" srcOrd="0" destOrd="0" presId="urn:microsoft.com/office/officeart/2008/layout/HorizontalMultiLevelHierarchy"/>
    <dgm:cxn modelId="{7069004E-7F3F-41A8-A95B-5A012FA7D5F7}" type="presOf" srcId="{3104A313-A627-4B3F-88EA-A8C77175892A}" destId="{F5BE4527-7F76-4B1B-8C9E-6870171FF32F}" srcOrd="1" destOrd="0" presId="urn:microsoft.com/office/officeart/2008/layout/HorizontalMultiLevelHierarchy"/>
    <dgm:cxn modelId="{628FE3D7-37C6-46A7-A826-6EAE4D4E81F1}" srcId="{0ED7A613-0486-4B86-BD1D-30D6A4AB216D}" destId="{BA287DC5-3ACE-4727-900D-7A1509D05FE2}" srcOrd="0" destOrd="0" parTransId="{6F1CF909-74BF-485E-B418-88C09F555F08}" sibTransId="{FB4C7D8A-FBC6-43D1-A453-459D34C41C55}"/>
    <dgm:cxn modelId="{EFBBD9C0-2CEF-4E17-9BC2-C3B06E192D7B}" type="presOf" srcId="{04118E3F-A228-4190-8F29-7EAD2BFE2064}" destId="{D3BAE59F-79F5-4CBC-B07C-7803485E2487}" srcOrd="1" destOrd="0" presId="urn:microsoft.com/office/officeart/2008/layout/HorizontalMultiLevelHierarchy"/>
    <dgm:cxn modelId="{774F3D43-220A-4E0D-804B-29B06EF4242F}" type="presOf" srcId="{7CF2E6C9-27B9-4B36-9FAF-2F455A4178EC}" destId="{A1A2771A-783B-4F9A-8BD4-646D223F705D}" srcOrd="0" destOrd="0" presId="urn:microsoft.com/office/officeart/2008/layout/HorizontalMultiLevelHierarchy"/>
    <dgm:cxn modelId="{A6AB6973-F808-419F-8459-1BAA2351807C}" srcId="{ABB98512-E0A7-485B-B9E9-D53F11E09C79}" destId="{61102EA8-F0D9-40CD-80A5-B9F32D06341B}" srcOrd="1" destOrd="0" parTransId="{F1DD52F4-8097-4AEC-ABA2-61179AD4362B}" sibTransId="{B04533E2-5FF9-48ED-BE9F-2AFE953DA5BA}"/>
    <dgm:cxn modelId="{C84601D3-5AC2-4B40-951A-85E286D4912F}" type="presOf" srcId="{FAF02B38-0FE0-4911-8103-FBEA6BF5E2AB}" destId="{3688ED0A-A417-41F3-BDC4-24FEF8FE0848}" srcOrd="0" destOrd="0" presId="urn:microsoft.com/office/officeart/2008/layout/HorizontalMultiLevelHierarchy"/>
    <dgm:cxn modelId="{F00C3E43-C0C0-427C-80BE-A4648229C2D4}" type="presOf" srcId="{A08DB55B-0E62-4C37-BE95-FE7F0B9D3623}" destId="{E5F51204-5BD6-4513-8A51-4F0734C02E29}" srcOrd="1" destOrd="0" presId="urn:microsoft.com/office/officeart/2008/layout/HorizontalMultiLevelHierarchy"/>
    <dgm:cxn modelId="{E16EF5EE-3D3A-4B8E-BF41-A5ABE74A56CC}" srcId="{DCBE32EB-2AF5-4B26-A1D7-39ED774C2B36}" destId="{718604DC-3F69-449D-ADC7-048CEEDBE7CA}" srcOrd="0" destOrd="0" parTransId="{0E9814BC-E707-48FD-AA59-6D4F4AE2233C}" sibTransId="{155CCCBC-69D5-4565-93DB-0AB1080579A2}"/>
    <dgm:cxn modelId="{0DB70943-09F2-410C-9B40-FC58116EC6EB}" type="presOf" srcId="{852C30CA-54E5-4DC3-A364-F3954D6C12CD}" destId="{7EA5EEEA-B0E6-4D2F-A42B-A65E78178F63}" srcOrd="1" destOrd="0" presId="urn:microsoft.com/office/officeart/2008/layout/HorizontalMultiLevelHierarchy"/>
    <dgm:cxn modelId="{F9649389-D914-4C18-A783-502FAD9DCA95}" type="presOf" srcId="{FD375F7E-3E5A-43FB-8B2B-05305085215E}" destId="{D0A47B63-0D7B-4707-8EFB-9D8C068597CC}" srcOrd="0" destOrd="0" presId="urn:microsoft.com/office/officeart/2008/layout/HorizontalMultiLevelHierarchy"/>
    <dgm:cxn modelId="{EB2D8122-DEDF-44B8-8B40-AFEE73C492E6}" srcId="{B1C3C6F3-57F7-4C6B-90F7-E1C6CDFAA9BD}" destId="{ED626206-75FF-49AD-9B5A-7D518F4F80FA}" srcOrd="0" destOrd="0" parTransId="{67197197-B990-4B1B-98BC-11BAC07C7C01}" sibTransId="{CE43229D-7773-41DD-8D67-F649060322D2}"/>
    <dgm:cxn modelId="{E5DCEB41-07C6-4DF8-9ED3-918176CD5185}" type="presOf" srcId="{BA287DC5-3ACE-4727-900D-7A1509D05FE2}" destId="{325A10F7-9CD2-4E93-955A-71F07E406DE3}" srcOrd="0" destOrd="0" presId="urn:microsoft.com/office/officeart/2008/layout/HorizontalMultiLevelHierarchy"/>
    <dgm:cxn modelId="{9639D6C5-5252-4CE5-9A32-A96196493AD0}" srcId="{61102EA8-F0D9-40CD-80A5-B9F32D06341B}" destId="{29D3D101-9C90-4898-8519-552DA99178A7}" srcOrd="0" destOrd="0" parTransId="{4E20CD21-9199-4A00-95F3-7FD92C6340B9}" sibTransId="{FF22B1CD-E56A-4C9E-817A-F13C0B282ED7}"/>
    <dgm:cxn modelId="{E81C820A-8FB8-4A44-8044-85BC77A78B6C}" srcId="{7CF2E6C9-27B9-4B36-9FAF-2F455A4178EC}" destId="{5DD2F1E4-6B18-42D4-A8C8-8CF8E69A151F}" srcOrd="0" destOrd="0" parTransId="{CCFF8A97-8586-4756-AF49-973139663322}" sibTransId="{93F5AE8F-EA80-4F11-8A19-E34C3444C506}"/>
    <dgm:cxn modelId="{19FDACCB-2FF7-482D-BA8B-5C78C730E5A7}" type="presOf" srcId="{AA8A32F9-F1EE-458D-8572-066B33F17671}" destId="{A60CE85E-9786-45EA-BC5D-7346F5805F06}" srcOrd="0" destOrd="0" presId="urn:microsoft.com/office/officeart/2008/layout/HorizontalMultiLevelHierarchy"/>
    <dgm:cxn modelId="{CC0680EB-8495-4645-BAE7-C1F7A26A5741}" type="presOf" srcId="{BD5D4ACF-A693-4AC7-8BC9-AFFC8152740D}" destId="{51213AC6-6AFA-4A87-8DEF-CE3E89133D30}" srcOrd="1" destOrd="0" presId="urn:microsoft.com/office/officeart/2008/layout/HorizontalMultiLevelHierarchy"/>
    <dgm:cxn modelId="{494265D1-9980-4B79-981E-99747F28D4F0}" srcId="{718604DC-3F69-449D-ADC7-048CEEDBE7CA}" destId="{798920EF-FD9A-4316-8936-1302BC88E72F}" srcOrd="0" destOrd="0" parTransId="{AA8A32F9-F1EE-458D-8572-066B33F17671}" sibTransId="{2B31CCF4-4CB7-4E29-A3C2-26D959FB2967}"/>
    <dgm:cxn modelId="{E61DBB1A-39C5-4CC9-9D89-AB3FD8F54034}" type="presOf" srcId="{67653E3C-E3E8-485C-9F3F-8488D00DF451}" destId="{E81F83D1-942E-4AA8-A7B8-74038067EDF8}" srcOrd="0" destOrd="0" presId="urn:microsoft.com/office/officeart/2008/layout/HorizontalMultiLevelHierarchy"/>
    <dgm:cxn modelId="{821B483E-83DD-4B46-8798-E65605F1E875}" type="presOf" srcId="{C257B41E-8537-4C76-BE0D-C64EF3A83749}" destId="{187AF643-A1A7-4634-884C-A361EE3C0F76}" srcOrd="0" destOrd="0" presId="urn:microsoft.com/office/officeart/2008/layout/HorizontalMultiLevelHierarchy"/>
    <dgm:cxn modelId="{E64E1A23-2293-42CF-BF84-E7816359292A}" type="presOf" srcId="{206AE940-0767-4D2D-839B-6DA07C5916A4}" destId="{0D024333-F0F7-4EAA-8736-7447206DB436}" srcOrd="0" destOrd="0" presId="urn:microsoft.com/office/officeart/2008/layout/HorizontalMultiLevelHierarchy"/>
    <dgm:cxn modelId="{CD965058-C8E8-4C6A-B58A-99BE13E416D0}" type="presOf" srcId="{61102EA8-F0D9-40CD-80A5-B9F32D06341B}" destId="{0159E730-A826-4AF0-93B2-CCCFF510E8F7}" srcOrd="0" destOrd="0" presId="urn:microsoft.com/office/officeart/2008/layout/HorizontalMultiLevelHierarchy"/>
    <dgm:cxn modelId="{8FE49ECF-4CBB-43A3-9F9C-2DB4D4484B33}" type="presOf" srcId="{1AD2F189-0ABC-4666-8EC0-1B3C31990BFC}" destId="{86D75669-448D-4800-ABB8-C5D39D236E39}" srcOrd="0" destOrd="0" presId="urn:microsoft.com/office/officeart/2008/layout/HorizontalMultiLevelHierarchy"/>
    <dgm:cxn modelId="{BE070F80-83AB-4F23-867D-81A3A17A5595}" type="presOf" srcId="{AA8A32F9-F1EE-458D-8572-066B33F17671}" destId="{C144CB39-785A-447F-A769-5F20D729E98D}" srcOrd="1" destOrd="0" presId="urn:microsoft.com/office/officeart/2008/layout/HorizontalMultiLevelHierarchy"/>
    <dgm:cxn modelId="{BAC6DED6-C556-4EFC-A134-98FEA84D6666}" type="presOf" srcId="{F1DD52F4-8097-4AEC-ABA2-61179AD4362B}" destId="{433E38DB-3FEB-4951-AC06-CF9F758E5A1F}" srcOrd="0" destOrd="0" presId="urn:microsoft.com/office/officeart/2008/layout/HorizontalMultiLevelHierarchy"/>
    <dgm:cxn modelId="{4489558D-655D-46F9-AFCA-99E0D9E89A00}" type="presOf" srcId="{73BFC302-5EA3-4186-85C3-A483550C5E00}" destId="{A0C200D4-A6FF-47D5-8A10-568287B7A41B}" srcOrd="0" destOrd="0" presId="urn:microsoft.com/office/officeart/2008/layout/HorizontalMultiLevelHierarchy"/>
    <dgm:cxn modelId="{834D31D3-2CCD-41CC-B146-064B96B195CC}" type="presOf" srcId="{CF70CC1D-F9DA-4810-9518-D66C1B091E6E}" destId="{450F7E89-457E-433E-9D73-141765A4E5F2}" srcOrd="1" destOrd="0" presId="urn:microsoft.com/office/officeart/2008/layout/HorizontalMultiLevelHierarchy"/>
    <dgm:cxn modelId="{2B6303F9-0D86-4A05-AAE2-DA9BA1302EC1}" srcId="{E92D5C11-110F-4DB8-BADE-2B89BC5DFB34}" destId="{ABB98512-E0A7-485B-B9E9-D53F11E09C79}" srcOrd="0" destOrd="0" parTransId="{852C30CA-54E5-4DC3-A364-F3954D6C12CD}" sibTransId="{9209B53B-0E7E-46EB-8FBF-075395AD739A}"/>
    <dgm:cxn modelId="{0E289AA4-D43E-4991-BFB6-D06FCBF4CCBD}" type="presOf" srcId="{C257B41E-8537-4C76-BE0D-C64EF3A83749}" destId="{70172374-2007-45E7-81BE-C8502CE88DBA}" srcOrd="1" destOrd="0" presId="urn:microsoft.com/office/officeart/2008/layout/HorizontalMultiLevelHierarchy"/>
    <dgm:cxn modelId="{7E1CF668-7744-48BE-B817-8CB206221F21}" type="presOf" srcId="{6805BF92-91FF-4C84-8D57-9F90AB812069}" destId="{3C75E06F-5ADE-48D5-9D16-2B21A3515E68}" srcOrd="1" destOrd="0" presId="urn:microsoft.com/office/officeart/2008/layout/HorizontalMultiLevelHierarchy"/>
    <dgm:cxn modelId="{1ED6F957-CFF9-4CA5-ADC6-2079EC79F270}" type="presOf" srcId="{F1DD52F4-8097-4AEC-ABA2-61179AD4362B}" destId="{86E819EE-4036-4149-A4BE-746C28B1074A}" srcOrd="1" destOrd="0" presId="urn:microsoft.com/office/officeart/2008/layout/HorizontalMultiLevelHierarchy"/>
    <dgm:cxn modelId="{D9CA3AF8-A4BF-4C13-BF0B-1615BA7DCCF0}" type="presOf" srcId="{73BFC302-5EA3-4186-85C3-A483550C5E00}" destId="{D5E4F64A-ED6F-4A9D-90FF-7F4060A41A20}" srcOrd="1" destOrd="0" presId="urn:microsoft.com/office/officeart/2008/layout/HorizontalMultiLevelHierarchy"/>
    <dgm:cxn modelId="{144E48AF-0BAD-46E3-BA6A-CA34AE086C48}" srcId="{ADA9FA69-E057-4405-B83F-44565158606E}" destId="{9F185C1F-5E67-4255-BD46-134809D74B13}" srcOrd="1" destOrd="0" parTransId="{6684EF53-C982-4921-8E2C-5A8BBC37BEE2}" sibTransId="{9CFD6988-3C43-4ECB-89FA-730C0E8A4D86}"/>
    <dgm:cxn modelId="{E7BA016E-CECA-4239-B285-AC3A0B12D260}" type="presOf" srcId="{4E20CD21-9199-4A00-95F3-7FD92C6340B9}" destId="{B04BA130-6448-4DCC-849A-8AD89319F29C}" srcOrd="1" destOrd="0" presId="urn:microsoft.com/office/officeart/2008/layout/HorizontalMultiLevelHierarchy"/>
    <dgm:cxn modelId="{D91E6032-4306-4E80-88DA-E8F622DF2A1C}" type="presOf" srcId="{D6D754DC-39FD-499B-B075-754660587B4D}" destId="{16EEE52C-02EB-418A-98CA-D3F8399FA552}" srcOrd="0" destOrd="0" presId="urn:microsoft.com/office/officeart/2008/layout/HorizontalMultiLevelHierarchy"/>
    <dgm:cxn modelId="{DA15544D-22D3-445C-B1C1-852333F61FC6}" type="presOf" srcId="{3D176CA9-9747-47A2-ACC0-BD313FBB16F6}" destId="{D9FBD13E-DAD0-4054-BC29-ACD7DC94DFA2}" srcOrd="0" destOrd="0" presId="urn:microsoft.com/office/officeart/2008/layout/HorizontalMultiLevelHierarchy"/>
    <dgm:cxn modelId="{B66B043E-4FB3-482E-A549-8D43237C3C78}" type="presOf" srcId="{0E9814BC-E707-48FD-AA59-6D4F4AE2233C}" destId="{50E317BA-0128-4779-B489-8A48A0D16203}" srcOrd="1" destOrd="0" presId="urn:microsoft.com/office/officeart/2008/layout/HorizontalMultiLevelHierarchy"/>
    <dgm:cxn modelId="{FB116E88-2695-4A5E-BB0D-0DAE04585976}" type="presOf" srcId="{6684EF53-C982-4921-8E2C-5A8BBC37BEE2}" destId="{13B5AD91-E92E-4FF1-8E0F-0C90035EEDF0}" srcOrd="0" destOrd="0" presId="urn:microsoft.com/office/officeart/2008/layout/HorizontalMultiLevelHierarchy"/>
    <dgm:cxn modelId="{3E825A24-5E18-49DE-BEC5-6018B9DE6FD5}" type="presOf" srcId="{04118E3F-A228-4190-8F29-7EAD2BFE2064}" destId="{D8495F37-739B-4BEC-B768-850B23C914E7}" srcOrd="0" destOrd="0" presId="urn:microsoft.com/office/officeart/2008/layout/HorizontalMultiLevelHierarchy"/>
    <dgm:cxn modelId="{9630B76A-9444-458E-8464-B3794BE2AD97}" type="presOf" srcId="{DCBE32EB-2AF5-4B26-A1D7-39ED774C2B36}" destId="{201D9AB7-14D4-4EB3-8369-3194985B783A}" srcOrd="0" destOrd="0" presId="urn:microsoft.com/office/officeart/2008/layout/HorizontalMultiLevelHierarchy"/>
    <dgm:cxn modelId="{1885D629-79CE-47B7-B893-81A645579610}" type="presOf" srcId="{4E20CD21-9199-4A00-95F3-7FD92C6340B9}" destId="{C3CE7C95-33D1-4DD5-AC32-399B2E266F58}" srcOrd="0" destOrd="0" presId="urn:microsoft.com/office/officeart/2008/layout/HorizontalMultiLevelHierarchy"/>
    <dgm:cxn modelId="{7DBD854A-896B-425D-A493-F7FF41A39C14}" type="presOf" srcId="{ADA9FA69-E057-4405-B83F-44565158606E}" destId="{629F6466-3676-422F-AB1A-47D7C6C2AFAD}" srcOrd="0" destOrd="0" presId="urn:microsoft.com/office/officeart/2008/layout/HorizontalMultiLevelHierarchy"/>
    <dgm:cxn modelId="{EC469AEA-BD9D-46AF-888A-0BCB9F11D264}" srcId="{D6D754DC-39FD-499B-B075-754660587B4D}" destId="{67653E3C-E3E8-485C-9F3F-8488D00DF451}" srcOrd="0" destOrd="0" parTransId="{73BFC302-5EA3-4186-85C3-A483550C5E00}" sibTransId="{91A252DE-EBB7-429B-978C-9D204928808E}"/>
    <dgm:cxn modelId="{62F4F304-E885-4210-AEF7-B94BE12C4687}" type="presOf" srcId="{BD5D4ACF-A693-4AC7-8BC9-AFFC8152740D}" destId="{894FC5C3-369C-4AFF-8124-D8CC90546394}" srcOrd="0" destOrd="0" presId="urn:microsoft.com/office/officeart/2008/layout/HorizontalMultiLevelHierarchy"/>
    <dgm:cxn modelId="{3D6B0AC4-8FA6-4FC9-AF2B-AD824D434F46}" srcId="{ABB98512-E0A7-485B-B9E9-D53F11E09C79}" destId="{B1C3C6F3-57F7-4C6B-90F7-E1C6CDFAA9BD}" srcOrd="0" destOrd="0" parTransId="{CF70CC1D-F9DA-4810-9518-D66C1B091E6E}" sibTransId="{D744A00A-28F1-456B-A1C1-6002C9140ACB}"/>
    <dgm:cxn modelId="{F03A97BE-15FF-41FB-BAB7-F8F4ED005B24}" srcId="{ADA9FA69-E057-4405-B83F-44565158606E}" destId="{6A5E28E9-5022-496B-8FDC-9AFD221104E2}" srcOrd="0" destOrd="0" parTransId="{04118E3F-A228-4190-8F29-7EAD2BFE2064}" sibTransId="{0089EDCA-F624-4C06-BFB8-89F8E34B7692}"/>
    <dgm:cxn modelId="{2C067163-2D22-4CA3-9A7D-A7A0FD44C00A}" type="presOf" srcId="{C83FE7B9-C93A-48C2-9513-53DFD0D19E8B}" destId="{81FE9F42-ED39-4208-A14C-52CD8E41DC56}" srcOrd="0" destOrd="0" presId="urn:microsoft.com/office/officeart/2008/layout/HorizontalMultiLevelHierarchy"/>
    <dgm:cxn modelId="{C5DBDFAD-E8DC-4391-885E-7C26790CA622}" type="presOf" srcId="{FD375F7E-3E5A-43FB-8B2B-05305085215E}" destId="{3DC14E93-217C-4CB2-AEB0-16AB688850D5}" srcOrd="1" destOrd="0" presId="urn:microsoft.com/office/officeart/2008/layout/HorizontalMultiLevelHierarchy"/>
    <dgm:cxn modelId="{45017EED-9EF5-44D6-BFB9-9736E8CCCCDD}" srcId="{206AE940-0767-4D2D-839B-6DA07C5916A4}" destId="{7CF2E6C9-27B9-4B36-9FAF-2F455A4178EC}" srcOrd="0" destOrd="0" parTransId="{C257B41E-8537-4C76-BE0D-C64EF3A83749}" sibTransId="{81EABC2D-4DD4-45AF-82BE-D0675064D17A}"/>
    <dgm:cxn modelId="{620AC1C9-D58F-48E5-83EC-DCEBC548189E}" type="presOf" srcId="{CCFF8A97-8586-4756-AF49-973139663322}" destId="{648BAB03-01ED-47B0-A807-62CEDBF0610C}" srcOrd="0" destOrd="0" presId="urn:microsoft.com/office/officeart/2008/layout/HorizontalMultiLevelHierarchy"/>
    <dgm:cxn modelId="{97687F02-3A4C-4516-B41B-319D45F0E145}" type="presOf" srcId="{0ED7A613-0486-4B86-BD1D-30D6A4AB216D}" destId="{A41DF11A-B9EF-41D8-9002-0307DE04AF25}" srcOrd="0" destOrd="0" presId="urn:microsoft.com/office/officeart/2008/layout/HorizontalMultiLevelHierarchy"/>
    <dgm:cxn modelId="{05BE417D-178C-4806-B589-CBA5449BFF00}" type="presOf" srcId="{ED626206-75FF-49AD-9B5A-7D518F4F80FA}" destId="{48D827A2-EB4D-4835-BCF8-C97C8022DD40}" srcOrd="0" destOrd="0" presId="urn:microsoft.com/office/officeart/2008/layout/HorizontalMultiLevelHierarchy"/>
    <dgm:cxn modelId="{386BA005-C9C2-4E1D-8EE4-219D2C597538}" type="presOf" srcId="{CF70CC1D-F9DA-4810-9518-D66C1B091E6E}" destId="{B58AF588-7AC3-49A2-A2CA-71E8F49A4BBF}" srcOrd="0" destOrd="0" presId="urn:microsoft.com/office/officeart/2008/layout/HorizontalMultiLevelHierarchy"/>
    <dgm:cxn modelId="{993E64F3-8626-4448-B99E-8AFB0801D0AB}" type="presOf" srcId="{6684EF53-C982-4921-8E2C-5A8BBC37BEE2}" destId="{A950B8B1-5CD1-4E40-B44C-4A0C16706C83}" srcOrd="1" destOrd="0" presId="urn:microsoft.com/office/officeart/2008/layout/HorizontalMultiLevelHierarchy"/>
    <dgm:cxn modelId="{EE1A16DE-A69C-46F2-A562-9F8B551B6E16}" type="presOf" srcId="{CCFF8A97-8586-4756-AF49-973139663322}" destId="{6AC909A6-C03D-46F7-AE61-EF8BAB620973}" srcOrd="1" destOrd="0" presId="urn:microsoft.com/office/officeart/2008/layout/HorizontalMultiLevelHierarchy"/>
    <dgm:cxn modelId="{EE1B6010-2E00-4601-BAFE-552EEA214594}" type="presOf" srcId="{798920EF-FD9A-4316-8936-1302BC88E72F}" destId="{6EDB4838-75E3-4635-A715-2D3E2AF10F87}" srcOrd="0" destOrd="0" presId="urn:microsoft.com/office/officeart/2008/layout/HorizontalMultiLevelHierarchy"/>
    <dgm:cxn modelId="{5E33A926-F34D-4D13-A055-DCF3165C38EA}" type="presOf" srcId="{E92D5C11-110F-4DB8-BADE-2B89BC5DFB34}" destId="{B2A7EB4B-FB50-49C2-BFED-A8CF59CCE5AB}" srcOrd="0" destOrd="0" presId="urn:microsoft.com/office/officeart/2008/layout/HorizontalMultiLevelHierarchy"/>
    <dgm:cxn modelId="{AF2E2AD9-ACAF-4274-98ED-9E3FA5D229C2}" srcId="{5DD2F1E4-6B18-42D4-A8C8-8CF8E69A151F}" destId="{FAF02B38-0FE0-4911-8103-FBEA6BF5E2AB}" srcOrd="0" destOrd="0" parTransId="{3104A313-A627-4B3F-88EA-A8C77175892A}" sibTransId="{26D35E6C-7046-4CAA-B548-DE70B4082EF3}"/>
    <dgm:cxn modelId="{1FAD4665-10E7-48D3-A4CE-4BDE54C3B018}" type="presOf" srcId="{6805BF92-91FF-4C84-8D57-9F90AB812069}" destId="{8A02B35E-E78C-40DE-8CE1-0CAA1B980798}" srcOrd="0" destOrd="0" presId="urn:microsoft.com/office/officeart/2008/layout/HorizontalMultiLevelHierarchy"/>
    <dgm:cxn modelId="{B092346F-7AC2-4769-867B-A741AC1992F7}" type="presOf" srcId="{A08DB55B-0E62-4C37-BE95-FE7F0B9D3623}" destId="{F1E86A5D-7AB1-4734-A854-5F89AC3E1FBE}" srcOrd="0" destOrd="0" presId="urn:microsoft.com/office/officeart/2008/layout/HorizontalMultiLevelHierarchy"/>
    <dgm:cxn modelId="{3CD946B0-2294-4C1A-B0AB-F010A1CF241A}" srcId="{206AE940-0767-4D2D-839B-6DA07C5916A4}" destId="{ADA9FA69-E057-4405-B83F-44565158606E}" srcOrd="1" destOrd="0" parTransId="{A08DB55B-0E62-4C37-BE95-FE7F0B9D3623}" sibTransId="{F1AEF516-98DC-401E-9FF9-D65911A07370}"/>
    <dgm:cxn modelId="{0F6FC8AA-C243-405D-B125-D06E99195944}" type="presOf" srcId="{67197197-B990-4B1B-98BC-11BAC07C7C01}" destId="{F04FCFF8-5FE9-4153-88D2-0DAA85036E8F}" srcOrd="1" destOrd="0" presId="urn:microsoft.com/office/officeart/2008/layout/HorizontalMultiLevelHierarchy"/>
    <dgm:cxn modelId="{49DA7E93-4293-4EEC-AA17-B3715C36CBFB}" srcId="{DCBE32EB-2AF5-4B26-A1D7-39ED774C2B36}" destId="{D6D754DC-39FD-499B-B075-754660587B4D}" srcOrd="1" destOrd="0" parTransId="{1AD2F189-0ABC-4666-8EC0-1B3C31990BFC}" sibTransId="{6F55E2CD-A72F-412B-B9A8-F9824B884D4B}"/>
    <dgm:cxn modelId="{09B7C1FA-8F6B-41E2-A7DE-85210A497F55}" type="presOf" srcId="{29D3D101-9C90-4898-8519-552DA99178A7}" destId="{FE1A2B62-01F8-47A9-9BE6-47892333F2DA}" srcOrd="0" destOrd="0" presId="urn:microsoft.com/office/officeart/2008/layout/HorizontalMultiLevelHierarchy"/>
    <dgm:cxn modelId="{707631D7-8D54-4DD8-8EB9-9D047F3A56D3}" srcId="{BA287DC5-3ACE-4727-900D-7A1509D05FE2}" destId="{E92D5C11-110F-4DB8-BADE-2B89BC5DFB34}" srcOrd="1" destOrd="0" parTransId="{6805BF92-91FF-4C84-8D57-9F90AB812069}" sibTransId="{DAF77FED-E00A-480C-9A8A-4674DFC50CB3}"/>
    <dgm:cxn modelId="{C27A523A-3273-4B5B-899A-18618935DB8C}" type="presOf" srcId="{6A5E28E9-5022-496B-8FDC-9AFD221104E2}" destId="{0CB665F3-C12D-4E77-9917-4A14DBC65BDA}" srcOrd="0" destOrd="0" presId="urn:microsoft.com/office/officeart/2008/layout/HorizontalMultiLevelHierarchy"/>
    <dgm:cxn modelId="{DF699EBA-0B45-4DC1-A7DB-DB9CC22D8880}" type="presOf" srcId="{B1C3C6F3-57F7-4C6B-90F7-E1C6CDFAA9BD}" destId="{AE7AB187-8996-43E1-96E9-611BD5B92C5C}" srcOrd="0" destOrd="0" presId="urn:microsoft.com/office/officeart/2008/layout/HorizontalMultiLevelHierarchy"/>
    <dgm:cxn modelId="{119106B8-917B-469E-B890-EC8470A749D6}" type="presParOf" srcId="{A41DF11A-B9EF-41D8-9002-0307DE04AF25}" destId="{BE98C63A-80F8-4DB4-AFC3-1C3E059AC08E}" srcOrd="0" destOrd="0" presId="urn:microsoft.com/office/officeart/2008/layout/HorizontalMultiLevelHierarchy"/>
    <dgm:cxn modelId="{CA10EC28-7384-457E-B2B6-02DD0B53B0C3}" type="presParOf" srcId="{BE98C63A-80F8-4DB4-AFC3-1C3E059AC08E}" destId="{325A10F7-9CD2-4E93-955A-71F07E406DE3}" srcOrd="0" destOrd="0" presId="urn:microsoft.com/office/officeart/2008/layout/HorizontalMultiLevelHierarchy"/>
    <dgm:cxn modelId="{9A24AADA-C2BF-4617-8B74-D61F2D492F7C}" type="presParOf" srcId="{BE98C63A-80F8-4DB4-AFC3-1C3E059AC08E}" destId="{6C055368-403E-4D06-9034-259735147629}" srcOrd="1" destOrd="0" presId="urn:microsoft.com/office/officeart/2008/layout/HorizontalMultiLevelHierarchy"/>
    <dgm:cxn modelId="{7AE79511-F9FF-4A2C-97C5-9C8205FDA3CB}" type="presParOf" srcId="{6C055368-403E-4D06-9034-259735147629}" destId="{D9FBD13E-DAD0-4054-BC29-ACD7DC94DFA2}" srcOrd="0" destOrd="0" presId="urn:microsoft.com/office/officeart/2008/layout/HorizontalMultiLevelHierarchy"/>
    <dgm:cxn modelId="{45CB765E-4E1E-4B4C-9885-23AC5F5BB8B5}" type="presParOf" srcId="{D9FBD13E-DAD0-4054-BC29-ACD7DC94DFA2}" destId="{1431BFCD-7010-40A2-A31C-D91D95E28BA1}" srcOrd="0" destOrd="0" presId="urn:microsoft.com/office/officeart/2008/layout/HorizontalMultiLevelHierarchy"/>
    <dgm:cxn modelId="{4B64C596-D71B-4187-A481-25A868FF5FD8}" type="presParOf" srcId="{6C055368-403E-4D06-9034-259735147629}" destId="{7FF34006-76A0-4AF6-8514-91FCEC1F3724}" srcOrd="1" destOrd="0" presId="urn:microsoft.com/office/officeart/2008/layout/HorizontalMultiLevelHierarchy"/>
    <dgm:cxn modelId="{FAE16757-CF9A-40B5-8BF6-4E0D7BD53856}" type="presParOf" srcId="{7FF34006-76A0-4AF6-8514-91FCEC1F3724}" destId="{0D024333-F0F7-4EAA-8736-7447206DB436}" srcOrd="0" destOrd="0" presId="urn:microsoft.com/office/officeart/2008/layout/HorizontalMultiLevelHierarchy"/>
    <dgm:cxn modelId="{C4AF5A57-3DEC-442B-9CE1-5853D167DA2C}" type="presParOf" srcId="{7FF34006-76A0-4AF6-8514-91FCEC1F3724}" destId="{EE3D6045-7764-4164-A236-76ABB17826C9}" srcOrd="1" destOrd="0" presId="urn:microsoft.com/office/officeart/2008/layout/HorizontalMultiLevelHierarchy"/>
    <dgm:cxn modelId="{26B3BFA8-03AC-495E-8206-6786C27B3F50}" type="presParOf" srcId="{EE3D6045-7764-4164-A236-76ABB17826C9}" destId="{187AF643-A1A7-4634-884C-A361EE3C0F76}" srcOrd="0" destOrd="0" presId="urn:microsoft.com/office/officeart/2008/layout/HorizontalMultiLevelHierarchy"/>
    <dgm:cxn modelId="{0226A49A-7644-4E15-94E4-49FFC6635B40}" type="presParOf" srcId="{187AF643-A1A7-4634-884C-A361EE3C0F76}" destId="{70172374-2007-45E7-81BE-C8502CE88DBA}" srcOrd="0" destOrd="0" presId="urn:microsoft.com/office/officeart/2008/layout/HorizontalMultiLevelHierarchy"/>
    <dgm:cxn modelId="{8C05AF9F-EA6F-4254-A420-D63D8343D415}" type="presParOf" srcId="{EE3D6045-7764-4164-A236-76ABB17826C9}" destId="{C0B3AD13-9D1B-466C-A7D2-A375F37261C0}" srcOrd="1" destOrd="0" presId="urn:microsoft.com/office/officeart/2008/layout/HorizontalMultiLevelHierarchy"/>
    <dgm:cxn modelId="{124657C6-4A17-4B9B-8A2F-7325761B4280}" type="presParOf" srcId="{C0B3AD13-9D1B-466C-A7D2-A375F37261C0}" destId="{A1A2771A-783B-4F9A-8BD4-646D223F705D}" srcOrd="0" destOrd="0" presId="urn:microsoft.com/office/officeart/2008/layout/HorizontalMultiLevelHierarchy"/>
    <dgm:cxn modelId="{72449F9B-9C8D-42C1-A3EF-521C5AE89E05}" type="presParOf" srcId="{C0B3AD13-9D1B-466C-A7D2-A375F37261C0}" destId="{CD478678-86E5-42C2-8204-4C521710D630}" srcOrd="1" destOrd="0" presId="urn:microsoft.com/office/officeart/2008/layout/HorizontalMultiLevelHierarchy"/>
    <dgm:cxn modelId="{5E214D65-EAF4-4A81-B2E4-2B271DDB8E51}" type="presParOf" srcId="{CD478678-86E5-42C2-8204-4C521710D630}" destId="{648BAB03-01ED-47B0-A807-62CEDBF0610C}" srcOrd="0" destOrd="0" presId="urn:microsoft.com/office/officeart/2008/layout/HorizontalMultiLevelHierarchy"/>
    <dgm:cxn modelId="{7583B121-436E-4F62-9198-21CFD099632C}" type="presParOf" srcId="{648BAB03-01ED-47B0-A807-62CEDBF0610C}" destId="{6AC909A6-C03D-46F7-AE61-EF8BAB620973}" srcOrd="0" destOrd="0" presId="urn:microsoft.com/office/officeart/2008/layout/HorizontalMultiLevelHierarchy"/>
    <dgm:cxn modelId="{526D91FE-282D-4F81-A061-BA8A497B04AB}" type="presParOf" srcId="{CD478678-86E5-42C2-8204-4C521710D630}" destId="{63EA7BD6-5FE4-4DED-A701-35D0E9AF6673}" srcOrd="1" destOrd="0" presId="urn:microsoft.com/office/officeart/2008/layout/HorizontalMultiLevelHierarchy"/>
    <dgm:cxn modelId="{92A68C7F-6FE7-4A00-B7E1-5CA2DB6C216F}" type="presParOf" srcId="{63EA7BD6-5FE4-4DED-A701-35D0E9AF6673}" destId="{7F113BC2-1216-4458-9638-5912D449F452}" srcOrd="0" destOrd="0" presId="urn:microsoft.com/office/officeart/2008/layout/HorizontalMultiLevelHierarchy"/>
    <dgm:cxn modelId="{3E2532E6-CA32-4E2F-AAD3-B1683F9281F8}" type="presParOf" srcId="{63EA7BD6-5FE4-4DED-A701-35D0E9AF6673}" destId="{9BD5BF74-6ABD-42A3-9335-1CCFA0579C6B}" srcOrd="1" destOrd="0" presId="urn:microsoft.com/office/officeart/2008/layout/HorizontalMultiLevelHierarchy"/>
    <dgm:cxn modelId="{F309259F-C57B-441F-837D-307170F9C4FB}" type="presParOf" srcId="{9BD5BF74-6ABD-42A3-9335-1CCFA0579C6B}" destId="{A49DBE2F-9DCA-4D7A-8FB1-B7C43B96D18E}" srcOrd="0" destOrd="0" presId="urn:microsoft.com/office/officeart/2008/layout/HorizontalMultiLevelHierarchy"/>
    <dgm:cxn modelId="{00E2CAE0-1C05-4C18-AC8E-ADCB7C7B46AB}" type="presParOf" srcId="{A49DBE2F-9DCA-4D7A-8FB1-B7C43B96D18E}" destId="{F5BE4527-7F76-4B1B-8C9E-6870171FF32F}" srcOrd="0" destOrd="0" presId="urn:microsoft.com/office/officeart/2008/layout/HorizontalMultiLevelHierarchy"/>
    <dgm:cxn modelId="{EFFDF187-8810-4FDF-95DF-D087EF2E89B6}" type="presParOf" srcId="{9BD5BF74-6ABD-42A3-9335-1CCFA0579C6B}" destId="{2676F698-C975-457A-B057-DF05F241831F}" srcOrd="1" destOrd="0" presId="urn:microsoft.com/office/officeart/2008/layout/HorizontalMultiLevelHierarchy"/>
    <dgm:cxn modelId="{B95D024C-51E5-4D96-9ED1-B61A16E920B7}" type="presParOf" srcId="{2676F698-C975-457A-B057-DF05F241831F}" destId="{3688ED0A-A417-41F3-BDC4-24FEF8FE0848}" srcOrd="0" destOrd="0" presId="urn:microsoft.com/office/officeart/2008/layout/HorizontalMultiLevelHierarchy"/>
    <dgm:cxn modelId="{D8D3A3E2-8AFD-44BB-B200-1037598C9D68}" type="presParOf" srcId="{2676F698-C975-457A-B057-DF05F241831F}" destId="{4F24AF24-6B09-494A-B079-27B711595610}" srcOrd="1" destOrd="0" presId="urn:microsoft.com/office/officeart/2008/layout/HorizontalMultiLevelHierarchy"/>
    <dgm:cxn modelId="{D7BE7299-CFE0-4F18-BC31-B022A1D580D9}" type="presParOf" srcId="{CD478678-86E5-42C2-8204-4C521710D630}" destId="{894FC5C3-369C-4AFF-8124-D8CC90546394}" srcOrd="2" destOrd="0" presId="urn:microsoft.com/office/officeart/2008/layout/HorizontalMultiLevelHierarchy"/>
    <dgm:cxn modelId="{1857CC1D-EDFF-42E9-9442-B0DF76C1B169}" type="presParOf" srcId="{894FC5C3-369C-4AFF-8124-D8CC90546394}" destId="{51213AC6-6AFA-4A87-8DEF-CE3E89133D30}" srcOrd="0" destOrd="0" presId="urn:microsoft.com/office/officeart/2008/layout/HorizontalMultiLevelHierarchy"/>
    <dgm:cxn modelId="{4A09AE80-2B92-45B2-9DEC-C3EF5EE13DE8}" type="presParOf" srcId="{CD478678-86E5-42C2-8204-4C521710D630}" destId="{430D4686-C38A-412A-843A-EC2894B97EE2}" srcOrd="3" destOrd="0" presId="urn:microsoft.com/office/officeart/2008/layout/HorizontalMultiLevelHierarchy"/>
    <dgm:cxn modelId="{523D0064-1894-402A-8A66-FB2DCFC7B39C}" type="presParOf" srcId="{430D4686-C38A-412A-843A-EC2894B97EE2}" destId="{81FE9F42-ED39-4208-A14C-52CD8E41DC56}" srcOrd="0" destOrd="0" presId="urn:microsoft.com/office/officeart/2008/layout/HorizontalMultiLevelHierarchy"/>
    <dgm:cxn modelId="{EDEF574C-E11D-424F-8E41-C80052FC353F}" type="presParOf" srcId="{430D4686-C38A-412A-843A-EC2894B97EE2}" destId="{250CCA7F-62D8-40E8-B838-2B1600891440}" srcOrd="1" destOrd="0" presId="urn:microsoft.com/office/officeart/2008/layout/HorizontalMultiLevelHierarchy"/>
    <dgm:cxn modelId="{2A5D2374-9990-4B9A-9031-171F37F18E3A}" type="presParOf" srcId="{EE3D6045-7764-4164-A236-76ABB17826C9}" destId="{F1E86A5D-7AB1-4734-A854-5F89AC3E1FBE}" srcOrd="2" destOrd="0" presId="urn:microsoft.com/office/officeart/2008/layout/HorizontalMultiLevelHierarchy"/>
    <dgm:cxn modelId="{56675D1D-9FEF-4908-A89C-CFD81E8BEB19}" type="presParOf" srcId="{F1E86A5D-7AB1-4734-A854-5F89AC3E1FBE}" destId="{E5F51204-5BD6-4513-8A51-4F0734C02E29}" srcOrd="0" destOrd="0" presId="urn:microsoft.com/office/officeart/2008/layout/HorizontalMultiLevelHierarchy"/>
    <dgm:cxn modelId="{29B50DCB-D590-4B02-BA4E-A7E1C7C2CA48}" type="presParOf" srcId="{EE3D6045-7764-4164-A236-76ABB17826C9}" destId="{43C4447C-A8CA-47BC-BF04-505DF82F74A2}" srcOrd="3" destOrd="0" presId="urn:microsoft.com/office/officeart/2008/layout/HorizontalMultiLevelHierarchy"/>
    <dgm:cxn modelId="{D3DF72B5-689C-472A-9096-2C952E28810A}" type="presParOf" srcId="{43C4447C-A8CA-47BC-BF04-505DF82F74A2}" destId="{629F6466-3676-422F-AB1A-47D7C6C2AFAD}" srcOrd="0" destOrd="0" presId="urn:microsoft.com/office/officeart/2008/layout/HorizontalMultiLevelHierarchy"/>
    <dgm:cxn modelId="{71CE605F-6032-4FA1-9967-189EC6360AB4}" type="presParOf" srcId="{43C4447C-A8CA-47BC-BF04-505DF82F74A2}" destId="{161F5C0E-0CAF-4460-9A76-B31AFAE3C540}" srcOrd="1" destOrd="0" presId="urn:microsoft.com/office/officeart/2008/layout/HorizontalMultiLevelHierarchy"/>
    <dgm:cxn modelId="{F2891E6E-4600-4988-9C43-310B8D0DFBA1}" type="presParOf" srcId="{161F5C0E-0CAF-4460-9A76-B31AFAE3C540}" destId="{D8495F37-739B-4BEC-B768-850B23C914E7}" srcOrd="0" destOrd="0" presId="urn:microsoft.com/office/officeart/2008/layout/HorizontalMultiLevelHierarchy"/>
    <dgm:cxn modelId="{EC9DC791-3BF0-44C9-B341-C4A34FA6CB8F}" type="presParOf" srcId="{D8495F37-739B-4BEC-B768-850B23C914E7}" destId="{D3BAE59F-79F5-4CBC-B07C-7803485E2487}" srcOrd="0" destOrd="0" presId="urn:microsoft.com/office/officeart/2008/layout/HorizontalMultiLevelHierarchy"/>
    <dgm:cxn modelId="{2FB5D704-7B3E-42F1-BE8D-659E0A708064}" type="presParOf" srcId="{161F5C0E-0CAF-4460-9A76-B31AFAE3C540}" destId="{281236AE-4BBE-4F9C-B80F-09C9E9E51C5E}" srcOrd="1" destOrd="0" presId="urn:microsoft.com/office/officeart/2008/layout/HorizontalMultiLevelHierarchy"/>
    <dgm:cxn modelId="{97366A74-025D-488B-AFE9-5F551205F2B8}" type="presParOf" srcId="{281236AE-4BBE-4F9C-B80F-09C9E9E51C5E}" destId="{0CB665F3-C12D-4E77-9917-4A14DBC65BDA}" srcOrd="0" destOrd="0" presId="urn:microsoft.com/office/officeart/2008/layout/HorizontalMultiLevelHierarchy"/>
    <dgm:cxn modelId="{812BB552-7EB5-4D33-842D-6BFA121F9826}" type="presParOf" srcId="{281236AE-4BBE-4F9C-B80F-09C9E9E51C5E}" destId="{43B498CE-5AEE-4AB1-83A8-35946709A0D4}" srcOrd="1" destOrd="0" presId="urn:microsoft.com/office/officeart/2008/layout/HorizontalMultiLevelHierarchy"/>
    <dgm:cxn modelId="{28F2504A-E81B-490F-BF42-3768CC5897DC}" type="presParOf" srcId="{161F5C0E-0CAF-4460-9A76-B31AFAE3C540}" destId="{13B5AD91-E92E-4FF1-8E0F-0C90035EEDF0}" srcOrd="2" destOrd="0" presId="urn:microsoft.com/office/officeart/2008/layout/HorizontalMultiLevelHierarchy"/>
    <dgm:cxn modelId="{1C192A43-0E5E-4778-9F64-C1F849AA1FE3}" type="presParOf" srcId="{13B5AD91-E92E-4FF1-8E0F-0C90035EEDF0}" destId="{A950B8B1-5CD1-4E40-B44C-4A0C16706C83}" srcOrd="0" destOrd="0" presId="urn:microsoft.com/office/officeart/2008/layout/HorizontalMultiLevelHierarchy"/>
    <dgm:cxn modelId="{387C227A-8E32-4ED7-8094-E56457CF5238}" type="presParOf" srcId="{161F5C0E-0CAF-4460-9A76-B31AFAE3C540}" destId="{A1ECAC85-96AB-455B-BAFB-D7949426784C}" srcOrd="3" destOrd="0" presId="urn:microsoft.com/office/officeart/2008/layout/HorizontalMultiLevelHierarchy"/>
    <dgm:cxn modelId="{DCC898BC-4475-4F38-9525-FF276AA53841}" type="presParOf" srcId="{A1ECAC85-96AB-455B-BAFB-D7949426784C}" destId="{39F3A44F-E0EE-4938-A6FD-2791B71AC16F}" srcOrd="0" destOrd="0" presId="urn:microsoft.com/office/officeart/2008/layout/HorizontalMultiLevelHierarchy"/>
    <dgm:cxn modelId="{4FB72EEE-84EC-4AA6-850F-5276D59AF904}" type="presParOf" srcId="{A1ECAC85-96AB-455B-BAFB-D7949426784C}" destId="{1B352222-965C-450A-A3F2-4E5803978225}" srcOrd="1" destOrd="0" presId="urn:microsoft.com/office/officeart/2008/layout/HorizontalMultiLevelHierarchy"/>
    <dgm:cxn modelId="{2E7C95F3-4BBE-4921-B985-23372F9556D4}" type="presParOf" srcId="{6C055368-403E-4D06-9034-259735147629}" destId="{8A02B35E-E78C-40DE-8CE1-0CAA1B980798}" srcOrd="2" destOrd="0" presId="urn:microsoft.com/office/officeart/2008/layout/HorizontalMultiLevelHierarchy"/>
    <dgm:cxn modelId="{C6BAEDEF-1C5E-4E7D-B51A-4F3178DAE2BB}" type="presParOf" srcId="{8A02B35E-E78C-40DE-8CE1-0CAA1B980798}" destId="{3C75E06F-5ADE-48D5-9D16-2B21A3515E68}" srcOrd="0" destOrd="0" presId="urn:microsoft.com/office/officeart/2008/layout/HorizontalMultiLevelHierarchy"/>
    <dgm:cxn modelId="{5B173535-36AC-479B-BB5F-F8BB7E73E4EE}" type="presParOf" srcId="{6C055368-403E-4D06-9034-259735147629}" destId="{3C6C24B2-DC17-4696-9FA2-8E66909D91CD}" srcOrd="3" destOrd="0" presId="urn:microsoft.com/office/officeart/2008/layout/HorizontalMultiLevelHierarchy"/>
    <dgm:cxn modelId="{B2A4B372-B882-49EE-B6C1-453ABA7CC94E}" type="presParOf" srcId="{3C6C24B2-DC17-4696-9FA2-8E66909D91CD}" destId="{B2A7EB4B-FB50-49C2-BFED-A8CF59CCE5AB}" srcOrd="0" destOrd="0" presId="urn:microsoft.com/office/officeart/2008/layout/HorizontalMultiLevelHierarchy"/>
    <dgm:cxn modelId="{0BC77DA7-AC3F-4B57-B388-1B36E6F5AE64}" type="presParOf" srcId="{3C6C24B2-DC17-4696-9FA2-8E66909D91CD}" destId="{E3198D5C-6AC0-451C-82E6-91287F486020}" srcOrd="1" destOrd="0" presId="urn:microsoft.com/office/officeart/2008/layout/HorizontalMultiLevelHierarchy"/>
    <dgm:cxn modelId="{64931DBC-0025-4B52-8434-C4BDE6079EC3}" type="presParOf" srcId="{E3198D5C-6AC0-451C-82E6-91287F486020}" destId="{68BEEBFB-57F4-42F0-8933-4269B9CD77D9}" srcOrd="0" destOrd="0" presId="urn:microsoft.com/office/officeart/2008/layout/HorizontalMultiLevelHierarchy"/>
    <dgm:cxn modelId="{0DE44954-5FD7-41C5-A4F6-FB60C3656B24}" type="presParOf" srcId="{68BEEBFB-57F4-42F0-8933-4269B9CD77D9}" destId="{7EA5EEEA-B0E6-4D2F-A42B-A65E78178F63}" srcOrd="0" destOrd="0" presId="urn:microsoft.com/office/officeart/2008/layout/HorizontalMultiLevelHierarchy"/>
    <dgm:cxn modelId="{57493019-879B-4AAE-AE58-4EF0C30287A0}" type="presParOf" srcId="{E3198D5C-6AC0-451C-82E6-91287F486020}" destId="{270B71AC-DE59-4F25-B08D-F896C2AD29B0}" srcOrd="1" destOrd="0" presId="urn:microsoft.com/office/officeart/2008/layout/HorizontalMultiLevelHierarchy"/>
    <dgm:cxn modelId="{8FBE68A1-3629-426F-BC34-28D709639767}" type="presParOf" srcId="{270B71AC-DE59-4F25-B08D-F896C2AD29B0}" destId="{49FA38C0-5CA6-44C3-B76B-B24FD1A1F5EB}" srcOrd="0" destOrd="0" presId="urn:microsoft.com/office/officeart/2008/layout/HorizontalMultiLevelHierarchy"/>
    <dgm:cxn modelId="{1D85F866-133A-40C0-A594-3F06BDBCA50F}" type="presParOf" srcId="{270B71AC-DE59-4F25-B08D-F896C2AD29B0}" destId="{92BD871A-6FD6-4028-A123-BC176604EA6B}" srcOrd="1" destOrd="0" presId="urn:microsoft.com/office/officeart/2008/layout/HorizontalMultiLevelHierarchy"/>
    <dgm:cxn modelId="{0F02DACA-71F9-4BD9-AAB7-1BE76B86EDDB}" type="presParOf" srcId="{92BD871A-6FD6-4028-A123-BC176604EA6B}" destId="{B58AF588-7AC3-49A2-A2CA-71E8F49A4BBF}" srcOrd="0" destOrd="0" presId="urn:microsoft.com/office/officeart/2008/layout/HorizontalMultiLevelHierarchy"/>
    <dgm:cxn modelId="{2FF0D52B-5F95-4D14-9FAC-4446FFD0B48C}" type="presParOf" srcId="{B58AF588-7AC3-49A2-A2CA-71E8F49A4BBF}" destId="{450F7E89-457E-433E-9D73-141765A4E5F2}" srcOrd="0" destOrd="0" presId="urn:microsoft.com/office/officeart/2008/layout/HorizontalMultiLevelHierarchy"/>
    <dgm:cxn modelId="{DF61FDCB-9260-486F-B1EB-65D96EF7F184}" type="presParOf" srcId="{92BD871A-6FD6-4028-A123-BC176604EA6B}" destId="{4FEFE57C-2377-4C78-BC14-AC4B3F051C70}" srcOrd="1" destOrd="0" presId="urn:microsoft.com/office/officeart/2008/layout/HorizontalMultiLevelHierarchy"/>
    <dgm:cxn modelId="{2025EC8E-FE02-44BF-A3DB-72CFBE4D22E7}" type="presParOf" srcId="{4FEFE57C-2377-4C78-BC14-AC4B3F051C70}" destId="{AE7AB187-8996-43E1-96E9-611BD5B92C5C}" srcOrd="0" destOrd="0" presId="urn:microsoft.com/office/officeart/2008/layout/HorizontalMultiLevelHierarchy"/>
    <dgm:cxn modelId="{7F83FE8E-728D-44A3-8A08-DA296B429B0E}" type="presParOf" srcId="{4FEFE57C-2377-4C78-BC14-AC4B3F051C70}" destId="{4135B1BD-790A-4FD4-8386-117B76903DDA}" srcOrd="1" destOrd="0" presId="urn:microsoft.com/office/officeart/2008/layout/HorizontalMultiLevelHierarchy"/>
    <dgm:cxn modelId="{4CB059AB-B507-4B3B-BE22-53165F46E80C}" type="presParOf" srcId="{4135B1BD-790A-4FD4-8386-117B76903DDA}" destId="{FBC5ECF3-A413-46B8-AAAE-45FCA1189F5E}" srcOrd="0" destOrd="0" presId="urn:microsoft.com/office/officeart/2008/layout/HorizontalMultiLevelHierarchy"/>
    <dgm:cxn modelId="{F5BCB7F8-E4AB-4F68-958B-D5FE83BAC160}" type="presParOf" srcId="{FBC5ECF3-A413-46B8-AAAE-45FCA1189F5E}" destId="{F04FCFF8-5FE9-4153-88D2-0DAA85036E8F}" srcOrd="0" destOrd="0" presId="urn:microsoft.com/office/officeart/2008/layout/HorizontalMultiLevelHierarchy"/>
    <dgm:cxn modelId="{62F1B1FD-75C5-4BD3-8C62-CCCBEEB7CAEF}" type="presParOf" srcId="{4135B1BD-790A-4FD4-8386-117B76903DDA}" destId="{05F0D4C5-9896-44F6-93D6-047893275126}" srcOrd="1" destOrd="0" presId="urn:microsoft.com/office/officeart/2008/layout/HorizontalMultiLevelHierarchy"/>
    <dgm:cxn modelId="{8E6C9A7B-A02B-4449-8E5F-28B56D5CBAE9}" type="presParOf" srcId="{05F0D4C5-9896-44F6-93D6-047893275126}" destId="{48D827A2-EB4D-4835-BCF8-C97C8022DD40}" srcOrd="0" destOrd="0" presId="urn:microsoft.com/office/officeart/2008/layout/HorizontalMultiLevelHierarchy"/>
    <dgm:cxn modelId="{AD3CC7ED-6269-4264-9FAB-B3B0C438C499}" type="presParOf" srcId="{05F0D4C5-9896-44F6-93D6-047893275126}" destId="{817FB3D2-E834-4728-8AB1-FA2194F42242}" srcOrd="1" destOrd="0" presId="urn:microsoft.com/office/officeart/2008/layout/HorizontalMultiLevelHierarchy"/>
    <dgm:cxn modelId="{E9ECAD33-B7E8-4D2D-A63C-594C418A703E}" type="presParOf" srcId="{92BD871A-6FD6-4028-A123-BC176604EA6B}" destId="{433E38DB-3FEB-4951-AC06-CF9F758E5A1F}" srcOrd="2" destOrd="0" presId="urn:microsoft.com/office/officeart/2008/layout/HorizontalMultiLevelHierarchy"/>
    <dgm:cxn modelId="{0E579785-77C7-41D2-9352-B7DF121649FF}" type="presParOf" srcId="{433E38DB-3FEB-4951-AC06-CF9F758E5A1F}" destId="{86E819EE-4036-4149-A4BE-746C28B1074A}" srcOrd="0" destOrd="0" presId="urn:microsoft.com/office/officeart/2008/layout/HorizontalMultiLevelHierarchy"/>
    <dgm:cxn modelId="{D5965703-80F7-4FBF-BB66-03255EAC25CD}" type="presParOf" srcId="{92BD871A-6FD6-4028-A123-BC176604EA6B}" destId="{7281F477-4C0A-4699-96AB-23ED99345E98}" srcOrd="3" destOrd="0" presId="urn:microsoft.com/office/officeart/2008/layout/HorizontalMultiLevelHierarchy"/>
    <dgm:cxn modelId="{B6FC254F-CF0C-4614-B565-98C88E9295A8}" type="presParOf" srcId="{7281F477-4C0A-4699-96AB-23ED99345E98}" destId="{0159E730-A826-4AF0-93B2-CCCFF510E8F7}" srcOrd="0" destOrd="0" presId="urn:microsoft.com/office/officeart/2008/layout/HorizontalMultiLevelHierarchy"/>
    <dgm:cxn modelId="{2E6173C7-D21D-4E2D-B19B-A6D2B15CF27F}" type="presParOf" srcId="{7281F477-4C0A-4699-96AB-23ED99345E98}" destId="{A3B41B31-8DAC-4DAE-82D1-7058DE643707}" srcOrd="1" destOrd="0" presId="urn:microsoft.com/office/officeart/2008/layout/HorizontalMultiLevelHierarchy"/>
    <dgm:cxn modelId="{12D4F4AC-ABED-47A6-8E5F-63E5153E7189}" type="presParOf" srcId="{A3B41B31-8DAC-4DAE-82D1-7058DE643707}" destId="{C3CE7C95-33D1-4DD5-AC32-399B2E266F58}" srcOrd="0" destOrd="0" presId="urn:microsoft.com/office/officeart/2008/layout/HorizontalMultiLevelHierarchy"/>
    <dgm:cxn modelId="{95BA30D1-821C-41B6-B224-B14BD4D48949}" type="presParOf" srcId="{C3CE7C95-33D1-4DD5-AC32-399B2E266F58}" destId="{B04BA130-6448-4DCC-849A-8AD89319F29C}" srcOrd="0" destOrd="0" presId="urn:microsoft.com/office/officeart/2008/layout/HorizontalMultiLevelHierarchy"/>
    <dgm:cxn modelId="{450A901A-11CA-4400-9A80-B0CCD8BA39F9}" type="presParOf" srcId="{A3B41B31-8DAC-4DAE-82D1-7058DE643707}" destId="{C4FFB41E-3FCF-4ABE-840E-B98791EB1AEC}" srcOrd="1" destOrd="0" presId="urn:microsoft.com/office/officeart/2008/layout/HorizontalMultiLevelHierarchy"/>
    <dgm:cxn modelId="{97E5C88B-45A0-43ED-9A3F-553336CC3D76}" type="presParOf" srcId="{C4FFB41E-3FCF-4ABE-840E-B98791EB1AEC}" destId="{FE1A2B62-01F8-47A9-9BE6-47892333F2DA}" srcOrd="0" destOrd="0" presId="urn:microsoft.com/office/officeart/2008/layout/HorizontalMultiLevelHierarchy"/>
    <dgm:cxn modelId="{BC988E6F-273A-4324-81E5-4A4CC236023B}" type="presParOf" srcId="{C4FFB41E-3FCF-4ABE-840E-B98791EB1AEC}" destId="{7B181E60-1DBA-41A4-8342-CEAE5D74B0B1}" srcOrd="1" destOrd="0" presId="urn:microsoft.com/office/officeart/2008/layout/HorizontalMultiLevelHierarchy"/>
    <dgm:cxn modelId="{BCE29C02-4605-405D-9516-7A99A127F379}" type="presParOf" srcId="{E3198D5C-6AC0-451C-82E6-91287F486020}" destId="{D0A47B63-0D7B-4707-8EFB-9D8C068597CC}" srcOrd="2" destOrd="0" presId="urn:microsoft.com/office/officeart/2008/layout/HorizontalMultiLevelHierarchy"/>
    <dgm:cxn modelId="{90AE5274-6EB4-4E47-BD26-42A38D0B4BB8}" type="presParOf" srcId="{D0A47B63-0D7B-4707-8EFB-9D8C068597CC}" destId="{3DC14E93-217C-4CB2-AEB0-16AB688850D5}" srcOrd="0" destOrd="0" presId="urn:microsoft.com/office/officeart/2008/layout/HorizontalMultiLevelHierarchy"/>
    <dgm:cxn modelId="{99411B59-2B4C-49F9-957A-48991943E5E2}" type="presParOf" srcId="{E3198D5C-6AC0-451C-82E6-91287F486020}" destId="{45F18DE8-1EE1-444A-9D64-E3E0BDA8BE32}" srcOrd="3" destOrd="0" presId="urn:microsoft.com/office/officeart/2008/layout/HorizontalMultiLevelHierarchy"/>
    <dgm:cxn modelId="{5CDA0260-D344-4FD8-A1AC-2B052BF344C1}" type="presParOf" srcId="{45F18DE8-1EE1-444A-9D64-E3E0BDA8BE32}" destId="{201D9AB7-14D4-4EB3-8369-3194985B783A}" srcOrd="0" destOrd="0" presId="urn:microsoft.com/office/officeart/2008/layout/HorizontalMultiLevelHierarchy"/>
    <dgm:cxn modelId="{637FE3CE-61CF-4B0E-8AA0-0E8C9A75B1E2}" type="presParOf" srcId="{45F18DE8-1EE1-444A-9D64-E3E0BDA8BE32}" destId="{B855D8F1-410D-4590-9016-5306E1D835E4}" srcOrd="1" destOrd="0" presId="urn:microsoft.com/office/officeart/2008/layout/HorizontalMultiLevelHierarchy"/>
    <dgm:cxn modelId="{F41968DC-6CDD-4E3A-A833-937A59E2C6F2}" type="presParOf" srcId="{B855D8F1-410D-4590-9016-5306E1D835E4}" destId="{AFCAAFAF-B4CE-4F8F-AB08-677174757650}" srcOrd="0" destOrd="0" presId="urn:microsoft.com/office/officeart/2008/layout/HorizontalMultiLevelHierarchy"/>
    <dgm:cxn modelId="{2F2884C5-EC28-4CFF-9BD5-DABC0A600F6A}" type="presParOf" srcId="{AFCAAFAF-B4CE-4F8F-AB08-677174757650}" destId="{50E317BA-0128-4779-B489-8A48A0D16203}" srcOrd="0" destOrd="0" presId="urn:microsoft.com/office/officeart/2008/layout/HorizontalMultiLevelHierarchy"/>
    <dgm:cxn modelId="{D09E64D0-A5A4-4D25-A3DF-9D99B5B6432E}" type="presParOf" srcId="{B855D8F1-410D-4590-9016-5306E1D835E4}" destId="{EA5D397C-6EDB-46CB-A80F-CBD76867D06E}" srcOrd="1" destOrd="0" presId="urn:microsoft.com/office/officeart/2008/layout/HorizontalMultiLevelHierarchy"/>
    <dgm:cxn modelId="{E3D7725E-9F58-4520-A5C9-DB2A02E9C305}" type="presParOf" srcId="{EA5D397C-6EDB-46CB-A80F-CBD76867D06E}" destId="{D2F1D3DF-7BBE-4BBD-A7E1-BC20B1905B72}" srcOrd="0" destOrd="0" presId="urn:microsoft.com/office/officeart/2008/layout/HorizontalMultiLevelHierarchy"/>
    <dgm:cxn modelId="{CFECB7BB-02E6-466C-B8AA-616DB0A8A5B1}" type="presParOf" srcId="{EA5D397C-6EDB-46CB-A80F-CBD76867D06E}" destId="{FB8B0BD7-5B9D-43FC-A41B-41482D1A7340}" srcOrd="1" destOrd="0" presId="urn:microsoft.com/office/officeart/2008/layout/HorizontalMultiLevelHierarchy"/>
    <dgm:cxn modelId="{361AC513-AA1B-4C5F-8F09-3DDF136257AE}" type="presParOf" srcId="{FB8B0BD7-5B9D-43FC-A41B-41482D1A7340}" destId="{A60CE85E-9786-45EA-BC5D-7346F5805F06}" srcOrd="0" destOrd="0" presId="urn:microsoft.com/office/officeart/2008/layout/HorizontalMultiLevelHierarchy"/>
    <dgm:cxn modelId="{F234F324-F9D2-4842-A118-6186C1B9BCF0}" type="presParOf" srcId="{A60CE85E-9786-45EA-BC5D-7346F5805F06}" destId="{C144CB39-785A-447F-A769-5F20D729E98D}" srcOrd="0" destOrd="0" presId="urn:microsoft.com/office/officeart/2008/layout/HorizontalMultiLevelHierarchy"/>
    <dgm:cxn modelId="{77B81BDD-2E97-4030-A247-B8C0BC11568C}" type="presParOf" srcId="{FB8B0BD7-5B9D-43FC-A41B-41482D1A7340}" destId="{4571A809-C6A0-4703-9C9F-A5306BB43AAC}" srcOrd="1" destOrd="0" presId="urn:microsoft.com/office/officeart/2008/layout/HorizontalMultiLevelHierarchy"/>
    <dgm:cxn modelId="{74655664-215A-4FCD-934B-04C48442D7EA}" type="presParOf" srcId="{4571A809-C6A0-4703-9C9F-A5306BB43AAC}" destId="{6EDB4838-75E3-4635-A715-2D3E2AF10F87}" srcOrd="0" destOrd="0" presId="urn:microsoft.com/office/officeart/2008/layout/HorizontalMultiLevelHierarchy"/>
    <dgm:cxn modelId="{0ED05E3A-A323-4F25-95A4-956176E4E614}" type="presParOf" srcId="{4571A809-C6A0-4703-9C9F-A5306BB43AAC}" destId="{287A6021-292F-4B0E-B9D9-9C1E4EBF5787}" srcOrd="1" destOrd="0" presId="urn:microsoft.com/office/officeart/2008/layout/HorizontalMultiLevelHierarchy"/>
    <dgm:cxn modelId="{67A6AF88-0EDA-4D2C-8875-2DEAA6CF3176}" type="presParOf" srcId="{B855D8F1-410D-4590-9016-5306E1D835E4}" destId="{86D75669-448D-4800-ABB8-C5D39D236E39}" srcOrd="2" destOrd="0" presId="urn:microsoft.com/office/officeart/2008/layout/HorizontalMultiLevelHierarchy"/>
    <dgm:cxn modelId="{F3FFADF4-B238-48EC-B779-22525547B04E}" type="presParOf" srcId="{86D75669-448D-4800-ABB8-C5D39D236E39}" destId="{943387E4-F62E-44BD-9E83-85DBA99A64FC}" srcOrd="0" destOrd="0" presId="urn:microsoft.com/office/officeart/2008/layout/HorizontalMultiLevelHierarchy"/>
    <dgm:cxn modelId="{49AE5B86-7E19-4012-B576-E6E81F4B56D9}" type="presParOf" srcId="{B855D8F1-410D-4590-9016-5306E1D835E4}" destId="{69C8166B-935B-4046-8200-2AF7D7CCA4D3}" srcOrd="3" destOrd="0" presId="urn:microsoft.com/office/officeart/2008/layout/HorizontalMultiLevelHierarchy"/>
    <dgm:cxn modelId="{3AC54A78-B4E5-4BB2-80D8-5701EF9F789C}" type="presParOf" srcId="{69C8166B-935B-4046-8200-2AF7D7CCA4D3}" destId="{16EEE52C-02EB-418A-98CA-D3F8399FA552}" srcOrd="0" destOrd="0" presId="urn:microsoft.com/office/officeart/2008/layout/HorizontalMultiLevelHierarchy"/>
    <dgm:cxn modelId="{C3C87269-CBDC-41EC-A46E-28DC49CEF840}" type="presParOf" srcId="{69C8166B-935B-4046-8200-2AF7D7CCA4D3}" destId="{25A718EE-5873-437A-B777-E1AF36A47466}" srcOrd="1" destOrd="0" presId="urn:microsoft.com/office/officeart/2008/layout/HorizontalMultiLevelHierarchy"/>
    <dgm:cxn modelId="{247D21F8-FE1C-45F8-96E7-0F2BD6036C28}" type="presParOf" srcId="{25A718EE-5873-437A-B777-E1AF36A47466}" destId="{A0C200D4-A6FF-47D5-8A10-568287B7A41B}" srcOrd="0" destOrd="0" presId="urn:microsoft.com/office/officeart/2008/layout/HorizontalMultiLevelHierarchy"/>
    <dgm:cxn modelId="{E9978870-34AE-41D8-BFBE-7CA6256430EC}" type="presParOf" srcId="{A0C200D4-A6FF-47D5-8A10-568287B7A41B}" destId="{D5E4F64A-ED6F-4A9D-90FF-7F4060A41A20}" srcOrd="0" destOrd="0" presId="urn:microsoft.com/office/officeart/2008/layout/HorizontalMultiLevelHierarchy"/>
    <dgm:cxn modelId="{1AF2C279-A106-48BE-BBF6-6317F5583961}" type="presParOf" srcId="{25A718EE-5873-437A-B777-E1AF36A47466}" destId="{110FEBB8-B66B-4482-89B2-44D9D24F9AB7}" srcOrd="1" destOrd="0" presId="urn:microsoft.com/office/officeart/2008/layout/HorizontalMultiLevelHierarchy"/>
    <dgm:cxn modelId="{DADAD263-EAF1-438F-ACC5-A930651280DE}" type="presParOf" srcId="{110FEBB8-B66B-4482-89B2-44D9D24F9AB7}" destId="{E81F83D1-942E-4AA8-A7B8-74038067EDF8}" srcOrd="0" destOrd="0" presId="urn:microsoft.com/office/officeart/2008/layout/HorizontalMultiLevelHierarchy"/>
    <dgm:cxn modelId="{C0F7A2B1-233F-42C0-B2A8-D1FFED78584D}" type="presParOf" srcId="{110FEBB8-B66B-4482-89B2-44D9D24F9AB7}" destId="{D3D9C5AA-5136-44B5-8001-C245D9DCE4EA}"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116618-71DD-482F-AAE1-5F63C4C146A0}"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RU"/>
        </a:p>
      </dgm:t>
    </dgm:pt>
    <dgm:pt modelId="{4348A7FE-D3E7-49D8-A705-029DCCCB25DE}">
      <dgm:prSet phldrT="[Текст]"/>
      <dgm:spPr/>
      <dgm:t>
        <a:bodyPr/>
        <a:lstStyle/>
        <a:p>
          <a:r>
            <a:rPr lang="en-US"/>
            <a:t>IRR</a:t>
          </a:r>
          <a:endParaRPr lang="ru-RU"/>
        </a:p>
      </dgm:t>
    </dgm:pt>
    <dgm:pt modelId="{042D9037-5D82-4A66-B86A-A12BE8B8448F}" type="parTrans" cxnId="{8097D520-2924-4493-B401-2BF3A3D3CABD}">
      <dgm:prSet/>
      <dgm:spPr/>
      <dgm:t>
        <a:bodyPr/>
        <a:lstStyle/>
        <a:p>
          <a:endParaRPr lang="ru-RU"/>
        </a:p>
      </dgm:t>
    </dgm:pt>
    <dgm:pt modelId="{8FF250B1-70B7-40B1-84D5-A9C42EF9C56A}" type="sibTrans" cxnId="{8097D520-2924-4493-B401-2BF3A3D3CABD}">
      <dgm:prSet/>
      <dgm:spPr/>
      <dgm:t>
        <a:bodyPr/>
        <a:lstStyle/>
        <a:p>
          <a:endParaRPr lang="ru-RU"/>
        </a:p>
      </dgm:t>
    </dgm:pt>
    <dgm:pt modelId="{54F4D680-DAD5-4C14-B8DD-6B9685524F84}">
      <dgm:prSet phldrT="[Текст]"/>
      <dgm:spPr/>
      <dgm:t>
        <a:bodyPr/>
        <a:lstStyle/>
        <a:p>
          <a:r>
            <a:rPr lang="en-US"/>
            <a:t>Equity contributon</a:t>
          </a:r>
          <a:endParaRPr lang="ru-RU"/>
        </a:p>
      </dgm:t>
    </dgm:pt>
    <dgm:pt modelId="{09B777BD-024F-4946-A81A-7F3822AD9749}" type="parTrans" cxnId="{36CC826B-617B-4061-8954-790E19EF8CAE}">
      <dgm:prSet/>
      <dgm:spPr/>
      <dgm:t>
        <a:bodyPr/>
        <a:lstStyle/>
        <a:p>
          <a:endParaRPr lang="ru-RU"/>
        </a:p>
      </dgm:t>
    </dgm:pt>
    <dgm:pt modelId="{D0559D6D-EEC7-47EB-BB9B-41EB4D80A54D}" type="sibTrans" cxnId="{36CC826B-617B-4061-8954-790E19EF8CAE}">
      <dgm:prSet/>
      <dgm:spPr/>
      <dgm:t>
        <a:bodyPr/>
        <a:lstStyle/>
        <a:p>
          <a:endParaRPr lang="ru-RU"/>
        </a:p>
      </dgm:t>
    </dgm:pt>
    <dgm:pt modelId="{51F321EC-A677-4DB9-8F6D-9A2DC8A0F5CB}">
      <dgm:prSet phldrT="[Текст]"/>
      <dgm:spPr/>
      <dgm:t>
        <a:bodyPr/>
        <a:lstStyle/>
        <a:p>
          <a:r>
            <a:rPr lang="en-US"/>
            <a:t>Transaction value</a:t>
          </a:r>
          <a:endParaRPr lang="ru-RU"/>
        </a:p>
      </dgm:t>
    </dgm:pt>
    <dgm:pt modelId="{8191AFAE-8EBC-4D7A-BEE5-63C5F864D888}" type="parTrans" cxnId="{A1238A5F-E5AD-4E5A-BA86-9902DBE1B72C}">
      <dgm:prSet/>
      <dgm:spPr/>
      <dgm:t>
        <a:bodyPr/>
        <a:lstStyle/>
        <a:p>
          <a:endParaRPr lang="ru-RU"/>
        </a:p>
      </dgm:t>
    </dgm:pt>
    <dgm:pt modelId="{8EBB1F99-CA5F-4D1B-8783-9EF207578499}" type="sibTrans" cxnId="{A1238A5F-E5AD-4E5A-BA86-9902DBE1B72C}">
      <dgm:prSet/>
      <dgm:spPr/>
      <dgm:t>
        <a:bodyPr/>
        <a:lstStyle/>
        <a:p>
          <a:endParaRPr lang="ru-RU"/>
        </a:p>
      </dgm:t>
    </dgm:pt>
    <dgm:pt modelId="{73ADC7BE-14CC-4AEB-8B22-EFA269C4BD8B}">
      <dgm:prSet phldrT="[Текст]"/>
      <dgm:spPr/>
      <dgm:t>
        <a:bodyPr/>
        <a:lstStyle/>
        <a:p>
          <a:r>
            <a:rPr lang="en-US"/>
            <a:t>Debt contribution</a:t>
          </a:r>
          <a:endParaRPr lang="ru-RU"/>
        </a:p>
      </dgm:t>
    </dgm:pt>
    <dgm:pt modelId="{CD13FD5B-D871-4582-9050-A651572DAFF0}" type="parTrans" cxnId="{FD3DD14A-B0C8-4194-A4F0-15161AD81A3D}">
      <dgm:prSet/>
      <dgm:spPr/>
      <dgm:t>
        <a:bodyPr/>
        <a:lstStyle/>
        <a:p>
          <a:endParaRPr lang="ru-RU"/>
        </a:p>
      </dgm:t>
    </dgm:pt>
    <dgm:pt modelId="{AA0C4A3D-B7A6-49F6-86F2-977335A22408}" type="sibTrans" cxnId="{FD3DD14A-B0C8-4194-A4F0-15161AD81A3D}">
      <dgm:prSet/>
      <dgm:spPr/>
      <dgm:t>
        <a:bodyPr/>
        <a:lstStyle/>
        <a:p>
          <a:endParaRPr lang="ru-RU"/>
        </a:p>
      </dgm:t>
    </dgm:pt>
    <dgm:pt modelId="{E63E1517-A550-4DAB-B9CE-1AEEC3543441}">
      <dgm:prSet phldrT="[Текст]"/>
      <dgm:spPr/>
      <dgm:t>
        <a:bodyPr/>
        <a:lstStyle/>
        <a:p>
          <a:r>
            <a:rPr lang="en-US"/>
            <a:t>Equity value at exit</a:t>
          </a:r>
          <a:endParaRPr lang="ru-RU"/>
        </a:p>
      </dgm:t>
    </dgm:pt>
    <dgm:pt modelId="{5A91EB98-6838-4393-B4C2-6F961F20BFD2}" type="parTrans" cxnId="{F932B178-3264-4BB0-8C3C-859F0636CBC2}">
      <dgm:prSet/>
      <dgm:spPr/>
      <dgm:t>
        <a:bodyPr/>
        <a:lstStyle/>
        <a:p>
          <a:endParaRPr lang="ru-RU"/>
        </a:p>
      </dgm:t>
    </dgm:pt>
    <dgm:pt modelId="{DEAF0163-2D17-4852-B89C-CADFE9E36483}" type="sibTrans" cxnId="{F932B178-3264-4BB0-8C3C-859F0636CBC2}">
      <dgm:prSet/>
      <dgm:spPr/>
      <dgm:t>
        <a:bodyPr/>
        <a:lstStyle/>
        <a:p>
          <a:endParaRPr lang="ru-RU"/>
        </a:p>
      </dgm:t>
    </dgm:pt>
    <dgm:pt modelId="{4D0425C0-DF95-4A68-8DD8-33E75DE99C7E}">
      <dgm:prSet phldrT="[Текст]"/>
      <dgm:spPr/>
      <dgm:t>
        <a:bodyPr/>
        <a:lstStyle/>
        <a:p>
          <a:r>
            <a:rPr lang="en-US"/>
            <a:t>EV at exit</a:t>
          </a:r>
          <a:endParaRPr lang="ru-RU"/>
        </a:p>
      </dgm:t>
    </dgm:pt>
    <dgm:pt modelId="{6E6C6F34-32B3-4F90-B1D9-451DD84D64D1}" type="parTrans" cxnId="{4B60E90C-C763-4513-96B3-11472F08FC7F}">
      <dgm:prSet/>
      <dgm:spPr/>
      <dgm:t>
        <a:bodyPr/>
        <a:lstStyle/>
        <a:p>
          <a:endParaRPr lang="ru-RU"/>
        </a:p>
      </dgm:t>
    </dgm:pt>
    <dgm:pt modelId="{B5AC2BA1-DDEB-45E7-9DAA-F268ECE9FD55}" type="sibTrans" cxnId="{4B60E90C-C763-4513-96B3-11472F08FC7F}">
      <dgm:prSet/>
      <dgm:spPr/>
      <dgm:t>
        <a:bodyPr/>
        <a:lstStyle/>
        <a:p>
          <a:endParaRPr lang="ru-RU"/>
        </a:p>
      </dgm:t>
    </dgm:pt>
    <dgm:pt modelId="{FE4853E9-727A-490A-AE1B-206A091AEEDF}">
      <dgm:prSet/>
      <dgm:spPr/>
      <dgm:t>
        <a:bodyPr/>
        <a:lstStyle/>
        <a:p>
          <a:r>
            <a:rPr lang="en-US"/>
            <a:t>Company value </a:t>
          </a:r>
          <a:endParaRPr lang="ru-RU"/>
        </a:p>
      </dgm:t>
    </dgm:pt>
    <dgm:pt modelId="{8E6A1B46-8FBE-403D-935D-995391FE19F8}" type="parTrans" cxnId="{7BFFCCBD-6484-40B4-BE5B-FA7C8A1D05C8}">
      <dgm:prSet/>
      <dgm:spPr/>
      <dgm:t>
        <a:bodyPr/>
        <a:lstStyle/>
        <a:p>
          <a:endParaRPr lang="ru-RU"/>
        </a:p>
      </dgm:t>
    </dgm:pt>
    <dgm:pt modelId="{6527958E-33FE-464A-A01C-C5957BD9A357}" type="sibTrans" cxnId="{7BFFCCBD-6484-40B4-BE5B-FA7C8A1D05C8}">
      <dgm:prSet/>
      <dgm:spPr/>
      <dgm:t>
        <a:bodyPr/>
        <a:lstStyle/>
        <a:p>
          <a:endParaRPr lang="ru-RU"/>
        </a:p>
      </dgm:t>
    </dgm:pt>
    <dgm:pt modelId="{0C57A6DA-0188-4160-925E-CEA97FD576D2}">
      <dgm:prSet/>
      <dgm:spPr/>
      <dgm:t>
        <a:bodyPr/>
        <a:lstStyle/>
        <a:p>
          <a:r>
            <a:rPr lang="en-US"/>
            <a:t>Debt cost</a:t>
          </a:r>
          <a:endParaRPr lang="ru-RU"/>
        </a:p>
      </dgm:t>
    </dgm:pt>
    <dgm:pt modelId="{E6B96A5D-3C0D-4788-8393-9519B7F5F9B7}" type="parTrans" cxnId="{E6CC49FA-6192-473D-8198-17B15F51B273}">
      <dgm:prSet/>
      <dgm:spPr/>
      <dgm:t>
        <a:bodyPr/>
        <a:lstStyle/>
        <a:p>
          <a:endParaRPr lang="ru-RU"/>
        </a:p>
      </dgm:t>
    </dgm:pt>
    <dgm:pt modelId="{15B29A04-8CC6-4D6E-8558-2A607EB9EBDA}" type="sibTrans" cxnId="{E6CC49FA-6192-473D-8198-17B15F51B273}">
      <dgm:prSet/>
      <dgm:spPr/>
      <dgm:t>
        <a:bodyPr/>
        <a:lstStyle/>
        <a:p>
          <a:endParaRPr lang="ru-RU"/>
        </a:p>
      </dgm:t>
    </dgm:pt>
    <dgm:pt modelId="{CA60CC46-F9DB-485C-BFA3-EFE9806522D7}">
      <dgm:prSet/>
      <dgm:spPr>
        <a:solidFill>
          <a:schemeClr val="accent2">
            <a:lumMod val="60000"/>
            <a:lumOff val="40000"/>
          </a:schemeClr>
        </a:solidFill>
      </dgm:spPr>
      <dgm:t>
        <a:bodyPr/>
        <a:lstStyle/>
        <a:p>
          <a:r>
            <a:rPr lang="en-US"/>
            <a:t>Other expences</a:t>
          </a:r>
          <a:endParaRPr lang="ru-RU"/>
        </a:p>
      </dgm:t>
    </dgm:pt>
    <dgm:pt modelId="{85372032-B81E-451B-B755-73560C8E2E67}" type="parTrans" cxnId="{8E4305E8-A7BD-41A7-9056-FB47031EED45}">
      <dgm:prSet/>
      <dgm:spPr/>
      <dgm:t>
        <a:bodyPr/>
        <a:lstStyle/>
        <a:p>
          <a:endParaRPr lang="ru-RU"/>
        </a:p>
      </dgm:t>
    </dgm:pt>
    <dgm:pt modelId="{CC888C3F-F513-4267-BB4E-7814A05F8021}" type="sibTrans" cxnId="{8E4305E8-A7BD-41A7-9056-FB47031EED45}">
      <dgm:prSet/>
      <dgm:spPr/>
      <dgm:t>
        <a:bodyPr/>
        <a:lstStyle/>
        <a:p>
          <a:endParaRPr lang="ru-RU"/>
        </a:p>
      </dgm:t>
    </dgm:pt>
    <dgm:pt modelId="{E317C68D-FA29-4CB7-B4CC-757647727F4F}">
      <dgm:prSet/>
      <dgm:spPr/>
      <dgm:t>
        <a:bodyPr/>
        <a:lstStyle/>
        <a:p>
          <a:r>
            <a:rPr lang="en-US"/>
            <a:t>equity value</a:t>
          </a:r>
          <a:endParaRPr lang="ru-RU"/>
        </a:p>
      </dgm:t>
    </dgm:pt>
    <dgm:pt modelId="{8F67A3E8-20DD-4EE4-B539-28EDC771BC45}" type="parTrans" cxnId="{2CD4654F-E5B3-45D0-B0BA-BDAD8495F5CF}">
      <dgm:prSet/>
      <dgm:spPr/>
      <dgm:t>
        <a:bodyPr/>
        <a:lstStyle/>
        <a:p>
          <a:endParaRPr lang="ru-RU"/>
        </a:p>
      </dgm:t>
    </dgm:pt>
    <dgm:pt modelId="{27B9F915-F7AF-45B4-B512-EF67842B769D}" type="sibTrans" cxnId="{2CD4654F-E5B3-45D0-B0BA-BDAD8495F5CF}">
      <dgm:prSet/>
      <dgm:spPr/>
      <dgm:t>
        <a:bodyPr/>
        <a:lstStyle/>
        <a:p>
          <a:endParaRPr lang="ru-RU"/>
        </a:p>
      </dgm:t>
    </dgm:pt>
    <dgm:pt modelId="{417012D2-9ADF-4663-93C6-A447BF66FE4A}">
      <dgm:prSet/>
      <dgm:spPr/>
      <dgm:t>
        <a:bodyPr/>
        <a:lstStyle/>
        <a:p>
          <a:r>
            <a:rPr lang="en-US"/>
            <a:t>Net debt </a:t>
          </a:r>
          <a:endParaRPr lang="ru-RU"/>
        </a:p>
      </dgm:t>
    </dgm:pt>
    <dgm:pt modelId="{48338E3C-DDF1-4A1B-8347-96836DCA2D90}" type="parTrans" cxnId="{9707867B-705A-45BF-B135-116565780CFE}">
      <dgm:prSet/>
      <dgm:spPr/>
      <dgm:t>
        <a:bodyPr/>
        <a:lstStyle/>
        <a:p>
          <a:endParaRPr lang="ru-RU"/>
        </a:p>
      </dgm:t>
    </dgm:pt>
    <dgm:pt modelId="{3226B570-64EE-4819-A47D-98A38B20E5D7}" type="sibTrans" cxnId="{9707867B-705A-45BF-B135-116565780CFE}">
      <dgm:prSet/>
      <dgm:spPr/>
      <dgm:t>
        <a:bodyPr/>
        <a:lstStyle/>
        <a:p>
          <a:endParaRPr lang="ru-RU"/>
        </a:p>
      </dgm:t>
    </dgm:pt>
    <dgm:pt modelId="{D9CA0B1D-9DD6-4A8C-B60C-EA266D20C12A}">
      <dgm:prSet/>
      <dgm:spPr>
        <a:solidFill>
          <a:schemeClr val="accent2">
            <a:lumMod val="60000"/>
            <a:lumOff val="40000"/>
          </a:schemeClr>
        </a:solidFill>
      </dgm:spPr>
      <dgm:t>
        <a:bodyPr/>
        <a:lstStyle/>
        <a:p>
          <a:r>
            <a:rPr lang="en-US"/>
            <a:t># shares </a:t>
          </a:r>
          <a:endParaRPr lang="ru-RU"/>
        </a:p>
      </dgm:t>
    </dgm:pt>
    <dgm:pt modelId="{992DB263-447D-425A-BA99-8AB7B20E2EC2}" type="parTrans" cxnId="{98C56210-EAF0-49A8-8994-E0631215FCA7}">
      <dgm:prSet/>
      <dgm:spPr/>
      <dgm:t>
        <a:bodyPr/>
        <a:lstStyle/>
        <a:p>
          <a:endParaRPr lang="ru-RU"/>
        </a:p>
      </dgm:t>
    </dgm:pt>
    <dgm:pt modelId="{15376334-F4B9-469C-886A-D49528652AA1}" type="sibTrans" cxnId="{98C56210-EAF0-49A8-8994-E0631215FCA7}">
      <dgm:prSet/>
      <dgm:spPr/>
      <dgm:t>
        <a:bodyPr/>
        <a:lstStyle/>
        <a:p>
          <a:endParaRPr lang="ru-RU"/>
        </a:p>
      </dgm:t>
    </dgm:pt>
    <dgm:pt modelId="{7F0BCC2A-F56E-4ABB-8DC9-498205B3808C}">
      <dgm:prSet/>
      <dgm:spPr/>
      <dgm:t>
        <a:bodyPr/>
        <a:lstStyle/>
        <a:p>
          <a:r>
            <a:rPr lang="en-US"/>
            <a:t>transaction value</a:t>
          </a:r>
          <a:endParaRPr lang="ru-RU"/>
        </a:p>
      </dgm:t>
    </dgm:pt>
    <dgm:pt modelId="{DD185735-9E75-4A66-92F3-679B05EAD246}" type="parTrans" cxnId="{F2139AEA-3F0A-490C-80DD-8833B5522D9C}">
      <dgm:prSet/>
      <dgm:spPr/>
      <dgm:t>
        <a:bodyPr/>
        <a:lstStyle/>
        <a:p>
          <a:endParaRPr lang="ru-RU"/>
        </a:p>
      </dgm:t>
    </dgm:pt>
    <dgm:pt modelId="{7B10B6BE-E7D4-4714-9DC9-87A48D3B44D0}" type="sibTrans" cxnId="{F2139AEA-3F0A-490C-80DD-8833B5522D9C}">
      <dgm:prSet/>
      <dgm:spPr/>
      <dgm:t>
        <a:bodyPr/>
        <a:lstStyle/>
        <a:p>
          <a:endParaRPr lang="ru-RU"/>
        </a:p>
      </dgm:t>
    </dgm:pt>
    <dgm:pt modelId="{68EBD9B9-4B99-4F86-9C53-BD427B58C606}">
      <dgm:prSet/>
      <dgm:spPr/>
      <dgm:t>
        <a:bodyPr/>
        <a:lstStyle/>
        <a:p>
          <a:r>
            <a:rPr lang="en-US"/>
            <a:t>financing capital structure</a:t>
          </a:r>
          <a:endParaRPr lang="ru-RU"/>
        </a:p>
      </dgm:t>
    </dgm:pt>
    <dgm:pt modelId="{2CAAE220-27D3-4879-8454-DA9530800C8D}" type="parTrans" cxnId="{2A9419C7-6D23-478A-B44D-22FAAE49EC3C}">
      <dgm:prSet/>
      <dgm:spPr/>
      <dgm:t>
        <a:bodyPr/>
        <a:lstStyle/>
        <a:p>
          <a:endParaRPr lang="ru-RU"/>
        </a:p>
      </dgm:t>
    </dgm:pt>
    <dgm:pt modelId="{1C4F24EB-B8AA-40A1-B683-46141747696B}" type="sibTrans" cxnId="{2A9419C7-6D23-478A-B44D-22FAAE49EC3C}">
      <dgm:prSet/>
      <dgm:spPr/>
      <dgm:t>
        <a:bodyPr/>
        <a:lstStyle/>
        <a:p>
          <a:endParaRPr lang="ru-RU"/>
        </a:p>
      </dgm:t>
    </dgm:pt>
    <dgm:pt modelId="{16DCF090-B478-4841-B542-0685B5260162}">
      <dgm:prSet phldrT="[Текст]"/>
      <dgm:spPr/>
      <dgm:t>
        <a:bodyPr/>
        <a:lstStyle/>
        <a:p>
          <a:r>
            <a:rPr lang="en-US"/>
            <a:t>Net debt at exit</a:t>
          </a:r>
          <a:endParaRPr lang="ru-RU"/>
        </a:p>
      </dgm:t>
    </dgm:pt>
    <dgm:pt modelId="{FC0F61D0-B5C6-4024-9B3C-E9400EC0F4F3}" type="parTrans" cxnId="{59613CA0-4A9A-434F-BA20-ECE6348509A0}">
      <dgm:prSet/>
      <dgm:spPr/>
      <dgm:t>
        <a:bodyPr/>
        <a:lstStyle/>
        <a:p>
          <a:endParaRPr lang="ru-RU"/>
        </a:p>
      </dgm:t>
    </dgm:pt>
    <dgm:pt modelId="{47601985-66E2-42CC-8733-745338FB51D7}" type="sibTrans" cxnId="{59613CA0-4A9A-434F-BA20-ECE6348509A0}">
      <dgm:prSet/>
      <dgm:spPr/>
      <dgm:t>
        <a:bodyPr/>
        <a:lstStyle/>
        <a:p>
          <a:endParaRPr lang="ru-RU"/>
        </a:p>
      </dgm:t>
    </dgm:pt>
    <dgm:pt modelId="{9D966D30-3413-42CF-B893-2D6723B7A482}">
      <dgm:prSet/>
      <dgm:spPr/>
      <dgm:t>
        <a:bodyPr/>
        <a:lstStyle/>
        <a:p>
          <a:r>
            <a:rPr lang="en-US"/>
            <a:t>EBITDA at exit</a:t>
          </a:r>
          <a:endParaRPr lang="ru-RU"/>
        </a:p>
      </dgm:t>
    </dgm:pt>
    <dgm:pt modelId="{E8BAD615-73FA-4F03-A828-DA3B4B7B6ED4}" type="parTrans" cxnId="{CBAF6132-1330-44BF-BE25-1CD535DE72F3}">
      <dgm:prSet/>
      <dgm:spPr/>
      <dgm:t>
        <a:bodyPr/>
        <a:lstStyle/>
        <a:p>
          <a:endParaRPr lang="ru-RU"/>
        </a:p>
      </dgm:t>
    </dgm:pt>
    <dgm:pt modelId="{C5426B7A-6896-4903-AB3C-FC5D06A5A847}" type="sibTrans" cxnId="{CBAF6132-1330-44BF-BE25-1CD535DE72F3}">
      <dgm:prSet/>
      <dgm:spPr/>
      <dgm:t>
        <a:bodyPr/>
        <a:lstStyle/>
        <a:p>
          <a:endParaRPr lang="ru-RU"/>
        </a:p>
      </dgm:t>
    </dgm:pt>
    <dgm:pt modelId="{22A84D2F-5483-48ED-9621-756000AD065C}">
      <dgm:prSet/>
      <dgm:spPr>
        <a:noFill/>
      </dgm:spPr>
      <dgm:t>
        <a:bodyPr/>
        <a:lstStyle/>
        <a:p>
          <a:r>
            <a:rPr lang="en-US"/>
            <a:t>Exit multiple</a:t>
          </a:r>
          <a:endParaRPr lang="ru-RU"/>
        </a:p>
      </dgm:t>
    </dgm:pt>
    <dgm:pt modelId="{402F054D-70EA-48B1-A893-D1C5CBF1C69E}" type="parTrans" cxnId="{26CC58C2-4C6D-4036-86CD-DA43A8F2D3DD}">
      <dgm:prSet/>
      <dgm:spPr/>
      <dgm:t>
        <a:bodyPr/>
        <a:lstStyle/>
        <a:p>
          <a:endParaRPr lang="ru-RU"/>
        </a:p>
      </dgm:t>
    </dgm:pt>
    <dgm:pt modelId="{15B5050F-2711-4119-87DA-705FEBE9C7B7}" type="sibTrans" cxnId="{26CC58C2-4C6D-4036-86CD-DA43A8F2D3DD}">
      <dgm:prSet/>
      <dgm:spPr/>
      <dgm:t>
        <a:bodyPr/>
        <a:lstStyle/>
        <a:p>
          <a:endParaRPr lang="ru-RU"/>
        </a:p>
      </dgm:t>
    </dgm:pt>
    <dgm:pt modelId="{DEEEA245-C1D2-4D8B-8C5E-AA597B1AB58A}">
      <dgm:prSet/>
      <dgm:spPr/>
      <dgm:t>
        <a:bodyPr/>
        <a:lstStyle/>
        <a:p>
          <a:r>
            <a:rPr lang="en-US"/>
            <a:t>Balance value</a:t>
          </a:r>
          <a:endParaRPr lang="ru-RU"/>
        </a:p>
      </dgm:t>
    </dgm:pt>
    <dgm:pt modelId="{B5274FE8-57CE-4B2D-B38A-CCBB418408DB}" type="parTrans" cxnId="{DA8E4385-4408-4EA2-BE25-2EA1114B2621}">
      <dgm:prSet/>
      <dgm:spPr/>
      <dgm:t>
        <a:bodyPr/>
        <a:lstStyle/>
        <a:p>
          <a:endParaRPr lang="ru-RU"/>
        </a:p>
      </dgm:t>
    </dgm:pt>
    <dgm:pt modelId="{D0912A01-3F42-4884-A359-A27B8E10DAC8}" type="sibTrans" cxnId="{DA8E4385-4408-4EA2-BE25-2EA1114B2621}">
      <dgm:prSet/>
      <dgm:spPr/>
      <dgm:t>
        <a:bodyPr/>
        <a:lstStyle/>
        <a:p>
          <a:endParaRPr lang="ru-RU"/>
        </a:p>
      </dgm:t>
    </dgm:pt>
    <dgm:pt modelId="{F2C4182D-B838-43DE-9D2F-BE0136476B00}">
      <dgm:prSet/>
      <dgm:spPr/>
      <dgm:t>
        <a:bodyPr/>
        <a:lstStyle/>
        <a:p>
          <a:r>
            <a:rPr lang="en-US"/>
            <a:t>Cash and cash eq</a:t>
          </a:r>
          <a:endParaRPr lang="ru-RU"/>
        </a:p>
      </dgm:t>
    </dgm:pt>
    <dgm:pt modelId="{374079AD-B7D8-4013-A2D4-C11AD8801B2B}" type="parTrans" cxnId="{A36D8582-D118-44ED-835E-AAB94C2431AA}">
      <dgm:prSet/>
      <dgm:spPr/>
      <dgm:t>
        <a:bodyPr/>
        <a:lstStyle/>
        <a:p>
          <a:endParaRPr lang="ru-RU"/>
        </a:p>
      </dgm:t>
    </dgm:pt>
    <dgm:pt modelId="{2B6B40A4-E7CA-4BCD-A63F-0E66CE36A341}" type="sibTrans" cxnId="{A36D8582-D118-44ED-835E-AAB94C2431AA}">
      <dgm:prSet/>
      <dgm:spPr/>
      <dgm:t>
        <a:bodyPr/>
        <a:lstStyle/>
        <a:p>
          <a:endParaRPr lang="ru-RU"/>
        </a:p>
      </dgm:t>
    </dgm:pt>
    <dgm:pt modelId="{36526846-ABCE-43C8-9F4E-FF693C7026C6}">
      <dgm:prSet/>
      <dgm:spPr/>
      <dgm:t>
        <a:bodyPr/>
        <a:lstStyle/>
        <a:p>
          <a:r>
            <a:rPr lang="en-US"/>
            <a:t>Shareh equity</a:t>
          </a:r>
          <a:endParaRPr lang="ru-RU"/>
        </a:p>
      </dgm:t>
    </dgm:pt>
    <dgm:pt modelId="{C47C1BF5-2A89-4D34-A5CD-69E1CCCDAA94}" type="parTrans" cxnId="{3E322898-97D2-414D-A620-91C4A99B50E3}">
      <dgm:prSet/>
      <dgm:spPr/>
      <dgm:t>
        <a:bodyPr/>
        <a:lstStyle/>
        <a:p>
          <a:endParaRPr lang="ru-RU"/>
        </a:p>
      </dgm:t>
    </dgm:pt>
    <dgm:pt modelId="{745D3CF1-E33C-4C41-86BA-EA83D7E36B7E}" type="sibTrans" cxnId="{3E322898-97D2-414D-A620-91C4A99B50E3}">
      <dgm:prSet/>
      <dgm:spPr/>
      <dgm:t>
        <a:bodyPr/>
        <a:lstStyle/>
        <a:p>
          <a:endParaRPr lang="ru-RU"/>
        </a:p>
      </dgm:t>
    </dgm:pt>
    <dgm:pt modelId="{90ACFD8E-C51E-4D24-9399-2EB85F3A63C0}">
      <dgm:prSet/>
      <dgm:spPr>
        <a:solidFill>
          <a:schemeClr val="accent1">
            <a:lumMod val="60000"/>
            <a:lumOff val="40000"/>
          </a:schemeClr>
        </a:solidFill>
      </dgm:spPr>
      <dgm:t>
        <a:bodyPr/>
        <a:lstStyle/>
        <a:p>
          <a:r>
            <a:rPr lang="en-US"/>
            <a:t>Based on CF statement</a:t>
          </a:r>
        </a:p>
        <a:p>
          <a:r>
            <a:rPr lang="en-US"/>
            <a:t>assumptions </a:t>
          </a:r>
          <a:endParaRPr lang="ru-RU"/>
        </a:p>
      </dgm:t>
    </dgm:pt>
    <dgm:pt modelId="{14FF01CD-256E-4933-A372-E87E8E87EA2B}" type="parTrans" cxnId="{8848A096-BF5B-4333-B868-2C5A35AD34AC}">
      <dgm:prSet/>
      <dgm:spPr/>
      <dgm:t>
        <a:bodyPr/>
        <a:lstStyle/>
        <a:p>
          <a:endParaRPr lang="ru-RU"/>
        </a:p>
      </dgm:t>
    </dgm:pt>
    <dgm:pt modelId="{1003EBB1-6FEF-42A0-8CFE-6FCDEC930EED}" type="sibTrans" cxnId="{8848A096-BF5B-4333-B868-2C5A35AD34AC}">
      <dgm:prSet/>
      <dgm:spPr/>
      <dgm:t>
        <a:bodyPr/>
        <a:lstStyle/>
        <a:p>
          <a:endParaRPr lang="ru-RU"/>
        </a:p>
      </dgm:t>
    </dgm:pt>
    <dgm:pt modelId="{34AF962F-AC76-4D3B-A573-CBDFEA073809}">
      <dgm:prSet/>
      <dgm:spPr/>
      <dgm:t>
        <a:bodyPr/>
        <a:lstStyle/>
        <a:p>
          <a:r>
            <a:rPr lang="en-US"/>
            <a:t>Liabilities</a:t>
          </a:r>
          <a:endParaRPr lang="ru-RU"/>
        </a:p>
      </dgm:t>
    </dgm:pt>
    <dgm:pt modelId="{E5745C81-4090-4878-B695-D57813FE8FA5}" type="parTrans" cxnId="{4281AE18-F911-4E4B-A309-783C2318F863}">
      <dgm:prSet/>
      <dgm:spPr/>
      <dgm:t>
        <a:bodyPr/>
        <a:lstStyle/>
        <a:p>
          <a:endParaRPr lang="ru-RU"/>
        </a:p>
      </dgm:t>
    </dgm:pt>
    <dgm:pt modelId="{43AE7B5F-4087-4FD3-A6CC-A35D74B64495}" type="sibTrans" cxnId="{4281AE18-F911-4E4B-A309-783C2318F863}">
      <dgm:prSet/>
      <dgm:spPr/>
      <dgm:t>
        <a:bodyPr/>
        <a:lstStyle/>
        <a:p>
          <a:endParaRPr lang="ru-RU"/>
        </a:p>
      </dgm:t>
    </dgm:pt>
    <dgm:pt modelId="{482BB5B5-0091-4C57-BF60-508BFC80DE32}">
      <dgm:prSet/>
      <dgm:spPr>
        <a:solidFill>
          <a:schemeClr val="accent1">
            <a:lumMod val="60000"/>
            <a:lumOff val="40000"/>
          </a:schemeClr>
        </a:solidFill>
      </dgm:spPr>
      <dgm:t>
        <a:bodyPr/>
        <a:lstStyle/>
        <a:p>
          <a:r>
            <a:rPr lang="en-US"/>
            <a:t>Based on IS assump.</a:t>
          </a:r>
          <a:endParaRPr lang="ru-RU"/>
        </a:p>
      </dgm:t>
    </dgm:pt>
    <dgm:pt modelId="{A1F43CC8-CEFE-4C0C-B51B-BF775C67E13B}" type="parTrans" cxnId="{6C0D123C-C363-4848-ACDF-E61E62DA8ABF}">
      <dgm:prSet/>
      <dgm:spPr/>
      <dgm:t>
        <a:bodyPr/>
        <a:lstStyle/>
        <a:p>
          <a:endParaRPr lang="ru-RU"/>
        </a:p>
      </dgm:t>
    </dgm:pt>
    <dgm:pt modelId="{AD99B04E-3E39-4052-999E-7252497013D3}" type="sibTrans" cxnId="{6C0D123C-C363-4848-ACDF-E61E62DA8ABF}">
      <dgm:prSet/>
      <dgm:spPr/>
      <dgm:t>
        <a:bodyPr/>
        <a:lstStyle/>
        <a:p>
          <a:endParaRPr lang="ru-RU"/>
        </a:p>
      </dgm:t>
    </dgm:pt>
    <dgm:pt modelId="{CBE74BDA-D1E8-404F-824B-788D13A6F277}">
      <dgm:prSet/>
      <dgm:spPr>
        <a:solidFill>
          <a:schemeClr val="accent1">
            <a:lumMod val="60000"/>
            <a:lumOff val="40000"/>
          </a:schemeClr>
        </a:solidFill>
      </dgm:spPr>
      <dgm:t>
        <a:bodyPr/>
        <a:lstStyle/>
        <a:p>
          <a:r>
            <a:rPr lang="en-US"/>
            <a:t>Based on Debt schedule assuptions</a:t>
          </a:r>
          <a:endParaRPr lang="ru-RU"/>
        </a:p>
      </dgm:t>
    </dgm:pt>
    <dgm:pt modelId="{2224A611-649F-4EE8-A840-24CCE5144AC9}" type="parTrans" cxnId="{9B7A8F6D-385A-4706-A83A-B86EEA3178BD}">
      <dgm:prSet/>
      <dgm:spPr/>
      <dgm:t>
        <a:bodyPr/>
        <a:lstStyle/>
        <a:p>
          <a:endParaRPr lang="ru-RU"/>
        </a:p>
      </dgm:t>
    </dgm:pt>
    <dgm:pt modelId="{46095A46-6D5A-4AA8-8DD8-97E33599E12D}" type="sibTrans" cxnId="{9B7A8F6D-385A-4706-A83A-B86EEA3178BD}">
      <dgm:prSet/>
      <dgm:spPr/>
      <dgm:t>
        <a:bodyPr/>
        <a:lstStyle/>
        <a:p>
          <a:endParaRPr lang="ru-RU"/>
        </a:p>
      </dgm:t>
    </dgm:pt>
    <dgm:pt modelId="{D3B6DD56-201F-47E9-A5C7-221950A656C2}">
      <dgm:prSet/>
      <dgm:spPr>
        <a:solidFill>
          <a:schemeClr val="accent1">
            <a:lumMod val="60000"/>
            <a:lumOff val="40000"/>
          </a:schemeClr>
        </a:solidFill>
      </dgm:spPr>
      <dgm:t>
        <a:bodyPr/>
        <a:lstStyle/>
        <a:p>
          <a:r>
            <a:rPr lang="en-US"/>
            <a:t>Based on Sales, EBITDA margin, SGA, DA  </a:t>
          </a:r>
          <a:endParaRPr lang="ru-RU"/>
        </a:p>
      </dgm:t>
    </dgm:pt>
    <dgm:pt modelId="{7CA5E77A-8251-47B9-8111-4ADCEA0B59E0}" type="parTrans" cxnId="{833836D3-4701-4F81-9A9D-0BD4931017DF}">
      <dgm:prSet/>
      <dgm:spPr/>
      <dgm:t>
        <a:bodyPr/>
        <a:lstStyle/>
        <a:p>
          <a:endParaRPr lang="ru-RU"/>
        </a:p>
      </dgm:t>
    </dgm:pt>
    <dgm:pt modelId="{E6EB8A39-03FD-4520-92E3-B702B3D7455D}" type="sibTrans" cxnId="{833836D3-4701-4F81-9A9D-0BD4931017DF}">
      <dgm:prSet/>
      <dgm:spPr/>
      <dgm:t>
        <a:bodyPr/>
        <a:lstStyle/>
        <a:p>
          <a:endParaRPr lang="ru-RU"/>
        </a:p>
      </dgm:t>
    </dgm:pt>
    <dgm:pt modelId="{806AD260-3FA2-45A6-9137-5770AB965DB3}">
      <dgm:prSet/>
      <dgm:spPr>
        <a:solidFill>
          <a:schemeClr val="accent1">
            <a:lumMod val="60000"/>
            <a:lumOff val="40000"/>
          </a:schemeClr>
        </a:solidFill>
      </dgm:spPr>
      <dgm:t>
        <a:bodyPr/>
        <a:lstStyle/>
        <a:p>
          <a:r>
            <a:rPr lang="en-US"/>
            <a:t>Based on industry specific Debt/EBITDA </a:t>
          </a:r>
          <a:endParaRPr lang="ru-RU"/>
        </a:p>
      </dgm:t>
    </dgm:pt>
    <dgm:pt modelId="{FE9C1A36-71E6-4202-8239-533FE3F39B09}" type="parTrans" cxnId="{89729305-2EBC-4449-BE79-72DC0D06C373}">
      <dgm:prSet/>
      <dgm:spPr/>
      <dgm:t>
        <a:bodyPr/>
        <a:lstStyle/>
        <a:p>
          <a:endParaRPr lang="ru-RU"/>
        </a:p>
      </dgm:t>
    </dgm:pt>
    <dgm:pt modelId="{7FA4F4EA-4529-410A-9321-7D96CC16E704}" type="sibTrans" cxnId="{89729305-2EBC-4449-BE79-72DC0D06C373}">
      <dgm:prSet/>
      <dgm:spPr/>
      <dgm:t>
        <a:bodyPr/>
        <a:lstStyle/>
        <a:p>
          <a:endParaRPr lang="ru-RU"/>
        </a:p>
      </dgm:t>
    </dgm:pt>
    <dgm:pt modelId="{9B1F044A-0A68-42CB-B3A5-1BC8628DD57E}">
      <dgm:prSet/>
      <dgm:spPr>
        <a:solidFill>
          <a:schemeClr val="accent1">
            <a:lumMod val="60000"/>
            <a:lumOff val="40000"/>
          </a:schemeClr>
        </a:solidFill>
      </dgm:spPr>
      <dgm:t>
        <a:bodyPr/>
        <a:lstStyle/>
        <a:p>
          <a:r>
            <a:rPr lang="en-US"/>
            <a:t>Based on Exit multiple assumption</a:t>
          </a:r>
          <a:endParaRPr lang="ru-RU"/>
        </a:p>
      </dgm:t>
    </dgm:pt>
    <dgm:pt modelId="{0D17FD46-376F-4656-A114-B9370E9B22EB}" type="parTrans" cxnId="{1B116EF6-5586-4BB6-887B-6E7BD871FE0E}">
      <dgm:prSet/>
      <dgm:spPr/>
      <dgm:t>
        <a:bodyPr/>
        <a:lstStyle/>
        <a:p>
          <a:endParaRPr lang="ru-RU"/>
        </a:p>
      </dgm:t>
    </dgm:pt>
    <dgm:pt modelId="{C4781E15-9DC5-405D-BB60-52686F0D3C8F}" type="sibTrans" cxnId="{1B116EF6-5586-4BB6-887B-6E7BD871FE0E}">
      <dgm:prSet/>
      <dgm:spPr/>
      <dgm:t>
        <a:bodyPr/>
        <a:lstStyle/>
        <a:p>
          <a:endParaRPr lang="ru-RU"/>
        </a:p>
      </dgm:t>
    </dgm:pt>
    <dgm:pt modelId="{330286B9-E486-4271-A0A6-145149217928}">
      <dgm:prSet/>
      <dgm:spPr/>
      <dgm:t>
        <a:bodyPr/>
        <a:lstStyle/>
        <a:p>
          <a:r>
            <a:rPr lang="en-US"/>
            <a:t>Share purchase price</a:t>
          </a:r>
          <a:endParaRPr lang="ru-RU"/>
        </a:p>
      </dgm:t>
    </dgm:pt>
    <dgm:pt modelId="{CC35D460-1B05-4739-8ED4-D447201885D1}" type="sibTrans" cxnId="{1496A532-5BCE-457D-ADD8-C76B135FBA07}">
      <dgm:prSet/>
      <dgm:spPr/>
      <dgm:t>
        <a:bodyPr/>
        <a:lstStyle/>
        <a:p>
          <a:endParaRPr lang="ru-RU"/>
        </a:p>
      </dgm:t>
    </dgm:pt>
    <dgm:pt modelId="{B5525FA1-A49C-47C1-9426-4DD8365ACEEA}" type="parTrans" cxnId="{1496A532-5BCE-457D-ADD8-C76B135FBA07}">
      <dgm:prSet/>
      <dgm:spPr/>
      <dgm:t>
        <a:bodyPr/>
        <a:lstStyle/>
        <a:p>
          <a:endParaRPr lang="ru-RU"/>
        </a:p>
      </dgm:t>
    </dgm:pt>
    <dgm:pt modelId="{C3134AC6-EEF9-4129-8464-5F1A57D166FC}">
      <dgm:prSet/>
      <dgm:spPr>
        <a:solidFill>
          <a:schemeClr val="accent1">
            <a:lumMod val="60000"/>
            <a:lumOff val="40000"/>
          </a:schemeClr>
        </a:solidFill>
      </dgm:spPr>
      <dgm:t>
        <a:bodyPr/>
        <a:lstStyle/>
        <a:p>
          <a:r>
            <a:rPr lang="en-US"/>
            <a:t>Based on market premium assumption </a:t>
          </a:r>
          <a:endParaRPr lang="ru-RU"/>
        </a:p>
      </dgm:t>
    </dgm:pt>
    <dgm:pt modelId="{726CC574-2ED4-4EEC-B9B1-FD6A57E35882}" type="parTrans" cxnId="{37BE2A30-DDA6-4FC0-A8DC-983E536C6CB1}">
      <dgm:prSet/>
      <dgm:spPr/>
      <dgm:t>
        <a:bodyPr/>
        <a:lstStyle/>
        <a:p>
          <a:endParaRPr lang="ru-RU"/>
        </a:p>
      </dgm:t>
    </dgm:pt>
    <dgm:pt modelId="{D39EE0E1-1884-48AF-9595-3D47D627C85D}" type="sibTrans" cxnId="{37BE2A30-DDA6-4FC0-A8DC-983E536C6CB1}">
      <dgm:prSet/>
      <dgm:spPr/>
      <dgm:t>
        <a:bodyPr/>
        <a:lstStyle/>
        <a:p>
          <a:endParaRPr lang="ru-RU"/>
        </a:p>
      </dgm:t>
    </dgm:pt>
    <dgm:pt modelId="{0F45FEC8-B520-4595-991E-BEA32DE767E5}">
      <dgm:prSet/>
      <dgm:spPr>
        <a:solidFill>
          <a:schemeClr val="accent1">
            <a:lumMod val="60000"/>
            <a:lumOff val="40000"/>
          </a:schemeClr>
        </a:solidFill>
      </dgm:spPr>
      <dgm:t>
        <a:bodyPr/>
        <a:lstStyle/>
        <a:p>
          <a:r>
            <a:rPr lang="en-US"/>
            <a:t>Based on debt structure and debt cost assump.</a:t>
          </a:r>
          <a:endParaRPr lang="ru-RU"/>
        </a:p>
      </dgm:t>
    </dgm:pt>
    <dgm:pt modelId="{93EF3F1F-1AEC-4C82-B847-62F0E3E29D0F}" type="parTrans" cxnId="{D9E7A378-FE21-481D-B722-3EB5E4ADE288}">
      <dgm:prSet/>
      <dgm:spPr/>
      <dgm:t>
        <a:bodyPr/>
        <a:lstStyle/>
        <a:p>
          <a:endParaRPr lang="ru-RU"/>
        </a:p>
      </dgm:t>
    </dgm:pt>
    <dgm:pt modelId="{3502D054-7B16-4496-B3B1-BC10BF5B9992}" type="sibTrans" cxnId="{D9E7A378-FE21-481D-B722-3EB5E4ADE288}">
      <dgm:prSet/>
      <dgm:spPr/>
      <dgm:t>
        <a:bodyPr/>
        <a:lstStyle/>
        <a:p>
          <a:endParaRPr lang="ru-RU"/>
        </a:p>
      </dgm:t>
    </dgm:pt>
    <dgm:pt modelId="{E38EF766-A2E8-4A6B-A605-8F0630AB4574}" type="pres">
      <dgm:prSet presAssocID="{96116618-71DD-482F-AAE1-5F63C4C146A0}" presName="Name0" presStyleCnt="0">
        <dgm:presLayoutVars>
          <dgm:chPref val="1"/>
          <dgm:dir/>
          <dgm:animOne val="branch"/>
          <dgm:animLvl val="lvl"/>
          <dgm:resizeHandles val="exact"/>
        </dgm:presLayoutVars>
      </dgm:prSet>
      <dgm:spPr/>
      <dgm:t>
        <a:bodyPr/>
        <a:lstStyle/>
        <a:p>
          <a:endParaRPr lang="ru-RU"/>
        </a:p>
      </dgm:t>
    </dgm:pt>
    <dgm:pt modelId="{9C08AC24-4476-4167-8407-782C00E548B2}" type="pres">
      <dgm:prSet presAssocID="{4348A7FE-D3E7-49D8-A705-029DCCCB25DE}" presName="root1" presStyleCnt="0"/>
      <dgm:spPr/>
    </dgm:pt>
    <dgm:pt modelId="{2C774B62-4FD5-45A1-8B9A-C94830B2ED5F}" type="pres">
      <dgm:prSet presAssocID="{4348A7FE-D3E7-49D8-A705-029DCCCB25DE}" presName="LevelOneTextNode" presStyleLbl="node0" presStyleIdx="0" presStyleCnt="1">
        <dgm:presLayoutVars>
          <dgm:chPref val="3"/>
        </dgm:presLayoutVars>
      </dgm:prSet>
      <dgm:spPr>
        <a:prstGeom prst="flowChartInputOutput">
          <a:avLst/>
        </a:prstGeom>
      </dgm:spPr>
      <dgm:t>
        <a:bodyPr/>
        <a:lstStyle/>
        <a:p>
          <a:endParaRPr lang="ru-RU"/>
        </a:p>
      </dgm:t>
    </dgm:pt>
    <dgm:pt modelId="{C3112F80-504A-4E54-891B-9417DB851261}" type="pres">
      <dgm:prSet presAssocID="{4348A7FE-D3E7-49D8-A705-029DCCCB25DE}" presName="level2hierChild" presStyleCnt="0"/>
      <dgm:spPr/>
    </dgm:pt>
    <dgm:pt modelId="{2902A5A1-EFA0-4A03-8F5B-39FA3A3EE3A0}" type="pres">
      <dgm:prSet presAssocID="{09B777BD-024F-4946-A81A-7F3822AD9749}" presName="conn2-1" presStyleLbl="parChTrans1D2" presStyleIdx="0" presStyleCnt="2"/>
      <dgm:spPr/>
      <dgm:t>
        <a:bodyPr/>
        <a:lstStyle/>
        <a:p>
          <a:endParaRPr lang="ru-RU"/>
        </a:p>
      </dgm:t>
    </dgm:pt>
    <dgm:pt modelId="{F784BD53-FD6F-420E-8342-71607792D313}" type="pres">
      <dgm:prSet presAssocID="{09B777BD-024F-4946-A81A-7F3822AD9749}" presName="connTx" presStyleLbl="parChTrans1D2" presStyleIdx="0" presStyleCnt="2"/>
      <dgm:spPr/>
      <dgm:t>
        <a:bodyPr/>
        <a:lstStyle/>
        <a:p>
          <a:endParaRPr lang="ru-RU"/>
        </a:p>
      </dgm:t>
    </dgm:pt>
    <dgm:pt modelId="{D67AA24E-C490-4712-82DC-5952D7AF56C3}" type="pres">
      <dgm:prSet presAssocID="{54F4D680-DAD5-4C14-B8DD-6B9685524F84}" presName="root2" presStyleCnt="0"/>
      <dgm:spPr/>
    </dgm:pt>
    <dgm:pt modelId="{71252EEB-ED02-405A-A23B-29BCE17FF211}" type="pres">
      <dgm:prSet presAssocID="{54F4D680-DAD5-4C14-B8DD-6B9685524F84}" presName="LevelTwoTextNode" presStyleLbl="node2" presStyleIdx="0" presStyleCnt="2">
        <dgm:presLayoutVars>
          <dgm:chPref val="3"/>
        </dgm:presLayoutVars>
      </dgm:prSet>
      <dgm:spPr/>
      <dgm:t>
        <a:bodyPr/>
        <a:lstStyle/>
        <a:p>
          <a:endParaRPr lang="ru-RU"/>
        </a:p>
      </dgm:t>
    </dgm:pt>
    <dgm:pt modelId="{D5A1439D-7069-457A-927E-1670E55CE816}" type="pres">
      <dgm:prSet presAssocID="{54F4D680-DAD5-4C14-B8DD-6B9685524F84}" presName="level3hierChild" presStyleCnt="0"/>
      <dgm:spPr/>
    </dgm:pt>
    <dgm:pt modelId="{00F9A2E1-8B29-4B86-93A2-8F2B346B7A59}" type="pres">
      <dgm:prSet presAssocID="{8191AFAE-8EBC-4D7A-BEE5-63C5F864D888}" presName="conn2-1" presStyleLbl="parChTrans1D3" presStyleIdx="0" presStyleCnt="4"/>
      <dgm:spPr/>
      <dgm:t>
        <a:bodyPr/>
        <a:lstStyle/>
        <a:p>
          <a:endParaRPr lang="ru-RU"/>
        </a:p>
      </dgm:t>
    </dgm:pt>
    <dgm:pt modelId="{FEF5EA97-538B-4685-BA24-BBDE6D566A33}" type="pres">
      <dgm:prSet presAssocID="{8191AFAE-8EBC-4D7A-BEE5-63C5F864D888}" presName="connTx" presStyleLbl="parChTrans1D3" presStyleIdx="0" presStyleCnt="4"/>
      <dgm:spPr/>
      <dgm:t>
        <a:bodyPr/>
        <a:lstStyle/>
        <a:p>
          <a:endParaRPr lang="ru-RU"/>
        </a:p>
      </dgm:t>
    </dgm:pt>
    <dgm:pt modelId="{FAD5A0BA-7B80-4D6A-9F44-D113B918DB68}" type="pres">
      <dgm:prSet presAssocID="{51F321EC-A677-4DB9-8F6D-9A2DC8A0F5CB}" presName="root2" presStyleCnt="0"/>
      <dgm:spPr/>
    </dgm:pt>
    <dgm:pt modelId="{7A15E2E1-2655-4DC2-897E-D600F396BB75}" type="pres">
      <dgm:prSet presAssocID="{51F321EC-A677-4DB9-8F6D-9A2DC8A0F5CB}" presName="LevelTwoTextNode" presStyleLbl="node3" presStyleIdx="0" presStyleCnt="4">
        <dgm:presLayoutVars>
          <dgm:chPref val="3"/>
        </dgm:presLayoutVars>
      </dgm:prSet>
      <dgm:spPr/>
      <dgm:t>
        <a:bodyPr/>
        <a:lstStyle/>
        <a:p>
          <a:endParaRPr lang="ru-RU"/>
        </a:p>
      </dgm:t>
    </dgm:pt>
    <dgm:pt modelId="{36239C78-D60B-4BC0-9065-037CC6E71AAE}" type="pres">
      <dgm:prSet presAssocID="{51F321EC-A677-4DB9-8F6D-9A2DC8A0F5CB}" presName="level3hierChild" presStyleCnt="0"/>
      <dgm:spPr/>
    </dgm:pt>
    <dgm:pt modelId="{EDC7A6AE-E1C2-4EA7-9054-F821D38A059B}" type="pres">
      <dgm:prSet presAssocID="{8E6A1B46-8FBE-403D-935D-995391FE19F8}" presName="conn2-1" presStyleLbl="parChTrans1D4" presStyleIdx="0" presStyleCnt="23"/>
      <dgm:spPr/>
      <dgm:t>
        <a:bodyPr/>
        <a:lstStyle/>
        <a:p>
          <a:endParaRPr lang="ru-RU"/>
        </a:p>
      </dgm:t>
    </dgm:pt>
    <dgm:pt modelId="{8EA80E7F-0D00-486E-8210-212304D5B3CF}" type="pres">
      <dgm:prSet presAssocID="{8E6A1B46-8FBE-403D-935D-995391FE19F8}" presName="connTx" presStyleLbl="parChTrans1D4" presStyleIdx="0" presStyleCnt="23"/>
      <dgm:spPr/>
      <dgm:t>
        <a:bodyPr/>
        <a:lstStyle/>
        <a:p>
          <a:endParaRPr lang="ru-RU"/>
        </a:p>
      </dgm:t>
    </dgm:pt>
    <dgm:pt modelId="{BC95BE80-7A8E-4334-A671-22E646A1A1B7}" type="pres">
      <dgm:prSet presAssocID="{FE4853E9-727A-490A-AE1B-206A091AEEDF}" presName="root2" presStyleCnt="0"/>
      <dgm:spPr/>
    </dgm:pt>
    <dgm:pt modelId="{E1F2A7C2-F5C6-46CD-B866-238B7304D43D}" type="pres">
      <dgm:prSet presAssocID="{FE4853E9-727A-490A-AE1B-206A091AEEDF}" presName="LevelTwoTextNode" presStyleLbl="node4" presStyleIdx="0" presStyleCnt="23">
        <dgm:presLayoutVars>
          <dgm:chPref val="3"/>
        </dgm:presLayoutVars>
      </dgm:prSet>
      <dgm:spPr/>
      <dgm:t>
        <a:bodyPr/>
        <a:lstStyle/>
        <a:p>
          <a:endParaRPr lang="ru-RU"/>
        </a:p>
      </dgm:t>
    </dgm:pt>
    <dgm:pt modelId="{33336C75-CF64-4CE5-9858-7F238B098C16}" type="pres">
      <dgm:prSet presAssocID="{FE4853E9-727A-490A-AE1B-206A091AEEDF}" presName="level3hierChild" presStyleCnt="0"/>
      <dgm:spPr/>
    </dgm:pt>
    <dgm:pt modelId="{DFC78A1C-E00A-4BF1-8D2D-E2A893A5859E}" type="pres">
      <dgm:prSet presAssocID="{8F67A3E8-20DD-4EE4-B539-28EDC771BC45}" presName="conn2-1" presStyleLbl="parChTrans1D4" presStyleIdx="1" presStyleCnt="23"/>
      <dgm:spPr/>
      <dgm:t>
        <a:bodyPr/>
        <a:lstStyle/>
        <a:p>
          <a:endParaRPr lang="ru-RU"/>
        </a:p>
      </dgm:t>
    </dgm:pt>
    <dgm:pt modelId="{5309BA4F-050C-4D97-93A5-DC76F25DC80B}" type="pres">
      <dgm:prSet presAssocID="{8F67A3E8-20DD-4EE4-B539-28EDC771BC45}" presName="connTx" presStyleLbl="parChTrans1D4" presStyleIdx="1" presStyleCnt="23"/>
      <dgm:spPr/>
      <dgm:t>
        <a:bodyPr/>
        <a:lstStyle/>
        <a:p>
          <a:endParaRPr lang="ru-RU"/>
        </a:p>
      </dgm:t>
    </dgm:pt>
    <dgm:pt modelId="{EE98435E-87EE-44D1-A0FF-A9C585D75842}" type="pres">
      <dgm:prSet presAssocID="{E317C68D-FA29-4CB7-B4CC-757647727F4F}" presName="root2" presStyleCnt="0"/>
      <dgm:spPr/>
    </dgm:pt>
    <dgm:pt modelId="{D0159374-6F76-4753-A426-8B9FCE5C1DD5}" type="pres">
      <dgm:prSet presAssocID="{E317C68D-FA29-4CB7-B4CC-757647727F4F}" presName="LevelTwoTextNode" presStyleLbl="node4" presStyleIdx="1" presStyleCnt="23">
        <dgm:presLayoutVars>
          <dgm:chPref val="3"/>
        </dgm:presLayoutVars>
      </dgm:prSet>
      <dgm:spPr/>
      <dgm:t>
        <a:bodyPr/>
        <a:lstStyle/>
        <a:p>
          <a:endParaRPr lang="ru-RU"/>
        </a:p>
      </dgm:t>
    </dgm:pt>
    <dgm:pt modelId="{A8373952-DFCE-4D6A-823B-08823C717A23}" type="pres">
      <dgm:prSet presAssocID="{E317C68D-FA29-4CB7-B4CC-757647727F4F}" presName="level3hierChild" presStyleCnt="0"/>
      <dgm:spPr/>
    </dgm:pt>
    <dgm:pt modelId="{A855F001-D26D-475C-A476-70F2341B90FE}" type="pres">
      <dgm:prSet presAssocID="{992DB263-447D-425A-BA99-8AB7B20E2EC2}" presName="conn2-1" presStyleLbl="parChTrans1D4" presStyleIdx="2" presStyleCnt="23"/>
      <dgm:spPr/>
      <dgm:t>
        <a:bodyPr/>
        <a:lstStyle/>
        <a:p>
          <a:endParaRPr lang="ru-RU"/>
        </a:p>
      </dgm:t>
    </dgm:pt>
    <dgm:pt modelId="{FECD79B6-8F5C-4507-96A3-6DA8CDA9A5C6}" type="pres">
      <dgm:prSet presAssocID="{992DB263-447D-425A-BA99-8AB7B20E2EC2}" presName="connTx" presStyleLbl="parChTrans1D4" presStyleIdx="2" presStyleCnt="23"/>
      <dgm:spPr/>
      <dgm:t>
        <a:bodyPr/>
        <a:lstStyle/>
        <a:p>
          <a:endParaRPr lang="ru-RU"/>
        </a:p>
      </dgm:t>
    </dgm:pt>
    <dgm:pt modelId="{3374FCA9-E48C-4E42-933C-2905166E6459}" type="pres">
      <dgm:prSet presAssocID="{D9CA0B1D-9DD6-4A8C-B60C-EA266D20C12A}" presName="root2" presStyleCnt="0"/>
      <dgm:spPr/>
    </dgm:pt>
    <dgm:pt modelId="{1208BA08-C239-444A-8830-51164557F6C4}" type="pres">
      <dgm:prSet presAssocID="{D9CA0B1D-9DD6-4A8C-B60C-EA266D20C12A}" presName="LevelTwoTextNode" presStyleLbl="node4" presStyleIdx="2" presStyleCnt="23" custLinFactNeighborX="8469" custLinFactNeighborY="-13758">
        <dgm:presLayoutVars>
          <dgm:chPref val="3"/>
        </dgm:presLayoutVars>
      </dgm:prSet>
      <dgm:spPr>
        <a:prstGeom prst="roundRect">
          <a:avLst/>
        </a:prstGeom>
      </dgm:spPr>
      <dgm:t>
        <a:bodyPr/>
        <a:lstStyle/>
        <a:p>
          <a:endParaRPr lang="ru-RU"/>
        </a:p>
      </dgm:t>
    </dgm:pt>
    <dgm:pt modelId="{7EA0CB03-F9F9-4BF0-A48F-46EFB674471C}" type="pres">
      <dgm:prSet presAssocID="{D9CA0B1D-9DD6-4A8C-B60C-EA266D20C12A}" presName="level3hierChild" presStyleCnt="0"/>
      <dgm:spPr/>
    </dgm:pt>
    <dgm:pt modelId="{912B174D-27B7-4127-9CC1-F790478B6351}" type="pres">
      <dgm:prSet presAssocID="{B5525FA1-A49C-47C1-9426-4DD8365ACEEA}" presName="conn2-1" presStyleLbl="parChTrans1D4" presStyleIdx="3" presStyleCnt="23"/>
      <dgm:spPr/>
      <dgm:t>
        <a:bodyPr/>
        <a:lstStyle/>
        <a:p>
          <a:endParaRPr lang="ru-RU"/>
        </a:p>
      </dgm:t>
    </dgm:pt>
    <dgm:pt modelId="{360BF35B-D718-4706-BBC3-394546F584F3}" type="pres">
      <dgm:prSet presAssocID="{B5525FA1-A49C-47C1-9426-4DD8365ACEEA}" presName="connTx" presStyleLbl="parChTrans1D4" presStyleIdx="3" presStyleCnt="23"/>
      <dgm:spPr/>
      <dgm:t>
        <a:bodyPr/>
        <a:lstStyle/>
        <a:p>
          <a:endParaRPr lang="ru-RU"/>
        </a:p>
      </dgm:t>
    </dgm:pt>
    <dgm:pt modelId="{79AD9039-534F-4C34-87F7-0043EB133264}" type="pres">
      <dgm:prSet presAssocID="{330286B9-E486-4271-A0A6-145149217928}" presName="root2" presStyleCnt="0"/>
      <dgm:spPr/>
    </dgm:pt>
    <dgm:pt modelId="{9E5B9E7C-7AB3-4DC1-BD27-5620E83B6D48}" type="pres">
      <dgm:prSet presAssocID="{330286B9-E486-4271-A0A6-145149217928}" presName="LevelTwoTextNode" presStyleLbl="node4" presStyleIdx="3" presStyleCnt="23" custLinFactY="1437" custLinFactNeighborX="8531" custLinFactNeighborY="100000">
        <dgm:presLayoutVars>
          <dgm:chPref val="3"/>
        </dgm:presLayoutVars>
      </dgm:prSet>
      <dgm:spPr/>
      <dgm:t>
        <a:bodyPr/>
        <a:lstStyle/>
        <a:p>
          <a:endParaRPr lang="ru-RU"/>
        </a:p>
      </dgm:t>
    </dgm:pt>
    <dgm:pt modelId="{1B58D3E2-F1FA-4813-BF6C-2C85649BB2E8}" type="pres">
      <dgm:prSet presAssocID="{330286B9-E486-4271-A0A6-145149217928}" presName="level3hierChild" presStyleCnt="0"/>
      <dgm:spPr/>
    </dgm:pt>
    <dgm:pt modelId="{6A0BA63C-3EA7-4881-B633-8DC0AC78745C}" type="pres">
      <dgm:prSet presAssocID="{726CC574-2ED4-4EEC-B9B1-FD6A57E35882}" presName="conn2-1" presStyleLbl="parChTrans1D4" presStyleIdx="4" presStyleCnt="23"/>
      <dgm:spPr/>
      <dgm:t>
        <a:bodyPr/>
        <a:lstStyle/>
        <a:p>
          <a:endParaRPr lang="ru-RU"/>
        </a:p>
      </dgm:t>
    </dgm:pt>
    <dgm:pt modelId="{1F48DC55-2DF6-45B3-982A-12344B0A4DC5}" type="pres">
      <dgm:prSet presAssocID="{726CC574-2ED4-4EEC-B9B1-FD6A57E35882}" presName="connTx" presStyleLbl="parChTrans1D4" presStyleIdx="4" presStyleCnt="23"/>
      <dgm:spPr/>
      <dgm:t>
        <a:bodyPr/>
        <a:lstStyle/>
        <a:p>
          <a:endParaRPr lang="ru-RU"/>
        </a:p>
      </dgm:t>
    </dgm:pt>
    <dgm:pt modelId="{8FC08EEB-F87F-4A9F-9A50-FE8441661129}" type="pres">
      <dgm:prSet presAssocID="{C3134AC6-EEF9-4129-8464-5F1A57D166FC}" presName="root2" presStyleCnt="0"/>
      <dgm:spPr/>
    </dgm:pt>
    <dgm:pt modelId="{0F6731D3-20E1-45FE-ACBD-6C969397F555}" type="pres">
      <dgm:prSet presAssocID="{C3134AC6-EEF9-4129-8464-5F1A57D166FC}" presName="LevelTwoTextNode" presStyleLbl="node4" presStyleIdx="4" presStyleCnt="23">
        <dgm:presLayoutVars>
          <dgm:chPref val="3"/>
        </dgm:presLayoutVars>
      </dgm:prSet>
      <dgm:spPr/>
      <dgm:t>
        <a:bodyPr/>
        <a:lstStyle/>
        <a:p>
          <a:endParaRPr lang="ru-RU"/>
        </a:p>
      </dgm:t>
    </dgm:pt>
    <dgm:pt modelId="{A22E3AC0-E8F4-4004-8519-6A3873EF8D6F}" type="pres">
      <dgm:prSet presAssocID="{C3134AC6-EEF9-4129-8464-5F1A57D166FC}" presName="level3hierChild" presStyleCnt="0"/>
      <dgm:spPr/>
    </dgm:pt>
    <dgm:pt modelId="{2A8D1577-0F3D-4F83-82D9-FFC50E36E934}" type="pres">
      <dgm:prSet presAssocID="{48338E3C-DDF1-4A1B-8347-96836DCA2D90}" presName="conn2-1" presStyleLbl="parChTrans1D4" presStyleIdx="5" presStyleCnt="23"/>
      <dgm:spPr/>
      <dgm:t>
        <a:bodyPr/>
        <a:lstStyle/>
        <a:p>
          <a:endParaRPr lang="ru-RU"/>
        </a:p>
      </dgm:t>
    </dgm:pt>
    <dgm:pt modelId="{9B8F9775-7061-489D-95B7-1B1D469E3495}" type="pres">
      <dgm:prSet presAssocID="{48338E3C-DDF1-4A1B-8347-96836DCA2D90}" presName="connTx" presStyleLbl="parChTrans1D4" presStyleIdx="5" presStyleCnt="23"/>
      <dgm:spPr/>
      <dgm:t>
        <a:bodyPr/>
        <a:lstStyle/>
        <a:p>
          <a:endParaRPr lang="ru-RU"/>
        </a:p>
      </dgm:t>
    </dgm:pt>
    <dgm:pt modelId="{92EBFA78-CDDD-49BC-BFE0-F1DB0D25DDAE}" type="pres">
      <dgm:prSet presAssocID="{417012D2-9ADF-4663-93C6-A447BF66FE4A}" presName="root2" presStyleCnt="0"/>
      <dgm:spPr/>
    </dgm:pt>
    <dgm:pt modelId="{3B327AAF-4193-4F1B-BDAD-D4EAC97AB7C3}" type="pres">
      <dgm:prSet presAssocID="{417012D2-9ADF-4663-93C6-A447BF66FE4A}" presName="LevelTwoTextNode" presStyleLbl="node4" presStyleIdx="5" presStyleCnt="23">
        <dgm:presLayoutVars>
          <dgm:chPref val="3"/>
        </dgm:presLayoutVars>
      </dgm:prSet>
      <dgm:spPr/>
      <dgm:t>
        <a:bodyPr/>
        <a:lstStyle/>
        <a:p>
          <a:endParaRPr lang="ru-RU"/>
        </a:p>
      </dgm:t>
    </dgm:pt>
    <dgm:pt modelId="{5CB03F03-2B25-404C-BB33-5BABD74ECEE8}" type="pres">
      <dgm:prSet presAssocID="{417012D2-9ADF-4663-93C6-A447BF66FE4A}" presName="level3hierChild" presStyleCnt="0"/>
      <dgm:spPr/>
    </dgm:pt>
    <dgm:pt modelId="{DBC32FA7-ABA2-479B-BC28-9D773A5A9674}" type="pres">
      <dgm:prSet presAssocID="{E6B96A5D-3C0D-4788-8393-9519B7F5F9B7}" presName="conn2-1" presStyleLbl="parChTrans1D4" presStyleIdx="6" presStyleCnt="23"/>
      <dgm:spPr/>
      <dgm:t>
        <a:bodyPr/>
        <a:lstStyle/>
        <a:p>
          <a:endParaRPr lang="ru-RU"/>
        </a:p>
      </dgm:t>
    </dgm:pt>
    <dgm:pt modelId="{64D3DA34-1FD5-412C-9990-08AA4D907ADB}" type="pres">
      <dgm:prSet presAssocID="{E6B96A5D-3C0D-4788-8393-9519B7F5F9B7}" presName="connTx" presStyleLbl="parChTrans1D4" presStyleIdx="6" presStyleCnt="23"/>
      <dgm:spPr/>
      <dgm:t>
        <a:bodyPr/>
        <a:lstStyle/>
        <a:p>
          <a:endParaRPr lang="ru-RU"/>
        </a:p>
      </dgm:t>
    </dgm:pt>
    <dgm:pt modelId="{07B854BC-734D-4E6B-BA87-1D804F4D8B16}" type="pres">
      <dgm:prSet presAssocID="{0C57A6DA-0188-4160-925E-CEA97FD576D2}" presName="root2" presStyleCnt="0"/>
      <dgm:spPr/>
    </dgm:pt>
    <dgm:pt modelId="{476DDA1D-A285-4F0C-9BA6-3DA859F11C4D}" type="pres">
      <dgm:prSet presAssocID="{0C57A6DA-0188-4160-925E-CEA97FD576D2}" presName="LevelTwoTextNode" presStyleLbl="node4" presStyleIdx="6" presStyleCnt="23">
        <dgm:presLayoutVars>
          <dgm:chPref val="3"/>
        </dgm:presLayoutVars>
      </dgm:prSet>
      <dgm:spPr/>
      <dgm:t>
        <a:bodyPr/>
        <a:lstStyle/>
        <a:p>
          <a:endParaRPr lang="ru-RU"/>
        </a:p>
      </dgm:t>
    </dgm:pt>
    <dgm:pt modelId="{D1019940-70B5-4A25-AF53-0369D195E1D4}" type="pres">
      <dgm:prSet presAssocID="{0C57A6DA-0188-4160-925E-CEA97FD576D2}" presName="level3hierChild" presStyleCnt="0"/>
      <dgm:spPr/>
    </dgm:pt>
    <dgm:pt modelId="{D15C7707-0964-4D74-9A6B-79A58A47B5C4}" type="pres">
      <dgm:prSet presAssocID="{93EF3F1F-1AEC-4C82-B847-62F0E3E29D0F}" presName="conn2-1" presStyleLbl="parChTrans1D4" presStyleIdx="7" presStyleCnt="23"/>
      <dgm:spPr/>
      <dgm:t>
        <a:bodyPr/>
        <a:lstStyle/>
        <a:p>
          <a:endParaRPr lang="ru-RU"/>
        </a:p>
      </dgm:t>
    </dgm:pt>
    <dgm:pt modelId="{890549B0-73CD-47C9-B0B3-124F10209738}" type="pres">
      <dgm:prSet presAssocID="{93EF3F1F-1AEC-4C82-B847-62F0E3E29D0F}" presName="connTx" presStyleLbl="parChTrans1D4" presStyleIdx="7" presStyleCnt="23"/>
      <dgm:spPr/>
      <dgm:t>
        <a:bodyPr/>
        <a:lstStyle/>
        <a:p>
          <a:endParaRPr lang="ru-RU"/>
        </a:p>
      </dgm:t>
    </dgm:pt>
    <dgm:pt modelId="{DF1A4C6C-AA15-4533-BF8E-CFFDAFBA4FBE}" type="pres">
      <dgm:prSet presAssocID="{0F45FEC8-B520-4595-991E-BEA32DE767E5}" presName="root2" presStyleCnt="0"/>
      <dgm:spPr/>
    </dgm:pt>
    <dgm:pt modelId="{49BD26DA-549C-4516-949F-D2AA9EB0AEF6}" type="pres">
      <dgm:prSet presAssocID="{0F45FEC8-B520-4595-991E-BEA32DE767E5}" presName="LevelTwoTextNode" presStyleLbl="node4" presStyleIdx="7" presStyleCnt="23">
        <dgm:presLayoutVars>
          <dgm:chPref val="3"/>
        </dgm:presLayoutVars>
      </dgm:prSet>
      <dgm:spPr/>
      <dgm:t>
        <a:bodyPr/>
        <a:lstStyle/>
        <a:p>
          <a:endParaRPr lang="ru-RU"/>
        </a:p>
      </dgm:t>
    </dgm:pt>
    <dgm:pt modelId="{F520B7E1-2B2A-4653-A45E-ACD6365B0863}" type="pres">
      <dgm:prSet presAssocID="{0F45FEC8-B520-4595-991E-BEA32DE767E5}" presName="level3hierChild" presStyleCnt="0"/>
      <dgm:spPr/>
    </dgm:pt>
    <dgm:pt modelId="{4E0420AA-B717-46C3-BA59-CFB657610A6B}" type="pres">
      <dgm:prSet presAssocID="{85372032-B81E-451B-B755-73560C8E2E67}" presName="conn2-1" presStyleLbl="parChTrans1D4" presStyleIdx="8" presStyleCnt="23"/>
      <dgm:spPr/>
      <dgm:t>
        <a:bodyPr/>
        <a:lstStyle/>
        <a:p>
          <a:endParaRPr lang="ru-RU"/>
        </a:p>
      </dgm:t>
    </dgm:pt>
    <dgm:pt modelId="{4FE59FD3-37CF-431C-B145-41205E895416}" type="pres">
      <dgm:prSet presAssocID="{85372032-B81E-451B-B755-73560C8E2E67}" presName="connTx" presStyleLbl="parChTrans1D4" presStyleIdx="8" presStyleCnt="23"/>
      <dgm:spPr/>
      <dgm:t>
        <a:bodyPr/>
        <a:lstStyle/>
        <a:p>
          <a:endParaRPr lang="ru-RU"/>
        </a:p>
      </dgm:t>
    </dgm:pt>
    <dgm:pt modelId="{EC82DD01-B2B2-4DE4-8214-466B26D5D08F}" type="pres">
      <dgm:prSet presAssocID="{CA60CC46-F9DB-485C-BFA3-EFE9806522D7}" presName="root2" presStyleCnt="0"/>
      <dgm:spPr/>
    </dgm:pt>
    <dgm:pt modelId="{E4566AD4-2965-4C47-BDC7-2673DE3FCB1B}" type="pres">
      <dgm:prSet presAssocID="{CA60CC46-F9DB-485C-BFA3-EFE9806522D7}" presName="LevelTwoTextNode" presStyleLbl="node4" presStyleIdx="8" presStyleCnt="23">
        <dgm:presLayoutVars>
          <dgm:chPref val="3"/>
        </dgm:presLayoutVars>
      </dgm:prSet>
      <dgm:spPr/>
      <dgm:t>
        <a:bodyPr/>
        <a:lstStyle/>
        <a:p>
          <a:endParaRPr lang="ru-RU"/>
        </a:p>
      </dgm:t>
    </dgm:pt>
    <dgm:pt modelId="{C97E0ED7-C070-40D6-A340-7CF99F3FFB28}" type="pres">
      <dgm:prSet presAssocID="{CA60CC46-F9DB-485C-BFA3-EFE9806522D7}" presName="level3hierChild" presStyleCnt="0"/>
      <dgm:spPr/>
    </dgm:pt>
    <dgm:pt modelId="{0B2BFF33-0BE3-44D5-9FFC-F7204C5E4645}" type="pres">
      <dgm:prSet presAssocID="{CD13FD5B-D871-4582-9050-A651572DAFF0}" presName="conn2-1" presStyleLbl="parChTrans1D3" presStyleIdx="1" presStyleCnt="4"/>
      <dgm:spPr/>
      <dgm:t>
        <a:bodyPr/>
        <a:lstStyle/>
        <a:p>
          <a:endParaRPr lang="ru-RU"/>
        </a:p>
      </dgm:t>
    </dgm:pt>
    <dgm:pt modelId="{92A5566F-E0C5-4834-A361-19EBC81D5D97}" type="pres">
      <dgm:prSet presAssocID="{CD13FD5B-D871-4582-9050-A651572DAFF0}" presName="connTx" presStyleLbl="parChTrans1D3" presStyleIdx="1" presStyleCnt="4"/>
      <dgm:spPr/>
      <dgm:t>
        <a:bodyPr/>
        <a:lstStyle/>
        <a:p>
          <a:endParaRPr lang="ru-RU"/>
        </a:p>
      </dgm:t>
    </dgm:pt>
    <dgm:pt modelId="{71227E54-63EE-47A5-9DF0-B7C6D8889A99}" type="pres">
      <dgm:prSet presAssocID="{73ADC7BE-14CC-4AEB-8B22-EFA269C4BD8B}" presName="root2" presStyleCnt="0"/>
      <dgm:spPr/>
    </dgm:pt>
    <dgm:pt modelId="{64138703-F7A6-4089-8C95-3BDA93209238}" type="pres">
      <dgm:prSet presAssocID="{73ADC7BE-14CC-4AEB-8B22-EFA269C4BD8B}" presName="LevelTwoTextNode" presStyleLbl="node3" presStyleIdx="1" presStyleCnt="4">
        <dgm:presLayoutVars>
          <dgm:chPref val="3"/>
        </dgm:presLayoutVars>
      </dgm:prSet>
      <dgm:spPr/>
      <dgm:t>
        <a:bodyPr/>
        <a:lstStyle/>
        <a:p>
          <a:endParaRPr lang="ru-RU"/>
        </a:p>
      </dgm:t>
    </dgm:pt>
    <dgm:pt modelId="{5FC19FA6-0F66-45CB-8E3F-ACC29125D57E}" type="pres">
      <dgm:prSet presAssocID="{73ADC7BE-14CC-4AEB-8B22-EFA269C4BD8B}" presName="level3hierChild" presStyleCnt="0"/>
      <dgm:spPr/>
    </dgm:pt>
    <dgm:pt modelId="{21283669-252B-4569-9E95-8D5642535A41}" type="pres">
      <dgm:prSet presAssocID="{DD185735-9E75-4A66-92F3-679B05EAD246}" presName="conn2-1" presStyleLbl="parChTrans1D4" presStyleIdx="9" presStyleCnt="23"/>
      <dgm:spPr/>
      <dgm:t>
        <a:bodyPr/>
        <a:lstStyle/>
        <a:p>
          <a:endParaRPr lang="ru-RU"/>
        </a:p>
      </dgm:t>
    </dgm:pt>
    <dgm:pt modelId="{89C2BCCC-CD93-46EE-AFBE-679A0F03C471}" type="pres">
      <dgm:prSet presAssocID="{DD185735-9E75-4A66-92F3-679B05EAD246}" presName="connTx" presStyleLbl="parChTrans1D4" presStyleIdx="9" presStyleCnt="23"/>
      <dgm:spPr/>
      <dgm:t>
        <a:bodyPr/>
        <a:lstStyle/>
        <a:p>
          <a:endParaRPr lang="ru-RU"/>
        </a:p>
      </dgm:t>
    </dgm:pt>
    <dgm:pt modelId="{9A4AFC53-0DC8-43D6-9D04-976D3528B47F}" type="pres">
      <dgm:prSet presAssocID="{7F0BCC2A-F56E-4ABB-8DC9-498205B3808C}" presName="root2" presStyleCnt="0"/>
      <dgm:spPr/>
    </dgm:pt>
    <dgm:pt modelId="{8569AFBE-3563-43F9-A494-98AAA98C5305}" type="pres">
      <dgm:prSet presAssocID="{7F0BCC2A-F56E-4ABB-8DC9-498205B3808C}" presName="LevelTwoTextNode" presStyleLbl="node4" presStyleIdx="9" presStyleCnt="23">
        <dgm:presLayoutVars>
          <dgm:chPref val="3"/>
        </dgm:presLayoutVars>
      </dgm:prSet>
      <dgm:spPr/>
      <dgm:t>
        <a:bodyPr/>
        <a:lstStyle/>
        <a:p>
          <a:endParaRPr lang="ru-RU"/>
        </a:p>
      </dgm:t>
    </dgm:pt>
    <dgm:pt modelId="{BC8B4949-1F0C-4E4B-8D6E-0B1DD0A7CAA4}" type="pres">
      <dgm:prSet presAssocID="{7F0BCC2A-F56E-4ABB-8DC9-498205B3808C}" presName="level3hierChild" presStyleCnt="0"/>
      <dgm:spPr/>
    </dgm:pt>
    <dgm:pt modelId="{CBCE90F8-F40B-487E-8A62-5871800E5A22}" type="pres">
      <dgm:prSet presAssocID="{2CAAE220-27D3-4879-8454-DA9530800C8D}" presName="conn2-1" presStyleLbl="parChTrans1D4" presStyleIdx="10" presStyleCnt="23"/>
      <dgm:spPr/>
      <dgm:t>
        <a:bodyPr/>
        <a:lstStyle/>
        <a:p>
          <a:endParaRPr lang="ru-RU"/>
        </a:p>
      </dgm:t>
    </dgm:pt>
    <dgm:pt modelId="{FDD8A847-E09F-495F-A03D-F80FF05BA7F3}" type="pres">
      <dgm:prSet presAssocID="{2CAAE220-27D3-4879-8454-DA9530800C8D}" presName="connTx" presStyleLbl="parChTrans1D4" presStyleIdx="10" presStyleCnt="23"/>
      <dgm:spPr/>
      <dgm:t>
        <a:bodyPr/>
        <a:lstStyle/>
        <a:p>
          <a:endParaRPr lang="ru-RU"/>
        </a:p>
      </dgm:t>
    </dgm:pt>
    <dgm:pt modelId="{1F57A52A-9967-404C-8BF6-DD35A2B9306D}" type="pres">
      <dgm:prSet presAssocID="{68EBD9B9-4B99-4F86-9C53-BD427B58C606}" presName="root2" presStyleCnt="0"/>
      <dgm:spPr/>
    </dgm:pt>
    <dgm:pt modelId="{26EF6B95-5EC3-4AEC-8AAD-15C73B90D8E9}" type="pres">
      <dgm:prSet presAssocID="{68EBD9B9-4B99-4F86-9C53-BD427B58C606}" presName="LevelTwoTextNode" presStyleLbl="node4" presStyleIdx="10" presStyleCnt="23">
        <dgm:presLayoutVars>
          <dgm:chPref val="3"/>
        </dgm:presLayoutVars>
      </dgm:prSet>
      <dgm:spPr/>
      <dgm:t>
        <a:bodyPr/>
        <a:lstStyle/>
        <a:p>
          <a:endParaRPr lang="ru-RU"/>
        </a:p>
      </dgm:t>
    </dgm:pt>
    <dgm:pt modelId="{858E5627-784D-429B-BAC3-3D310192B55B}" type="pres">
      <dgm:prSet presAssocID="{68EBD9B9-4B99-4F86-9C53-BD427B58C606}" presName="level3hierChild" presStyleCnt="0"/>
      <dgm:spPr/>
    </dgm:pt>
    <dgm:pt modelId="{B1654B20-8121-420F-BC89-3C8088AEF740}" type="pres">
      <dgm:prSet presAssocID="{FE9C1A36-71E6-4202-8239-533FE3F39B09}" presName="conn2-1" presStyleLbl="parChTrans1D4" presStyleIdx="11" presStyleCnt="23"/>
      <dgm:spPr/>
      <dgm:t>
        <a:bodyPr/>
        <a:lstStyle/>
        <a:p>
          <a:endParaRPr lang="ru-RU"/>
        </a:p>
      </dgm:t>
    </dgm:pt>
    <dgm:pt modelId="{D04B56B2-3C4D-4B43-AC7C-48A1AA11EBBC}" type="pres">
      <dgm:prSet presAssocID="{FE9C1A36-71E6-4202-8239-533FE3F39B09}" presName="connTx" presStyleLbl="parChTrans1D4" presStyleIdx="11" presStyleCnt="23"/>
      <dgm:spPr/>
      <dgm:t>
        <a:bodyPr/>
        <a:lstStyle/>
        <a:p>
          <a:endParaRPr lang="ru-RU"/>
        </a:p>
      </dgm:t>
    </dgm:pt>
    <dgm:pt modelId="{A5774291-506A-4436-B4A0-CAA272B16F92}" type="pres">
      <dgm:prSet presAssocID="{806AD260-3FA2-45A6-9137-5770AB965DB3}" presName="root2" presStyleCnt="0"/>
      <dgm:spPr/>
    </dgm:pt>
    <dgm:pt modelId="{E13A90FD-D682-4AFC-867D-1717F883E512}" type="pres">
      <dgm:prSet presAssocID="{806AD260-3FA2-45A6-9137-5770AB965DB3}" presName="LevelTwoTextNode" presStyleLbl="node4" presStyleIdx="11" presStyleCnt="23">
        <dgm:presLayoutVars>
          <dgm:chPref val="3"/>
        </dgm:presLayoutVars>
      </dgm:prSet>
      <dgm:spPr/>
      <dgm:t>
        <a:bodyPr/>
        <a:lstStyle/>
        <a:p>
          <a:endParaRPr lang="ru-RU"/>
        </a:p>
      </dgm:t>
    </dgm:pt>
    <dgm:pt modelId="{298EDD5D-2547-426B-A36E-82028BEE765B}" type="pres">
      <dgm:prSet presAssocID="{806AD260-3FA2-45A6-9137-5770AB965DB3}" presName="level3hierChild" presStyleCnt="0"/>
      <dgm:spPr/>
    </dgm:pt>
    <dgm:pt modelId="{2CE723F3-8187-4EA8-A86D-D071FCD65576}" type="pres">
      <dgm:prSet presAssocID="{5A91EB98-6838-4393-B4C2-6F961F20BFD2}" presName="conn2-1" presStyleLbl="parChTrans1D2" presStyleIdx="1" presStyleCnt="2"/>
      <dgm:spPr/>
      <dgm:t>
        <a:bodyPr/>
        <a:lstStyle/>
        <a:p>
          <a:endParaRPr lang="ru-RU"/>
        </a:p>
      </dgm:t>
    </dgm:pt>
    <dgm:pt modelId="{EDCD2CB5-0926-4916-93FD-7DE009BA6D49}" type="pres">
      <dgm:prSet presAssocID="{5A91EB98-6838-4393-B4C2-6F961F20BFD2}" presName="connTx" presStyleLbl="parChTrans1D2" presStyleIdx="1" presStyleCnt="2"/>
      <dgm:spPr/>
      <dgm:t>
        <a:bodyPr/>
        <a:lstStyle/>
        <a:p>
          <a:endParaRPr lang="ru-RU"/>
        </a:p>
      </dgm:t>
    </dgm:pt>
    <dgm:pt modelId="{A6EE42D2-0245-4517-8C95-14CBA39AA4E9}" type="pres">
      <dgm:prSet presAssocID="{E63E1517-A550-4DAB-B9CE-1AEEC3543441}" presName="root2" presStyleCnt="0"/>
      <dgm:spPr/>
    </dgm:pt>
    <dgm:pt modelId="{AA07CE18-9F3F-4AFE-9F00-D32FDDFCEC81}" type="pres">
      <dgm:prSet presAssocID="{E63E1517-A550-4DAB-B9CE-1AEEC3543441}" presName="LevelTwoTextNode" presStyleLbl="node2" presStyleIdx="1" presStyleCnt="2">
        <dgm:presLayoutVars>
          <dgm:chPref val="3"/>
        </dgm:presLayoutVars>
      </dgm:prSet>
      <dgm:spPr/>
      <dgm:t>
        <a:bodyPr/>
        <a:lstStyle/>
        <a:p>
          <a:endParaRPr lang="ru-RU"/>
        </a:p>
      </dgm:t>
    </dgm:pt>
    <dgm:pt modelId="{E8DC5882-9CA3-40AB-88B3-C289C63B04C8}" type="pres">
      <dgm:prSet presAssocID="{E63E1517-A550-4DAB-B9CE-1AEEC3543441}" presName="level3hierChild" presStyleCnt="0"/>
      <dgm:spPr/>
    </dgm:pt>
    <dgm:pt modelId="{6E1B4EB4-927F-4C08-B9C4-6595299FDE98}" type="pres">
      <dgm:prSet presAssocID="{6E6C6F34-32B3-4F90-B1D9-451DD84D64D1}" presName="conn2-1" presStyleLbl="parChTrans1D3" presStyleIdx="2" presStyleCnt="4"/>
      <dgm:spPr/>
      <dgm:t>
        <a:bodyPr/>
        <a:lstStyle/>
        <a:p>
          <a:endParaRPr lang="ru-RU"/>
        </a:p>
      </dgm:t>
    </dgm:pt>
    <dgm:pt modelId="{914653E9-30AA-47D5-B057-FADC4425D7E5}" type="pres">
      <dgm:prSet presAssocID="{6E6C6F34-32B3-4F90-B1D9-451DD84D64D1}" presName="connTx" presStyleLbl="parChTrans1D3" presStyleIdx="2" presStyleCnt="4"/>
      <dgm:spPr/>
      <dgm:t>
        <a:bodyPr/>
        <a:lstStyle/>
        <a:p>
          <a:endParaRPr lang="ru-RU"/>
        </a:p>
      </dgm:t>
    </dgm:pt>
    <dgm:pt modelId="{DD9B9AF3-F5AA-49F3-A162-5DE1A2D8C7C1}" type="pres">
      <dgm:prSet presAssocID="{4D0425C0-DF95-4A68-8DD8-33E75DE99C7E}" presName="root2" presStyleCnt="0"/>
      <dgm:spPr/>
    </dgm:pt>
    <dgm:pt modelId="{06AF6D68-969A-4C71-99B0-7FA3CCDF7D15}" type="pres">
      <dgm:prSet presAssocID="{4D0425C0-DF95-4A68-8DD8-33E75DE99C7E}" presName="LevelTwoTextNode" presStyleLbl="node3" presStyleIdx="2" presStyleCnt="4">
        <dgm:presLayoutVars>
          <dgm:chPref val="3"/>
        </dgm:presLayoutVars>
      </dgm:prSet>
      <dgm:spPr/>
      <dgm:t>
        <a:bodyPr/>
        <a:lstStyle/>
        <a:p>
          <a:endParaRPr lang="ru-RU"/>
        </a:p>
      </dgm:t>
    </dgm:pt>
    <dgm:pt modelId="{D3F2B8FC-2EF6-4EAD-BC33-9451B347EDD5}" type="pres">
      <dgm:prSet presAssocID="{4D0425C0-DF95-4A68-8DD8-33E75DE99C7E}" presName="level3hierChild" presStyleCnt="0"/>
      <dgm:spPr/>
    </dgm:pt>
    <dgm:pt modelId="{47CF881F-925A-47B1-8EFC-04646790554C}" type="pres">
      <dgm:prSet presAssocID="{E8BAD615-73FA-4F03-A828-DA3B4B7B6ED4}" presName="conn2-1" presStyleLbl="parChTrans1D4" presStyleIdx="12" presStyleCnt="23"/>
      <dgm:spPr/>
      <dgm:t>
        <a:bodyPr/>
        <a:lstStyle/>
        <a:p>
          <a:endParaRPr lang="ru-RU"/>
        </a:p>
      </dgm:t>
    </dgm:pt>
    <dgm:pt modelId="{A68F4CAD-DDB7-4374-B78E-0EF5F105B46A}" type="pres">
      <dgm:prSet presAssocID="{E8BAD615-73FA-4F03-A828-DA3B4B7B6ED4}" presName="connTx" presStyleLbl="parChTrans1D4" presStyleIdx="12" presStyleCnt="23"/>
      <dgm:spPr/>
      <dgm:t>
        <a:bodyPr/>
        <a:lstStyle/>
        <a:p>
          <a:endParaRPr lang="ru-RU"/>
        </a:p>
      </dgm:t>
    </dgm:pt>
    <dgm:pt modelId="{B3E93B13-3DBD-4039-88D5-A83963E4A77A}" type="pres">
      <dgm:prSet presAssocID="{9D966D30-3413-42CF-B893-2D6723B7A482}" presName="root2" presStyleCnt="0"/>
      <dgm:spPr/>
    </dgm:pt>
    <dgm:pt modelId="{28854F70-5F0D-4956-84DA-E7839F87BB19}" type="pres">
      <dgm:prSet presAssocID="{9D966D30-3413-42CF-B893-2D6723B7A482}" presName="LevelTwoTextNode" presStyleLbl="node4" presStyleIdx="12" presStyleCnt="23">
        <dgm:presLayoutVars>
          <dgm:chPref val="3"/>
        </dgm:presLayoutVars>
      </dgm:prSet>
      <dgm:spPr/>
      <dgm:t>
        <a:bodyPr/>
        <a:lstStyle/>
        <a:p>
          <a:endParaRPr lang="ru-RU"/>
        </a:p>
      </dgm:t>
    </dgm:pt>
    <dgm:pt modelId="{D87CBCCC-6EA7-49E4-A8B1-58BC4E32F3ED}" type="pres">
      <dgm:prSet presAssocID="{9D966D30-3413-42CF-B893-2D6723B7A482}" presName="level3hierChild" presStyleCnt="0"/>
      <dgm:spPr/>
    </dgm:pt>
    <dgm:pt modelId="{FC56C463-33E8-442E-80E3-FFFC7E69AE87}" type="pres">
      <dgm:prSet presAssocID="{7CA5E77A-8251-47B9-8111-4ADCEA0B59E0}" presName="conn2-1" presStyleLbl="parChTrans1D4" presStyleIdx="13" presStyleCnt="23"/>
      <dgm:spPr/>
      <dgm:t>
        <a:bodyPr/>
        <a:lstStyle/>
        <a:p>
          <a:endParaRPr lang="ru-RU"/>
        </a:p>
      </dgm:t>
    </dgm:pt>
    <dgm:pt modelId="{368EAAB0-0F87-464C-8CF6-395EF7708CC7}" type="pres">
      <dgm:prSet presAssocID="{7CA5E77A-8251-47B9-8111-4ADCEA0B59E0}" presName="connTx" presStyleLbl="parChTrans1D4" presStyleIdx="13" presStyleCnt="23"/>
      <dgm:spPr/>
      <dgm:t>
        <a:bodyPr/>
        <a:lstStyle/>
        <a:p>
          <a:endParaRPr lang="ru-RU"/>
        </a:p>
      </dgm:t>
    </dgm:pt>
    <dgm:pt modelId="{20127BEB-2D68-432A-B11A-44AA037A5F77}" type="pres">
      <dgm:prSet presAssocID="{D3B6DD56-201F-47E9-A5C7-221950A656C2}" presName="root2" presStyleCnt="0"/>
      <dgm:spPr/>
    </dgm:pt>
    <dgm:pt modelId="{08489C6D-5D9C-4FC4-88B2-AE3C3E291409}" type="pres">
      <dgm:prSet presAssocID="{D3B6DD56-201F-47E9-A5C7-221950A656C2}" presName="LevelTwoTextNode" presStyleLbl="node4" presStyleIdx="13" presStyleCnt="23">
        <dgm:presLayoutVars>
          <dgm:chPref val="3"/>
        </dgm:presLayoutVars>
      </dgm:prSet>
      <dgm:spPr/>
      <dgm:t>
        <a:bodyPr/>
        <a:lstStyle/>
        <a:p>
          <a:endParaRPr lang="ru-RU"/>
        </a:p>
      </dgm:t>
    </dgm:pt>
    <dgm:pt modelId="{426485DD-289E-4500-A922-0CBD4A3BCBD1}" type="pres">
      <dgm:prSet presAssocID="{D3B6DD56-201F-47E9-A5C7-221950A656C2}" presName="level3hierChild" presStyleCnt="0"/>
      <dgm:spPr/>
    </dgm:pt>
    <dgm:pt modelId="{8D4D0392-80BF-4442-9DA0-32E83EC02874}" type="pres">
      <dgm:prSet presAssocID="{402F054D-70EA-48B1-A893-D1C5CBF1C69E}" presName="conn2-1" presStyleLbl="parChTrans1D4" presStyleIdx="14" presStyleCnt="23"/>
      <dgm:spPr/>
      <dgm:t>
        <a:bodyPr/>
        <a:lstStyle/>
        <a:p>
          <a:endParaRPr lang="ru-RU"/>
        </a:p>
      </dgm:t>
    </dgm:pt>
    <dgm:pt modelId="{200A069B-64C4-490A-8A32-2DDC4FA471A3}" type="pres">
      <dgm:prSet presAssocID="{402F054D-70EA-48B1-A893-D1C5CBF1C69E}" presName="connTx" presStyleLbl="parChTrans1D4" presStyleIdx="14" presStyleCnt="23"/>
      <dgm:spPr/>
      <dgm:t>
        <a:bodyPr/>
        <a:lstStyle/>
        <a:p>
          <a:endParaRPr lang="ru-RU"/>
        </a:p>
      </dgm:t>
    </dgm:pt>
    <dgm:pt modelId="{6A6CAAE3-D6C7-4324-B9D1-FA2088176E8A}" type="pres">
      <dgm:prSet presAssocID="{22A84D2F-5483-48ED-9621-756000AD065C}" presName="root2" presStyleCnt="0"/>
      <dgm:spPr/>
    </dgm:pt>
    <dgm:pt modelId="{02DD7138-03AA-4DFA-9309-8C45203166EA}" type="pres">
      <dgm:prSet presAssocID="{22A84D2F-5483-48ED-9621-756000AD065C}" presName="LevelTwoTextNode" presStyleLbl="node4" presStyleIdx="14" presStyleCnt="23">
        <dgm:presLayoutVars>
          <dgm:chPref val="3"/>
        </dgm:presLayoutVars>
      </dgm:prSet>
      <dgm:spPr/>
      <dgm:t>
        <a:bodyPr/>
        <a:lstStyle/>
        <a:p>
          <a:endParaRPr lang="ru-RU"/>
        </a:p>
      </dgm:t>
    </dgm:pt>
    <dgm:pt modelId="{042F8BC2-608E-48C2-B553-CC8A7C3C55DE}" type="pres">
      <dgm:prSet presAssocID="{22A84D2F-5483-48ED-9621-756000AD065C}" presName="level3hierChild" presStyleCnt="0"/>
      <dgm:spPr/>
    </dgm:pt>
    <dgm:pt modelId="{F07ADF9D-0364-43A8-89C0-F6878CE43F2E}" type="pres">
      <dgm:prSet presAssocID="{0D17FD46-376F-4656-A114-B9370E9B22EB}" presName="conn2-1" presStyleLbl="parChTrans1D4" presStyleIdx="15" presStyleCnt="23"/>
      <dgm:spPr/>
      <dgm:t>
        <a:bodyPr/>
        <a:lstStyle/>
        <a:p>
          <a:endParaRPr lang="ru-RU"/>
        </a:p>
      </dgm:t>
    </dgm:pt>
    <dgm:pt modelId="{A044930A-8A53-4E94-9D28-D45A9E7EB55F}" type="pres">
      <dgm:prSet presAssocID="{0D17FD46-376F-4656-A114-B9370E9B22EB}" presName="connTx" presStyleLbl="parChTrans1D4" presStyleIdx="15" presStyleCnt="23"/>
      <dgm:spPr/>
      <dgm:t>
        <a:bodyPr/>
        <a:lstStyle/>
        <a:p>
          <a:endParaRPr lang="ru-RU"/>
        </a:p>
      </dgm:t>
    </dgm:pt>
    <dgm:pt modelId="{908608F8-861F-44E8-9071-22ED319B852D}" type="pres">
      <dgm:prSet presAssocID="{9B1F044A-0A68-42CB-B3A5-1BC8628DD57E}" presName="root2" presStyleCnt="0"/>
      <dgm:spPr/>
    </dgm:pt>
    <dgm:pt modelId="{9AE32AA9-F415-417C-B0FA-FA2B6CE3EC26}" type="pres">
      <dgm:prSet presAssocID="{9B1F044A-0A68-42CB-B3A5-1BC8628DD57E}" presName="LevelTwoTextNode" presStyleLbl="node4" presStyleIdx="15" presStyleCnt="23">
        <dgm:presLayoutVars>
          <dgm:chPref val="3"/>
        </dgm:presLayoutVars>
      </dgm:prSet>
      <dgm:spPr/>
      <dgm:t>
        <a:bodyPr/>
        <a:lstStyle/>
        <a:p>
          <a:endParaRPr lang="ru-RU"/>
        </a:p>
      </dgm:t>
    </dgm:pt>
    <dgm:pt modelId="{47BB78FD-F5F5-47A4-B6E0-80F61750460F}" type="pres">
      <dgm:prSet presAssocID="{9B1F044A-0A68-42CB-B3A5-1BC8628DD57E}" presName="level3hierChild" presStyleCnt="0"/>
      <dgm:spPr/>
    </dgm:pt>
    <dgm:pt modelId="{6361BB29-54D9-4F19-9E5E-5359F1501055}" type="pres">
      <dgm:prSet presAssocID="{FC0F61D0-B5C6-4024-9B3C-E9400EC0F4F3}" presName="conn2-1" presStyleLbl="parChTrans1D3" presStyleIdx="3" presStyleCnt="4"/>
      <dgm:spPr/>
      <dgm:t>
        <a:bodyPr/>
        <a:lstStyle/>
        <a:p>
          <a:endParaRPr lang="ru-RU"/>
        </a:p>
      </dgm:t>
    </dgm:pt>
    <dgm:pt modelId="{D4AD5513-BD1B-4A8E-BF72-F1E2438FFB0B}" type="pres">
      <dgm:prSet presAssocID="{FC0F61D0-B5C6-4024-9B3C-E9400EC0F4F3}" presName="connTx" presStyleLbl="parChTrans1D3" presStyleIdx="3" presStyleCnt="4"/>
      <dgm:spPr/>
      <dgm:t>
        <a:bodyPr/>
        <a:lstStyle/>
        <a:p>
          <a:endParaRPr lang="ru-RU"/>
        </a:p>
      </dgm:t>
    </dgm:pt>
    <dgm:pt modelId="{D67F2BE8-106E-40B7-A112-3FB26F8426D8}" type="pres">
      <dgm:prSet presAssocID="{16DCF090-B478-4841-B542-0685B5260162}" presName="root2" presStyleCnt="0"/>
      <dgm:spPr/>
    </dgm:pt>
    <dgm:pt modelId="{293619AE-106B-4CDA-AFC3-4CBBA0F25A58}" type="pres">
      <dgm:prSet presAssocID="{16DCF090-B478-4841-B542-0685B5260162}" presName="LevelTwoTextNode" presStyleLbl="node3" presStyleIdx="3" presStyleCnt="4">
        <dgm:presLayoutVars>
          <dgm:chPref val="3"/>
        </dgm:presLayoutVars>
      </dgm:prSet>
      <dgm:spPr/>
      <dgm:t>
        <a:bodyPr/>
        <a:lstStyle/>
        <a:p>
          <a:endParaRPr lang="ru-RU"/>
        </a:p>
      </dgm:t>
    </dgm:pt>
    <dgm:pt modelId="{9DC5CD82-77FA-4E65-BA79-14CE927FA3EC}" type="pres">
      <dgm:prSet presAssocID="{16DCF090-B478-4841-B542-0685B5260162}" presName="level3hierChild" presStyleCnt="0"/>
      <dgm:spPr/>
    </dgm:pt>
    <dgm:pt modelId="{63525AE9-AB6C-48A9-851C-80D20D4DCADF}" type="pres">
      <dgm:prSet presAssocID="{B5274FE8-57CE-4B2D-B38A-CCBB418408DB}" presName="conn2-1" presStyleLbl="parChTrans1D4" presStyleIdx="16" presStyleCnt="23"/>
      <dgm:spPr/>
      <dgm:t>
        <a:bodyPr/>
        <a:lstStyle/>
        <a:p>
          <a:endParaRPr lang="ru-RU"/>
        </a:p>
      </dgm:t>
    </dgm:pt>
    <dgm:pt modelId="{E57CB2FE-F82A-4FED-96B7-EC37CB85C473}" type="pres">
      <dgm:prSet presAssocID="{B5274FE8-57CE-4B2D-B38A-CCBB418408DB}" presName="connTx" presStyleLbl="parChTrans1D4" presStyleIdx="16" presStyleCnt="23"/>
      <dgm:spPr/>
      <dgm:t>
        <a:bodyPr/>
        <a:lstStyle/>
        <a:p>
          <a:endParaRPr lang="ru-RU"/>
        </a:p>
      </dgm:t>
    </dgm:pt>
    <dgm:pt modelId="{DF1097CD-15FA-4AF5-8B41-42ADB09EEB24}" type="pres">
      <dgm:prSet presAssocID="{DEEEA245-C1D2-4D8B-8C5E-AA597B1AB58A}" presName="root2" presStyleCnt="0"/>
      <dgm:spPr/>
    </dgm:pt>
    <dgm:pt modelId="{6CAEB78D-2B36-415B-8178-90F9871CC9A6}" type="pres">
      <dgm:prSet presAssocID="{DEEEA245-C1D2-4D8B-8C5E-AA597B1AB58A}" presName="LevelTwoTextNode" presStyleLbl="node4" presStyleIdx="16" presStyleCnt="23">
        <dgm:presLayoutVars>
          <dgm:chPref val="3"/>
        </dgm:presLayoutVars>
      </dgm:prSet>
      <dgm:spPr/>
      <dgm:t>
        <a:bodyPr/>
        <a:lstStyle/>
        <a:p>
          <a:endParaRPr lang="ru-RU"/>
        </a:p>
      </dgm:t>
    </dgm:pt>
    <dgm:pt modelId="{6E6C8EB7-BB30-4FBC-A003-295B6D19FA53}" type="pres">
      <dgm:prSet presAssocID="{DEEEA245-C1D2-4D8B-8C5E-AA597B1AB58A}" presName="level3hierChild" presStyleCnt="0"/>
      <dgm:spPr/>
    </dgm:pt>
    <dgm:pt modelId="{9FB50BB0-0E89-4559-9FA4-D190DCE96129}" type="pres">
      <dgm:prSet presAssocID="{C47C1BF5-2A89-4D34-A5CD-69E1CCCDAA94}" presName="conn2-1" presStyleLbl="parChTrans1D4" presStyleIdx="17" presStyleCnt="23"/>
      <dgm:spPr/>
      <dgm:t>
        <a:bodyPr/>
        <a:lstStyle/>
        <a:p>
          <a:endParaRPr lang="ru-RU"/>
        </a:p>
      </dgm:t>
    </dgm:pt>
    <dgm:pt modelId="{2F644D87-C134-4106-AE31-C127DFBBA49B}" type="pres">
      <dgm:prSet presAssocID="{C47C1BF5-2A89-4D34-A5CD-69E1CCCDAA94}" presName="connTx" presStyleLbl="parChTrans1D4" presStyleIdx="17" presStyleCnt="23"/>
      <dgm:spPr/>
      <dgm:t>
        <a:bodyPr/>
        <a:lstStyle/>
        <a:p>
          <a:endParaRPr lang="ru-RU"/>
        </a:p>
      </dgm:t>
    </dgm:pt>
    <dgm:pt modelId="{0EBE6C0F-4595-4CAB-A808-5F97B3C73554}" type="pres">
      <dgm:prSet presAssocID="{36526846-ABCE-43C8-9F4E-FF693C7026C6}" presName="root2" presStyleCnt="0"/>
      <dgm:spPr/>
    </dgm:pt>
    <dgm:pt modelId="{3D451D9D-138B-46F8-89C2-4011EFE3C993}" type="pres">
      <dgm:prSet presAssocID="{36526846-ABCE-43C8-9F4E-FF693C7026C6}" presName="LevelTwoTextNode" presStyleLbl="node4" presStyleIdx="17" presStyleCnt="23">
        <dgm:presLayoutVars>
          <dgm:chPref val="3"/>
        </dgm:presLayoutVars>
      </dgm:prSet>
      <dgm:spPr/>
      <dgm:t>
        <a:bodyPr/>
        <a:lstStyle/>
        <a:p>
          <a:endParaRPr lang="ru-RU"/>
        </a:p>
      </dgm:t>
    </dgm:pt>
    <dgm:pt modelId="{EA867EF0-EC6A-4B8B-BC5F-97A58CF4634B}" type="pres">
      <dgm:prSet presAssocID="{36526846-ABCE-43C8-9F4E-FF693C7026C6}" presName="level3hierChild" presStyleCnt="0"/>
      <dgm:spPr/>
    </dgm:pt>
    <dgm:pt modelId="{CC1E278C-225C-4160-9375-993C24A2A533}" type="pres">
      <dgm:prSet presAssocID="{A1F43CC8-CEFE-4C0C-B51B-BF775C67E13B}" presName="conn2-1" presStyleLbl="parChTrans1D4" presStyleIdx="18" presStyleCnt="23"/>
      <dgm:spPr/>
      <dgm:t>
        <a:bodyPr/>
        <a:lstStyle/>
        <a:p>
          <a:endParaRPr lang="ru-RU"/>
        </a:p>
      </dgm:t>
    </dgm:pt>
    <dgm:pt modelId="{49F7E78B-B441-40EA-B90E-2E578CCA4C33}" type="pres">
      <dgm:prSet presAssocID="{A1F43CC8-CEFE-4C0C-B51B-BF775C67E13B}" presName="connTx" presStyleLbl="parChTrans1D4" presStyleIdx="18" presStyleCnt="23"/>
      <dgm:spPr/>
      <dgm:t>
        <a:bodyPr/>
        <a:lstStyle/>
        <a:p>
          <a:endParaRPr lang="ru-RU"/>
        </a:p>
      </dgm:t>
    </dgm:pt>
    <dgm:pt modelId="{FAAD12EC-887D-428A-846F-DF478470C216}" type="pres">
      <dgm:prSet presAssocID="{482BB5B5-0091-4C57-BF60-508BFC80DE32}" presName="root2" presStyleCnt="0"/>
      <dgm:spPr/>
    </dgm:pt>
    <dgm:pt modelId="{7F2B1D6B-5842-4F68-8715-B62816078624}" type="pres">
      <dgm:prSet presAssocID="{482BB5B5-0091-4C57-BF60-508BFC80DE32}" presName="LevelTwoTextNode" presStyleLbl="node4" presStyleIdx="18" presStyleCnt="23">
        <dgm:presLayoutVars>
          <dgm:chPref val="3"/>
        </dgm:presLayoutVars>
      </dgm:prSet>
      <dgm:spPr/>
      <dgm:t>
        <a:bodyPr/>
        <a:lstStyle/>
        <a:p>
          <a:endParaRPr lang="ru-RU"/>
        </a:p>
      </dgm:t>
    </dgm:pt>
    <dgm:pt modelId="{243C09E7-BFAC-4306-8E2F-C5FEC96C6CDE}" type="pres">
      <dgm:prSet presAssocID="{482BB5B5-0091-4C57-BF60-508BFC80DE32}" presName="level3hierChild" presStyleCnt="0"/>
      <dgm:spPr/>
    </dgm:pt>
    <dgm:pt modelId="{5705C392-B4C9-43E1-A9EA-8B7C93AA3431}" type="pres">
      <dgm:prSet presAssocID="{E5745C81-4090-4878-B695-D57813FE8FA5}" presName="conn2-1" presStyleLbl="parChTrans1D4" presStyleIdx="19" presStyleCnt="23"/>
      <dgm:spPr/>
      <dgm:t>
        <a:bodyPr/>
        <a:lstStyle/>
        <a:p>
          <a:endParaRPr lang="ru-RU"/>
        </a:p>
      </dgm:t>
    </dgm:pt>
    <dgm:pt modelId="{F032EDD6-EF49-4C83-BD56-FDC7A6A57324}" type="pres">
      <dgm:prSet presAssocID="{E5745C81-4090-4878-B695-D57813FE8FA5}" presName="connTx" presStyleLbl="parChTrans1D4" presStyleIdx="19" presStyleCnt="23"/>
      <dgm:spPr/>
      <dgm:t>
        <a:bodyPr/>
        <a:lstStyle/>
        <a:p>
          <a:endParaRPr lang="ru-RU"/>
        </a:p>
      </dgm:t>
    </dgm:pt>
    <dgm:pt modelId="{D04999F0-B7AC-4621-8A8E-EC49C98CB5ED}" type="pres">
      <dgm:prSet presAssocID="{34AF962F-AC76-4D3B-A573-CBDFEA073809}" presName="root2" presStyleCnt="0"/>
      <dgm:spPr/>
    </dgm:pt>
    <dgm:pt modelId="{458AF167-E139-4F11-832C-996BCA12094C}" type="pres">
      <dgm:prSet presAssocID="{34AF962F-AC76-4D3B-A573-CBDFEA073809}" presName="LevelTwoTextNode" presStyleLbl="node4" presStyleIdx="19" presStyleCnt="23">
        <dgm:presLayoutVars>
          <dgm:chPref val="3"/>
        </dgm:presLayoutVars>
      </dgm:prSet>
      <dgm:spPr/>
      <dgm:t>
        <a:bodyPr/>
        <a:lstStyle/>
        <a:p>
          <a:endParaRPr lang="ru-RU"/>
        </a:p>
      </dgm:t>
    </dgm:pt>
    <dgm:pt modelId="{B97AE8BA-F6A4-4557-A82D-AB4A6C0F9ABB}" type="pres">
      <dgm:prSet presAssocID="{34AF962F-AC76-4D3B-A573-CBDFEA073809}" presName="level3hierChild" presStyleCnt="0"/>
      <dgm:spPr/>
    </dgm:pt>
    <dgm:pt modelId="{74F1EF5C-FD01-4645-A568-0632282CCCA8}" type="pres">
      <dgm:prSet presAssocID="{2224A611-649F-4EE8-A840-24CCE5144AC9}" presName="conn2-1" presStyleLbl="parChTrans1D4" presStyleIdx="20" presStyleCnt="23"/>
      <dgm:spPr/>
      <dgm:t>
        <a:bodyPr/>
        <a:lstStyle/>
        <a:p>
          <a:endParaRPr lang="ru-RU"/>
        </a:p>
      </dgm:t>
    </dgm:pt>
    <dgm:pt modelId="{F4E67F8D-5DAE-4154-844E-A720829E99CE}" type="pres">
      <dgm:prSet presAssocID="{2224A611-649F-4EE8-A840-24CCE5144AC9}" presName="connTx" presStyleLbl="parChTrans1D4" presStyleIdx="20" presStyleCnt="23"/>
      <dgm:spPr/>
      <dgm:t>
        <a:bodyPr/>
        <a:lstStyle/>
        <a:p>
          <a:endParaRPr lang="ru-RU"/>
        </a:p>
      </dgm:t>
    </dgm:pt>
    <dgm:pt modelId="{A7AB330C-4C85-46A2-9EF5-E00E2392B5F8}" type="pres">
      <dgm:prSet presAssocID="{CBE74BDA-D1E8-404F-824B-788D13A6F277}" presName="root2" presStyleCnt="0"/>
      <dgm:spPr/>
    </dgm:pt>
    <dgm:pt modelId="{A68E05CC-4EBA-4088-ABD8-B876E17E1325}" type="pres">
      <dgm:prSet presAssocID="{CBE74BDA-D1E8-404F-824B-788D13A6F277}" presName="LevelTwoTextNode" presStyleLbl="node4" presStyleIdx="20" presStyleCnt="23">
        <dgm:presLayoutVars>
          <dgm:chPref val="3"/>
        </dgm:presLayoutVars>
      </dgm:prSet>
      <dgm:spPr/>
      <dgm:t>
        <a:bodyPr/>
        <a:lstStyle/>
        <a:p>
          <a:endParaRPr lang="ru-RU"/>
        </a:p>
      </dgm:t>
    </dgm:pt>
    <dgm:pt modelId="{34AFE9CF-4669-4A07-B9D7-2864ECF84044}" type="pres">
      <dgm:prSet presAssocID="{CBE74BDA-D1E8-404F-824B-788D13A6F277}" presName="level3hierChild" presStyleCnt="0"/>
      <dgm:spPr/>
    </dgm:pt>
    <dgm:pt modelId="{8817572D-7A80-4F16-A41D-2574D406FA0F}" type="pres">
      <dgm:prSet presAssocID="{374079AD-B7D8-4013-A2D4-C11AD8801B2B}" presName="conn2-1" presStyleLbl="parChTrans1D4" presStyleIdx="21" presStyleCnt="23"/>
      <dgm:spPr/>
      <dgm:t>
        <a:bodyPr/>
        <a:lstStyle/>
        <a:p>
          <a:endParaRPr lang="ru-RU"/>
        </a:p>
      </dgm:t>
    </dgm:pt>
    <dgm:pt modelId="{15F0C626-FCA8-4BC2-92B8-ADDE07AD6733}" type="pres">
      <dgm:prSet presAssocID="{374079AD-B7D8-4013-A2D4-C11AD8801B2B}" presName="connTx" presStyleLbl="parChTrans1D4" presStyleIdx="21" presStyleCnt="23"/>
      <dgm:spPr/>
      <dgm:t>
        <a:bodyPr/>
        <a:lstStyle/>
        <a:p>
          <a:endParaRPr lang="ru-RU"/>
        </a:p>
      </dgm:t>
    </dgm:pt>
    <dgm:pt modelId="{3D298555-447B-46E7-BAAE-E3E6BA29C667}" type="pres">
      <dgm:prSet presAssocID="{F2C4182D-B838-43DE-9D2F-BE0136476B00}" presName="root2" presStyleCnt="0"/>
      <dgm:spPr/>
    </dgm:pt>
    <dgm:pt modelId="{4F73B465-9A93-4465-9619-B46658496742}" type="pres">
      <dgm:prSet presAssocID="{F2C4182D-B838-43DE-9D2F-BE0136476B00}" presName="LevelTwoTextNode" presStyleLbl="node4" presStyleIdx="21" presStyleCnt="23">
        <dgm:presLayoutVars>
          <dgm:chPref val="3"/>
        </dgm:presLayoutVars>
      </dgm:prSet>
      <dgm:spPr/>
      <dgm:t>
        <a:bodyPr/>
        <a:lstStyle/>
        <a:p>
          <a:endParaRPr lang="ru-RU"/>
        </a:p>
      </dgm:t>
    </dgm:pt>
    <dgm:pt modelId="{2A51C390-DD8D-4FF4-9919-4BEC9537CE2D}" type="pres">
      <dgm:prSet presAssocID="{F2C4182D-B838-43DE-9D2F-BE0136476B00}" presName="level3hierChild" presStyleCnt="0"/>
      <dgm:spPr/>
    </dgm:pt>
    <dgm:pt modelId="{8709F7BD-9F80-4AE8-A41E-11F817FA5ACF}" type="pres">
      <dgm:prSet presAssocID="{14FF01CD-256E-4933-A372-E87E8E87EA2B}" presName="conn2-1" presStyleLbl="parChTrans1D4" presStyleIdx="22" presStyleCnt="23"/>
      <dgm:spPr/>
      <dgm:t>
        <a:bodyPr/>
        <a:lstStyle/>
        <a:p>
          <a:endParaRPr lang="ru-RU"/>
        </a:p>
      </dgm:t>
    </dgm:pt>
    <dgm:pt modelId="{C8637F4F-03CB-4222-9204-EBA609E2E4D8}" type="pres">
      <dgm:prSet presAssocID="{14FF01CD-256E-4933-A372-E87E8E87EA2B}" presName="connTx" presStyleLbl="parChTrans1D4" presStyleIdx="22" presStyleCnt="23"/>
      <dgm:spPr/>
      <dgm:t>
        <a:bodyPr/>
        <a:lstStyle/>
        <a:p>
          <a:endParaRPr lang="ru-RU"/>
        </a:p>
      </dgm:t>
    </dgm:pt>
    <dgm:pt modelId="{067A1CE8-B19D-47BB-9811-541C9BD79592}" type="pres">
      <dgm:prSet presAssocID="{90ACFD8E-C51E-4D24-9399-2EB85F3A63C0}" presName="root2" presStyleCnt="0"/>
      <dgm:spPr/>
    </dgm:pt>
    <dgm:pt modelId="{5D4FF3BE-8618-4A36-99B3-2A93DD000CC4}" type="pres">
      <dgm:prSet presAssocID="{90ACFD8E-C51E-4D24-9399-2EB85F3A63C0}" presName="LevelTwoTextNode" presStyleLbl="node4" presStyleIdx="22" presStyleCnt="23">
        <dgm:presLayoutVars>
          <dgm:chPref val="3"/>
        </dgm:presLayoutVars>
      </dgm:prSet>
      <dgm:spPr/>
      <dgm:t>
        <a:bodyPr/>
        <a:lstStyle/>
        <a:p>
          <a:endParaRPr lang="ru-RU"/>
        </a:p>
      </dgm:t>
    </dgm:pt>
    <dgm:pt modelId="{13BCD81B-FACC-4B0D-8651-332E03387557}" type="pres">
      <dgm:prSet presAssocID="{90ACFD8E-C51E-4D24-9399-2EB85F3A63C0}" presName="level3hierChild" presStyleCnt="0"/>
      <dgm:spPr/>
    </dgm:pt>
  </dgm:ptLst>
  <dgm:cxnLst>
    <dgm:cxn modelId="{AD12F6B4-67B3-4F12-BF58-3F181831820F}" type="presOf" srcId="{0C57A6DA-0188-4160-925E-CEA97FD576D2}" destId="{476DDA1D-A285-4F0C-9BA6-3DA859F11C4D}" srcOrd="0" destOrd="0" presId="urn:microsoft.com/office/officeart/2008/layout/HorizontalMultiLevelHierarchy"/>
    <dgm:cxn modelId="{3E322898-97D2-414D-A620-91C4A99B50E3}" srcId="{DEEEA245-C1D2-4D8B-8C5E-AA597B1AB58A}" destId="{36526846-ABCE-43C8-9F4E-FF693C7026C6}" srcOrd="0" destOrd="0" parTransId="{C47C1BF5-2A89-4D34-A5CD-69E1CCCDAA94}" sibTransId="{745D3CF1-E33C-4C41-86BA-EA83D7E36B7E}"/>
    <dgm:cxn modelId="{26CC58C2-4C6D-4036-86CD-DA43A8F2D3DD}" srcId="{4D0425C0-DF95-4A68-8DD8-33E75DE99C7E}" destId="{22A84D2F-5483-48ED-9621-756000AD065C}" srcOrd="1" destOrd="0" parTransId="{402F054D-70EA-48B1-A893-D1C5CBF1C69E}" sibTransId="{15B5050F-2711-4119-87DA-705FEBE9C7B7}"/>
    <dgm:cxn modelId="{748477CE-851B-462B-997C-F013CDCF4A75}" type="presOf" srcId="{4348A7FE-D3E7-49D8-A705-029DCCCB25DE}" destId="{2C774B62-4FD5-45A1-8B9A-C94830B2ED5F}" srcOrd="0" destOrd="0" presId="urn:microsoft.com/office/officeart/2008/layout/HorizontalMultiLevelHierarchy"/>
    <dgm:cxn modelId="{43F4A055-B498-45F9-A34E-02F04AA1D550}" type="presOf" srcId="{992DB263-447D-425A-BA99-8AB7B20E2EC2}" destId="{A855F001-D26D-475C-A476-70F2341B90FE}" srcOrd="0" destOrd="0" presId="urn:microsoft.com/office/officeart/2008/layout/HorizontalMultiLevelHierarchy"/>
    <dgm:cxn modelId="{AB206E51-D698-4574-9E56-F5D205B852B2}" type="presOf" srcId="{90ACFD8E-C51E-4D24-9399-2EB85F3A63C0}" destId="{5D4FF3BE-8618-4A36-99B3-2A93DD000CC4}" srcOrd="0" destOrd="0" presId="urn:microsoft.com/office/officeart/2008/layout/HorizontalMultiLevelHierarchy"/>
    <dgm:cxn modelId="{B00D1C12-3BFF-4A26-A059-7F8D22D7EEA8}" type="presOf" srcId="{7F0BCC2A-F56E-4ABB-8DC9-498205B3808C}" destId="{8569AFBE-3563-43F9-A494-98AAA98C5305}" srcOrd="0" destOrd="0" presId="urn:microsoft.com/office/officeart/2008/layout/HorizontalMultiLevelHierarchy"/>
    <dgm:cxn modelId="{AE02CFFB-BCFA-4770-A151-7B1D6330CD90}" type="presOf" srcId="{68EBD9B9-4B99-4F86-9C53-BD427B58C606}" destId="{26EF6B95-5EC3-4AEC-8AAD-15C73B90D8E9}" srcOrd="0" destOrd="0" presId="urn:microsoft.com/office/officeart/2008/layout/HorizontalMultiLevelHierarchy"/>
    <dgm:cxn modelId="{4B60E90C-C763-4513-96B3-11472F08FC7F}" srcId="{E63E1517-A550-4DAB-B9CE-1AEEC3543441}" destId="{4D0425C0-DF95-4A68-8DD8-33E75DE99C7E}" srcOrd="0" destOrd="0" parTransId="{6E6C6F34-32B3-4F90-B1D9-451DD84D64D1}" sibTransId="{B5AC2BA1-DDEB-45E7-9DAA-F268ECE9FD55}"/>
    <dgm:cxn modelId="{11D1E27D-B8DA-4DE8-BF93-C2A5959F8655}" type="presOf" srcId="{5A91EB98-6838-4393-B4C2-6F961F20BFD2}" destId="{EDCD2CB5-0926-4916-93FD-7DE009BA6D49}" srcOrd="1" destOrd="0" presId="urn:microsoft.com/office/officeart/2008/layout/HorizontalMultiLevelHierarchy"/>
    <dgm:cxn modelId="{FD3DD14A-B0C8-4194-A4F0-15161AD81A3D}" srcId="{54F4D680-DAD5-4C14-B8DD-6B9685524F84}" destId="{73ADC7BE-14CC-4AEB-8B22-EFA269C4BD8B}" srcOrd="1" destOrd="0" parTransId="{CD13FD5B-D871-4582-9050-A651572DAFF0}" sibTransId="{AA0C4A3D-B7A6-49F6-86F2-977335A22408}"/>
    <dgm:cxn modelId="{37BE2A30-DDA6-4FC0-A8DC-983E536C6CB1}" srcId="{330286B9-E486-4271-A0A6-145149217928}" destId="{C3134AC6-EEF9-4129-8464-5F1A57D166FC}" srcOrd="0" destOrd="0" parTransId="{726CC574-2ED4-4EEC-B9B1-FD6A57E35882}" sibTransId="{D39EE0E1-1884-48AF-9595-3D47D627C85D}"/>
    <dgm:cxn modelId="{8E4305E8-A7BD-41A7-9056-FB47031EED45}" srcId="{51F321EC-A677-4DB9-8F6D-9A2DC8A0F5CB}" destId="{CA60CC46-F9DB-485C-BFA3-EFE9806522D7}" srcOrd="2" destOrd="0" parTransId="{85372032-B81E-451B-B755-73560C8E2E67}" sibTransId="{CC888C3F-F513-4267-BB4E-7814A05F8021}"/>
    <dgm:cxn modelId="{14E65B65-C097-4E05-B094-28EA03F1C7C1}" type="presOf" srcId="{E63E1517-A550-4DAB-B9CE-1AEEC3543441}" destId="{AA07CE18-9F3F-4AFE-9F00-D32FDDFCEC81}" srcOrd="0" destOrd="0" presId="urn:microsoft.com/office/officeart/2008/layout/HorizontalMultiLevelHierarchy"/>
    <dgm:cxn modelId="{361262BF-B10B-4A4D-8B4A-77037C70E2C6}" type="presOf" srcId="{34AF962F-AC76-4D3B-A573-CBDFEA073809}" destId="{458AF167-E139-4F11-832C-996BCA12094C}" srcOrd="0" destOrd="0" presId="urn:microsoft.com/office/officeart/2008/layout/HorizontalMultiLevelHierarchy"/>
    <dgm:cxn modelId="{2A752109-A32D-4F46-972E-B46E2363F549}" type="presOf" srcId="{0F45FEC8-B520-4595-991E-BEA32DE767E5}" destId="{49BD26DA-549C-4516-949F-D2AA9EB0AEF6}" srcOrd="0" destOrd="0" presId="urn:microsoft.com/office/officeart/2008/layout/HorizontalMultiLevelHierarchy"/>
    <dgm:cxn modelId="{251882C5-8A20-41E3-B6AB-BB513AF092B8}" type="presOf" srcId="{48338E3C-DDF1-4A1B-8347-96836DCA2D90}" destId="{2A8D1577-0F3D-4F83-82D9-FFC50E36E934}" srcOrd="0" destOrd="0" presId="urn:microsoft.com/office/officeart/2008/layout/HorizontalMultiLevelHierarchy"/>
    <dgm:cxn modelId="{9C719EE4-CA06-47D4-A6BC-11C4560C6380}" type="presOf" srcId="{FE9C1A36-71E6-4202-8239-533FE3F39B09}" destId="{B1654B20-8121-420F-BC89-3C8088AEF740}" srcOrd="0" destOrd="0" presId="urn:microsoft.com/office/officeart/2008/layout/HorizontalMultiLevelHierarchy"/>
    <dgm:cxn modelId="{49340D34-C08D-4677-A8CB-EA04F7F0EFA9}" type="presOf" srcId="{4D0425C0-DF95-4A68-8DD8-33E75DE99C7E}" destId="{06AF6D68-969A-4C71-99B0-7FA3CCDF7D15}" srcOrd="0" destOrd="0" presId="urn:microsoft.com/office/officeart/2008/layout/HorizontalMultiLevelHierarchy"/>
    <dgm:cxn modelId="{9707867B-705A-45BF-B135-116565780CFE}" srcId="{FE4853E9-727A-490A-AE1B-206A091AEEDF}" destId="{417012D2-9ADF-4663-93C6-A447BF66FE4A}" srcOrd="1" destOrd="0" parTransId="{48338E3C-DDF1-4A1B-8347-96836DCA2D90}" sibTransId="{3226B570-64EE-4819-A47D-98A38B20E5D7}"/>
    <dgm:cxn modelId="{1B116EF6-5586-4BB6-887B-6E7BD871FE0E}" srcId="{22A84D2F-5483-48ED-9621-756000AD065C}" destId="{9B1F044A-0A68-42CB-B3A5-1BC8628DD57E}" srcOrd="0" destOrd="0" parTransId="{0D17FD46-376F-4656-A114-B9370E9B22EB}" sibTransId="{C4781E15-9DC5-405D-BB60-52686F0D3C8F}"/>
    <dgm:cxn modelId="{DA8E4385-4408-4EA2-BE25-2EA1114B2621}" srcId="{16DCF090-B478-4841-B542-0685B5260162}" destId="{DEEEA245-C1D2-4D8B-8C5E-AA597B1AB58A}" srcOrd="0" destOrd="0" parTransId="{B5274FE8-57CE-4B2D-B38A-CCBB418408DB}" sibTransId="{D0912A01-3F42-4884-A359-A27B8E10DAC8}"/>
    <dgm:cxn modelId="{2934CD60-A21B-4237-9D04-9811073FF2C6}" type="presOf" srcId="{E6B96A5D-3C0D-4788-8393-9519B7F5F9B7}" destId="{DBC32FA7-ABA2-479B-BC28-9D773A5A9674}" srcOrd="0" destOrd="0" presId="urn:microsoft.com/office/officeart/2008/layout/HorizontalMultiLevelHierarchy"/>
    <dgm:cxn modelId="{D0394776-F8DD-422F-A23E-3CCB801ED941}" type="presOf" srcId="{B5525FA1-A49C-47C1-9426-4DD8365ACEEA}" destId="{912B174D-27B7-4127-9CC1-F790478B6351}" srcOrd="0" destOrd="0" presId="urn:microsoft.com/office/officeart/2008/layout/HorizontalMultiLevelHierarchy"/>
    <dgm:cxn modelId="{B0BBA125-275E-42A1-BA12-68B4247F07B9}" type="presOf" srcId="{0D17FD46-376F-4656-A114-B9370E9B22EB}" destId="{F07ADF9D-0364-43A8-89C0-F6878CE43F2E}" srcOrd="0" destOrd="0" presId="urn:microsoft.com/office/officeart/2008/layout/HorizontalMultiLevelHierarchy"/>
    <dgm:cxn modelId="{485580D4-0060-44A7-BD16-B57CE8D66688}" type="presOf" srcId="{7CA5E77A-8251-47B9-8111-4ADCEA0B59E0}" destId="{FC56C463-33E8-442E-80E3-FFFC7E69AE87}" srcOrd="0" destOrd="0" presId="urn:microsoft.com/office/officeart/2008/layout/HorizontalMultiLevelHierarchy"/>
    <dgm:cxn modelId="{60ACEF33-A038-4289-A92E-6E4D5DD77ACA}" type="presOf" srcId="{CA60CC46-F9DB-485C-BFA3-EFE9806522D7}" destId="{E4566AD4-2965-4C47-BDC7-2673DE3FCB1B}" srcOrd="0" destOrd="0" presId="urn:microsoft.com/office/officeart/2008/layout/HorizontalMultiLevelHierarchy"/>
    <dgm:cxn modelId="{78F7A47A-0956-4CEB-9DCF-93841E6D26E7}" type="presOf" srcId="{B5274FE8-57CE-4B2D-B38A-CCBB418408DB}" destId="{63525AE9-AB6C-48A9-851C-80D20D4DCADF}" srcOrd="0" destOrd="0" presId="urn:microsoft.com/office/officeart/2008/layout/HorizontalMultiLevelHierarchy"/>
    <dgm:cxn modelId="{9600FD98-C51C-45FB-A144-5CCFB0D77BAE}" type="presOf" srcId="{F2C4182D-B838-43DE-9D2F-BE0136476B00}" destId="{4F73B465-9A93-4465-9619-B46658496742}" srcOrd="0" destOrd="0" presId="urn:microsoft.com/office/officeart/2008/layout/HorizontalMultiLevelHierarchy"/>
    <dgm:cxn modelId="{CA9D469F-B5A9-4F14-8845-4EE998430ED6}" type="presOf" srcId="{14FF01CD-256E-4933-A372-E87E8E87EA2B}" destId="{8709F7BD-9F80-4AE8-A41E-11F817FA5ACF}" srcOrd="0" destOrd="0" presId="urn:microsoft.com/office/officeart/2008/layout/HorizontalMultiLevelHierarchy"/>
    <dgm:cxn modelId="{A4487EC1-6472-4A7E-BECD-025E4606514A}" type="presOf" srcId="{992DB263-447D-425A-BA99-8AB7B20E2EC2}" destId="{FECD79B6-8F5C-4507-96A3-6DA8CDA9A5C6}" srcOrd="1" destOrd="0" presId="urn:microsoft.com/office/officeart/2008/layout/HorizontalMultiLevelHierarchy"/>
    <dgm:cxn modelId="{719B5EC0-4C3C-46CA-BC4C-6B93B4257051}" type="presOf" srcId="{E8BAD615-73FA-4F03-A828-DA3B4B7B6ED4}" destId="{47CF881F-925A-47B1-8EFC-04646790554C}" srcOrd="0" destOrd="0" presId="urn:microsoft.com/office/officeart/2008/layout/HorizontalMultiLevelHierarchy"/>
    <dgm:cxn modelId="{86D09F4E-8C5F-4009-A5CA-9A005EF6A826}" type="presOf" srcId="{CD13FD5B-D871-4582-9050-A651572DAFF0}" destId="{0B2BFF33-0BE3-44D5-9FFC-F7204C5E4645}" srcOrd="0" destOrd="0" presId="urn:microsoft.com/office/officeart/2008/layout/HorizontalMultiLevelHierarchy"/>
    <dgm:cxn modelId="{6C558118-87C1-4C90-82D3-AAF4DE751377}" type="presOf" srcId="{C47C1BF5-2A89-4D34-A5CD-69E1CCCDAA94}" destId="{9FB50BB0-0E89-4559-9FA4-D190DCE96129}" srcOrd="0" destOrd="0" presId="urn:microsoft.com/office/officeart/2008/layout/HorizontalMultiLevelHierarchy"/>
    <dgm:cxn modelId="{4281AE18-F911-4E4B-A309-783C2318F863}" srcId="{DEEEA245-C1D2-4D8B-8C5E-AA597B1AB58A}" destId="{34AF962F-AC76-4D3B-A573-CBDFEA073809}" srcOrd="1" destOrd="0" parTransId="{E5745C81-4090-4878-B695-D57813FE8FA5}" sibTransId="{43AE7B5F-4087-4FD3-A6CC-A35D74B64495}"/>
    <dgm:cxn modelId="{8FECE45C-16EE-4BF4-AD74-B45E6071E6B5}" type="presOf" srcId="{8E6A1B46-8FBE-403D-935D-995391FE19F8}" destId="{EDC7A6AE-E1C2-4EA7-9054-F821D38A059B}" srcOrd="0" destOrd="0" presId="urn:microsoft.com/office/officeart/2008/layout/HorizontalMultiLevelHierarchy"/>
    <dgm:cxn modelId="{34023E4E-B2C2-4584-AB40-7B43D22F33E0}" type="presOf" srcId="{FE4853E9-727A-490A-AE1B-206A091AEEDF}" destId="{E1F2A7C2-F5C6-46CD-B866-238B7304D43D}" srcOrd="0" destOrd="0" presId="urn:microsoft.com/office/officeart/2008/layout/HorizontalMultiLevelHierarchy"/>
    <dgm:cxn modelId="{D9E7A378-FE21-481D-B722-3EB5E4ADE288}" srcId="{0C57A6DA-0188-4160-925E-CEA97FD576D2}" destId="{0F45FEC8-B520-4595-991E-BEA32DE767E5}" srcOrd="0" destOrd="0" parTransId="{93EF3F1F-1AEC-4C82-B847-62F0E3E29D0F}" sibTransId="{3502D054-7B16-4496-B3B1-BC10BF5B9992}"/>
    <dgm:cxn modelId="{390AAEA6-9088-42B6-9AEE-FE3B1FD47BA9}" type="presOf" srcId="{E5745C81-4090-4878-B695-D57813FE8FA5}" destId="{F032EDD6-EF49-4C83-BD56-FDC7A6A57324}" srcOrd="1" destOrd="0" presId="urn:microsoft.com/office/officeart/2008/layout/HorizontalMultiLevelHierarchy"/>
    <dgm:cxn modelId="{7BFFCCBD-6484-40B4-BE5B-FA7C8A1D05C8}" srcId="{51F321EC-A677-4DB9-8F6D-9A2DC8A0F5CB}" destId="{FE4853E9-727A-490A-AE1B-206A091AEEDF}" srcOrd="0" destOrd="0" parTransId="{8E6A1B46-8FBE-403D-935D-995391FE19F8}" sibTransId="{6527958E-33FE-464A-A01C-C5957BD9A357}"/>
    <dgm:cxn modelId="{C38BA41D-F90D-4CD8-AF8C-2F730BFC0117}" type="presOf" srcId="{DD185735-9E75-4A66-92F3-679B05EAD246}" destId="{21283669-252B-4569-9E95-8D5642535A41}" srcOrd="0" destOrd="0" presId="urn:microsoft.com/office/officeart/2008/layout/HorizontalMultiLevelHierarchy"/>
    <dgm:cxn modelId="{36CC826B-617B-4061-8954-790E19EF8CAE}" srcId="{4348A7FE-D3E7-49D8-A705-029DCCCB25DE}" destId="{54F4D680-DAD5-4C14-B8DD-6B9685524F84}" srcOrd="0" destOrd="0" parTransId="{09B777BD-024F-4946-A81A-7F3822AD9749}" sibTransId="{D0559D6D-EEC7-47EB-BB9B-41EB4D80A54D}"/>
    <dgm:cxn modelId="{D86FE030-0CAC-4270-A5C2-85B284C1E69B}" type="presOf" srcId="{482BB5B5-0091-4C57-BF60-508BFC80DE32}" destId="{7F2B1D6B-5842-4F68-8715-B62816078624}" srcOrd="0" destOrd="0" presId="urn:microsoft.com/office/officeart/2008/layout/HorizontalMultiLevelHierarchy"/>
    <dgm:cxn modelId="{89729305-2EBC-4449-BE79-72DC0D06C373}" srcId="{68EBD9B9-4B99-4F86-9C53-BD427B58C606}" destId="{806AD260-3FA2-45A6-9137-5770AB965DB3}" srcOrd="0" destOrd="0" parTransId="{FE9C1A36-71E6-4202-8239-533FE3F39B09}" sibTransId="{7FA4F4EA-4529-410A-9321-7D96CC16E704}"/>
    <dgm:cxn modelId="{BFC6EBDC-B6C9-4C99-9129-964EB1D101BC}" type="presOf" srcId="{09B777BD-024F-4946-A81A-7F3822AD9749}" destId="{2902A5A1-EFA0-4A03-8F5B-39FA3A3EE3A0}" srcOrd="0" destOrd="0" presId="urn:microsoft.com/office/officeart/2008/layout/HorizontalMultiLevelHierarchy"/>
    <dgm:cxn modelId="{6BFFECB2-A515-4224-B9FD-194FC9F97144}" type="presOf" srcId="{5A91EB98-6838-4393-B4C2-6F961F20BFD2}" destId="{2CE723F3-8187-4EA8-A86D-D071FCD65576}" srcOrd="0" destOrd="0" presId="urn:microsoft.com/office/officeart/2008/layout/HorizontalMultiLevelHierarchy"/>
    <dgm:cxn modelId="{CBA42623-A91D-4B49-BA94-76052DD1D39C}" type="presOf" srcId="{2CAAE220-27D3-4879-8454-DA9530800C8D}" destId="{CBCE90F8-F40B-487E-8A62-5871800E5A22}" srcOrd="0" destOrd="0" presId="urn:microsoft.com/office/officeart/2008/layout/HorizontalMultiLevelHierarchy"/>
    <dgm:cxn modelId="{A44A8FC6-00FF-4548-BF38-FA9B4BE25FF7}" type="presOf" srcId="{374079AD-B7D8-4013-A2D4-C11AD8801B2B}" destId="{15F0C626-FCA8-4BC2-92B8-ADDE07AD6733}" srcOrd="1" destOrd="0" presId="urn:microsoft.com/office/officeart/2008/layout/HorizontalMultiLevelHierarchy"/>
    <dgm:cxn modelId="{3340991C-74FA-4A3A-9947-14CE0D7ECFEC}" type="presOf" srcId="{2224A611-649F-4EE8-A840-24CCE5144AC9}" destId="{F4E67F8D-5DAE-4154-844E-A720829E99CE}" srcOrd="1" destOrd="0" presId="urn:microsoft.com/office/officeart/2008/layout/HorizontalMultiLevelHierarchy"/>
    <dgm:cxn modelId="{5B748116-3D52-4CF3-882D-1FBE8CD0330B}" type="presOf" srcId="{E6B96A5D-3C0D-4788-8393-9519B7F5F9B7}" destId="{64D3DA34-1FD5-412C-9990-08AA4D907ADB}" srcOrd="1" destOrd="0" presId="urn:microsoft.com/office/officeart/2008/layout/HorizontalMultiLevelHierarchy"/>
    <dgm:cxn modelId="{93532EF6-B49B-4AD9-A980-71CE5E306FCE}" type="presOf" srcId="{9D966D30-3413-42CF-B893-2D6723B7A482}" destId="{28854F70-5F0D-4956-84DA-E7839F87BB19}" srcOrd="0" destOrd="0" presId="urn:microsoft.com/office/officeart/2008/layout/HorizontalMultiLevelHierarchy"/>
    <dgm:cxn modelId="{3D4AB61C-64F2-4E22-9762-DA25311B6CE5}" type="presOf" srcId="{402F054D-70EA-48B1-A893-D1C5CBF1C69E}" destId="{8D4D0392-80BF-4442-9DA0-32E83EC02874}" srcOrd="0" destOrd="0" presId="urn:microsoft.com/office/officeart/2008/layout/HorizontalMultiLevelHierarchy"/>
    <dgm:cxn modelId="{98C56210-EAF0-49A8-8994-E0631215FCA7}" srcId="{E317C68D-FA29-4CB7-B4CC-757647727F4F}" destId="{D9CA0B1D-9DD6-4A8C-B60C-EA266D20C12A}" srcOrd="0" destOrd="0" parTransId="{992DB263-447D-425A-BA99-8AB7B20E2EC2}" sibTransId="{15376334-F4B9-469C-886A-D49528652AA1}"/>
    <dgm:cxn modelId="{3EFAD1AB-013C-458C-95E9-198D38C504C0}" type="presOf" srcId="{CD13FD5B-D871-4582-9050-A651572DAFF0}" destId="{92A5566F-E0C5-4834-A361-19EBC81D5D97}" srcOrd="1" destOrd="0" presId="urn:microsoft.com/office/officeart/2008/layout/HorizontalMultiLevelHierarchy"/>
    <dgm:cxn modelId="{A36D8582-D118-44ED-835E-AAB94C2431AA}" srcId="{16DCF090-B478-4841-B542-0685B5260162}" destId="{F2C4182D-B838-43DE-9D2F-BE0136476B00}" srcOrd="1" destOrd="0" parTransId="{374079AD-B7D8-4013-A2D4-C11AD8801B2B}" sibTransId="{2B6B40A4-E7CA-4BCD-A63F-0E66CE36A341}"/>
    <dgm:cxn modelId="{CC9DCE9A-5C1B-452B-8552-60CDEE65CB75}" type="presOf" srcId="{330286B9-E486-4271-A0A6-145149217928}" destId="{9E5B9E7C-7AB3-4DC1-BD27-5620E83B6D48}" srcOrd="0" destOrd="0" presId="urn:microsoft.com/office/officeart/2008/layout/HorizontalMultiLevelHierarchy"/>
    <dgm:cxn modelId="{A3AE0CC8-40A6-45E0-A472-991EC085F52F}" type="presOf" srcId="{402F054D-70EA-48B1-A893-D1C5CBF1C69E}" destId="{200A069B-64C4-490A-8A32-2DDC4FA471A3}" srcOrd="1" destOrd="0" presId="urn:microsoft.com/office/officeart/2008/layout/HorizontalMultiLevelHierarchy"/>
    <dgm:cxn modelId="{AEF74356-D639-40C2-8297-596FB9963DBE}" type="presOf" srcId="{D3B6DD56-201F-47E9-A5C7-221950A656C2}" destId="{08489C6D-5D9C-4FC4-88B2-AE3C3E291409}" srcOrd="0" destOrd="0" presId="urn:microsoft.com/office/officeart/2008/layout/HorizontalMultiLevelHierarchy"/>
    <dgm:cxn modelId="{3290DDBA-BCE4-4451-B58C-4D1768FAF146}" type="presOf" srcId="{CBE74BDA-D1E8-404F-824B-788D13A6F277}" destId="{A68E05CC-4EBA-4088-ABD8-B876E17E1325}" srcOrd="0" destOrd="0" presId="urn:microsoft.com/office/officeart/2008/layout/HorizontalMultiLevelHierarchy"/>
    <dgm:cxn modelId="{F4AD63DD-4609-485A-8FE5-805C2F3DECBE}" type="presOf" srcId="{93EF3F1F-1AEC-4C82-B847-62F0E3E29D0F}" destId="{890549B0-73CD-47C9-B0B3-124F10209738}" srcOrd="1" destOrd="0" presId="urn:microsoft.com/office/officeart/2008/layout/HorizontalMultiLevelHierarchy"/>
    <dgm:cxn modelId="{F329F2E1-A367-4798-ADFD-CB35C22FA66E}" type="presOf" srcId="{374079AD-B7D8-4013-A2D4-C11AD8801B2B}" destId="{8817572D-7A80-4F16-A41D-2574D406FA0F}" srcOrd="0" destOrd="0" presId="urn:microsoft.com/office/officeart/2008/layout/HorizontalMultiLevelHierarchy"/>
    <dgm:cxn modelId="{D39F9715-DC7F-46FB-8085-8C81973A29D0}" type="presOf" srcId="{A1F43CC8-CEFE-4C0C-B51B-BF775C67E13B}" destId="{CC1E278C-225C-4160-9375-993C24A2A533}" srcOrd="0" destOrd="0" presId="urn:microsoft.com/office/officeart/2008/layout/HorizontalMultiLevelHierarchy"/>
    <dgm:cxn modelId="{9249E152-8243-425D-9AAB-03E8E741A18E}" type="presOf" srcId="{0D17FD46-376F-4656-A114-B9370E9B22EB}" destId="{A044930A-8A53-4E94-9D28-D45A9E7EB55F}" srcOrd="1" destOrd="0" presId="urn:microsoft.com/office/officeart/2008/layout/HorizontalMultiLevelHierarchy"/>
    <dgm:cxn modelId="{59613CA0-4A9A-434F-BA20-ECE6348509A0}" srcId="{E63E1517-A550-4DAB-B9CE-1AEEC3543441}" destId="{16DCF090-B478-4841-B542-0685B5260162}" srcOrd="1" destOrd="0" parTransId="{FC0F61D0-B5C6-4024-9B3C-E9400EC0F4F3}" sibTransId="{47601985-66E2-42CC-8733-745338FB51D7}"/>
    <dgm:cxn modelId="{BE48869E-43CC-4358-AB80-5B9AB2D9BB48}" type="presOf" srcId="{DD185735-9E75-4A66-92F3-679B05EAD246}" destId="{89C2BCCC-CD93-46EE-AFBE-679A0F03C471}" srcOrd="1" destOrd="0" presId="urn:microsoft.com/office/officeart/2008/layout/HorizontalMultiLevelHierarchy"/>
    <dgm:cxn modelId="{06791DE9-814F-47FA-8F40-187F1B0062E6}" type="presOf" srcId="{16DCF090-B478-4841-B542-0685B5260162}" destId="{293619AE-106B-4CDA-AFC3-4CBBA0F25A58}" srcOrd="0" destOrd="0" presId="urn:microsoft.com/office/officeart/2008/layout/HorizontalMultiLevelHierarchy"/>
    <dgm:cxn modelId="{F0DBC02B-98B7-488C-B4FC-D7745605FC87}" type="presOf" srcId="{22A84D2F-5483-48ED-9621-756000AD065C}" destId="{02DD7138-03AA-4DFA-9309-8C45203166EA}" srcOrd="0" destOrd="0" presId="urn:microsoft.com/office/officeart/2008/layout/HorizontalMultiLevelHierarchy"/>
    <dgm:cxn modelId="{803614C8-E441-431B-AB63-A585B1F57320}" type="presOf" srcId="{85372032-B81E-451B-B755-73560C8E2E67}" destId="{4E0420AA-B717-46C3-BA59-CFB657610A6B}" srcOrd="0" destOrd="0" presId="urn:microsoft.com/office/officeart/2008/layout/HorizontalMultiLevelHierarchy"/>
    <dgm:cxn modelId="{85D070C4-E396-446B-A75A-28AEB9CC215C}" type="presOf" srcId="{C47C1BF5-2A89-4D34-A5CD-69E1CCCDAA94}" destId="{2F644D87-C134-4106-AE31-C127DFBBA49B}" srcOrd="1" destOrd="0" presId="urn:microsoft.com/office/officeart/2008/layout/HorizontalMultiLevelHierarchy"/>
    <dgm:cxn modelId="{9B7A8F6D-385A-4706-A83A-B86EEA3178BD}" srcId="{34AF962F-AC76-4D3B-A573-CBDFEA073809}" destId="{CBE74BDA-D1E8-404F-824B-788D13A6F277}" srcOrd="0" destOrd="0" parTransId="{2224A611-649F-4EE8-A840-24CCE5144AC9}" sibTransId="{46095A46-6D5A-4AA8-8DD8-97E33599E12D}"/>
    <dgm:cxn modelId="{FAFE3A4B-1B27-4242-A2E7-20ACB88F6E5D}" type="presOf" srcId="{8E6A1B46-8FBE-403D-935D-995391FE19F8}" destId="{8EA80E7F-0D00-486E-8210-212304D5B3CF}" srcOrd="1" destOrd="0" presId="urn:microsoft.com/office/officeart/2008/layout/HorizontalMultiLevelHierarchy"/>
    <dgm:cxn modelId="{3D83121A-FDB7-4019-8401-188124E19DA3}" type="presOf" srcId="{09B777BD-024F-4946-A81A-7F3822AD9749}" destId="{F784BD53-FD6F-420E-8342-71607792D313}" srcOrd="1" destOrd="0" presId="urn:microsoft.com/office/officeart/2008/layout/HorizontalMultiLevelHierarchy"/>
    <dgm:cxn modelId="{47F49B6F-DB2C-44AD-8028-1732C50AE5B9}" type="presOf" srcId="{93EF3F1F-1AEC-4C82-B847-62F0E3E29D0F}" destId="{D15C7707-0964-4D74-9A6B-79A58A47B5C4}" srcOrd="0" destOrd="0" presId="urn:microsoft.com/office/officeart/2008/layout/HorizontalMultiLevelHierarchy"/>
    <dgm:cxn modelId="{794B0A9C-D67C-4D1D-AE46-015800867942}" type="presOf" srcId="{726CC574-2ED4-4EEC-B9B1-FD6A57E35882}" destId="{6A0BA63C-3EA7-4881-B633-8DC0AC78745C}" srcOrd="0" destOrd="0" presId="urn:microsoft.com/office/officeart/2008/layout/HorizontalMultiLevelHierarchy"/>
    <dgm:cxn modelId="{1AA1F94D-968F-4F74-B97B-441A34D01718}" type="presOf" srcId="{14FF01CD-256E-4933-A372-E87E8E87EA2B}" destId="{C8637F4F-03CB-4222-9204-EBA609E2E4D8}" srcOrd="1" destOrd="0" presId="urn:microsoft.com/office/officeart/2008/layout/HorizontalMultiLevelHierarchy"/>
    <dgm:cxn modelId="{A999B55F-D410-416E-99C9-DFBAEB90A357}" type="presOf" srcId="{96116618-71DD-482F-AAE1-5F63C4C146A0}" destId="{E38EF766-A2E8-4A6B-A605-8F0630AB4574}" srcOrd="0" destOrd="0" presId="urn:microsoft.com/office/officeart/2008/layout/HorizontalMultiLevelHierarchy"/>
    <dgm:cxn modelId="{833836D3-4701-4F81-9A9D-0BD4931017DF}" srcId="{9D966D30-3413-42CF-B893-2D6723B7A482}" destId="{D3B6DD56-201F-47E9-A5C7-221950A656C2}" srcOrd="0" destOrd="0" parTransId="{7CA5E77A-8251-47B9-8111-4ADCEA0B59E0}" sibTransId="{E6EB8A39-03FD-4520-92E3-B702B3D7455D}"/>
    <dgm:cxn modelId="{8865E9BC-2C33-4845-A4B3-446FE083487A}" type="presOf" srcId="{9B1F044A-0A68-42CB-B3A5-1BC8628DD57E}" destId="{9AE32AA9-F415-417C-B0FA-FA2B6CE3EC26}" srcOrd="0" destOrd="0" presId="urn:microsoft.com/office/officeart/2008/layout/HorizontalMultiLevelHierarchy"/>
    <dgm:cxn modelId="{E427950F-115C-4A2C-AEC0-93E7557EAD6E}" type="presOf" srcId="{51F321EC-A677-4DB9-8F6D-9A2DC8A0F5CB}" destId="{7A15E2E1-2655-4DC2-897E-D600F396BB75}" srcOrd="0" destOrd="0" presId="urn:microsoft.com/office/officeart/2008/layout/HorizontalMultiLevelHierarchy"/>
    <dgm:cxn modelId="{7D548D83-07A8-4D7B-8AEE-64BD7E6FF3FC}" type="presOf" srcId="{417012D2-9ADF-4663-93C6-A447BF66FE4A}" destId="{3B327AAF-4193-4F1B-BDAD-D4EAC97AB7C3}" srcOrd="0" destOrd="0" presId="urn:microsoft.com/office/officeart/2008/layout/HorizontalMultiLevelHierarchy"/>
    <dgm:cxn modelId="{5120C7EA-ACF3-4C6C-A213-4A4ABD4BF1F4}" type="presOf" srcId="{E5745C81-4090-4878-B695-D57813FE8FA5}" destId="{5705C392-B4C9-43E1-A9EA-8B7C93AA3431}" srcOrd="0" destOrd="0" presId="urn:microsoft.com/office/officeart/2008/layout/HorizontalMultiLevelHierarchy"/>
    <dgm:cxn modelId="{EA92E30A-482F-4E7B-BF30-85D794067F88}" type="presOf" srcId="{FE9C1A36-71E6-4202-8239-533FE3F39B09}" destId="{D04B56B2-3C4D-4B43-AC7C-48A1AA11EBBC}" srcOrd="1" destOrd="0" presId="urn:microsoft.com/office/officeart/2008/layout/HorizontalMultiLevelHierarchy"/>
    <dgm:cxn modelId="{2A9419C7-6D23-478A-B44D-22FAAE49EC3C}" srcId="{73ADC7BE-14CC-4AEB-8B22-EFA269C4BD8B}" destId="{68EBD9B9-4B99-4F86-9C53-BD427B58C606}" srcOrd="1" destOrd="0" parTransId="{2CAAE220-27D3-4879-8454-DA9530800C8D}" sibTransId="{1C4F24EB-B8AA-40A1-B683-46141747696B}"/>
    <dgm:cxn modelId="{F932B178-3264-4BB0-8C3C-859F0636CBC2}" srcId="{4348A7FE-D3E7-49D8-A705-029DCCCB25DE}" destId="{E63E1517-A550-4DAB-B9CE-1AEEC3543441}" srcOrd="1" destOrd="0" parTransId="{5A91EB98-6838-4393-B4C2-6F961F20BFD2}" sibTransId="{DEAF0163-2D17-4852-B89C-CADFE9E36483}"/>
    <dgm:cxn modelId="{64DF40FE-CDE8-4747-B22E-06F63130B904}" type="presOf" srcId="{726CC574-2ED4-4EEC-B9B1-FD6A57E35882}" destId="{1F48DC55-2DF6-45B3-982A-12344B0A4DC5}" srcOrd="1" destOrd="0" presId="urn:microsoft.com/office/officeart/2008/layout/HorizontalMultiLevelHierarchy"/>
    <dgm:cxn modelId="{0CAC01DD-2262-4AC6-8BED-2B876197FC9D}" type="presOf" srcId="{FC0F61D0-B5C6-4024-9B3C-E9400EC0F4F3}" destId="{6361BB29-54D9-4F19-9E5E-5359F1501055}" srcOrd="0" destOrd="0" presId="urn:microsoft.com/office/officeart/2008/layout/HorizontalMultiLevelHierarchy"/>
    <dgm:cxn modelId="{063FBA7E-3FAF-4004-803D-D8C85AEF96FA}" type="presOf" srcId="{D9CA0B1D-9DD6-4A8C-B60C-EA266D20C12A}" destId="{1208BA08-C239-444A-8830-51164557F6C4}" srcOrd="0" destOrd="0" presId="urn:microsoft.com/office/officeart/2008/layout/HorizontalMultiLevelHierarchy"/>
    <dgm:cxn modelId="{2CD4654F-E5B3-45D0-B0BA-BDAD8495F5CF}" srcId="{FE4853E9-727A-490A-AE1B-206A091AEEDF}" destId="{E317C68D-FA29-4CB7-B4CC-757647727F4F}" srcOrd="0" destOrd="0" parTransId="{8F67A3E8-20DD-4EE4-B539-28EDC771BC45}" sibTransId="{27B9F915-F7AF-45B4-B512-EF67842B769D}"/>
    <dgm:cxn modelId="{A1238A5F-E5AD-4E5A-BA86-9902DBE1B72C}" srcId="{54F4D680-DAD5-4C14-B8DD-6B9685524F84}" destId="{51F321EC-A677-4DB9-8F6D-9A2DC8A0F5CB}" srcOrd="0" destOrd="0" parTransId="{8191AFAE-8EBC-4D7A-BEE5-63C5F864D888}" sibTransId="{8EBB1F99-CA5F-4D1B-8783-9EF207578499}"/>
    <dgm:cxn modelId="{C799D6A8-445C-421D-B8F5-B0F6089BC12E}" type="presOf" srcId="{E317C68D-FA29-4CB7-B4CC-757647727F4F}" destId="{D0159374-6F76-4753-A426-8B9FCE5C1DD5}" srcOrd="0" destOrd="0" presId="urn:microsoft.com/office/officeart/2008/layout/HorizontalMultiLevelHierarchy"/>
    <dgm:cxn modelId="{EF3A6D9A-FE4F-44BD-83AD-C28B657CCB3D}" type="presOf" srcId="{54F4D680-DAD5-4C14-B8DD-6B9685524F84}" destId="{71252EEB-ED02-405A-A23B-29BCE17FF211}" srcOrd="0" destOrd="0" presId="urn:microsoft.com/office/officeart/2008/layout/HorizontalMultiLevelHierarchy"/>
    <dgm:cxn modelId="{8097D520-2924-4493-B401-2BF3A3D3CABD}" srcId="{96116618-71DD-482F-AAE1-5F63C4C146A0}" destId="{4348A7FE-D3E7-49D8-A705-029DCCCB25DE}" srcOrd="0" destOrd="0" parTransId="{042D9037-5D82-4A66-B86A-A12BE8B8448F}" sibTransId="{8FF250B1-70B7-40B1-84D5-A9C42EF9C56A}"/>
    <dgm:cxn modelId="{3D8DA291-E18E-4014-8C1A-50CF88D06708}" type="presOf" srcId="{73ADC7BE-14CC-4AEB-8B22-EFA269C4BD8B}" destId="{64138703-F7A6-4089-8C95-3BDA93209238}" srcOrd="0" destOrd="0" presId="urn:microsoft.com/office/officeart/2008/layout/HorizontalMultiLevelHierarchy"/>
    <dgm:cxn modelId="{09392393-8923-486B-9E55-160FA396051C}" type="presOf" srcId="{6E6C6F34-32B3-4F90-B1D9-451DD84D64D1}" destId="{914653E9-30AA-47D5-B057-FADC4425D7E5}" srcOrd="1" destOrd="0" presId="urn:microsoft.com/office/officeart/2008/layout/HorizontalMultiLevelHierarchy"/>
    <dgm:cxn modelId="{2DC0ADF8-501A-4A0E-980A-76400CA64518}" type="presOf" srcId="{DEEEA245-C1D2-4D8B-8C5E-AA597B1AB58A}" destId="{6CAEB78D-2B36-415B-8178-90F9871CC9A6}" srcOrd="0" destOrd="0" presId="urn:microsoft.com/office/officeart/2008/layout/HorizontalMultiLevelHierarchy"/>
    <dgm:cxn modelId="{E6CC49FA-6192-473D-8198-17B15F51B273}" srcId="{51F321EC-A677-4DB9-8F6D-9A2DC8A0F5CB}" destId="{0C57A6DA-0188-4160-925E-CEA97FD576D2}" srcOrd="1" destOrd="0" parTransId="{E6B96A5D-3C0D-4788-8393-9519B7F5F9B7}" sibTransId="{15B29A04-8CC6-4D6E-8558-2A607EB9EBDA}"/>
    <dgm:cxn modelId="{EF376F5A-19DA-4A57-BFE5-A7FCCF1C813E}" type="presOf" srcId="{36526846-ABCE-43C8-9F4E-FF693C7026C6}" destId="{3D451D9D-138B-46F8-89C2-4011EFE3C993}" srcOrd="0" destOrd="0" presId="urn:microsoft.com/office/officeart/2008/layout/HorizontalMultiLevelHierarchy"/>
    <dgm:cxn modelId="{11404BAD-FAFC-4E92-94DC-74AD0419FEE6}" type="presOf" srcId="{8F67A3E8-20DD-4EE4-B539-28EDC771BC45}" destId="{DFC78A1C-E00A-4BF1-8D2D-E2A893A5859E}" srcOrd="0" destOrd="0" presId="urn:microsoft.com/office/officeart/2008/layout/HorizontalMultiLevelHierarchy"/>
    <dgm:cxn modelId="{1496A532-5BCE-457D-ADD8-C76B135FBA07}" srcId="{E317C68D-FA29-4CB7-B4CC-757647727F4F}" destId="{330286B9-E486-4271-A0A6-145149217928}" srcOrd="1" destOrd="0" parTransId="{B5525FA1-A49C-47C1-9426-4DD8365ACEEA}" sibTransId="{CC35D460-1B05-4739-8ED4-D447201885D1}"/>
    <dgm:cxn modelId="{C0D9B7C4-E79F-4821-A983-734A5EEA81C5}" type="presOf" srcId="{8F67A3E8-20DD-4EE4-B539-28EDC771BC45}" destId="{5309BA4F-050C-4D97-93A5-DC76F25DC80B}" srcOrd="1" destOrd="0" presId="urn:microsoft.com/office/officeart/2008/layout/HorizontalMultiLevelHierarchy"/>
    <dgm:cxn modelId="{6C0D123C-C363-4848-ACDF-E61E62DA8ABF}" srcId="{36526846-ABCE-43C8-9F4E-FF693C7026C6}" destId="{482BB5B5-0091-4C57-BF60-508BFC80DE32}" srcOrd="0" destOrd="0" parTransId="{A1F43CC8-CEFE-4C0C-B51B-BF775C67E13B}" sibTransId="{AD99B04E-3E39-4052-999E-7252497013D3}"/>
    <dgm:cxn modelId="{CBAF6132-1330-44BF-BE25-1CD535DE72F3}" srcId="{4D0425C0-DF95-4A68-8DD8-33E75DE99C7E}" destId="{9D966D30-3413-42CF-B893-2D6723B7A482}" srcOrd="0" destOrd="0" parTransId="{E8BAD615-73FA-4F03-A828-DA3B4B7B6ED4}" sibTransId="{C5426B7A-6896-4903-AB3C-FC5D06A5A847}"/>
    <dgm:cxn modelId="{EBA71B27-DCA8-49C0-BE77-F994629311A3}" type="presOf" srcId="{E8BAD615-73FA-4F03-A828-DA3B4B7B6ED4}" destId="{A68F4CAD-DDB7-4374-B78E-0EF5F105B46A}" srcOrd="1" destOrd="0" presId="urn:microsoft.com/office/officeart/2008/layout/HorizontalMultiLevelHierarchy"/>
    <dgm:cxn modelId="{82246C45-AC1C-4772-9A6D-4F886E848795}" type="presOf" srcId="{A1F43CC8-CEFE-4C0C-B51B-BF775C67E13B}" destId="{49F7E78B-B441-40EA-B90E-2E578CCA4C33}" srcOrd="1" destOrd="0" presId="urn:microsoft.com/office/officeart/2008/layout/HorizontalMultiLevelHierarchy"/>
    <dgm:cxn modelId="{03E20DA7-9F8E-404C-90A6-676B75F45FC6}" type="presOf" srcId="{48338E3C-DDF1-4A1B-8347-96836DCA2D90}" destId="{9B8F9775-7061-489D-95B7-1B1D469E3495}" srcOrd="1" destOrd="0" presId="urn:microsoft.com/office/officeart/2008/layout/HorizontalMultiLevelHierarchy"/>
    <dgm:cxn modelId="{F2139AEA-3F0A-490C-80DD-8833B5522D9C}" srcId="{73ADC7BE-14CC-4AEB-8B22-EFA269C4BD8B}" destId="{7F0BCC2A-F56E-4ABB-8DC9-498205B3808C}" srcOrd="0" destOrd="0" parTransId="{DD185735-9E75-4A66-92F3-679B05EAD246}" sibTransId="{7B10B6BE-E7D4-4714-9DC9-87A48D3B44D0}"/>
    <dgm:cxn modelId="{064B47EC-161C-4CAF-9E47-ACA2AF3C79EA}" type="presOf" srcId="{FC0F61D0-B5C6-4024-9B3C-E9400EC0F4F3}" destId="{D4AD5513-BD1B-4A8E-BF72-F1E2438FFB0B}" srcOrd="1" destOrd="0" presId="urn:microsoft.com/office/officeart/2008/layout/HorizontalMultiLevelHierarchy"/>
    <dgm:cxn modelId="{E9B723E8-852A-4A04-B1EA-85419462CFAC}" type="presOf" srcId="{C3134AC6-EEF9-4129-8464-5F1A57D166FC}" destId="{0F6731D3-20E1-45FE-ACBD-6C969397F555}" srcOrd="0" destOrd="0" presId="urn:microsoft.com/office/officeart/2008/layout/HorizontalMultiLevelHierarchy"/>
    <dgm:cxn modelId="{F4DA92C7-A8F3-42CE-93CA-51D315A71D99}" type="presOf" srcId="{7CA5E77A-8251-47B9-8111-4ADCEA0B59E0}" destId="{368EAAB0-0F87-464C-8CF6-395EF7708CC7}" srcOrd="1" destOrd="0" presId="urn:microsoft.com/office/officeart/2008/layout/HorizontalMultiLevelHierarchy"/>
    <dgm:cxn modelId="{9E8DBA21-E1AA-4656-9174-55EA6AFD3675}" type="presOf" srcId="{B5274FE8-57CE-4B2D-B38A-CCBB418408DB}" destId="{E57CB2FE-F82A-4FED-96B7-EC37CB85C473}" srcOrd="1" destOrd="0" presId="urn:microsoft.com/office/officeart/2008/layout/HorizontalMultiLevelHierarchy"/>
    <dgm:cxn modelId="{C3AAED2B-6DF2-4C64-A28E-73226F20C68D}" type="presOf" srcId="{2CAAE220-27D3-4879-8454-DA9530800C8D}" destId="{FDD8A847-E09F-495F-A03D-F80FF05BA7F3}" srcOrd="1" destOrd="0" presId="urn:microsoft.com/office/officeart/2008/layout/HorizontalMultiLevelHierarchy"/>
    <dgm:cxn modelId="{B390A3DD-F9BC-4DF8-B90B-20BC63597089}" type="presOf" srcId="{6E6C6F34-32B3-4F90-B1D9-451DD84D64D1}" destId="{6E1B4EB4-927F-4C08-B9C4-6595299FDE98}" srcOrd="0" destOrd="0" presId="urn:microsoft.com/office/officeart/2008/layout/HorizontalMultiLevelHierarchy"/>
    <dgm:cxn modelId="{0F117F5E-B75A-4580-B176-3F22C379076D}" type="presOf" srcId="{806AD260-3FA2-45A6-9137-5770AB965DB3}" destId="{E13A90FD-D682-4AFC-867D-1717F883E512}" srcOrd="0" destOrd="0" presId="urn:microsoft.com/office/officeart/2008/layout/HorizontalMultiLevelHierarchy"/>
    <dgm:cxn modelId="{2A57CA22-B446-472D-89B6-6901ED7C5C09}" type="presOf" srcId="{8191AFAE-8EBC-4D7A-BEE5-63C5F864D888}" destId="{FEF5EA97-538B-4685-BA24-BBDE6D566A33}" srcOrd="1" destOrd="0" presId="urn:microsoft.com/office/officeart/2008/layout/HorizontalMultiLevelHierarchy"/>
    <dgm:cxn modelId="{8848A096-BF5B-4333-B868-2C5A35AD34AC}" srcId="{F2C4182D-B838-43DE-9D2F-BE0136476B00}" destId="{90ACFD8E-C51E-4D24-9399-2EB85F3A63C0}" srcOrd="0" destOrd="0" parTransId="{14FF01CD-256E-4933-A372-E87E8E87EA2B}" sibTransId="{1003EBB1-6FEF-42A0-8CFE-6FCDEC930EED}"/>
    <dgm:cxn modelId="{635513CE-5E56-4C9C-96FA-78609D265D78}" type="presOf" srcId="{2224A611-649F-4EE8-A840-24CCE5144AC9}" destId="{74F1EF5C-FD01-4645-A568-0632282CCCA8}" srcOrd="0" destOrd="0" presId="urn:microsoft.com/office/officeart/2008/layout/HorizontalMultiLevelHierarchy"/>
    <dgm:cxn modelId="{37F4F67F-AEDC-4A6B-A645-F03912AE43A0}" type="presOf" srcId="{B5525FA1-A49C-47C1-9426-4DD8365ACEEA}" destId="{360BF35B-D718-4706-BBC3-394546F584F3}" srcOrd="1" destOrd="0" presId="urn:microsoft.com/office/officeart/2008/layout/HorizontalMultiLevelHierarchy"/>
    <dgm:cxn modelId="{17305322-87D4-4658-B8E8-545F9F22F5CC}" type="presOf" srcId="{8191AFAE-8EBC-4D7A-BEE5-63C5F864D888}" destId="{00F9A2E1-8B29-4B86-93A2-8F2B346B7A59}" srcOrd="0" destOrd="0" presId="urn:microsoft.com/office/officeart/2008/layout/HorizontalMultiLevelHierarchy"/>
    <dgm:cxn modelId="{1D104920-D7C6-4D0C-9F02-5453F945C2E0}" type="presOf" srcId="{85372032-B81E-451B-B755-73560C8E2E67}" destId="{4FE59FD3-37CF-431C-B145-41205E895416}" srcOrd="1" destOrd="0" presId="urn:microsoft.com/office/officeart/2008/layout/HorizontalMultiLevelHierarchy"/>
    <dgm:cxn modelId="{542FAFD1-C8E0-4C69-A0E3-B670C670A155}" type="presParOf" srcId="{E38EF766-A2E8-4A6B-A605-8F0630AB4574}" destId="{9C08AC24-4476-4167-8407-782C00E548B2}" srcOrd="0" destOrd="0" presId="urn:microsoft.com/office/officeart/2008/layout/HorizontalMultiLevelHierarchy"/>
    <dgm:cxn modelId="{24B3B567-73D1-48F8-B253-4EF5EF7B88DD}" type="presParOf" srcId="{9C08AC24-4476-4167-8407-782C00E548B2}" destId="{2C774B62-4FD5-45A1-8B9A-C94830B2ED5F}" srcOrd="0" destOrd="0" presId="urn:microsoft.com/office/officeart/2008/layout/HorizontalMultiLevelHierarchy"/>
    <dgm:cxn modelId="{43811D3F-2B9A-4EC4-90CC-687D09FE8DBC}" type="presParOf" srcId="{9C08AC24-4476-4167-8407-782C00E548B2}" destId="{C3112F80-504A-4E54-891B-9417DB851261}" srcOrd="1" destOrd="0" presId="urn:microsoft.com/office/officeart/2008/layout/HorizontalMultiLevelHierarchy"/>
    <dgm:cxn modelId="{278BBC71-A0F7-4044-9E05-19C500BDB2DD}" type="presParOf" srcId="{C3112F80-504A-4E54-891B-9417DB851261}" destId="{2902A5A1-EFA0-4A03-8F5B-39FA3A3EE3A0}" srcOrd="0" destOrd="0" presId="urn:microsoft.com/office/officeart/2008/layout/HorizontalMultiLevelHierarchy"/>
    <dgm:cxn modelId="{DC8E6EC8-1E85-4BEB-BF3E-4DECFE6B7DEA}" type="presParOf" srcId="{2902A5A1-EFA0-4A03-8F5B-39FA3A3EE3A0}" destId="{F784BD53-FD6F-420E-8342-71607792D313}" srcOrd="0" destOrd="0" presId="urn:microsoft.com/office/officeart/2008/layout/HorizontalMultiLevelHierarchy"/>
    <dgm:cxn modelId="{1F05082A-F5E0-48A8-8BEB-B86ACF97D3BB}" type="presParOf" srcId="{C3112F80-504A-4E54-891B-9417DB851261}" destId="{D67AA24E-C490-4712-82DC-5952D7AF56C3}" srcOrd="1" destOrd="0" presId="urn:microsoft.com/office/officeart/2008/layout/HorizontalMultiLevelHierarchy"/>
    <dgm:cxn modelId="{3D7C7BB9-5A9E-4F6D-A1DD-0E41A22AA118}" type="presParOf" srcId="{D67AA24E-C490-4712-82DC-5952D7AF56C3}" destId="{71252EEB-ED02-405A-A23B-29BCE17FF211}" srcOrd="0" destOrd="0" presId="urn:microsoft.com/office/officeart/2008/layout/HorizontalMultiLevelHierarchy"/>
    <dgm:cxn modelId="{0EF3B075-65EC-44C1-A71F-DB8FBC49A35A}" type="presParOf" srcId="{D67AA24E-C490-4712-82DC-5952D7AF56C3}" destId="{D5A1439D-7069-457A-927E-1670E55CE816}" srcOrd="1" destOrd="0" presId="urn:microsoft.com/office/officeart/2008/layout/HorizontalMultiLevelHierarchy"/>
    <dgm:cxn modelId="{4EB8D1E4-A4CF-4BC4-B2DE-E67389E2BEF2}" type="presParOf" srcId="{D5A1439D-7069-457A-927E-1670E55CE816}" destId="{00F9A2E1-8B29-4B86-93A2-8F2B346B7A59}" srcOrd="0" destOrd="0" presId="urn:microsoft.com/office/officeart/2008/layout/HorizontalMultiLevelHierarchy"/>
    <dgm:cxn modelId="{5600C7A7-3396-4682-8893-9F6FD14B2D30}" type="presParOf" srcId="{00F9A2E1-8B29-4B86-93A2-8F2B346B7A59}" destId="{FEF5EA97-538B-4685-BA24-BBDE6D566A33}" srcOrd="0" destOrd="0" presId="urn:microsoft.com/office/officeart/2008/layout/HorizontalMultiLevelHierarchy"/>
    <dgm:cxn modelId="{63765401-BDDB-42C9-963C-6A917EA5734A}" type="presParOf" srcId="{D5A1439D-7069-457A-927E-1670E55CE816}" destId="{FAD5A0BA-7B80-4D6A-9F44-D113B918DB68}" srcOrd="1" destOrd="0" presId="urn:microsoft.com/office/officeart/2008/layout/HorizontalMultiLevelHierarchy"/>
    <dgm:cxn modelId="{A1B50313-A1F5-484B-9451-4CF4FE1DE1F0}" type="presParOf" srcId="{FAD5A0BA-7B80-4D6A-9F44-D113B918DB68}" destId="{7A15E2E1-2655-4DC2-897E-D600F396BB75}" srcOrd="0" destOrd="0" presId="urn:microsoft.com/office/officeart/2008/layout/HorizontalMultiLevelHierarchy"/>
    <dgm:cxn modelId="{E987B0C0-733F-467F-8436-90E96463E514}" type="presParOf" srcId="{FAD5A0BA-7B80-4D6A-9F44-D113B918DB68}" destId="{36239C78-D60B-4BC0-9065-037CC6E71AAE}" srcOrd="1" destOrd="0" presId="urn:microsoft.com/office/officeart/2008/layout/HorizontalMultiLevelHierarchy"/>
    <dgm:cxn modelId="{C7EF1C1B-FA36-464D-8741-60FDD1F2D64C}" type="presParOf" srcId="{36239C78-D60B-4BC0-9065-037CC6E71AAE}" destId="{EDC7A6AE-E1C2-4EA7-9054-F821D38A059B}" srcOrd="0" destOrd="0" presId="urn:microsoft.com/office/officeart/2008/layout/HorizontalMultiLevelHierarchy"/>
    <dgm:cxn modelId="{B05D990C-6C1D-43D1-BCC5-C4B8D5AF8CEA}" type="presParOf" srcId="{EDC7A6AE-E1C2-4EA7-9054-F821D38A059B}" destId="{8EA80E7F-0D00-486E-8210-212304D5B3CF}" srcOrd="0" destOrd="0" presId="urn:microsoft.com/office/officeart/2008/layout/HorizontalMultiLevelHierarchy"/>
    <dgm:cxn modelId="{C9C0D65C-28DC-481D-B59C-4E0EB0E34FE2}" type="presParOf" srcId="{36239C78-D60B-4BC0-9065-037CC6E71AAE}" destId="{BC95BE80-7A8E-4334-A671-22E646A1A1B7}" srcOrd="1" destOrd="0" presId="urn:microsoft.com/office/officeart/2008/layout/HorizontalMultiLevelHierarchy"/>
    <dgm:cxn modelId="{68CBE233-9AB0-41C3-BE4F-AB37166DFA5D}" type="presParOf" srcId="{BC95BE80-7A8E-4334-A671-22E646A1A1B7}" destId="{E1F2A7C2-F5C6-46CD-B866-238B7304D43D}" srcOrd="0" destOrd="0" presId="urn:microsoft.com/office/officeart/2008/layout/HorizontalMultiLevelHierarchy"/>
    <dgm:cxn modelId="{4E1726D8-376B-4B55-9F11-B4F1B5E6DA7E}" type="presParOf" srcId="{BC95BE80-7A8E-4334-A671-22E646A1A1B7}" destId="{33336C75-CF64-4CE5-9858-7F238B098C16}" srcOrd="1" destOrd="0" presId="urn:microsoft.com/office/officeart/2008/layout/HorizontalMultiLevelHierarchy"/>
    <dgm:cxn modelId="{819CD10B-4702-4875-999A-78237582DEA4}" type="presParOf" srcId="{33336C75-CF64-4CE5-9858-7F238B098C16}" destId="{DFC78A1C-E00A-4BF1-8D2D-E2A893A5859E}" srcOrd="0" destOrd="0" presId="urn:microsoft.com/office/officeart/2008/layout/HorizontalMultiLevelHierarchy"/>
    <dgm:cxn modelId="{10F5B1A3-908E-42C6-A048-BA8436DB5ECA}" type="presParOf" srcId="{DFC78A1C-E00A-4BF1-8D2D-E2A893A5859E}" destId="{5309BA4F-050C-4D97-93A5-DC76F25DC80B}" srcOrd="0" destOrd="0" presId="urn:microsoft.com/office/officeart/2008/layout/HorizontalMultiLevelHierarchy"/>
    <dgm:cxn modelId="{C634606E-55F1-41B0-B9AB-DEA9A47BB8FC}" type="presParOf" srcId="{33336C75-CF64-4CE5-9858-7F238B098C16}" destId="{EE98435E-87EE-44D1-A0FF-A9C585D75842}" srcOrd="1" destOrd="0" presId="urn:microsoft.com/office/officeart/2008/layout/HorizontalMultiLevelHierarchy"/>
    <dgm:cxn modelId="{8091802A-E74E-4766-BE56-C87976A39A1D}" type="presParOf" srcId="{EE98435E-87EE-44D1-A0FF-A9C585D75842}" destId="{D0159374-6F76-4753-A426-8B9FCE5C1DD5}" srcOrd="0" destOrd="0" presId="urn:microsoft.com/office/officeart/2008/layout/HorizontalMultiLevelHierarchy"/>
    <dgm:cxn modelId="{9C89D218-49E2-41FD-8841-0B43147055F2}" type="presParOf" srcId="{EE98435E-87EE-44D1-A0FF-A9C585D75842}" destId="{A8373952-DFCE-4D6A-823B-08823C717A23}" srcOrd="1" destOrd="0" presId="urn:microsoft.com/office/officeart/2008/layout/HorizontalMultiLevelHierarchy"/>
    <dgm:cxn modelId="{D71B1112-B637-4683-8CEF-D20941B29581}" type="presParOf" srcId="{A8373952-DFCE-4D6A-823B-08823C717A23}" destId="{A855F001-D26D-475C-A476-70F2341B90FE}" srcOrd="0" destOrd="0" presId="urn:microsoft.com/office/officeart/2008/layout/HorizontalMultiLevelHierarchy"/>
    <dgm:cxn modelId="{39F60E5D-6AA8-48E5-B377-5671A153549E}" type="presParOf" srcId="{A855F001-D26D-475C-A476-70F2341B90FE}" destId="{FECD79B6-8F5C-4507-96A3-6DA8CDA9A5C6}" srcOrd="0" destOrd="0" presId="urn:microsoft.com/office/officeart/2008/layout/HorizontalMultiLevelHierarchy"/>
    <dgm:cxn modelId="{8AFDA159-41DE-4415-B039-883334ED051A}" type="presParOf" srcId="{A8373952-DFCE-4D6A-823B-08823C717A23}" destId="{3374FCA9-E48C-4E42-933C-2905166E6459}" srcOrd="1" destOrd="0" presId="urn:microsoft.com/office/officeart/2008/layout/HorizontalMultiLevelHierarchy"/>
    <dgm:cxn modelId="{82B4511E-099A-4C49-B6A7-21848EF69600}" type="presParOf" srcId="{3374FCA9-E48C-4E42-933C-2905166E6459}" destId="{1208BA08-C239-444A-8830-51164557F6C4}" srcOrd="0" destOrd="0" presId="urn:microsoft.com/office/officeart/2008/layout/HorizontalMultiLevelHierarchy"/>
    <dgm:cxn modelId="{D9A005C7-4827-4F19-84FB-938CD65BBD70}" type="presParOf" srcId="{3374FCA9-E48C-4E42-933C-2905166E6459}" destId="{7EA0CB03-F9F9-4BF0-A48F-46EFB674471C}" srcOrd="1" destOrd="0" presId="urn:microsoft.com/office/officeart/2008/layout/HorizontalMultiLevelHierarchy"/>
    <dgm:cxn modelId="{79722DFB-DCDA-4CA7-A145-33E1220A2EC0}" type="presParOf" srcId="{A8373952-DFCE-4D6A-823B-08823C717A23}" destId="{912B174D-27B7-4127-9CC1-F790478B6351}" srcOrd="2" destOrd="0" presId="urn:microsoft.com/office/officeart/2008/layout/HorizontalMultiLevelHierarchy"/>
    <dgm:cxn modelId="{2D58BE63-2906-4412-80E8-D44DD01987C0}" type="presParOf" srcId="{912B174D-27B7-4127-9CC1-F790478B6351}" destId="{360BF35B-D718-4706-BBC3-394546F584F3}" srcOrd="0" destOrd="0" presId="urn:microsoft.com/office/officeart/2008/layout/HorizontalMultiLevelHierarchy"/>
    <dgm:cxn modelId="{14C0BDA4-E38C-43BD-87E9-3F378C4643A5}" type="presParOf" srcId="{A8373952-DFCE-4D6A-823B-08823C717A23}" destId="{79AD9039-534F-4C34-87F7-0043EB133264}" srcOrd="3" destOrd="0" presId="urn:microsoft.com/office/officeart/2008/layout/HorizontalMultiLevelHierarchy"/>
    <dgm:cxn modelId="{5AF6C126-2FFA-4B54-8DC2-9DC2BCD2850F}" type="presParOf" srcId="{79AD9039-534F-4C34-87F7-0043EB133264}" destId="{9E5B9E7C-7AB3-4DC1-BD27-5620E83B6D48}" srcOrd="0" destOrd="0" presId="urn:microsoft.com/office/officeart/2008/layout/HorizontalMultiLevelHierarchy"/>
    <dgm:cxn modelId="{32A3C8E3-C505-4321-9F01-EE2E24814FCD}" type="presParOf" srcId="{79AD9039-534F-4C34-87F7-0043EB133264}" destId="{1B58D3E2-F1FA-4813-BF6C-2C85649BB2E8}" srcOrd="1" destOrd="0" presId="urn:microsoft.com/office/officeart/2008/layout/HorizontalMultiLevelHierarchy"/>
    <dgm:cxn modelId="{0EA3596D-A95E-4F90-8E52-E37325EF366C}" type="presParOf" srcId="{1B58D3E2-F1FA-4813-BF6C-2C85649BB2E8}" destId="{6A0BA63C-3EA7-4881-B633-8DC0AC78745C}" srcOrd="0" destOrd="0" presId="urn:microsoft.com/office/officeart/2008/layout/HorizontalMultiLevelHierarchy"/>
    <dgm:cxn modelId="{93118DE2-7B69-4B32-8105-E3C656457E14}" type="presParOf" srcId="{6A0BA63C-3EA7-4881-B633-8DC0AC78745C}" destId="{1F48DC55-2DF6-45B3-982A-12344B0A4DC5}" srcOrd="0" destOrd="0" presId="urn:microsoft.com/office/officeart/2008/layout/HorizontalMultiLevelHierarchy"/>
    <dgm:cxn modelId="{BC0B1CD0-9117-46D9-8637-5505B525734B}" type="presParOf" srcId="{1B58D3E2-F1FA-4813-BF6C-2C85649BB2E8}" destId="{8FC08EEB-F87F-4A9F-9A50-FE8441661129}" srcOrd="1" destOrd="0" presId="urn:microsoft.com/office/officeart/2008/layout/HorizontalMultiLevelHierarchy"/>
    <dgm:cxn modelId="{519ABFDC-F22C-4AD4-A2ED-A65CC781C90A}" type="presParOf" srcId="{8FC08EEB-F87F-4A9F-9A50-FE8441661129}" destId="{0F6731D3-20E1-45FE-ACBD-6C969397F555}" srcOrd="0" destOrd="0" presId="urn:microsoft.com/office/officeart/2008/layout/HorizontalMultiLevelHierarchy"/>
    <dgm:cxn modelId="{96EB1393-69F6-4FF9-8F9B-BE9C077E4814}" type="presParOf" srcId="{8FC08EEB-F87F-4A9F-9A50-FE8441661129}" destId="{A22E3AC0-E8F4-4004-8519-6A3873EF8D6F}" srcOrd="1" destOrd="0" presId="urn:microsoft.com/office/officeart/2008/layout/HorizontalMultiLevelHierarchy"/>
    <dgm:cxn modelId="{214A0448-F4DA-4807-BC26-89EB0A582486}" type="presParOf" srcId="{33336C75-CF64-4CE5-9858-7F238B098C16}" destId="{2A8D1577-0F3D-4F83-82D9-FFC50E36E934}" srcOrd="2" destOrd="0" presId="urn:microsoft.com/office/officeart/2008/layout/HorizontalMultiLevelHierarchy"/>
    <dgm:cxn modelId="{028F5B40-1A14-4B20-9E40-B56A683EA2EA}" type="presParOf" srcId="{2A8D1577-0F3D-4F83-82D9-FFC50E36E934}" destId="{9B8F9775-7061-489D-95B7-1B1D469E3495}" srcOrd="0" destOrd="0" presId="urn:microsoft.com/office/officeart/2008/layout/HorizontalMultiLevelHierarchy"/>
    <dgm:cxn modelId="{E4CF1990-A76F-4ED1-B690-567BAE8B707C}" type="presParOf" srcId="{33336C75-CF64-4CE5-9858-7F238B098C16}" destId="{92EBFA78-CDDD-49BC-BFE0-F1DB0D25DDAE}" srcOrd="3" destOrd="0" presId="urn:microsoft.com/office/officeart/2008/layout/HorizontalMultiLevelHierarchy"/>
    <dgm:cxn modelId="{6B22A8D4-EC72-42BD-9921-BDE115907C80}" type="presParOf" srcId="{92EBFA78-CDDD-49BC-BFE0-F1DB0D25DDAE}" destId="{3B327AAF-4193-4F1B-BDAD-D4EAC97AB7C3}" srcOrd="0" destOrd="0" presId="urn:microsoft.com/office/officeart/2008/layout/HorizontalMultiLevelHierarchy"/>
    <dgm:cxn modelId="{23CCBE5B-617E-4BB5-9525-A3B27D8BA6A7}" type="presParOf" srcId="{92EBFA78-CDDD-49BC-BFE0-F1DB0D25DDAE}" destId="{5CB03F03-2B25-404C-BB33-5BABD74ECEE8}" srcOrd="1" destOrd="0" presId="urn:microsoft.com/office/officeart/2008/layout/HorizontalMultiLevelHierarchy"/>
    <dgm:cxn modelId="{4EE82CE3-28E0-4119-9E97-6EB9E41A72C0}" type="presParOf" srcId="{36239C78-D60B-4BC0-9065-037CC6E71AAE}" destId="{DBC32FA7-ABA2-479B-BC28-9D773A5A9674}" srcOrd="2" destOrd="0" presId="urn:microsoft.com/office/officeart/2008/layout/HorizontalMultiLevelHierarchy"/>
    <dgm:cxn modelId="{8FEEC845-03B6-4A6A-AC22-663CC5BBBA3E}" type="presParOf" srcId="{DBC32FA7-ABA2-479B-BC28-9D773A5A9674}" destId="{64D3DA34-1FD5-412C-9990-08AA4D907ADB}" srcOrd="0" destOrd="0" presId="urn:microsoft.com/office/officeart/2008/layout/HorizontalMultiLevelHierarchy"/>
    <dgm:cxn modelId="{1AA33A51-A4D4-4897-9841-5DD2F0F65330}" type="presParOf" srcId="{36239C78-D60B-4BC0-9065-037CC6E71AAE}" destId="{07B854BC-734D-4E6B-BA87-1D804F4D8B16}" srcOrd="3" destOrd="0" presId="urn:microsoft.com/office/officeart/2008/layout/HorizontalMultiLevelHierarchy"/>
    <dgm:cxn modelId="{A08949F8-DF7D-4AEB-8030-1158B0F2614F}" type="presParOf" srcId="{07B854BC-734D-4E6B-BA87-1D804F4D8B16}" destId="{476DDA1D-A285-4F0C-9BA6-3DA859F11C4D}" srcOrd="0" destOrd="0" presId="urn:microsoft.com/office/officeart/2008/layout/HorizontalMultiLevelHierarchy"/>
    <dgm:cxn modelId="{19CBE251-B860-42D1-939D-A69C8A3CEDC6}" type="presParOf" srcId="{07B854BC-734D-4E6B-BA87-1D804F4D8B16}" destId="{D1019940-70B5-4A25-AF53-0369D195E1D4}" srcOrd="1" destOrd="0" presId="urn:microsoft.com/office/officeart/2008/layout/HorizontalMultiLevelHierarchy"/>
    <dgm:cxn modelId="{38B16648-9EAC-4236-9F56-6A81CF921772}" type="presParOf" srcId="{D1019940-70B5-4A25-AF53-0369D195E1D4}" destId="{D15C7707-0964-4D74-9A6B-79A58A47B5C4}" srcOrd="0" destOrd="0" presId="urn:microsoft.com/office/officeart/2008/layout/HorizontalMultiLevelHierarchy"/>
    <dgm:cxn modelId="{DCD1583A-CABA-461D-84D1-619AD8CB4D34}" type="presParOf" srcId="{D15C7707-0964-4D74-9A6B-79A58A47B5C4}" destId="{890549B0-73CD-47C9-B0B3-124F10209738}" srcOrd="0" destOrd="0" presId="urn:microsoft.com/office/officeart/2008/layout/HorizontalMultiLevelHierarchy"/>
    <dgm:cxn modelId="{A1D74ECE-80B9-4C22-8B6F-195CBB45B0D1}" type="presParOf" srcId="{D1019940-70B5-4A25-AF53-0369D195E1D4}" destId="{DF1A4C6C-AA15-4533-BF8E-CFFDAFBA4FBE}" srcOrd="1" destOrd="0" presId="urn:microsoft.com/office/officeart/2008/layout/HorizontalMultiLevelHierarchy"/>
    <dgm:cxn modelId="{897EEFFF-B4B4-4718-8D97-0CE33A60FCF5}" type="presParOf" srcId="{DF1A4C6C-AA15-4533-BF8E-CFFDAFBA4FBE}" destId="{49BD26DA-549C-4516-949F-D2AA9EB0AEF6}" srcOrd="0" destOrd="0" presId="urn:microsoft.com/office/officeart/2008/layout/HorizontalMultiLevelHierarchy"/>
    <dgm:cxn modelId="{4DB5653A-3963-4DDD-AA96-9F6DCB28877D}" type="presParOf" srcId="{DF1A4C6C-AA15-4533-BF8E-CFFDAFBA4FBE}" destId="{F520B7E1-2B2A-4653-A45E-ACD6365B0863}" srcOrd="1" destOrd="0" presId="urn:microsoft.com/office/officeart/2008/layout/HorizontalMultiLevelHierarchy"/>
    <dgm:cxn modelId="{B5356500-3A81-4942-A288-0C7D49D05525}" type="presParOf" srcId="{36239C78-D60B-4BC0-9065-037CC6E71AAE}" destId="{4E0420AA-B717-46C3-BA59-CFB657610A6B}" srcOrd="4" destOrd="0" presId="urn:microsoft.com/office/officeart/2008/layout/HorizontalMultiLevelHierarchy"/>
    <dgm:cxn modelId="{692D31D2-BBC5-4BDC-83CE-5B42D78E8CDC}" type="presParOf" srcId="{4E0420AA-B717-46C3-BA59-CFB657610A6B}" destId="{4FE59FD3-37CF-431C-B145-41205E895416}" srcOrd="0" destOrd="0" presId="urn:microsoft.com/office/officeart/2008/layout/HorizontalMultiLevelHierarchy"/>
    <dgm:cxn modelId="{617049A7-9057-407B-A733-DB91F3C0473E}" type="presParOf" srcId="{36239C78-D60B-4BC0-9065-037CC6E71AAE}" destId="{EC82DD01-B2B2-4DE4-8214-466B26D5D08F}" srcOrd="5" destOrd="0" presId="urn:microsoft.com/office/officeart/2008/layout/HorizontalMultiLevelHierarchy"/>
    <dgm:cxn modelId="{B2391934-EB88-42A8-96B2-F92DCE0C2D4D}" type="presParOf" srcId="{EC82DD01-B2B2-4DE4-8214-466B26D5D08F}" destId="{E4566AD4-2965-4C47-BDC7-2673DE3FCB1B}" srcOrd="0" destOrd="0" presId="urn:microsoft.com/office/officeart/2008/layout/HorizontalMultiLevelHierarchy"/>
    <dgm:cxn modelId="{5D5E7001-5C73-4215-9B8D-E3236350B469}" type="presParOf" srcId="{EC82DD01-B2B2-4DE4-8214-466B26D5D08F}" destId="{C97E0ED7-C070-40D6-A340-7CF99F3FFB28}" srcOrd="1" destOrd="0" presId="urn:microsoft.com/office/officeart/2008/layout/HorizontalMultiLevelHierarchy"/>
    <dgm:cxn modelId="{904E8137-B88C-4990-96A5-1DD3D10D92CE}" type="presParOf" srcId="{D5A1439D-7069-457A-927E-1670E55CE816}" destId="{0B2BFF33-0BE3-44D5-9FFC-F7204C5E4645}" srcOrd="2" destOrd="0" presId="urn:microsoft.com/office/officeart/2008/layout/HorizontalMultiLevelHierarchy"/>
    <dgm:cxn modelId="{F5CAE388-FF97-46D4-9C02-BFDEAB1D1BEE}" type="presParOf" srcId="{0B2BFF33-0BE3-44D5-9FFC-F7204C5E4645}" destId="{92A5566F-E0C5-4834-A361-19EBC81D5D97}" srcOrd="0" destOrd="0" presId="urn:microsoft.com/office/officeart/2008/layout/HorizontalMultiLevelHierarchy"/>
    <dgm:cxn modelId="{A62258B6-9D5B-4405-9D4A-BDCF688ABEEF}" type="presParOf" srcId="{D5A1439D-7069-457A-927E-1670E55CE816}" destId="{71227E54-63EE-47A5-9DF0-B7C6D8889A99}" srcOrd="3" destOrd="0" presId="urn:microsoft.com/office/officeart/2008/layout/HorizontalMultiLevelHierarchy"/>
    <dgm:cxn modelId="{24D954D9-33E9-4D7C-881B-CAB34DC2F2F7}" type="presParOf" srcId="{71227E54-63EE-47A5-9DF0-B7C6D8889A99}" destId="{64138703-F7A6-4089-8C95-3BDA93209238}" srcOrd="0" destOrd="0" presId="urn:microsoft.com/office/officeart/2008/layout/HorizontalMultiLevelHierarchy"/>
    <dgm:cxn modelId="{E2B5BB4D-7F6A-4D91-964F-7E323AE39F36}" type="presParOf" srcId="{71227E54-63EE-47A5-9DF0-B7C6D8889A99}" destId="{5FC19FA6-0F66-45CB-8E3F-ACC29125D57E}" srcOrd="1" destOrd="0" presId="urn:microsoft.com/office/officeart/2008/layout/HorizontalMultiLevelHierarchy"/>
    <dgm:cxn modelId="{51DE1E84-18B5-4E44-939E-FE99620842BF}" type="presParOf" srcId="{5FC19FA6-0F66-45CB-8E3F-ACC29125D57E}" destId="{21283669-252B-4569-9E95-8D5642535A41}" srcOrd="0" destOrd="0" presId="urn:microsoft.com/office/officeart/2008/layout/HorizontalMultiLevelHierarchy"/>
    <dgm:cxn modelId="{0CAE7D11-9AAF-4C54-9539-C04B72376BBF}" type="presParOf" srcId="{21283669-252B-4569-9E95-8D5642535A41}" destId="{89C2BCCC-CD93-46EE-AFBE-679A0F03C471}" srcOrd="0" destOrd="0" presId="urn:microsoft.com/office/officeart/2008/layout/HorizontalMultiLevelHierarchy"/>
    <dgm:cxn modelId="{68F3E332-7F7A-4C70-9F2F-87BA35E00EED}" type="presParOf" srcId="{5FC19FA6-0F66-45CB-8E3F-ACC29125D57E}" destId="{9A4AFC53-0DC8-43D6-9D04-976D3528B47F}" srcOrd="1" destOrd="0" presId="urn:microsoft.com/office/officeart/2008/layout/HorizontalMultiLevelHierarchy"/>
    <dgm:cxn modelId="{118B8179-7837-4C2E-9729-DB5EB808AD0E}" type="presParOf" srcId="{9A4AFC53-0DC8-43D6-9D04-976D3528B47F}" destId="{8569AFBE-3563-43F9-A494-98AAA98C5305}" srcOrd="0" destOrd="0" presId="urn:microsoft.com/office/officeart/2008/layout/HorizontalMultiLevelHierarchy"/>
    <dgm:cxn modelId="{661BC58A-6D89-415E-9362-472B2CCD1840}" type="presParOf" srcId="{9A4AFC53-0DC8-43D6-9D04-976D3528B47F}" destId="{BC8B4949-1F0C-4E4B-8D6E-0B1DD0A7CAA4}" srcOrd="1" destOrd="0" presId="urn:microsoft.com/office/officeart/2008/layout/HorizontalMultiLevelHierarchy"/>
    <dgm:cxn modelId="{D311B5CD-375C-4E65-874A-4330695E7369}" type="presParOf" srcId="{5FC19FA6-0F66-45CB-8E3F-ACC29125D57E}" destId="{CBCE90F8-F40B-487E-8A62-5871800E5A22}" srcOrd="2" destOrd="0" presId="urn:microsoft.com/office/officeart/2008/layout/HorizontalMultiLevelHierarchy"/>
    <dgm:cxn modelId="{40FD6364-786B-4C53-9DDB-3C9F34CE2044}" type="presParOf" srcId="{CBCE90F8-F40B-487E-8A62-5871800E5A22}" destId="{FDD8A847-E09F-495F-A03D-F80FF05BA7F3}" srcOrd="0" destOrd="0" presId="urn:microsoft.com/office/officeart/2008/layout/HorizontalMultiLevelHierarchy"/>
    <dgm:cxn modelId="{6FAECF62-C470-46B8-B05A-439842EFB912}" type="presParOf" srcId="{5FC19FA6-0F66-45CB-8E3F-ACC29125D57E}" destId="{1F57A52A-9967-404C-8BF6-DD35A2B9306D}" srcOrd="3" destOrd="0" presId="urn:microsoft.com/office/officeart/2008/layout/HorizontalMultiLevelHierarchy"/>
    <dgm:cxn modelId="{5978FCBE-AC86-48FE-AF65-FA3640C81148}" type="presParOf" srcId="{1F57A52A-9967-404C-8BF6-DD35A2B9306D}" destId="{26EF6B95-5EC3-4AEC-8AAD-15C73B90D8E9}" srcOrd="0" destOrd="0" presId="urn:microsoft.com/office/officeart/2008/layout/HorizontalMultiLevelHierarchy"/>
    <dgm:cxn modelId="{4C6E027E-1E81-42B8-8AED-720788D9E78F}" type="presParOf" srcId="{1F57A52A-9967-404C-8BF6-DD35A2B9306D}" destId="{858E5627-784D-429B-BAC3-3D310192B55B}" srcOrd="1" destOrd="0" presId="urn:microsoft.com/office/officeart/2008/layout/HorizontalMultiLevelHierarchy"/>
    <dgm:cxn modelId="{B1CA683B-4E09-494E-9718-F1555E7D66D1}" type="presParOf" srcId="{858E5627-784D-429B-BAC3-3D310192B55B}" destId="{B1654B20-8121-420F-BC89-3C8088AEF740}" srcOrd="0" destOrd="0" presId="urn:microsoft.com/office/officeart/2008/layout/HorizontalMultiLevelHierarchy"/>
    <dgm:cxn modelId="{9A5B0FB0-6613-458B-8A53-A34F22A7FFBC}" type="presParOf" srcId="{B1654B20-8121-420F-BC89-3C8088AEF740}" destId="{D04B56B2-3C4D-4B43-AC7C-48A1AA11EBBC}" srcOrd="0" destOrd="0" presId="urn:microsoft.com/office/officeart/2008/layout/HorizontalMultiLevelHierarchy"/>
    <dgm:cxn modelId="{28DEA651-18DE-4405-A303-FA7E2664E795}" type="presParOf" srcId="{858E5627-784D-429B-BAC3-3D310192B55B}" destId="{A5774291-506A-4436-B4A0-CAA272B16F92}" srcOrd="1" destOrd="0" presId="urn:microsoft.com/office/officeart/2008/layout/HorizontalMultiLevelHierarchy"/>
    <dgm:cxn modelId="{509E2B41-E277-49C8-85C0-FAFF451B7657}" type="presParOf" srcId="{A5774291-506A-4436-B4A0-CAA272B16F92}" destId="{E13A90FD-D682-4AFC-867D-1717F883E512}" srcOrd="0" destOrd="0" presId="urn:microsoft.com/office/officeart/2008/layout/HorizontalMultiLevelHierarchy"/>
    <dgm:cxn modelId="{9B1528AC-E45B-4405-B977-878608CA5D69}" type="presParOf" srcId="{A5774291-506A-4436-B4A0-CAA272B16F92}" destId="{298EDD5D-2547-426B-A36E-82028BEE765B}" srcOrd="1" destOrd="0" presId="urn:microsoft.com/office/officeart/2008/layout/HorizontalMultiLevelHierarchy"/>
    <dgm:cxn modelId="{CB6910AF-C870-42C7-9015-B219D0BE9781}" type="presParOf" srcId="{C3112F80-504A-4E54-891B-9417DB851261}" destId="{2CE723F3-8187-4EA8-A86D-D071FCD65576}" srcOrd="2" destOrd="0" presId="urn:microsoft.com/office/officeart/2008/layout/HorizontalMultiLevelHierarchy"/>
    <dgm:cxn modelId="{2753D0FF-9793-4C83-9D37-ACDA5B75E386}" type="presParOf" srcId="{2CE723F3-8187-4EA8-A86D-D071FCD65576}" destId="{EDCD2CB5-0926-4916-93FD-7DE009BA6D49}" srcOrd="0" destOrd="0" presId="urn:microsoft.com/office/officeart/2008/layout/HorizontalMultiLevelHierarchy"/>
    <dgm:cxn modelId="{F8337EEC-D0DB-4943-AFC4-B01DBBF5E161}" type="presParOf" srcId="{C3112F80-504A-4E54-891B-9417DB851261}" destId="{A6EE42D2-0245-4517-8C95-14CBA39AA4E9}" srcOrd="3" destOrd="0" presId="urn:microsoft.com/office/officeart/2008/layout/HorizontalMultiLevelHierarchy"/>
    <dgm:cxn modelId="{678A33A5-E4F1-4E6B-9C21-24BF1C1431F9}" type="presParOf" srcId="{A6EE42D2-0245-4517-8C95-14CBA39AA4E9}" destId="{AA07CE18-9F3F-4AFE-9F00-D32FDDFCEC81}" srcOrd="0" destOrd="0" presId="urn:microsoft.com/office/officeart/2008/layout/HorizontalMultiLevelHierarchy"/>
    <dgm:cxn modelId="{69830F96-0D80-4E02-A327-27763D776561}" type="presParOf" srcId="{A6EE42D2-0245-4517-8C95-14CBA39AA4E9}" destId="{E8DC5882-9CA3-40AB-88B3-C289C63B04C8}" srcOrd="1" destOrd="0" presId="urn:microsoft.com/office/officeart/2008/layout/HorizontalMultiLevelHierarchy"/>
    <dgm:cxn modelId="{A7E71D4D-957E-4EB6-A9D5-8DDCA155C370}" type="presParOf" srcId="{E8DC5882-9CA3-40AB-88B3-C289C63B04C8}" destId="{6E1B4EB4-927F-4C08-B9C4-6595299FDE98}" srcOrd="0" destOrd="0" presId="urn:microsoft.com/office/officeart/2008/layout/HorizontalMultiLevelHierarchy"/>
    <dgm:cxn modelId="{7FBF3353-CB5A-482D-8DB8-F0D13C41207A}" type="presParOf" srcId="{6E1B4EB4-927F-4C08-B9C4-6595299FDE98}" destId="{914653E9-30AA-47D5-B057-FADC4425D7E5}" srcOrd="0" destOrd="0" presId="urn:microsoft.com/office/officeart/2008/layout/HorizontalMultiLevelHierarchy"/>
    <dgm:cxn modelId="{B94979CA-D1A5-4698-8B22-42E397E444D8}" type="presParOf" srcId="{E8DC5882-9CA3-40AB-88B3-C289C63B04C8}" destId="{DD9B9AF3-F5AA-49F3-A162-5DE1A2D8C7C1}" srcOrd="1" destOrd="0" presId="urn:microsoft.com/office/officeart/2008/layout/HorizontalMultiLevelHierarchy"/>
    <dgm:cxn modelId="{29E15192-AA0B-4B7A-B2AA-EEDC6C368A45}" type="presParOf" srcId="{DD9B9AF3-F5AA-49F3-A162-5DE1A2D8C7C1}" destId="{06AF6D68-969A-4C71-99B0-7FA3CCDF7D15}" srcOrd="0" destOrd="0" presId="urn:microsoft.com/office/officeart/2008/layout/HorizontalMultiLevelHierarchy"/>
    <dgm:cxn modelId="{1D130681-B97A-4503-B80F-5D9D06F591C0}" type="presParOf" srcId="{DD9B9AF3-F5AA-49F3-A162-5DE1A2D8C7C1}" destId="{D3F2B8FC-2EF6-4EAD-BC33-9451B347EDD5}" srcOrd="1" destOrd="0" presId="urn:microsoft.com/office/officeart/2008/layout/HorizontalMultiLevelHierarchy"/>
    <dgm:cxn modelId="{64BD9E0C-438D-4CA9-99AB-E10EC7DF8773}" type="presParOf" srcId="{D3F2B8FC-2EF6-4EAD-BC33-9451B347EDD5}" destId="{47CF881F-925A-47B1-8EFC-04646790554C}" srcOrd="0" destOrd="0" presId="urn:microsoft.com/office/officeart/2008/layout/HorizontalMultiLevelHierarchy"/>
    <dgm:cxn modelId="{8C01FC29-9D45-4804-A58E-20C15B6A7E69}" type="presParOf" srcId="{47CF881F-925A-47B1-8EFC-04646790554C}" destId="{A68F4CAD-DDB7-4374-B78E-0EF5F105B46A}" srcOrd="0" destOrd="0" presId="urn:microsoft.com/office/officeart/2008/layout/HorizontalMultiLevelHierarchy"/>
    <dgm:cxn modelId="{49F92B57-EE02-46A9-8444-94D84C080BD4}" type="presParOf" srcId="{D3F2B8FC-2EF6-4EAD-BC33-9451B347EDD5}" destId="{B3E93B13-3DBD-4039-88D5-A83963E4A77A}" srcOrd="1" destOrd="0" presId="urn:microsoft.com/office/officeart/2008/layout/HorizontalMultiLevelHierarchy"/>
    <dgm:cxn modelId="{8CE25580-65E2-47AC-B729-A201FD75EBC4}" type="presParOf" srcId="{B3E93B13-3DBD-4039-88D5-A83963E4A77A}" destId="{28854F70-5F0D-4956-84DA-E7839F87BB19}" srcOrd="0" destOrd="0" presId="urn:microsoft.com/office/officeart/2008/layout/HorizontalMultiLevelHierarchy"/>
    <dgm:cxn modelId="{F3D85674-480A-4310-BABE-0D19B21B6540}" type="presParOf" srcId="{B3E93B13-3DBD-4039-88D5-A83963E4A77A}" destId="{D87CBCCC-6EA7-49E4-A8B1-58BC4E32F3ED}" srcOrd="1" destOrd="0" presId="urn:microsoft.com/office/officeart/2008/layout/HorizontalMultiLevelHierarchy"/>
    <dgm:cxn modelId="{A54A97C2-1F89-40B7-A90C-B4081E42D94E}" type="presParOf" srcId="{D87CBCCC-6EA7-49E4-A8B1-58BC4E32F3ED}" destId="{FC56C463-33E8-442E-80E3-FFFC7E69AE87}" srcOrd="0" destOrd="0" presId="urn:microsoft.com/office/officeart/2008/layout/HorizontalMultiLevelHierarchy"/>
    <dgm:cxn modelId="{F92B6188-1B9F-487A-98EF-F831417D7096}" type="presParOf" srcId="{FC56C463-33E8-442E-80E3-FFFC7E69AE87}" destId="{368EAAB0-0F87-464C-8CF6-395EF7708CC7}" srcOrd="0" destOrd="0" presId="urn:microsoft.com/office/officeart/2008/layout/HorizontalMultiLevelHierarchy"/>
    <dgm:cxn modelId="{0E88EFA5-A206-4F86-A4CA-C3C7617F271B}" type="presParOf" srcId="{D87CBCCC-6EA7-49E4-A8B1-58BC4E32F3ED}" destId="{20127BEB-2D68-432A-B11A-44AA037A5F77}" srcOrd="1" destOrd="0" presId="urn:microsoft.com/office/officeart/2008/layout/HorizontalMultiLevelHierarchy"/>
    <dgm:cxn modelId="{0E3DD0CA-34B3-4991-9225-812C73FF3B15}" type="presParOf" srcId="{20127BEB-2D68-432A-B11A-44AA037A5F77}" destId="{08489C6D-5D9C-4FC4-88B2-AE3C3E291409}" srcOrd="0" destOrd="0" presId="urn:microsoft.com/office/officeart/2008/layout/HorizontalMultiLevelHierarchy"/>
    <dgm:cxn modelId="{0F327F54-81AC-4749-BBEE-0012ACD69EBF}" type="presParOf" srcId="{20127BEB-2D68-432A-B11A-44AA037A5F77}" destId="{426485DD-289E-4500-A922-0CBD4A3BCBD1}" srcOrd="1" destOrd="0" presId="urn:microsoft.com/office/officeart/2008/layout/HorizontalMultiLevelHierarchy"/>
    <dgm:cxn modelId="{CD371CAD-4F92-4DBB-8674-7ADB3750ECF3}" type="presParOf" srcId="{D3F2B8FC-2EF6-4EAD-BC33-9451B347EDD5}" destId="{8D4D0392-80BF-4442-9DA0-32E83EC02874}" srcOrd="2" destOrd="0" presId="urn:microsoft.com/office/officeart/2008/layout/HorizontalMultiLevelHierarchy"/>
    <dgm:cxn modelId="{4CFD1614-6472-4EDB-BCFB-0BE6E2412064}" type="presParOf" srcId="{8D4D0392-80BF-4442-9DA0-32E83EC02874}" destId="{200A069B-64C4-490A-8A32-2DDC4FA471A3}" srcOrd="0" destOrd="0" presId="urn:microsoft.com/office/officeart/2008/layout/HorizontalMultiLevelHierarchy"/>
    <dgm:cxn modelId="{3B395374-9E81-4FCE-B24A-51CF9137FAD7}" type="presParOf" srcId="{D3F2B8FC-2EF6-4EAD-BC33-9451B347EDD5}" destId="{6A6CAAE3-D6C7-4324-B9D1-FA2088176E8A}" srcOrd="3" destOrd="0" presId="urn:microsoft.com/office/officeart/2008/layout/HorizontalMultiLevelHierarchy"/>
    <dgm:cxn modelId="{C128B723-98BF-4FD2-9C6C-20F26728D6FE}" type="presParOf" srcId="{6A6CAAE3-D6C7-4324-B9D1-FA2088176E8A}" destId="{02DD7138-03AA-4DFA-9309-8C45203166EA}" srcOrd="0" destOrd="0" presId="urn:microsoft.com/office/officeart/2008/layout/HorizontalMultiLevelHierarchy"/>
    <dgm:cxn modelId="{3D50504A-768E-4E71-9DFB-E881A35FACE0}" type="presParOf" srcId="{6A6CAAE3-D6C7-4324-B9D1-FA2088176E8A}" destId="{042F8BC2-608E-48C2-B553-CC8A7C3C55DE}" srcOrd="1" destOrd="0" presId="urn:microsoft.com/office/officeart/2008/layout/HorizontalMultiLevelHierarchy"/>
    <dgm:cxn modelId="{57B2D848-014F-48C5-B264-6E2C63160A6E}" type="presParOf" srcId="{042F8BC2-608E-48C2-B553-CC8A7C3C55DE}" destId="{F07ADF9D-0364-43A8-89C0-F6878CE43F2E}" srcOrd="0" destOrd="0" presId="urn:microsoft.com/office/officeart/2008/layout/HorizontalMultiLevelHierarchy"/>
    <dgm:cxn modelId="{A47CCADD-8ED0-4A47-A666-35ADB8A669D5}" type="presParOf" srcId="{F07ADF9D-0364-43A8-89C0-F6878CE43F2E}" destId="{A044930A-8A53-4E94-9D28-D45A9E7EB55F}" srcOrd="0" destOrd="0" presId="urn:microsoft.com/office/officeart/2008/layout/HorizontalMultiLevelHierarchy"/>
    <dgm:cxn modelId="{8C67100C-C990-4C8E-8AA5-FFFEEC2141FE}" type="presParOf" srcId="{042F8BC2-608E-48C2-B553-CC8A7C3C55DE}" destId="{908608F8-861F-44E8-9071-22ED319B852D}" srcOrd="1" destOrd="0" presId="urn:microsoft.com/office/officeart/2008/layout/HorizontalMultiLevelHierarchy"/>
    <dgm:cxn modelId="{1981DFB7-CC33-482E-9A71-A8599BF24C4B}" type="presParOf" srcId="{908608F8-861F-44E8-9071-22ED319B852D}" destId="{9AE32AA9-F415-417C-B0FA-FA2B6CE3EC26}" srcOrd="0" destOrd="0" presId="urn:microsoft.com/office/officeart/2008/layout/HorizontalMultiLevelHierarchy"/>
    <dgm:cxn modelId="{CD8BD711-B57E-4128-9ED0-44BF131E020E}" type="presParOf" srcId="{908608F8-861F-44E8-9071-22ED319B852D}" destId="{47BB78FD-F5F5-47A4-B6E0-80F61750460F}" srcOrd="1" destOrd="0" presId="urn:microsoft.com/office/officeart/2008/layout/HorizontalMultiLevelHierarchy"/>
    <dgm:cxn modelId="{D56DBE3A-EE56-43E4-864C-89D903BE86C8}" type="presParOf" srcId="{E8DC5882-9CA3-40AB-88B3-C289C63B04C8}" destId="{6361BB29-54D9-4F19-9E5E-5359F1501055}" srcOrd="2" destOrd="0" presId="urn:microsoft.com/office/officeart/2008/layout/HorizontalMultiLevelHierarchy"/>
    <dgm:cxn modelId="{9933EA44-DE0B-4DD2-9346-F4DFACBA5761}" type="presParOf" srcId="{6361BB29-54D9-4F19-9E5E-5359F1501055}" destId="{D4AD5513-BD1B-4A8E-BF72-F1E2438FFB0B}" srcOrd="0" destOrd="0" presId="urn:microsoft.com/office/officeart/2008/layout/HorizontalMultiLevelHierarchy"/>
    <dgm:cxn modelId="{FF5DAB19-F8EC-4590-B7BF-D041F766EB3E}" type="presParOf" srcId="{E8DC5882-9CA3-40AB-88B3-C289C63B04C8}" destId="{D67F2BE8-106E-40B7-A112-3FB26F8426D8}" srcOrd="3" destOrd="0" presId="urn:microsoft.com/office/officeart/2008/layout/HorizontalMultiLevelHierarchy"/>
    <dgm:cxn modelId="{47C6C3D3-69D2-4E7F-8B9B-98737AF3757C}" type="presParOf" srcId="{D67F2BE8-106E-40B7-A112-3FB26F8426D8}" destId="{293619AE-106B-4CDA-AFC3-4CBBA0F25A58}" srcOrd="0" destOrd="0" presId="urn:microsoft.com/office/officeart/2008/layout/HorizontalMultiLevelHierarchy"/>
    <dgm:cxn modelId="{A638A5EE-C6B4-4276-B1BD-3F4E0A98A4D4}" type="presParOf" srcId="{D67F2BE8-106E-40B7-A112-3FB26F8426D8}" destId="{9DC5CD82-77FA-4E65-BA79-14CE927FA3EC}" srcOrd="1" destOrd="0" presId="urn:microsoft.com/office/officeart/2008/layout/HorizontalMultiLevelHierarchy"/>
    <dgm:cxn modelId="{A51CC2D3-D214-498D-9139-B7801A8BC972}" type="presParOf" srcId="{9DC5CD82-77FA-4E65-BA79-14CE927FA3EC}" destId="{63525AE9-AB6C-48A9-851C-80D20D4DCADF}" srcOrd="0" destOrd="0" presId="urn:microsoft.com/office/officeart/2008/layout/HorizontalMultiLevelHierarchy"/>
    <dgm:cxn modelId="{15E68183-CC5D-4142-BBF6-D01466DF4613}" type="presParOf" srcId="{63525AE9-AB6C-48A9-851C-80D20D4DCADF}" destId="{E57CB2FE-F82A-4FED-96B7-EC37CB85C473}" srcOrd="0" destOrd="0" presId="urn:microsoft.com/office/officeart/2008/layout/HorizontalMultiLevelHierarchy"/>
    <dgm:cxn modelId="{42ADEC87-B4D5-4BFE-BFA7-C85F476B095C}" type="presParOf" srcId="{9DC5CD82-77FA-4E65-BA79-14CE927FA3EC}" destId="{DF1097CD-15FA-4AF5-8B41-42ADB09EEB24}" srcOrd="1" destOrd="0" presId="urn:microsoft.com/office/officeart/2008/layout/HorizontalMultiLevelHierarchy"/>
    <dgm:cxn modelId="{D8E74890-8A00-4AA2-B10F-5F2C1FD6AAD5}" type="presParOf" srcId="{DF1097CD-15FA-4AF5-8B41-42ADB09EEB24}" destId="{6CAEB78D-2B36-415B-8178-90F9871CC9A6}" srcOrd="0" destOrd="0" presId="urn:microsoft.com/office/officeart/2008/layout/HorizontalMultiLevelHierarchy"/>
    <dgm:cxn modelId="{7391D4BF-D89F-408A-9643-9D3990CBCA4A}" type="presParOf" srcId="{DF1097CD-15FA-4AF5-8B41-42ADB09EEB24}" destId="{6E6C8EB7-BB30-4FBC-A003-295B6D19FA53}" srcOrd="1" destOrd="0" presId="urn:microsoft.com/office/officeart/2008/layout/HorizontalMultiLevelHierarchy"/>
    <dgm:cxn modelId="{06935F5D-F290-4E9D-83B1-EE44A9AEAB83}" type="presParOf" srcId="{6E6C8EB7-BB30-4FBC-A003-295B6D19FA53}" destId="{9FB50BB0-0E89-4559-9FA4-D190DCE96129}" srcOrd="0" destOrd="0" presId="urn:microsoft.com/office/officeart/2008/layout/HorizontalMultiLevelHierarchy"/>
    <dgm:cxn modelId="{912C8624-69A6-4903-971A-AC87D9086597}" type="presParOf" srcId="{9FB50BB0-0E89-4559-9FA4-D190DCE96129}" destId="{2F644D87-C134-4106-AE31-C127DFBBA49B}" srcOrd="0" destOrd="0" presId="urn:microsoft.com/office/officeart/2008/layout/HorizontalMultiLevelHierarchy"/>
    <dgm:cxn modelId="{DA9CDB9A-EE7B-4D85-92E2-0708A572926B}" type="presParOf" srcId="{6E6C8EB7-BB30-4FBC-A003-295B6D19FA53}" destId="{0EBE6C0F-4595-4CAB-A808-5F97B3C73554}" srcOrd="1" destOrd="0" presId="urn:microsoft.com/office/officeart/2008/layout/HorizontalMultiLevelHierarchy"/>
    <dgm:cxn modelId="{5E2C0C54-0CDD-487E-8ABB-5D629A1F7D8A}" type="presParOf" srcId="{0EBE6C0F-4595-4CAB-A808-5F97B3C73554}" destId="{3D451D9D-138B-46F8-89C2-4011EFE3C993}" srcOrd="0" destOrd="0" presId="urn:microsoft.com/office/officeart/2008/layout/HorizontalMultiLevelHierarchy"/>
    <dgm:cxn modelId="{14BFD1FB-7053-4A29-8B59-E243767E8173}" type="presParOf" srcId="{0EBE6C0F-4595-4CAB-A808-5F97B3C73554}" destId="{EA867EF0-EC6A-4B8B-BC5F-97A58CF4634B}" srcOrd="1" destOrd="0" presId="urn:microsoft.com/office/officeart/2008/layout/HorizontalMultiLevelHierarchy"/>
    <dgm:cxn modelId="{1D1917C2-3044-41F6-B42C-D3AC611C32DD}" type="presParOf" srcId="{EA867EF0-EC6A-4B8B-BC5F-97A58CF4634B}" destId="{CC1E278C-225C-4160-9375-993C24A2A533}" srcOrd="0" destOrd="0" presId="urn:microsoft.com/office/officeart/2008/layout/HorizontalMultiLevelHierarchy"/>
    <dgm:cxn modelId="{B6FAB3B9-8537-4583-83EC-B460CC8A9632}" type="presParOf" srcId="{CC1E278C-225C-4160-9375-993C24A2A533}" destId="{49F7E78B-B441-40EA-B90E-2E578CCA4C33}" srcOrd="0" destOrd="0" presId="urn:microsoft.com/office/officeart/2008/layout/HorizontalMultiLevelHierarchy"/>
    <dgm:cxn modelId="{57F15EC2-34B0-4C8A-914B-5F5B6B248B3C}" type="presParOf" srcId="{EA867EF0-EC6A-4B8B-BC5F-97A58CF4634B}" destId="{FAAD12EC-887D-428A-846F-DF478470C216}" srcOrd="1" destOrd="0" presId="urn:microsoft.com/office/officeart/2008/layout/HorizontalMultiLevelHierarchy"/>
    <dgm:cxn modelId="{5B16A65E-847D-4CCA-BC22-7E89BD16030A}" type="presParOf" srcId="{FAAD12EC-887D-428A-846F-DF478470C216}" destId="{7F2B1D6B-5842-4F68-8715-B62816078624}" srcOrd="0" destOrd="0" presId="urn:microsoft.com/office/officeart/2008/layout/HorizontalMultiLevelHierarchy"/>
    <dgm:cxn modelId="{8A1A2399-EA69-4824-9108-BAF296B8DF8B}" type="presParOf" srcId="{FAAD12EC-887D-428A-846F-DF478470C216}" destId="{243C09E7-BFAC-4306-8E2F-C5FEC96C6CDE}" srcOrd="1" destOrd="0" presId="urn:microsoft.com/office/officeart/2008/layout/HorizontalMultiLevelHierarchy"/>
    <dgm:cxn modelId="{247E35D9-A9D5-49B0-9E04-663C35C4165E}" type="presParOf" srcId="{6E6C8EB7-BB30-4FBC-A003-295B6D19FA53}" destId="{5705C392-B4C9-43E1-A9EA-8B7C93AA3431}" srcOrd="2" destOrd="0" presId="urn:microsoft.com/office/officeart/2008/layout/HorizontalMultiLevelHierarchy"/>
    <dgm:cxn modelId="{14BA76FE-1010-4AC7-A692-8DF8B09C4BB2}" type="presParOf" srcId="{5705C392-B4C9-43E1-A9EA-8B7C93AA3431}" destId="{F032EDD6-EF49-4C83-BD56-FDC7A6A57324}" srcOrd="0" destOrd="0" presId="urn:microsoft.com/office/officeart/2008/layout/HorizontalMultiLevelHierarchy"/>
    <dgm:cxn modelId="{D015520A-6BB8-4B9B-882A-65742EE44DBC}" type="presParOf" srcId="{6E6C8EB7-BB30-4FBC-A003-295B6D19FA53}" destId="{D04999F0-B7AC-4621-8A8E-EC49C98CB5ED}" srcOrd="3" destOrd="0" presId="urn:microsoft.com/office/officeart/2008/layout/HorizontalMultiLevelHierarchy"/>
    <dgm:cxn modelId="{E3412948-426F-45CE-8F58-57991E9FB80D}" type="presParOf" srcId="{D04999F0-B7AC-4621-8A8E-EC49C98CB5ED}" destId="{458AF167-E139-4F11-832C-996BCA12094C}" srcOrd="0" destOrd="0" presId="urn:microsoft.com/office/officeart/2008/layout/HorizontalMultiLevelHierarchy"/>
    <dgm:cxn modelId="{2065DFD4-5CA3-4AD0-B7CA-3B11008C8E2C}" type="presParOf" srcId="{D04999F0-B7AC-4621-8A8E-EC49C98CB5ED}" destId="{B97AE8BA-F6A4-4557-A82D-AB4A6C0F9ABB}" srcOrd="1" destOrd="0" presId="urn:microsoft.com/office/officeart/2008/layout/HorizontalMultiLevelHierarchy"/>
    <dgm:cxn modelId="{C70FF484-6CE1-409A-844B-66B55D522E88}" type="presParOf" srcId="{B97AE8BA-F6A4-4557-A82D-AB4A6C0F9ABB}" destId="{74F1EF5C-FD01-4645-A568-0632282CCCA8}" srcOrd="0" destOrd="0" presId="urn:microsoft.com/office/officeart/2008/layout/HorizontalMultiLevelHierarchy"/>
    <dgm:cxn modelId="{261B7A50-F1B8-4669-AC23-A2A144DB6197}" type="presParOf" srcId="{74F1EF5C-FD01-4645-A568-0632282CCCA8}" destId="{F4E67F8D-5DAE-4154-844E-A720829E99CE}" srcOrd="0" destOrd="0" presId="urn:microsoft.com/office/officeart/2008/layout/HorizontalMultiLevelHierarchy"/>
    <dgm:cxn modelId="{D074E9BF-BA13-43C6-ACB3-3DD40B0F89FE}" type="presParOf" srcId="{B97AE8BA-F6A4-4557-A82D-AB4A6C0F9ABB}" destId="{A7AB330C-4C85-46A2-9EF5-E00E2392B5F8}" srcOrd="1" destOrd="0" presId="urn:microsoft.com/office/officeart/2008/layout/HorizontalMultiLevelHierarchy"/>
    <dgm:cxn modelId="{96829D23-F2FB-49DC-B29A-FF47F34253A6}" type="presParOf" srcId="{A7AB330C-4C85-46A2-9EF5-E00E2392B5F8}" destId="{A68E05CC-4EBA-4088-ABD8-B876E17E1325}" srcOrd="0" destOrd="0" presId="urn:microsoft.com/office/officeart/2008/layout/HorizontalMultiLevelHierarchy"/>
    <dgm:cxn modelId="{3B88BA6C-AA22-4F9E-842D-0DDCA771C338}" type="presParOf" srcId="{A7AB330C-4C85-46A2-9EF5-E00E2392B5F8}" destId="{34AFE9CF-4669-4A07-B9D7-2864ECF84044}" srcOrd="1" destOrd="0" presId="urn:microsoft.com/office/officeart/2008/layout/HorizontalMultiLevelHierarchy"/>
    <dgm:cxn modelId="{42D1F379-E64E-43F9-AF7E-A4D9C1F80D61}" type="presParOf" srcId="{9DC5CD82-77FA-4E65-BA79-14CE927FA3EC}" destId="{8817572D-7A80-4F16-A41D-2574D406FA0F}" srcOrd="2" destOrd="0" presId="urn:microsoft.com/office/officeart/2008/layout/HorizontalMultiLevelHierarchy"/>
    <dgm:cxn modelId="{35A1CB41-13E5-4ADA-92F9-564024EEEE40}" type="presParOf" srcId="{8817572D-7A80-4F16-A41D-2574D406FA0F}" destId="{15F0C626-FCA8-4BC2-92B8-ADDE07AD6733}" srcOrd="0" destOrd="0" presId="urn:microsoft.com/office/officeart/2008/layout/HorizontalMultiLevelHierarchy"/>
    <dgm:cxn modelId="{E27EA7DA-785E-4541-9D9D-795DB3E3FCC6}" type="presParOf" srcId="{9DC5CD82-77FA-4E65-BA79-14CE927FA3EC}" destId="{3D298555-447B-46E7-BAAE-E3E6BA29C667}" srcOrd="3" destOrd="0" presId="urn:microsoft.com/office/officeart/2008/layout/HorizontalMultiLevelHierarchy"/>
    <dgm:cxn modelId="{C5CE9F46-8BA6-44F0-8D97-8343D2802253}" type="presParOf" srcId="{3D298555-447B-46E7-BAAE-E3E6BA29C667}" destId="{4F73B465-9A93-4465-9619-B46658496742}" srcOrd="0" destOrd="0" presId="urn:microsoft.com/office/officeart/2008/layout/HorizontalMultiLevelHierarchy"/>
    <dgm:cxn modelId="{BCF1B0E3-8BFC-4B2A-A746-46BAD39FD656}" type="presParOf" srcId="{3D298555-447B-46E7-BAAE-E3E6BA29C667}" destId="{2A51C390-DD8D-4FF4-9919-4BEC9537CE2D}" srcOrd="1" destOrd="0" presId="urn:microsoft.com/office/officeart/2008/layout/HorizontalMultiLevelHierarchy"/>
    <dgm:cxn modelId="{F2C539BF-D2A5-4537-985E-C131AFD4238E}" type="presParOf" srcId="{2A51C390-DD8D-4FF4-9919-4BEC9537CE2D}" destId="{8709F7BD-9F80-4AE8-A41E-11F817FA5ACF}" srcOrd="0" destOrd="0" presId="urn:microsoft.com/office/officeart/2008/layout/HorizontalMultiLevelHierarchy"/>
    <dgm:cxn modelId="{8E3E7FF2-46F9-43F3-8776-78235CC43536}" type="presParOf" srcId="{8709F7BD-9F80-4AE8-A41E-11F817FA5ACF}" destId="{C8637F4F-03CB-4222-9204-EBA609E2E4D8}" srcOrd="0" destOrd="0" presId="urn:microsoft.com/office/officeart/2008/layout/HorizontalMultiLevelHierarchy"/>
    <dgm:cxn modelId="{F8A9D23B-CFDF-4B6C-9FA7-1F89BCB85190}" type="presParOf" srcId="{2A51C390-DD8D-4FF4-9919-4BEC9537CE2D}" destId="{067A1CE8-B19D-47BB-9811-541C9BD79592}" srcOrd="1" destOrd="0" presId="urn:microsoft.com/office/officeart/2008/layout/HorizontalMultiLevelHierarchy"/>
    <dgm:cxn modelId="{5CB1A5D0-E169-4C2F-97E5-EEFDAD2245A4}" type="presParOf" srcId="{067A1CE8-B19D-47BB-9811-541C9BD79592}" destId="{5D4FF3BE-8618-4A36-99B3-2A93DD000CC4}" srcOrd="0" destOrd="0" presId="urn:microsoft.com/office/officeart/2008/layout/HorizontalMultiLevelHierarchy"/>
    <dgm:cxn modelId="{7D080A60-96C8-46E4-B0CD-F0ED008BB3A1}" type="presParOf" srcId="{067A1CE8-B19D-47BB-9811-541C9BD79592}" destId="{13BCD81B-FACC-4B0D-8651-332E03387557}"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200D4-A6FF-47D5-8A10-568287B7A41B}">
      <dsp:nvSpPr>
        <dsp:cNvPr id="0" name=""/>
        <dsp:cNvSpPr/>
      </dsp:nvSpPr>
      <dsp:spPr>
        <a:xfrm>
          <a:off x="4780366" y="2408729"/>
          <a:ext cx="173939" cy="91440"/>
        </a:xfrm>
        <a:custGeom>
          <a:avLst/>
          <a:gdLst/>
          <a:ahLst/>
          <a:cxnLst/>
          <a:rect l="0" t="0" r="0" b="0"/>
          <a:pathLst>
            <a:path>
              <a:moveTo>
                <a:pt x="0" y="45720"/>
              </a:moveTo>
              <a:lnTo>
                <a:pt x="1739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862987" y="2450100"/>
        <a:ext cx="8696" cy="8696"/>
      </dsp:txXfrm>
    </dsp:sp>
    <dsp:sp modelId="{86D75669-448D-4800-ABB8-C5D39D236E39}">
      <dsp:nvSpPr>
        <dsp:cNvPr id="0" name=""/>
        <dsp:cNvSpPr/>
      </dsp:nvSpPr>
      <dsp:spPr>
        <a:xfrm>
          <a:off x="3736728" y="2288729"/>
          <a:ext cx="173939" cy="165719"/>
        </a:xfrm>
        <a:custGeom>
          <a:avLst/>
          <a:gdLst/>
          <a:ahLst/>
          <a:cxnLst/>
          <a:rect l="0" t="0" r="0" b="0"/>
          <a:pathLst>
            <a:path>
              <a:moveTo>
                <a:pt x="0" y="0"/>
              </a:moveTo>
              <a:lnTo>
                <a:pt x="86969" y="0"/>
              </a:lnTo>
              <a:lnTo>
                <a:pt x="86969" y="165719"/>
              </a:lnTo>
              <a:lnTo>
                <a:pt x="173939" y="1657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2365583"/>
        <a:ext cx="12012" cy="12012"/>
      </dsp:txXfrm>
    </dsp:sp>
    <dsp:sp modelId="{A60CE85E-9786-45EA-BC5D-7346F5805F06}">
      <dsp:nvSpPr>
        <dsp:cNvPr id="0" name=""/>
        <dsp:cNvSpPr/>
      </dsp:nvSpPr>
      <dsp:spPr>
        <a:xfrm>
          <a:off x="4780366" y="2077289"/>
          <a:ext cx="173939" cy="91440"/>
        </a:xfrm>
        <a:custGeom>
          <a:avLst/>
          <a:gdLst/>
          <a:ahLst/>
          <a:cxnLst/>
          <a:rect l="0" t="0" r="0" b="0"/>
          <a:pathLst>
            <a:path>
              <a:moveTo>
                <a:pt x="0" y="45720"/>
              </a:moveTo>
              <a:lnTo>
                <a:pt x="1739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862987" y="2118660"/>
        <a:ext cx="8696" cy="8696"/>
      </dsp:txXfrm>
    </dsp:sp>
    <dsp:sp modelId="{AFCAAFAF-B4CE-4F8F-AB08-677174757650}">
      <dsp:nvSpPr>
        <dsp:cNvPr id="0" name=""/>
        <dsp:cNvSpPr/>
      </dsp:nvSpPr>
      <dsp:spPr>
        <a:xfrm>
          <a:off x="3736728" y="2123009"/>
          <a:ext cx="173939" cy="165719"/>
        </a:xfrm>
        <a:custGeom>
          <a:avLst/>
          <a:gdLst/>
          <a:ahLst/>
          <a:cxnLst/>
          <a:rect l="0" t="0" r="0" b="0"/>
          <a:pathLst>
            <a:path>
              <a:moveTo>
                <a:pt x="0" y="165719"/>
              </a:moveTo>
              <a:lnTo>
                <a:pt x="86969" y="16571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2199863"/>
        <a:ext cx="12012" cy="12012"/>
      </dsp:txXfrm>
    </dsp:sp>
    <dsp:sp modelId="{D0A47B63-0D7B-4707-8EFB-9D8C068597CC}">
      <dsp:nvSpPr>
        <dsp:cNvPr id="0" name=""/>
        <dsp:cNvSpPr/>
      </dsp:nvSpPr>
      <dsp:spPr>
        <a:xfrm>
          <a:off x="2693091" y="1957289"/>
          <a:ext cx="173939" cy="331439"/>
        </a:xfrm>
        <a:custGeom>
          <a:avLst/>
          <a:gdLst/>
          <a:ahLst/>
          <a:cxnLst/>
          <a:rect l="0" t="0" r="0" b="0"/>
          <a:pathLst>
            <a:path>
              <a:moveTo>
                <a:pt x="0" y="0"/>
              </a:moveTo>
              <a:lnTo>
                <a:pt x="86969" y="0"/>
              </a:lnTo>
              <a:lnTo>
                <a:pt x="86969" y="331439"/>
              </a:lnTo>
              <a:lnTo>
                <a:pt x="173939" y="3314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0703" y="2113651"/>
        <a:ext cx="18715" cy="18715"/>
      </dsp:txXfrm>
    </dsp:sp>
    <dsp:sp modelId="{C3CE7C95-33D1-4DD5-AC32-399B2E266F58}">
      <dsp:nvSpPr>
        <dsp:cNvPr id="0" name=""/>
        <dsp:cNvSpPr/>
      </dsp:nvSpPr>
      <dsp:spPr>
        <a:xfrm>
          <a:off x="4780366" y="1745849"/>
          <a:ext cx="173939" cy="91440"/>
        </a:xfrm>
        <a:custGeom>
          <a:avLst/>
          <a:gdLst/>
          <a:ahLst/>
          <a:cxnLst/>
          <a:rect l="0" t="0" r="0" b="0"/>
          <a:pathLst>
            <a:path>
              <a:moveTo>
                <a:pt x="0" y="45720"/>
              </a:moveTo>
              <a:lnTo>
                <a:pt x="1739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862987" y="1787221"/>
        <a:ext cx="8696" cy="8696"/>
      </dsp:txXfrm>
    </dsp:sp>
    <dsp:sp modelId="{433E38DB-3FEB-4951-AC06-CF9F758E5A1F}">
      <dsp:nvSpPr>
        <dsp:cNvPr id="0" name=""/>
        <dsp:cNvSpPr/>
      </dsp:nvSpPr>
      <dsp:spPr>
        <a:xfrm>
          <a:off x="3736728" y="1625849"/>
          <a:ext cx="173939" cy="165719"/>
        </a:xfrm>
        <a:custGeom>
          <a:avLst/>
          <a:gdLst/>
          <a:ahLst/>
          <a:cxnLst/>
          <a:rect l="0" t="0" r="0" b="0"/>
          <a:pathLst>
            <a:path>
              <a:moveTo>
                <a:pt x="0" y="0"/>
              </a:moveTo>
              <a:lnTo>
                <a:pt x="86969" y="0"/>
              </a:lnTo>
              <a:lnTo>
                <a:pt x="86969" y="165719"/>
              </a:lnTo>
              <a:lnTo>
                <a:pt x="173939" y="1657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1702703"/>
        <a:ext cx="12012" cy="12012"/>
      </dsp:txXfrm>
    </dsp:sp>
    <dsp:sp modelId="{FBC5ECF3-A413-46B8-AAAE-45FCA1189F5E}">
      <dsp:nvSpPr>
        <dsp:cNvPr id="0" name=""/>
        <dsp:cNvSpPr/>
      </dsp:nvSpPr>
      <dsp:spPr>
        <a:xfrm>
          <a:off x="4780366" y="1414409"/>
          <a:ext cx="173939" cy="91440"/>
        </a:xfrm>
        <a:custGeom>
          <a:avLst/>
          <a:gdLst/>
          <a:ahLst/>
          <a:cxnLst/>
          <a:rect l="0" t="0" r="0" b="0"/>
          <a:pathLst>
            <a:path>
              <a:moveTo>
                <a:pt x="0" y="45720"/>
              </a:moveTo>
              <a:lnTo>
                <a:pt x="1739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862987" y="1455781"/>
        <a:ext cx="8696" cy="8696"/>
      </dsp:txXfrm>
    </dsp:sp>
    <dsp:sp modelId="{B58AF588-7AC3-49A2-A2CA-71E8F49A4BBF}">
      <dsp:nvSpPr>
        <dsp:cNvPr id="0" name=""/>
        <dsp:cNvSpPr/>
      </dsp:nvSpPr>
      <dsp:spPr>
        <a:xfrm>
          <a:off x="3736728" y="1460129"/>
          <a:ext cx="173939" cy="165719"/>
        </a:xfrm>
        <a:custGeom>
          <a:avLst/>
          <a:gdLst/>
          <a:ahLst/>
          <a:cxnLst/>
          <a:rect l="0" t="0" r="0" b="0"/>
          <a:pathLst>
            <a:path>
              <a:moveTo>
                <a:pt x="0" y="165719"/>
              </a:moveTo>
              <a:lnTo>
                <a:pt x="86969" y="16571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1536983"/>
        <a:ext cx="12012" cy="12012"/>
      </dsp:txXfrm>
    </dsp:sp>
    <dsp:sp modelId="{68BEEBFB-57F4-42F0-8933-4269B9CD77D9}">
      <dsp:nvSpPr>
        <dsp:cNvPr id="0" name=""/>
        <dsp:cNvSpPr/>
      </dsp:nvSpPr>
      <dsp:spPr>
        <a:xfrm>
          <a:off x="2693091" y="1625849"/>
          <a:ext cx="173939" cy="331439"/>
        </a:xfrm>
        <a:custGeom>
          <a:avLst/>
          <a:gdLst/>
          <a:ahLst/>
          <a:cxnLst/>
          <a:rect l="0" t="0" r="0" b="0"/>
          <a:pathLst>
            <a:path>
              <a:moveTo>
                <a:pt x="0" y="331439"/>
              </a:moveTo>
              <a:lnTo>
                <a:pt x="86969" y="33143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0703" y="1782211"/>
        <a:ext cx="18715" cy="18715"/>
      </dsp:txXfrm>
    </dsp:sp>
    <dsp:sp modelId="{8A02B35E-E78C-40DE-8CE1-0CAA1B980798}">
      <dsp:nvSpPr>
        <dsp:cNvPr id="0" name=""/>
        <dsp:cNvSpPr/>
      </dsp:nvSpPr>
      <dsp:spPr>
        <a:xfrm>
          <a:off x="1649453" y="1294410"/>
          <a:ext cx="173939" cy="662879"/>
        </a:xfrm>
        <a:custGeom>
          <a:avLst/>
          <a:gdLst/>
          <a:ahLst/>
          <a:cxnLst/>
          <a:rect l="0" t="0" r="0" b="0"/>
          <a:pathLst>
            <a:path>
              <a:moveTo>
                <a:pt x="0" y="0"/>
              </a:moveTo>
              <a:lnTo>
                <a:pt x="86969" y="0"/>
              </a:lnTo>
              <a:lnTo>
                <a:pt x="86969" y="662879"/>
              </a:lnTo>
              <a:lnTo>
                <a:pt x="173939" y="6628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9290" y="1608716"/>
        <a:ext cx="34266" cy="34266"/>
      </dsp:txXfrm>
    </dsp:sp>
    <dsp:sp modelId="{13B5AD91-E92E-4FF1-8E0F-0C90035EEDF0}">
      <dsp:nvSpPr>
        <dsp:cNvPr id="0" name=""/>
        <dsp:cNvSpPr/>
      </dsp:nvSpPr>
      <dsp:spPr>
        <a:xfrm>
          <a:off x="3736728" y="962970"/>
          <a:ext cx="173939" cy="165719"/>
        </a:xfrm>
        <a:custGeom>
          <a:avLst/>
          <a:gdLst/>
          <a:ahLst/>
          <a:cxnLst/>
          <a:rect l="0" t="0" r="0" b="0"/>
          <a:pathLst>
            <a:path>
              <a:moveTo>
                <a:pt x="0" y="0"/>
              </a:moveTo>
              <a:lnTo>
                <a:pt x="86969" y="0"/>
              </a:lnTo>
              <a:lnTo>
                <a:pt x="86969" y="165719"/>
              </a:lnTo>
              <a:lnTo>
                <a:pt x="173939" y="1657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1039824"/>
        <a:ext cx="12012" cy="12012"/>
      </dsp:txXfrm>
    </dsp:sp>
    <dsp:sp modelId="{D8495F37-739B-4BEC-B768-850B23C914E7}">
      <dsp:nvSpPr>
        <dsp:cNvPr id="0" name=""/>
        <dsp:cNvSpPr/>
      </dsp:nvSpPr>
      <dsp:spPr>
        <a:xfrm>
          <a:off x="3736728" y="797250"/>
          <a:ext cx="173939" cy="165719"/>
        </a:xfrm>
        <a:custGeom>
          <a:avLst/>
          <a:gdLst/>
          <a:ahLst/>
          <a:cxnLst/>
          <a:rect l="0" t="0" r="0" b="0"/>
          <a:pathLst>
            <a:path>
              <a:moveTo>
                <a:pt x="0" y="165719"/>
              </a:moveTo>
              <a:lnTo>
                <a:pt x="86969" y="16571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874104"/>
        <a:ext cx="12012" cy="12012"/>
      </dsp:txXfrm>
    </dsp:sp>
    <dsp:sp modelId="{F1E86A5D-7AB1-4734-A854-5F89AC3E1FBE}">
      <dsp:nvSpPr>
        <dsp:cNvPr id="0" name=""/>
        <dsp:cNvSpPr/>
      </dsp:nvSpPr>
      <dsp:spPr>
        <a:xfrm>
          <a:off x="2693091" y="631530"/>
          <a:ext cx="173939" cy="331439"/>
        </a:xfrm>
        <a:custGeom>
          <a:avLst/>
          <a:gdLst/>
          <a:ahLst/>
          <a:cxnLst/>
          <a:rect l="0" t="0" r="0" b="0"/>
          <a:pathLst>
            <a:path>
              <a:moveTo>
                <a:pt x="0" y="0"/>
              </a:moveTo>
              <a:lnTo>
                <a:pt x="86969" y="0"/>
              </a:lnTo>
              <a:lnTo>
                <a:pt x="86969" y="331439"/>
              </a:lnTo>
              <a:lnTo>
                <a:pt x="173939" y="3314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0703" y="787892"/>
        <a:ext cx="18715" cy="18715"/>
      </dsp:txXfrm>
    </dsp:sp>
    <dsp:sp modelId="{894FC5C3-369C-4AFF-8124-D8CC90546394}">
      <dsp:nvSpPr>
        <dsp:cNvPr id="0" name=""/>
        <dsp:cNvSpPr/>
      </dsp:nvSpPr>
      <dsp:spPr>
        <a:xfrm>
          <a:off x="3736728" y="300090"/>
          <a:ext cx="173939" cy="165719"/>
        </a:xfrm>
        <a:custGeom>
          <a:avLst/>
          <a:gdLst/>
          <a:ahLst/>
          <a:cxnLst/>
          <a:rect l="0" t="0" r="0" b="0"/>
          <a:pathLst>
            <a:path>
              <a:moveTo>
                <a:pt x="0" y="0"/>
              </a:moveTo>
              <a:lnTo>
                <a:pt x="86969" y="0"/>
              </a:lnTo>
              <a:lnTo>
                <a:pt x="86969" y="165719"/>
              </a:lnTo>
              <a:lnTo>
                <a:pt x="173939" y="1657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376944"/>
        <a:ext cx="12012" cy="12012"/>
      </dsp:txXfrm>
    </dsp:sp>
    <dsp:sp modelId="{A49DBE2F-9DCA-4D7A-8FB1-B7C43B96D18E}">
      <dsp:nvSpPr>
        <dsp:cNvPr id="0" name=""/>
        <dsp:cNvSpPr/>
      </dsp:nvSpPr>
      <dsp:spPr>
        <a:xfrm>
          <a:off x="4780366" y="88650"/>
          <a:ext cx="173939" cy="91440"/>
        </a:xfrm>
        <a:custGeom>
          <a:avLst/>
          <a:gdLst/>
          <a:ahLst/>
          <a:cxnLst/>
          <a:rect l="0" t="0" r="0" b="0"/>
          <a:pathLst>
            <a:path>
              <a:moveTo>
                <a:pt x="0" y="45720"/>
              </a:moveTo>
              <a:lnTo>
                <a:pt x="1739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862987" y="130022"/>
        <a:ext cx="8696" cy="8696"/>
      </dsp:txXfrm>
    </dsp:sp>
    <dsp:sp modelId="{648BAB03-01ED-47B0-A807-62CEDBF0610C}">
      <dsp:nvSpPr>
        <dsp:cNvPr id="0" name=""/>
        <dsp:cNvSpPr/>
      </dsp:nvSpPr>
      <dsp:spPr>
        <a:xfrm>
          <a:off x="3736728" y="134370"/>
          <a:ext cx="173939" cy="165719"/>
        </a:xfrm>
        <a:custGeom>
          <a:avLst/>
          <a:gdLst/>
          <a:ahLst/>
          <a:cxnLst/>
          <a:rect l="0" t="0" r="0" b="0"/>
          <a:pathLst>
            <a:path>
              <a:moveTo>
                <a:pt x="0" y="165719"/>
              </a:moveTo>
              <a:lnTo>
                <a:pt x="86969" y="16571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17692" y="211224"/>
        <a:ext cx="12012" cy="12012"/>
      </dsp:txXfrm>
    </dsp:sp>
    <dsp:sp modelId="{187AF643-A1A7-4634-884C-A361EE3C0F76}">
      <dsp:nvSpPr>
        <dsp:cNvPr id="0" name=""/>
        <dsp:cNvSpPr/>
      </dsp:nvSpPr>
      <dsp:spPr>
        <a:xfrm>
          <a:off x="2693091" y="300090"/>
          <a:ext cx="173939" cy="331439"/>
        </a:xfrm>
        <a:custGeom>
          <a:avLst/>
          <a:gdLst/>
          <a:ahLst/>
          <a:cxnLst/>
          <a:rect l="0" t="0" r="0" b="0"/>
          <a:pathLst>
            <a:path>
              <a:moveTo>
                <a:pt x="0" y="331439"/>
              </a:moveTo>
              <a:lnTo>
                <a:pt x="86969" y="331439"/>
              </a:lnTo>
              <a:lnTo>
                <a:pt x="86969" y="0"/>
              </a:lnTo>
              <a:lnTo>
                <a:pt x="1739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0703" y="456452"/>
        <a:ext cx="18715" cy="18715"/>
      </dsp:txXfrm>
    </dsp:sp>
    <dsp:sp modelId="{D9FBD13E-DAD0-4054-BC29-ACD7DC94DFA2}">
      <dsp:nvSpPr>
        <dsp:cNvPr id="0" name=""/>
        <dsp:cNvSpPr/>
      </dsp:nvSpPr>
      <dsp:spPr>
        <a:xfrm>
          <a:off x="1649453" y="631530"/>
          <a:ext cx="173939" cy="662879"/>
        </a:xfrm>
        <a:custGeom>
          <a:avLst/>
          <a:gdLst/>
          <a:ahLst/>
          <a:cxnLst/>
          <a:rect l="0" t="0" r="0" b="0"/>
          <a:pathLst>
            <a:path>
              <a:moveTo>
                <a:pt x="0" y="662879"/>
              </a:moveTo>
              <a:lnTo>
                <a:pt x="86969" y="662879"/>
              </a:lnTo>
              <a:lnTo>
                <a:pt x="86969" y="0"/>
              </a:lnTo>
              <a:lnTo>
                <a:pt x="1739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9290" y="945837"/>
        <a:ext cx="34266" cy="34266"/>
      </dsp:txXfrm>
    </dsp:sp>
    <dsp:sp modelId="{325A10F7-9CD2-4E93-955A-71F07E406DE3}">
      <dsp:nvSpPr>
        <dsp:cNvPr id="0" name=""/>
        <dsp:cNvSpPr/>
      </dsp:nvSpPr>
      <dsp:spPr>
        <a:xfrm rot="16200000">
          <a:off x="819110" y="1161834"/>
          <a:ext cx="1395535"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IRR</a:t>
          </a:r>
          <a:endParaRPr lang="ru-RU" sz="1700" kern="1200"/>
        </a:p>
      </dsp:txBody>
      <dsp:txXfrm>
        <a:off x="819110" y="1161834"/>
        <a:ext cx="1395535" cy="265151"/>
      </dsp:txXfrm>
    </dsp:sp>
    <dsp:sp modelId="{0D024333-F0F7-4EAA-8736-7447206DB436}">
      <dsp:nvSpPr>
        <dsp:cNvPr id="0" name=""/>
        <dsp:cNvSpPr/>
      </dsp:nvSpPr>
      <dsp:spPr>
        <a:xfrm>
          <a:off x="1823393" y="49895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contribution</a:t>
          </a:r>
          <a:endParaRPr lang="ru-RU" sz="600" kern="1200"/>
        </a:p>
      </dsp:txBody>
      <dsp:txXfrm>
        <a:off x="1823393" y="498954"/>
        <a:ext cx="869697" cy="265151"/>
      </dsp:txXfrm>
    </dsp:sp>
    <dsp:sp modelId="{A1A2771A-783B-4F9A-8BD4-646D223F705D}">
      <dsp:nvSpPr>
        <dsp:cNvPr id="0" name=""/>
        <dsp:cNvSpPr/>
      </dsp:nvSpPr>
      <dsp:spPr>
        <a:xfrm>
          <a:off x="2867031" y="16751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Company value</a:t>
          </a:r>
          <a:endParaRPr lang="ru-RU" sz="600" kern="1200"/>
        </a:p>
      </dsp:txBody>
      <dsp:txXfrm>
        <a:off x="2867031" y="167514"/>
        <a:ext cx="869697" cy="265151"/>
      </dsp:txXfrm>
    </dsp:sp>
    <dsp:sp modelId="{7F113BC2-1216-4458-9638-5912D449F452}">
      <dsp:nvSpPr>
        <dsp:cNvPr id="0" name=""/>
        <dsp:cNvSpPr/>
      </dsp:nvSpPr>
      <dsp:spPr>
        <a:xfrm>
          <a:off x="3910668" y="179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value </a:t>
          </a:r>
          <a:endParaRPr lang="ru-RU" sz="600" kern="1200"/>
        </a:p>
      </dsp:txBody>
      <dsp:txXfrm>
        <a:off x="3910668" y="1794"/>
        <a:ext cx="869697" cy="265151"/>
      </dsp:txXfrm>
    </dsp:sp>
    <dsp:sp modelId="{3688ED0A-A417-41F3-BDC4-24FEF8FE0848}">
      <dsp:nvSpPr>
        <dsp:cNvPr id="0" name=""/>
        <dsp:cNvSpPr/>
      </dsp:nvSpPr>
      <dsp:spPr>
        <a:xfrm>
          <a:off x="4954305" y="1794"/>
          <a:ext cx="869697" cy="265151"/>
        </a:xfrm>
        <a:prstGeom prst="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MV + control premium </a:t>
          </a:r>
          <a:endParaRPr lang="ru-RU" sz="600" kern="1200"/>
        </a:p>
      </dsp:txBody>
      <dsp:txXfrm>
        <a:off x="4954305" y="1794"/>
        <a:ext cx="869697" cy="265151"/>
      </dsp:txXfrm>
    </dsp:sp>
    <dsp:sp modelId="{81FE9F42-ED39-4208-A14C-52CD8E41DC56}">
      <dsp:nvSpPr>
        <dsp:cNvPr id="0" name=""/>
        <dsp:cNvSpPr/>
      </dsp:nvSpPr>
      <dsp:spPr>
        <a:xfrm>
          <a:off x="3910668" y="33323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Net debt </a:t>
          </a:r>
          <a:endParaRPr lang="ru-RU" sz="600" kern="1200"/>
        </a:p>
      </dsp:txBody>
      <dsp:txXfrm>
        <a:off x="3910668" y="333234"/>
        <a:ext cx="869697" cy="265151"/>
      </dsp:txXfrm>
    </dsp:sp>
    <dsp:sp modelId="{629F6466-3676-422F-AB1A-47D7C6C2AFAD}">
      <dsp:nvSpPr>
        <dsp:cNvPr id="0" name=""/>
        <dsp:cNvSpPr/>
      </dsp:nvSpPr>
      <dsp:spPr>
        <a:xfrm>
          <a:off x="2867031" y="83039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Debt contribution </a:t>
          </a:r>
          <a:endParaRPr lang="ru-RU" sz="600" kern="1200"/>
        </a:p>
      </dsp:txBody>
      <dsp:txXfrm>
        <a:off x="2867031" y="830394"/>
        <a:ext cx="869697" cy="265151"/>
      </dsp:txXfrm>
    </dsp:sp>
    <dsp:sp modelId="{0CB665F3-C12D-4E77-9917-4A14DBC65BDA}">
      <dsp:nvSpPr>
        <dsp:cNvPr id="0" name=""/>
        <dsp:cNvSpPr/>
      </dsp:nvSpPr>
      <dsp:spPr>
        <a:xfrm>
          <a:off x="3910668" y="66467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industry specific Debt/EBITDA</a:t>
          </a:r>
          <a:endParaRPr lang="ru-RU" sz="600" kern="1200"/>
        </a:p>
      </dsp:txBody>
      <dsp:txXfrm>
        <a:off x="3910668" y="664674"/>
        <a:ext cx="869697" cy="265151"/>
      </dsp:txXfrm>
    </dsp:sp>
    <dsp:sp modelId="{39F3A44F-E0EE-4938-A6FD-2791B71AC16F}">
      <dsp:nvSpPr>
        <dsp:cNvPr id="0" name=""/>
        <dsp:cNvSpPr/>
      </dsp:nvSpPr>
      <dsp:spPr>
        <a:xfrm>
          <a:off x="3910668" y="996114"/>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EBITDA </a:t>
          </a:r>
          <a:endParaRPr lang="ru-RU" sz="600" kern="1200"/>
        </a:p>
      </dsp:txBody>
      <dsp:txXfrm>
        <a:off x="3910668" y="996114"/>
        <a:ext cx="869697" cy="265151"/>
      </dsp:txXfrm>
    </dsp:sp>
    <dsp:sp modelId="{B2A7EB4B-FB50-49C2-BFED-A8CF59CCE5AB}">
      <dsp:nvSpPr>
        <dsp:cNvPr id="0" name=""/>
        <dsp:cNvSpPr/>
      </dsp:nvSpPr>
      <dsp:spPr>
        <a:xfrm>
          <a:off x="1823393" y="182471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value at exit </a:t>
          </a:r>
          <a:endParaRPr lang="ru-RU" sz="600" kern="1200"/>
        </a:p>
      </dsp:txBody>
      <dsp:txXfrm>
        <a:off x="1823393" y="1824713"/>
        <a:ext cx="869697" cy="265151"/>
      </dsp:txXfrm>
    </dsp:sp>
    <dsp:sp modelId="{49FA38C0-5CA6-44C3-B76B-B24FD1A1F5EB}">
      <dsp:nvSpPr>
        <dsp:cNvPr id="0" name=""/>
        <dsp:cNvSpPr/>
      </dsp:nvSpPr>
      <dsp:spPr>
        <a:xfrm>
          <a:off x="2867031" y="149327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EV at exit</a:t>
          </a:r>
          <a:endParaRPr lang="ru-RU" sz="600" kern="1200"/>
        </a:p>
      </dsp:txBody>
      <dsp:txXfrm>
        <a:off x="2867031" y="1493273"/>
        <a:ext cx="869697" cy="265151"/>
      </dsp:txXfrm>
    </dsp:sp>
    <dsp:sp modelId="{AE7AB187-8996-43E1-96E9-611BD5B92C5C}">
      <dsp:nvSpPr>
        <dsp:cNvPr id="0" name=""/>
        <dsp:cNvSpPr/>
      </dsp:nvSpPr>
      <dsp:spPr>
        <a:xfrm>
          <a:off x="3910668" y="132755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EBITDA exit </a:t>
          </a:r>
          <a:endParaRPr lang="ru-RU" sz="600" kern="1200"/>
        </a:p>
      </dsp:txBody>
      <dsp:txXfrm>
        <a:off x="3910668" y="1327553"/>
        <a:ext cx="869697" cy="265151"/>
      </dsp:txXfrm>
    </dsp:sp>
    <dsp:sp modelId="{48D827A2-EB4D-4835-BCF8-C97C8022DD40}">
      <dsp:nvSpPr>
        <dsp:cNvPr id="0" name=""/>
        <dsp:cNvSpPr/>
      </dsp:nvSpPr>
      <dsp:spPr>
        <a:xfrm>
          <a:off x="4954305" y="1327553"/>
          <a:ext cx="869697" cy="265151"/>
        </a:xfrm>
        <a:prstGeom prst="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Depends on sales growth and EBITDA margin assumtion </a:t>
          </a:r>
          <a:endParaRPr lang="ru-RU" sz="600" kern="1200"/>
        </a:p>
      </dsp:txBody>
      <dsp:txXfrm>
        <a:off x="4954305" y="1327553"/>
        <a:ext cx="869697" cy="265151"/>
      </dsp:txXfrm>
    </dsp:sp>
    <dsp:sp modelId="{0159E730-A826-4AF0-93B2-CCCFF510E8F7}">
      <dsp:nvSpPr>
        <dsp:cNvPr id="0" name=""/>
        <dsp:cNvSpPr/>
      </dsp:nvSpPr>
      <dsp:spPr>
        <a:xfrm>
          <a:off x="3910668" y="165899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EV/EBITDA exit multiple </a:t>
          </a:r>
          <a:endParaRPr lang="ru-RU" sz="600" kern="1200"/>
        </a:p>
      </dsp:txBody>
      <dsp:txXfrm>
        <a:off x="3910668" y="1658993"/>
        <a:ext cx="869697" cy="265151"/>
      </dsp:txXfrm>
    </dsp:sp>
    <dsp:sp modelId="{FE1A2B62-01F8-47A9-9BE6-47892333F2DA}">
      <dsp:nvSpPr>
        <dsp:cNvPr id="0" name=""/>
        <dsp:cNvSpPr/>
      </dsp:nvSpPr>
      <dsp:spPr>
        <a:xfrm>
          <a:off x="4954305" y="1658993"/>
          <a:ext cx="869697" cy="265151"/>
        </a:xfrm>
        <a:prstGeom prst="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Depends on chosen assumption</a:t>
          </a:r>
          <a:endParaRPr lang="ru-RU" sz="600" kern="1200"/>
        </a:p>
      </dsp:txBody>
      <dsp:txXfrm>
        <a:off x="4954305" y="1658993"/>
        <a:ext cx="869697" cy="265151"/>
      </dsp:txXfrm>
    </dsp:sp>
    <dsp:sp modelId="{201D9AB7-14D4-4EB3-8369-3194985B783A}">
      <dsp:nvSpPr>
        <dsp:cNvPr id="0" name=""/>
        <dsp:cNvSpPr/>
      </dsp:nvSpPr>
      <dsp:spPr>
        <a:xfrm>
          <a:off x="2867031" y="215615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Net Debt  at exit </a:t>
          </a:r>
          <a:endParaRPr lang="ru-RU" sz="600" kern="1200"/>
        </a:p>
      </dsp:txBody>
      <dsp:txXfrm>
        <a:off x="2867031" y="2156153"/>
        <a:ext cx="869697" cy="265151"/>
      </dsp:txXfrm>
    </dsp:sp>
    <dsp:sp modelId="{D2F1D3DF-7BBE-4BBD-A7E1-BC20B1905B72}">
      <dsp:nvSpPr>
        <dsp:cNvPr id="0" name=""/>
        <dsp:cNvSpPr/>
      </dsp:nvSpPr>
      <dsp:spPr>
        <a:xfrm>
          <a:off x="3910668" y="199043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Balance at exit </a:t>
          </a:r>
          <a:endParaRPr lang="ru-RU" sz="600" kern="1200"/>
        </a:p>
      </dsp:txBody>
      <dsp:txXfrm>
        <a:off x="3910668" y="1990433"/>
        <a:ext cx="869697" cy="265151"/>
      </dsp:txXfrm>
    </dsp:sp>
    <dsp:sp modelId="{6EDB4838-75E3-4635-A715-2D3E2AF10F87}">
      <dsp:nvSpPr>
        <dsp:cNvPr id="0" name=""/>
        <dsp:cNvSpPr/>
      </dsp:nvSpPr>
      <dsp:spPr>
        <a:xfrm>
          <a:off x="4954305" y="1990433"/>
          <a:ext cx="869697" cy="265151"/>
        </a:xfrm>
        <a:prstGeom prst="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Depends on Income </a:t>
          </a:r>
          <a:endParaRPr lang="ru-RU" sz="600" kern="1200"/>
        </a:p>
      </dsp:txBody>
      <dsp:txXfrm>
        <a:off x="4954305" y="1990433"/>
        <a:ext cx="869697" cy="265151"/>
      </dsp:txXfrm>
    </dsp:sp>
    <dsp:sp modelId="{16EEE52C-02EB-418A-98CA-D3F8399FA552}">
      <dsp:nvSpPr>
        <dsp:cNvPr id="0" name=""/>
        <dsp:cNvSpPr/>
      </dsp:nvSpPr>
      <dsp:spPr>
        <a:xfrm>
          <a:off x="3910668" y="2321873"/>
          <a:ext cx="869697" cy="2651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Cash at exit </a:t>
          </a:r>
          <a:endParaRPr lang="ru-RU" sz="600" kern="1200"/>
        </a:p>
      </dsp:txBody>
      <dsp:txXfrm>
        <a:off x="3910668" y="2321873"/>
        <a:ext cx="869697" cy="265151"/>
      </dsp:txXfrm>
    </dsp:sp>
    <dsp:sp modelId="{E81F83D1-942E-4AA8-A7B8-74038067EDF8}">
      <dsp:nvSpPr>
        <dsp:cNvPr id="0" name=""/>
        <dsp:cNvSpPr/>
      </dsp:nvSpPr>
      <dsp:spPr>
        <a:xfrm>
          <a:off x="4954305" y="2321873"/>
          <a:ext cx="869697" cy="265151"/>
        </a:xfrm>
        <a:prstGeom prst="rect">
          <a:avLst/>
        </a:prstGeom>
        <a:solidFill>
          <a:schemeClr val="accent1">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Depends on CAPEX assumption</a:t>
          </a:r>
          <a:endParaRPr lang="ru-RU" sz="600" kern="1200"/>
        </a:p>
      </dsp:txBody>
      <dsp:txXfrm>
        <a:off x="4954305" y="2321873"/>
        <a:ext cx="869697" cy="2651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9F7BD-9F80-4AE8-A41E-11F817FA5ACF}">
      <dsp:nvSpPr>
        <dsp:cNvPr id="0" name=""/>
        <dsp:cNvSpPr/>
      </dsp:nvSpPr>
      <dsp:spPr>
        <a:xfrm>
          <a:off x="3090402" y="3654935"/>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5502" y="3696703"/>
        <a:ext cx="7905" cy="7905"/>
      </dsp:txXfrm>
    </dsp:sp>
    <dsp:sp modelId="{8817572D-7A80-4F16-A41D-2574D406FA0F}">
      <dsp:nvSpPr>
        <dsp:cNvPr id="0" name=""/>
        <dsp:cNvSpPr/>
      </dsp:nvSpPr>
      <dsp:spPr>
        <a:xfrm>
          <a:off x="2141767" y="3474704"/>
          <a:ext cx="158105" cy="225951"/>
        </a:xfrm>
        <a:custGeom>
          <a:avLst/>
          <a:gdLst/>
          <a:ahLst/>
          <a:cxnLst/>
          <a:rect l="0" t="0" r="0" b="0"/>
          <a:pathLst>
            <a:path>
              <a:moveTo>
                <a:pt x="0" y="0"/>
              </a:moveTo>
              <a:lnTo>
                <a:pt x="79052" y="0"/>
              </a:lnTo>
              <a:lnTo>
                <a:pt x="79052" y="225951"/>
              </a:lnTo>
              <a:lnTo>
                <a:pt x="158105" y="22595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3926" y="3580785"/>
        <a:ext cx="13788" cy="13788"/>
      </dsp:txXfrm>
    </dsp:sp>
    <dsp:sp modelId="{74F1EF5C-FD01-4645-A568-0632282CCCA8}">
      <dsp:nvSpPr>
        <dsp:cNvPr id="0" name=""/>
        <dsp:cNvSpPr/>
      </dsp:nvSpPr>
      <dsp:spPr>
        <a:xfrm>
          <a:off x="4039037" y="3353667"/>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14137" y="3395434"/>
        <a:ext cx="7905" cy="7905"/>
      </dsp:txXfrm>
    </dsp:sp>
    <dsp:sp modelId="{5705C392-B4C9-43E1-A9EA-8B7C93AA3431}">
      <dsp:nvSpPr>
        <dsp:cNvPr id="0" name=""/>
        <dsp:cNvSpPr/>
      </dsp:nvSpPr>
      <dsp:spPr>
        <a:xfrm>
          <a:off x="3090402" y="3248752"/>
          <a:ext cx="158105" cy="150634"/>
        </a:xfrm>
        <a:custGeom>
          <a:avLst/>
          <a:gdLst/>
          <a:ahLst/>
          <a:cxnLst/>
          <a:rect l="0" t="0" r="0" b="0"/>
          <a:pathLst>
            <a:path>
              <a:moveTo>
                <a:pt x="0" y="0"/>
              </a:moveTo>
              <a:lnTo>
                <a:pt x="79052" y="0"/>
              </a:lnTo>
              <a:lnTo>
                <a:pt x="79052" y="150634"/>
              </a:lnTo>
              <a:lnTo>
                <a:pt x="158105" y="1506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3996" y="3318610"/>
        <a:ext cx="10918" cy="10918"/>
      </dsp:txXfrm>
    </dsp:sp>
    <dsp:sp modelId="{CC1E278C-225C-4160-9375-993C24A2A533}">
      <dsp:nvSpPr>
        <dsp:cNvPr id="0" name=""/>
        <dsp:cNvSpPr/>
      </dsp:nvSpPr>
      <dsp:spPr>
        <a:xfrm>
          <a:off x="4039037" y="3052398"/>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14137" y="3094165"/>
        <a:ext cx="7905" cy="7905"/>
      </dsp:txXfrm>
    </dsp:sp>
    <dsp:sp modelId="{9FB50BB0-0E89-4559-9FA4-D190DCE96129}">
      <dsp:nvSpPr>
        <dsp:cNvPr id="0" name=""/>
        <dsp:cNvSpPr/>
      </dsp:nvSpPr>
      <dsp:spPr>
        <a:xfrm>
          <a:off x="3090402" y="3098118"/>
          <a:ext cx="158105" cy="150634"/>
        </a:xfrm>
        <a:custGeom>
          <a:avLst/>
          <a:gdLst/>
          <a:ahLst/>
          <a:cxnLst/>
          <a:rect l="0" t="0" r="0" b="0"/>
          <a:pathLst>
            <a:path>
              <a:moveTo>
                <a:pt x="0" y="150634"/>
              </a:moveTo>
              <a:lnTo>
                <a:pt x="79052" y="15063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3996" y="3167976"/>
        <a:ext cx="10918" cy="10918"/>
      </dsp:txXfrm>
    </dsp:sp>
    <dsp:sp modelId="{63525AE9-AB6C-48A9-851C-80D20D4DCADF}">
      <dsp:nvSpPr>
        <dsp:cNvPr id="0" name=""/>
        <dsp:cNvSpPr/>
      </dsp:nvSpPr>
      <dsp:spPr>
        <a:xfrm>
          <a:off x="2141767" y="3248752"/>
          <a:ext cx="158105" cy="225951"/>
        </a:xfrm>
        <a:custGeom>
          <a:avLst/>
          <a:gdLst/>
          <a:ahLst/>
          <a:cxnLst/>
          <a:rect l="0" t="0" r="0" b="0"/>
          <a:pathLst>
            <a:path>
              <a:moveTo>
                <a:pt x="0" y="225951"/>
              </a:moveTo>
              <a:lnTo>
                <a:pt x="79052" y="225951"/>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3926" y="3354834"/>
        <a:ext cx="13788" cy="13788"/>
      </dsp:txXfrm>
    </dsp:sp>
    <dsp:sp modelId="{6361BB29-54D9-4F19-9E5E-5359F1501055}">
      <dsp:nvSpPr>
        <dsp:cNvPr id="0" name=""/>
        <dsp:cNvSpPr/>
      </dsp:nvSpPr>
      <dsp:spPr>
        <a:xfrm>
          <a:off x="1193132" y="3060459"/>
          <a:ext cx="158105" cy="414244"/>
        </a:xfrm>
        <a:custGeom>
          <a:avLst/>
          <a:gdLst/>
          <a:ahLst/>
          <a:cxnLst/>
          <a:rect l="0" t="0" r="0" b="0"/>
          <a:pathLst>
            <a:path>
              <a:moveTo>
                <a:pt x="0" y="0"/>
              </a:moveTo>
              <a:lnTo>
                <a:pt x="79052" y="0"/>
              </a:lnTo>
              <a:lnTo>
                <a:pt x="79052" y="414244"/>
              </a:lnTo>
              <a:lnTo>
                <a:pt x="158105" y="41424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61100" y="3256497"/>
        <a:ext cx="22169" cy="22169"/>
      </dsp:txXfrm>
    </dsp:sp>
    <dsp:sp modelId="{F07ADF9D-0364-43A8-89C0-F6878CE43F2E}">
      <dsp:nvSpPr>
        <dsp:cNvPr id="0" name=""/>
        <dsp:cNvSpPr/>
      </dsp:nvSpPr>
      <dsp:spPr>
        <a:xfrm>
          <a:off x="3090402" y="2751129"/>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5502" y="2792897"/>
        <a:ext cx="7905" cy="7905"/>
      </dsp:txXfrm>
    </dsp:sp>
    <dsp:sp modelId="{8D4D0392-80BF-4442-9DA0-32E83EC02874}">
      <dsp:nvSpPr>
        <dsp:cNvPr id="0" name=""/>
        <dsp:cNvSpPr/>
      </dsp:nvSpPr>
      <dsp:spPr>
        <a:xfrm>
          <a:off x="2141767" y="2646215"/>
          <a:ext cx="158105" cy="150634"/>
        </a:xfrm>
        <a:custGeom>
          <a:avLst/>
          <a:gdLst/>
          <a:ahLst/>
          <a:cxnLst/>
          <a:rect l="0" t="0" r="0" b="0"/>
          <a:pathLst>
            <a:path>
              <a:moveTo>
                <a:pt x="0" y="0"/>
              </a:moveTo>
              <a:lnTo>
                <a:pt x="79052" y="0"/>
              </a:lnTo>
              <a:lnTo>
                <a:pt x="79052" y="150634"/>
              </a:lnTo>
              <a:lnTo>
                <a:pt x="158105" y="1506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5361" y="2716073"/>
        <a:ext cx="10918" cy="10918"/>
      </dsp:txXfrm>
    </dsp:sp>
    <dsp:sp modelId="{FC56C463-33E8-442E-80E3-FFFC7E69AE87}">
      <dsp:nvSpPr>
        <dsp:cNvPr id="0" name=""/>
        <dsp:cNvSpPr/>
      </dsp:nvSpPr>
      <dsp:spPr>
        <a:xfrm>
          <a:off x="3090402" y="2449860"/>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5502" y="2491628"/>
        <a:ext cx="7905" cy="7905"/>
      </dsp:txXfrm>
    </dsp:sp>
    <dsp:sp modelId="{47CF881F-925A-47B1-8EFC-04646790554C}">
      <dsp:nvSpPr>
        <dsp:cNvPr id="0" name=""/>
        <dsp:cNvSpPr/>
      </dsp:nvSpPr>
      <dsp:spPr>
        <a:xfrm>
          <a:off x="2141767" y="2495580"/>
          <a:ext cx="158105" cy="150634"/>
        </a:xfrm>
        <a:custGeom>
          <a:avLst/>
          <a:gdLst/>
          <a:ahLst/>
          <a:cxnLst/>
          <a:rect l="0" t="0" r="0" b="0"/>
          <a:pathLst>
            <a:path>
              <a:moveTo>
                <a:pt x="0" y="150634"/>
              </a:moveTo>
              <a:lnTo>
                <a:pt x="79052" y="15063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5361" y="2565438"/>
        <a:ext cx="10918" cy="10918"/>
      </dsp:txXfrm>
    </dsp:sp>
    <dsp:sp modelId="{6E1B4EB4-927F-4C08-B9C4-6595299FDE98}">
      <dsp:nvSpPr>
        <dsp:cNvPr id="0" name=""/>
        <dsp:cNvSpPr/>
      </dsp:nvSpPr>
      <dsp:spPr>
        <a:xfrm>
          <a:off x="1193132" y="2646215"/>
          <a:ext cx="158105" cy="414244"/>
        </a:xfrm>
        <a:custGeom>
          <a:avLst/>
          <a:gdLst/>
          <a:ahLst/>
          <a:cxnLst/>
          <a:rect l="0" t="0" r="0" b="0"/>
          <a:pathLst>
            <a:path>
              <a:moveTo>
                <a:pt x="0" y="414244"/>
              </a:moveTo>
              <a:lnTo>
                <a:pt x="79052" y="41424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61100" y="2842252"/>
        <a:ext cx="22169" cy="22169"/>
      </dsp:txXfrm>
    </dsp:sp>
    <dsp:sp modelId="{2CE723F3-8187-4EA8-A86D-D071FCD65576}">
      <dsp:nvSpPr>
        <dsp:cNvPr id="0" name=""/>
        <dsp:cNvSpPr/>
      </dsp:nvSpPr>
      <dsp:spPr>
        <a:xfrm>
          <a:off x="244497" y="2344946"/>
          <a:ext cx="158105" cy="715513"/>
        </a:xfrm>
        <a:custGeom>
          <a:avLst/>
          <a:gdLst/>
          <a:ahLst/>
          <a:cxnLst/>
          <a:rect l="0" t="0" r="0" b="0"/>
          <a:pathLst>
            <a:path>
              <a:moveTo>
                <a:pt x="0" y="0"/>
              </a:moveTo>
              <a:lnTo>
                <a:pt x="79052" y="0"/>
              </a:lnTo>
              <a:lnTo>
                <a:pt x="79052" y="715513"/>
              </a:lnTo>
              <a:lnTo>
                <a:pt x="158105" y="7155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5231" y="2684383"/>
        <a:ext cx="36638" cy="36638"/>
      </dsp:txXfrm>
    </dsp:sp>
    <dsp:sp modelId="{B1654B20-8121-420F-BC89-3C8088AEF740}">
      <dsp:nvSpPr>
        <dsp:cNvPr id="0" name=""/>
        <dsp:cNvSpPr/>
      </dsp:nvSpPr>
      <dsp:spPr>
        <a:xfrm>
          <a:off x="3090402" y="2148592"/>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5502" y="2190359"/>
        <a:ext cx="7905" cy="7905"/>
      </dsp:txXfrm>
    </dsp:sp>
    <dsp:sp modelId="{CBCE90F8-F40B-487E-8A62-5871800E5A22}">
      <dsp:nvSpPr>
        <dsp:cNvPr id="0" name=""/>
        <dsp:cNvSpPr/>
      </dsp:nvSpPr>
      <dsp:spPr>
        <a:xfrm>
          <a:off x="2141767" y="2043677"/>
          <a:ext cx="158105" cy="150634"/>
        </a:xfrm>
        <a:custGeom>
          <a:avLst/>
          <a:gdLst/>
          <a:ahLst/>
          <a:cxnLst/>
          <a:rect l="0" t="0" r="0" b="0"/>
          <a:pathLst>
            <a:path>
              <a:moveTo>
                <a:pt x="0" y="0"/>
              </a:moveTo>
              <a:lnTo>
                <a:pt x="79052" y="0"/>
              </a:lnTo>
              <a:lnTo>
                <a:pt x="79052" y="150634"/>
              </a:lnTo>
              <a:lnTo>
                <a:pt x="158105" y="1506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5361" y="2113535"/>
        <a:ext cx="10918" cy="10918"/>
      </dsp:txXfrm>
    </dsp:sp>
    <dsp:sp modelId="{21283669-252B-4569-9E95-8D5642535A41}">
      <dsp:nvSpPr>
        <dsp:cNvPr id="0" name=""/>
        <dsp:cNvSpPr/>
      </dsp:nvSpPr>
      <dsp:spPr>
        <a:xfrm>
          <a:off x="2141767" y="1893043"/>
          <a:ext cx="158105" cy="150634"/>
        </a:xfrm>
        <a:custGeom>
          <a:avLst/>
          <a:gdLst/>
          <a:ahLst/>
          <a:cxnLst/>
          <a:rect l="0" t="0" r="0" b="0"/>
          <a:pathLst>
            <a:path>
              <a:moveTo>
                <a:pt x="0" y="150634"/>
              </a:moveTo>
              <a:lnTo>
                <a:pt x="79052" y="15063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5361" y="1962901"/>
        <a:ext cx="10918" cy="10918"/>
      </dsp:txXfrm>
    </dsp:sp>
    <dsp:sp modelId="{0B2BFF33-0BE3-44D5-9FFC-F7204C5E4645}">
      <dsp:nvSpPr>
        <dsp:cNvPr id="0" name=""/>
        <dsp:cNvSpPr/>
      </dsp:nvSpPr>
      <dsp:spPr>
        <a:xfrm>
          <a:off x="1193132" y="1629433"/>
          <a:ext cx="158105" cy="414244"/>
        </a:xfrm>
        <a:custGeom>
          <a:avLst/>
          <a:gdLst/>
          <a:ahLst/>
          <a:cxnLst/>
          <a:rect l="0" t="0" r="0" b="0"/>
          <a:pathLst>
            <a:path>
              <a:moveTo>
                <a:pt x="0" y="0"/>
              </a:moveTo>
              <a:lnTo>
                <a:pt x="79052" y="0"/>
              </a:lnTo>
              <a:lnTo>
                <a:pt x="79052" y="414244"/>
              </a:lnTo>
              <a:lnTo>
                <a:pt x="158105" y="41424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61100" y="1825470"/>
        <a:ext cx="22169" cy="22169"/>
      </dsp:txXfrm>
    </dsp:sp>
    <dsp:sp modelId="{4E0420AA-B717-46C3-BA59-CFB657610A6B}">
      <dsp:nvSpPr>
        <dsp:cNvPr id="0" name=""/>
        <dsp:cNvSpPr/>
      </dsp:nvSpPr>
      <dsp:spPr>
        <a:xfrm>
          <a:off x="2141767" y="1215188"/>
          <a:ext cx="158105" cy="376585"/>
        </a:xfrm>
        <a:custGeom>
          <a:avLst/>
          <a:gdLst/>
          <a:ahLst/>
          <a:cxnLst/>
          <a:rect l="0" t="0" r="0" b="0"/>
          <a:pathLst>
            <a:path>
              <a:moveTo>
                <a:pt x="0" y="0"/>
              </a:moveTo>
              <a:lnTo>
                <a:pt x="79052" y="0"/>
              </a:lnTo>
              <a:lnTo>
                <a:pt x="79052" y="376585"/>
              </a:lnTo>
              <a:lnTo>
                <a:pt x="158105" y="37658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0609" y="1393271"/>
        <a:ext cx="20421" cy="20421"/>
      </dsp:txXfrm>
    </dsp:sp>
    <dsp:sp modelId="{D15C7707-0964-4D74-9A6B-79A58A47B5C4}">
      <dsp:nvSpPr>
        <dsp:cNvPr id="0" name=""/>
        <dsp:cNvSpPr/>
      </dsp:nvSpPr>
      <dsp:spPr>
        <a:xfrm>
          <a:off x="3090402" y="1244785"/>
          <a:ext cx="158105" cy="91440"/>
        </a:xfrm>
        <a:custGeom>
          <a:avLst/>
          <a:gdLst/>
          <a:ahLst/>
          <a:cxnLst/>
          <a:rect l="0" t="0" r="0" b="0"/>
          <a:pathLst>
            <a:path>
              <a:moveTo>
                <a:pt x="0" y="45720"/>
              </a:moveTo>
              <a:lnTo>
                <a:pt x="15810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5502" y="1286553"/>
        <a:ext cx="7905" cy="7905"/>
      </dsp:txXfrm>
    </dsp:sp>
    <dsp:sp modelId="{DBC32FA7-ABA2-479B-BC28-9D773A5A9674}">
      <dsp:nvSpPr>
        <dsp:cNvPr id="0" name=""/>
        <dsp:cNvSpPr/>
      </dsp:nvSpPr>
      <dsp:spPr>
        <a:xfrm>
          <a:off x="2141767" y="1169468"/>
          <a:ext cx="158105" cy="91440"/>
        </a:xfrm>
        <a:custGeom>
          <a:avLst/>
          <a:gdLst/>
          <a:ahLst/>
          <a:cxnLst/>
          <a:rect l="0" t="0" r="0" b="0"/>
          <a:pathLst>
            <a:path>
              <a:moveTo>
                <a:pt x="0" y="45720"/>
              </a:moveTo>
              <a:lnTo>
                <a:pt x="79052" y="45720"/>
              </a:lnTo>
              <a:lnTo>
                <a:pt x="79052" y="121037"/>
              </a:lnTo>
              <a:lnTo>
                <a:pt x="158105" y="1210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6442" y="1210810"/>
        <a:ext cx="8756" cy="8756"/>
      </dsp:txXfrm>
    </dsp:sp>
    <dsp:sp modelId="{2A8D1577-0F3D-4F83-82D9-FFC50E36E934}">
      <dsp:nvSpPr>
        <dsp:cNvPr id="0" name=""/>
        <dsp:cNvSpPr/>
      </dsp:nvSpPr>
      <dsp:spPr>
        <a:xfrm>
          <a:off x="3090402" y="838602"/>
          <a:ext cx="158105" cy="150634"/>
        </a:xfrm>
        <a:custGeom>
          <a:avLst/>
          <a:gdLst/>
          <a:ahLst/>
          <a:cxnLst/>
          <a:rect l="0" t="0" r="0" b="0"/>
          <a:pathLst>
            <a:path>
              <a:moveTo>
                <a:pt x="0" y="0"/>
              </a:moveTo>
              <a:lnTo>
                <a:pt x="79052" y="0"/>
              </a:lnTo>
              <a:lnTo>
                <a:pt x="79052" y="150634"/>
              </a:lnTo>
              <a:lnTo>
                <a:pt x="158105" y="1506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3996" y="908460"/>
        <a:ext cx="10918" cy="10918"/>
      </dsp:txXfrm>
    </dsp:sp>
    <dsp:sp modelId="{6A0BA63C-3EA7-4881-B633-8DC0AC78745C}">
      <dsp:nvSpPr>
        <dsp:cNvPr id="0" name=""/>
        <dsp:cNvSpPr/>
      </dsp:nvSpPr>
      <dsp:spPr>
        <a:xfrm>
          <a:off x="5009392" y="838602"/>
          <a:ext cx="91440" cy="244478"/>
        </a:xfrm>
        <a:custGeom>
          <a:avLst/>
          <a:gdLst/>
          <a:ahLst/>
          <a:cxnLst/>
          <a:rect l="0" t="0" r="0" b="0"/>
          <a:pathLst>
            <a:path>
              <a:moveTo>
                <a:pt x="45720" y="244478"/>
              </a:moveTo>
              <a:lnTo>
                <a:pt x="91052" y="244478"/>
              </a:lnTo>
              <a:lnTo>
                <a:pt x="91052" y="0"/>
              </a:lnTo>
              <a:lnTo>
                <a:pt x="13638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48593" y="954323"/>
        <a:ext cx="13037" cy="13037"/>
      </dsp:txXfrm>
    </dsp:sp>
    <dsp:sp modelId="{912B174D-27B7-4127-9CC1-F790478B6351}">
      <dsp:nvSpPr>
        <dsp:cNvPr id="0" name=""/>
        <dsp:cNvSpPr/>
      </dsp:nvSpPr>
      <dsp:spPr>
        <a:xfrm>
          <a:off x="4039037" y="687968"/>
          <a:ext cx="225545" cy="395112"/>
        </a:xfrm>
        <a:custGeom>
          <a:avLst/>
          <a:gdLst/>
          <a:ahLst/>
          <a:cxnLst/>
          <a:rect l="0" t="0" r="0" b="0"/>
          <a:pathLst>
            <a:path>
              <a:moveTo>
                <a:pt x="0" y="0"/>
              </a:moveTo>
              <a:lnTo>
                <a:pt x="112772" y="0"/>
              </a:lnTo>
              <a:lnTo>
                <a:pt x="112772" y="395112"/>
              </a:lnTo>
              <a:lnTo>
                <a:pt x="225545" y="39511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40436" y="874150"/>
        <a:ext cx="22747" cy="22747"/>
      </dsp:txXfrm>
    </dsp:sp>
    <dsp:sp modelId="{A855F001-D26D-475C-A476-70F2341B90FE}">
      <dsp:nvSpPr>
        <dsp:cNvPr id="0" name=""/>
        <dsp:cNvSpPr/>
      </dsp:nvSpPr>
      <dsp:spPr>
        <a:xfrm>
          <a:off x="4039037" y="504175"/>
          <a:ext cx="225055" cy="183793"/>
        </a:xfrm>
        <a:custGeom>
          <a:avLst/>
          <a:gdLst/>
          <a:ahLst/>
          <a:cxnLst/>
          <a:rect l="0" t="0" r="0" b="0"/>
          <a:pathLst>
            <a:path>
              <a:moveTo>
                <a:pt x="0" y="183793"/>
              </a:moveTo>
              <a:lnTo>
                <a:pt x="112527" y="183793"/>
              </a:lnTo>
              <a:lnTo>
                <a:pt x="112527" y="0"/>
              </a:lnTo>
              <a:lnTo>
                <a:pt x="22505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44301" y="588807"/>
        <a:ext cx="14528" cy="14528"/>
      </dsp:txXfrm>
    </dsp:sp>
    <dsp:sp modelId="{DFC78A1C-E00A-4BF1-8D2D-E2A893A5859E}">
      <dsp:nvSpPr>
        <dsp:cNvPr id="0" name=""/>
        <dsp:cNvSpPr/>
      </dsp:nvSpPr>
      <dsp:spPr>
        <a:xfrm>
          <a:off x="3090402" y="687968"/>
          <a:ext cx="158105" cy="150634"/>
        </a:xfrm>
        <a:custGeom>
          <a:avLst/>
          <a:gdLst/>
          <a:ahLst/>
          <a:cxnLst/>
          <a:rect l="0" t="0" r="0" b="0"/>
          <a:pathLst>
            <a:path>
              <a:moveTo>
                <a:pt x="0" y="150634"/>
              </a:moveTo>
              <a:lnTo>
                <a:pt x="79052" y="15063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63996" y="757826"/>
        <a:ext cx="10918" cy="10918"/>
      </dsp:txXfrm>
    </dsp:sp>
    <dsp:sp modelId="{EDC7A6AE-E1C2-4EA7-9054-F821D38A059B}">
      <dsp:nvSpPr>
        <dsp:cNvPr id="0" name=""/>
        <dsp:cNvSpPr/>
      </dsp:nvSpPr>
      <dsp:spPr>
        <a:xfrm>
          <a:off x="2141767" y="838602"/>
          <a:ext cx="158105" cy="376585"/>
        </a:xfrm>
        <a:custGeom>
          <a:avLst/>
          <a:gdLst/>
          <a:ahLst/>
          <a:cxnLst/>
          <a:rect l="0" t="0" r="0" b="0"/>
          <a:pathLst>
            <a:path>
              <a:moveTo>
                <a:pt x="0" y="376585"/>
              </a:moveTo>
              <a:lnTo>
                <a:pt x="79052" y="376585"/>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10609" y="1016685"/>
        <a:ext cx="20421" cy="20421"/>
      </dsp:txXfrm>
    </dsp:sp>
    <dsp:sp modelId="{00F9A2E1-8B29-4B86-93A2-8F2B346B7A59}">
      <dsp:nvSpPr>
        <dsp:cNvPr id="0" name=""/>
        <dsp:cNvSpPr/>
      </dsp:nvSpPr>
      <dsp:spPr>
        <a:xfrm>
          <a:off x="1193132" y="1215188"/>
          <a:ext cx="158105" cy="414244"/>
        </a:xfrm>
        <a:custGeom>
          <a:avLst/>
          <a:gdLst/>
          <a:ahLst/>
          <a:cxnLst/>
          <a:rect l="0" t="0" r="0" b="0"/>
          <a:pathLst>
            <a:path>
              <a:moveTo>
                <a:pt x="0" y="414244"/>
              </a:moveTo>
              <a:lnTo>
                <a:pt x="79052" y="414244"/>
              </a:lnTo>
              <a:lnTo>
                <a:pt x="79052" y="0"/>
              </a:lnTo>
              <a:lnTo>
                <a:pt x="15810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61100" y="1411226"/>
        <a:ext cx="22169" cy="22169"/>
      </dsp:txXfrm>
    </dsp:sp>
    <dsp:sp modelId="{2902A5A1-EFA0-4A03-8F5B-39FA3A3EE3A0}">
      <dsp:nvSpPr>
        <dsp:cNvPr id="0" name=""/>
        <dsp:cNvSpPr/>
      </dsp:nvSpPr>
      <dsp:spPr>
        <a:xfrm>
          <a:off x="244497" y="1629433"/>
          <a:ext cx="158105" cy="715513"/>
        </a:xfrm>
        <a:custGeom>
          <a:avLst/>
          <a:gdLst/>
          <a:ahLst/>
          <a:cxnLst/>
          <a:rect l="0" t="0" r="0" b="0"/>
          <a:pathLst>
            <a:path>
              <a:moveTo>
                <a:pt x="0" y="715513"/>
              </a:moveTo>
              <a:lnTo>
                <a:pt x="79052" y="715513"/>
              </a:lnTo>
              <a:lnTo>
                <a:pt x="79052" y="0"/>
              </a:lnTo>
              <a:lnTo>
                <a:pt x="15810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5231" y="1968870"/>
        <a:ext cx="36638" cy="36638"/>
      </dsp:txXfrm>
    </dsp:sp>
    <dsp:sp modelId="{2C774B62-4FD5-45A1-8B9A-C94830B2ED5F}">
      <dsp:nvSpPr>
        <dsp:cNvPr id="0" name=""/>
        <dsp:cNvSpPr/>
      </dsp:nvSpPr>
      <dsp:spPr>
        <a:xfrm rot="16200000">
          <a:off x="-510259" y="2224439"/>
          <a:ext cx="1268499" cy="241014"/>
        </a:xfrm>
        <a:prstGeom prst="flowChartInputOutp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IRR</a:t>
          </a:r>
          <a:endParaRPr lang="ru-RU" sz="1500" kern="1200"/>
        </a:p>
      </dsp:txBody>
      <dsp:txXfrm>
        <a:off x="-256559" y="2224439"/>
        <a:ext cx="761099" cy="241014"/>
      </dsp:txXfrm>
    </dsp:sp>
    <dsp:sp modelId="{71252EEB-ED02-405A-A23B-29BCE17FF211}">
      <dsp:nvSpPr>
        <dsp:cNvPr id="0" name=""/>
        <dsp:cNvSpPr/>
      </dsp:nvSpPr>
      <dsp:spPr>
        <a:xfrm>
          <a:off x="402603" y="1508925"/>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contributon</a:t>
          </a:r>
          <a:endParaRPr lang="ru-RU" sz="600" kern="1200"/>
        </a:p>
      </dsp:txBody>
      <dsp:txXfrm>
        <a:off x="402603" y="1508925"/>
        <a:ext cx="790529" cy="241014"/>
      </dsp:txXfrm>
    </dsp:sp>
    <dsp:sp modelId="{7A15E2E1-2655-4DC2-897E-D600F396BB75}">
      <dsp:nvSpPr>
        <dsp:cNvPr id="0" name=""/>
        <dsp:cNvSpPr/>
      </dsp:nvSpPr>
      <dsp:spPr>
        <a:xfrm>
          <a:off x="1351238" y="1094681"/>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Transaction value</a:t>
          </a:r>
          <a:endParaRPr lang="ru-RU" sz="600" kern="1200"/>
        </a:p>
      </dsp:txBody>
      <dsp:txXfrm>
        <a:off x="1351238" y="1094681"/>
        <a:ext cx="790529" cy="241014"/>
      </dsp:txXfrm>
    </dsp:sp>
    <dsp:sp modelId="{E1F2A7C2-F5C6-46CD-B866-238B7304D43D}">
      <dsp:nvSpPr>
        <dsp:cNvPr id="0" name=""/>
        <dsp:cNvSpPr/>
      </dsp:nvSpPr>
      <dsp:spPr>
        <a:xfrm>
          <a:off x="2299873" y="718095"/>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Company value </a:t>
          </a:r>
          <a:endParaRPr lang="ru-RU" sz="600" kern="1200"/>
        </a:p>
      </dsp:txBody>
      <dsp:txXfrm>
        <a:off x="2299873" y="718095"/>
        <a:ext cx="790529" cy="241014"/>
      </dsp:txXfrm>
    </dsp:sp>
    <dsp:sp modelId="{D0159374-6F76-4753-A426-8B9FCE5C1DD5}">
      <dsp:nvSpPr>
        <dsp:cNvPr id="0" name=""/>
        <dsp:cNvSpPr/>
      </dsp:nvSpPr>
      <dsp:spPr>
        <a:xfrm>
          <a:off x="3248508" y="567461"/>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value</a:t>
          </a:r>
          <a:endParaRPr lang="ru-RU" sz="600" kern="1200"/>
        </a:p>
      </dsp:txBody>
      <dsp:txXfrm>
        <a:off x="3248508" y="567461"/>
        <a:ext cx="790529" cy="241014"/>
      </dsp:txXfrm>
    </dsp:sp>
    <dsp:sp modelId="{1208BA08-C239-444A-8830-51164557F6C4}">
      <dsp:nvSpPr>
        <dsp:cNvPr id="0" name=""/>
        <dsp:cNvSpPr/>
      </dsp:nvSpPr>
      <dsp:spPr>
        <a:xfrm>
          <a:off x="4264093" y="383667"/>
          <a:ext cx="790529" cy="241014"/>
        </a:xfrm>
        <a:prstGeom prst="roundRect">
          <a:avLst/>
        </a:prstGeom>
        <a:solidFill>
          <a:schemeClr val="accent2">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 shares </a:t>
          </a:r>
          <a:endParaRPr lang="ru-RU" sz="600" kern="1200"/>
        </a:p>
      </dsp:txBody>
      <dsp:txXfrm>
        <a:off x="4275858" y="395432"/>
        <a:ext cx="766999" cy="217484"/>
      </dsp:txXfrm>
    </dsp:sp>
    <dsp:sp modelId="{9E5B9E7C-7AB3-4DC1-BD27-5620E83B6D48}">
      <dsp:nvSpPr>
        <dsp:cNvPr id="0" name=""/>
        <dsp:cNvSpPr/>
      </dsp:nvSpPr>
      <dsp:spPr>
        <a:xfrm>
          <a:off x="4264583" y="962573"/>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Share purchase price</a:t>
          </a:r>
          <a:endParaRPr lang="ru-RU" sz="600" kern="1200"/>
        </a:p>
      </dsp:txBody>
      <dsp:txXfrm>
        <a:off x="4264583" y="962573"/>
        <a:ext cx="790529" cy="241014"/>
      </dsp:txXfrm>
    </dsp:sp>
    <dsp:sp modelId="{0F6731D3-20E1-45FE-ACBD-6C969397F555}">
      <dsp:nvSpPr>
        <dsp:cNvPr id="0" name=""/>
        <dsp:cNvSpPr/>
      </dsp:nvSpPr>
      <dsp:spPr>
        <a:xfrm>
          <a:off x="5145778" y="718095"/>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market premium assumption </a:t>
          </a:r>
          <a:endParaRPr lang="ru-RU" sz="600" kern="1200"/>
        </a:p>
      </dsp:txBody>
      <dsp:txXfrm>
        <a:off x="5145778" y="718095"/>
        <a:ext cx="790529" cy="241014"/>
      </dsp:txXfrm>
    </dsp:sp>
    <dsp:sp modelId="{3B327AAF-4193-4F1B-BDAD-D4EAC97AB7C3}">
      <dsp:nvSpPr>
        <dsp:cNvPr id="0" name=""/>
        <dsp:cNvSpPr/>
      </dsp:nvSpPr>
      <dsp:spPr>
        <a:xfrm>
          <a:off x="3248508" y="868729"/>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Net debt </a:t>
          </a:r>
          <a:endParaRPr lang="ru-RU" sz="600" kern="1200"/>
        </a:p>
      </dsp:txBody>
      <dsp:txXfrm>
        <a:off x="3248508" y="868729"/>
        <a:ext cx="790529" cy="241014"/>
      </dsp:txXfrm>
    </dsp:sp>
    <dsp:sp modelId="{476DDA1D-A285-4F0C-9BA6-3DA859F11C4D}">
      <dsp:nvSpPr>
        <dsp:cNvPr id="0" name=""/>
        <dsp:cNvSpPr/>
      </dsp:nvSpPr>
      <dsp:spPr>
        <a:xfrm>
          <a:off x="2299873" y="1169998"/>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Debt cost</a:t>
          </a:r>
          <a:endParaRPr lang="ru-RU" sz="600" kern="1200"/>
        </a:p>
      </dsp:txBody>
      <dsp:txXfrm>
        <a:off x="2299873" y="1169998"/>
        <a:ext cx="790529" cy="241014"/>
      </dsp:txXfrm>
    </dsp:sp>
    <dsp:sp modelId="{49BD26DA-549C-4516-949F-D2AA9EB0AEF6}">
      <dsp:nvSpPr>
        <dsp:cNvPr id="0" name=""/>
        <dsp:cNvSpPr/>
      </dsp:nvSpPr>
      <dsp:spPr>
        <a:xfrm>
          <a:off x="3248508" y="1169998"/>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debt structure and debt cost assump.</a:t>
          </a:r>
          <a:endParaRPr lang="ru-RU" sz="600" kern="1200"/>
        </a:p>
      </dsp:txBody>
      <dsp:txXfrm>
        <a:off x="3248508" y="1169998"/>
        <a:ext cx="790529" cy="241014"/>
      </dsp:txXfrm>
    </dsp:sp>
    <dsp:sp modelId="{E4566AD4-2965-4C47-BDC7-2673DE3FCB1B}">
      <dsp:nvSpPr>
        <dsp:cNvPr id="0" name=""/>
        <dsp:cNvSpPr/>
      </dsp:nvSpPr>
      <dsp:spPr>
        <a:xfrm>
          <a:off x="2299873" y="1471267"/>
          <a:ext cx="790529" cy="241014"/>
        </a:xfrm>
        <a:prstGeom prst="rect">
          <a:avLst/>
        </a:prstGeom>
        <a:solidFill>
          <a:schemeClr val="accent2">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Other expences</a:t>
          </a:r>
          <a:endParaRPr lang="ru-RU" sz="600" kern="1200"/>
        </a:p>
      </dsp:txBody>
      <dsp:txXfrm>
        <a:off x="2299873" y="1471267"/>
        <a:ext cx="790529" cy="241014"/>
      </dsp:txXfrm>
    </dsp:sp>
    <dsp:sp modelId="{64138703-F7A6-4089-8C95-3BDA93209238}">
      <dsp:nvSpPr>
        <dsp:cNvPr id="0" name=""/>
        <dsp:cNvSpPr/>
      </dsp:nvSpPr>
      <dsp:spPr>
        <a:xfrm>
          <a:off x="1351238" y="1923170"/>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Debt contribution</a:t>
          </a:r>
          <a:endParaRPr lang="ru-RU" sz="600" kern="1200"/>
        </a:p>
      </dsp:txBody>
      <dsp:txXfrm>
        <a:off x="1351238" y="1923170"/>
        <a:ext cx="790529" cy="241014"/>
      </dsp:txXfrm>
    </dsp:sp>
    <dsp:sp modelId="{8569AFBE-3563-43F9-A494-98AAA98C5305}">
      <dsp:nvSpPr>
        <dsp:cNvPr id="0" name=""/>
        <dsp:cNvSpPr/>
      </dsp:nvSpPr>
      <dsp:spPr>
        <a:xfrm>
          <a:off x="2299873" y="1772535"/>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transaction value</a:t>
          </a:r>
          <a:endParaRPr lang="ru-RU" sz="600" kern="1200"/>
        </a:p>
      </dsp:txBody>
      <dsp:txXfrm>
        <a:off x="2299873" y="1772535"/>
        <a:ext cx="790529" cy="241014"/>
      </dsp:txXfrm>
    </dsp:sp>
    <dsp:sp modelId="{26EF6B95-5EC3-4AEC-8AAD-15C73B90D8E9}">
      <dsp:nvSpPr>
        <dsp:cNvPr id="0" name=""/>
        <dsp:cNvSpPr/>
      </dsp:nvSpPr>
      <dsp:spPr>
        <a:xfrm>
          <a:off x="2299873" y="2073804"/>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financing capital structure</a:t>
          </a:r>
          <a:endParaRPr lang="ru-RU" sz="600" kern="1200"/>
        </a:p>
      </dsp:txBody>
      <dsp:txXfrm>
        <a:off x="2299873" y="2073804"/>
        <a:ext cx="790529" cy="241014"/>
      </dsp:txXfrm>
    </dsp:sp>
    <dsp:sp modelId="{E13A90FD-D682-4AFC-867D-1717F883E512}">
      <dsp:nvSpPr>
        <dsp:cNvPr id="0" name=""/>
        <dsp:cNvSpPr/>
      </dsp:nvSpPr>
      <dsp:spPr>
        <a:xfrm>
          <a:off x="3248508" y="2073804"/>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industry specific Debt/EBITDA </a:t>
          </a:r>
          <a:endParaRPr lang="ru-RU" sz="600" kern="1200"/>
        </a:p>
      </dsp:txBody>
      <dsp:txXfrm>
        <a:off x="3248508" y="2073804"/>
        <a:ext cx="790529" cy="241014"/>
      </dsp:txXfrm>
    </dsp:sp>
    <dsp:sp modelId="{AA07CE18-9F3F-4AFE-9F00-D32FDDFCEC81}">
      <dsp:nvSpPr>
        <dsp:cNvPr id="0" name=""/>
        <dsp:cNvSpPr/>
      </dsp:nvSpPr>
      <dsp:spPr>
        <a:xfrm>
          <a:off x="402603" y="2939952"/>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Equity value at exit</a:t>
          </a:r>
          <a:endParaRPr lang="ru-RU" sz="600" kern="1200"/>
        </a:p>
      </dsp:txBody>
      <dsp:txXfrm>
        <a:off x="402603" y="2939952"/>
        <a:ext cx="790529" cy="241014"/>
      </dsp:txXfrm>
    </dsp:sp>
    <dsp:sp modelId="{06AF6D68-969A-4C71-99B0-7FA3CCDF7D15}">
      <dsp:nvSpPr>
        <dsp:cNvPr id="0" name=""/>
        <dsp:cNvSpPr/>
      </dsp:nvSpPr>
      <dsp:spPr>
        <a:xfrm>
          <a:off x="1351238" y="2525707"/>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EV at exit</a:t>
          </a:r>
          <a:endParaRPr lang="ru-RU" sz="600" kern="1200"/>
        </a:p>
      </dsp:txBody>
      <dsp:txXfrm>
        <a:off x="1351238" y="2525707"/>
        <a:ext cx="790529" cy="241014"/>
      </dsp:txXfrm>
    </dsp:sp>
    <dsp:sp modelId="{28854F70-5F0D-4956-84DA-E7839F87BB19}">
      <dsp:nvSpPr>
        <dsp:cNvPr id="0" name=""/>
        <dsp:cNvSpPr/>
      </dsp:nvSpPr>
      <dsp:spPr>
        <a:xfrm>
          <a:off x="2299873" y="2375073"/>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EBITDA at exit</a:t>
          </a:r>
          <a:endParaRPr lang="ru-RU" sz="600" kern="1200"/>
        </a:p>
      </dsp:txBody>
      <dsp:txXfrm>
        <a:off x="2299873" y="2375073"/>
        <a:ext cx="790529" cy="241014"/>
      </dsp:txXfrm>
    </dsp:sp>
    <dsp:sp modelId="{08489C6D-5D9C-4FC4-88B2-AE3C3E291409}">
      <dsp:nvSpPr>
        <dsp:cNvPr id="0" name=""/>
        <dsp:cNvSpPr/>
      </dsp:nvSpPr>
      <dsp:spPr>
        <a:xfrm>
          <a:off x="3248508" y="2375073"/>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Sales, EBITDA margin, SGA, DA  </a:t>
          </a:r>
          <a:endParaRPr lang="ru-RU" sz="600" kern="1200"/>
        </a:p>
      </dsp:txBody>
      <dsp:txXfrm>
        <a:off x="3248508" y="2375073"/>
        <a:ext cx="790529" cy="241014"/>
      </dsp:txXfrm>
    </dsp:sp>
    <dsp:sp modelId="{02DD7138-03AA-4DFA-9309-8C45203166EA}">
      <dsp:nvSpPr>
        <dsp:cNvPr id="0" name=""/>
        <dsp:cNvSpPr/>
      </dsp:nvSpPr>
      <dsp:spPr>
        <a:xfrm>
          <a:off x="2299873" y="2676342"/>
          <a:ext cx="790529" cy="241014"/>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Exit multiple</a:t>
          </a:r>
          <a:endParaRPr lang="ru-RU" sz="600" kern="1200"/>
        </a:p>
      </dsp:txBody>
      <dsp:txXfrm>
        <a:off x="2299873" y="2676342"/>
        <a:ext cx="790529" cy="241014"/>
      </dsp:txXfrm>
    </dsp:sp>
    <dsp:sp modelId="{9AE32AA9-F415-417C-B0FA-FA2B6CE3EC26}">
      <dsp:nvSpPr>
        <dsp:cNvPr id="0" name=""/>
        <dsp:cNvSpPr/>
      </dsp:nvSpPr>
      <dsp:spPr>
        <a:xfrm>
          <a:off x="3248508" y="2676342"/>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Exit multiple assumption</a:t>
          </a:r>
          <a:endParaRPr lang="ru-RU" sz="600" kern="1200"/>
        </a:p>
      </dsp:txBody>
      <dsp:txXfrm>
        <a:off x="3248508" y="2676342"/>
        <a:ext cx="790529" cy="241014"/>
      </dsp:txXfrm>
    </dsp:sp>
    <dsp:sp modelId="{293619AE-106B-4CDA-AFC3-4CBBA0F25A58}">
      <dsp:nvSpPr>
        <dsp:cNvPr id="0" name=""/>
        <dsp:cNvSpPr/>
      </dsp:nvSpPr>
      <dsp:spPr>
        <a:xfrm>
          <a:off x="1351238" y="3354196"/>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Net debt at exit</a:t>
          </a:r>
          <a:endParaRPr lang="ru-RU" sz="600" kern="1200"/>
        </a:p>
      </dsp:txBody>
      <dsp:txXfrm>
        <a:off x="1351238" y="3354196"/>
        <a:ext cx="790529" cy="241014"/>
      </dsp:txXfrm>
    </dsp:sp>
    <dsp:sp modelId="{6CAEB78D-2B36-415B-8178-90F9871CC9A6}">
      <dsp:nvSpPr>
        <dsp:cNvPr id="0" name=""/>
        <dsp:cNvSpPr/>
      </dsp:nvSpPr>
      <dsp:spPr>
        <a:xfrm>
          <a:off x="2299873" y="3128245"/>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Balance value</a:t>
          </a:r>
          <a:endParaRPr lang="ru-RU" sz="600" kern="1200"/>
        </a:p>
      </dsp:txBody>
      <dsp:txXfrm>
        <a:off x="2299873" y="3128245"/>
        <a:ext cx="790529" cy="241014"/>
      </dsp:txXfrm>
    </dsp:sp>
    <dsp:sp modelId="{3D451D9D-138B-46F8-89C2-4011EFE3C993}">
      <dsp:nvSpPr>
        <dsp:cNvPr id="0" name=""/>
        <dsp:cNvSpPr/>
      </dsp:nvSpPr>
      <dsp:spPr>
        <a:xfrm>
          <a:off x="3248508" y="2977610"/>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Shareh equity</a:t>
          </a:r>
          <a:endParaRPr lang="ru-RU" sz="600" kern="1200"/>
        </a:p>
      </dsp:txBody>
      <dsp:txXfrm>
        <a:off x="3248508" y="2977610"/>
        <a:ext cx="790529" cy="241014"/>
      </dsp:txXfrm>
    </dsp:sp>
    <dsp:sp modelId="{7F2B1D6B-5842-4F68-8715-B62816078624}">
      <dsp:nvSpPr>
        <dsp:cNvPr id="0" name=""/>
        <dsp:cNvSpPr/>
      </dsp:nvSpPr>
      <dsp:spPr>
        <a:xfrm>
          <a:off x="4197143" y="2977610"/>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IS assump.</a:t>
          </a:r>
          <a:endParaRPr lang="ru-RU" sz="600" kern="1200"/>
        </a:p>
      </dsp:txBody>
      <dsp:txXfrm>
        <a:off x="4197143" y="2977610"/>
        <a:ext cx="790529" cy="241014"/>
      </dsp:txXfrm>
    </dsp:sp>
    <dsp:sp modelId="{458AF167-E139-4F11-832C-996BCA12094C}">
      <dsp:nvSpPr>
        <dsp:cNvPr id="0" name=""/>
        <dsp:cNvSpPr/>
      </dsp:nvSpPr>
      <dsp:spPr>
        <a:xfrm>
          <a:off x="3248508" y="3278879"/>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Liabilities</a:t>
          </a:r>
          <a:endParaRPr lang="ru-RU" sz="600" kern="1200"/>
        </a:p>
      </dsp:txBody>
      <dsp:txXfrm>
        <a:off x="3248508" y="3278879"/>
        <a:ext cx="790529" cy="241014"/>
      </dsp:txXfrm>
    </dsp:sp>
    <dsp:sp modelId="{A68E05CC-4EBA-4088-ABD8-B876E17E1325}">
      <dsp:nvSpPr>
        <dsp:cNvPr id="0" name=""/>
        <dsp:cNvSpPr/>
      </dsp:nvSpPr>
      <dsp:spPr>
        <a:xfrm>
          <a:off x="4197143" y="3278879"/>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Debt schedule assuptions</a:t>
          </a:r>
          <a:endParaRPr lang="ru-RU" sz="600" kern="1200"/>
        </a:p>
      </dsp:txBody>
      <dsp:txXfrm>
        <a:off x="4197143" y="3278879"/>
        <a:ext cx="790529" cy="241014"/>
      </dsp:txXfrm>
    </dsp:sp>
    <dsp:sp modelId="{4F73B465-9A93-4465-9619-B46658496742}">
      <dsp:nvSpPr>
        <dsp:cNvPr id="0" name=""/>
        <dsp:cNvSpPr/>
      </dsp:nvSpPr>
      <dsp:spPr>
        <a:xfrm>
          <a:off x="2299873" y="3580148"/>
          <a:ext cx="790529" cy="24101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Cash and cash eq</a:t>
          </a:r>
          <a:endParaRPr lang="ru-RU" sz="600" kern="1200"/>
        </a:p>
      </dsp:txBody>
      <dsp:txXfrm>
        <a:off x="2299873" y="3580148"/>
        <a:ext cx="790529" cy="241014"/>
      </dsp:txXfrm>
    </dsp:sp>
    <dsp:sp modelId="{5D4FF3BE-8618-4A36-99B3-2A93DD000CC4}">
      <dsp:nvSpPr>
        <dsp:cNvPr id="0" name=""/>
        <dsp:cNvSpPr/>
      </dsp:nvSpPr>
      <dsp:spPr>
        <a:xfrm>
          <a:off x="3248508" y="3580148"/>
          <a:ext cx="790529" cy="241014"/>
        </a:xfrm>
        <a:prstGeom prst="rect">
          <a:avLst/>
        </a:prstGeom>
        <a:solidFill>
          <a:schemeClr val="accent1">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Based on CF statement</a:t>
          </a:r>
        </a:p>
        <a:p>
          <a:pPr lvl="0" algn="ctr" defTabSz="266700">
            <a:lnSpc>
              <a:spcPct val="90000"/>
            </a:lnSpc>
            <a:spcBef>
              <a:spcPct val="0"/>
            </a:spcBef>
            <a:spcAft>
              <a:spcPct val="35000"/>
            </a:spcAft>
          </a:pPr>
          <a:r>
            <a:rPr lang="en-US" sz="600" kern="1200"/>
            <a:t>assumptions </a:t>
          </a:r>
          <a:endParaRPr lang="ru-RU" sz="600" kern="1200"/>
        </a:p>
      </dsp:txBody>
      <dsp:txXfrm>
        <a:off x="3248508" y="3580148"/>
        <a:ext cx="790529" cy="24101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0.25636</cdr:x>
      <cdr:y>0.83331</cdr:y>
    </cdr:from>
    <cdr:to>
      <cdr:x>0.80611</cdr:x>
      <cdr:y>0.96547</cdr:y>
    </cdr:to>
    <cdr:sp macro="" textlink="">
      <cdr:nvSpPr>
        <cdr:cNvPr id="2" name="Надпись 1"/>
        <cdr:cNvSpPr txBox="1"/>
      </cdr:nvSpPr>
      <cdr:spPr>
        <a:xfrm xmlns:a="http://schemas.openxmlformats.org/drawingml/2006/main">
          <a:off x="715618" y="1804945"/>
          <a:ext cx="1534602" cy="28624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a:t>Net Income, m euros </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C0775-F12A-4878-B393-A5DA209A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102</Pages>
  <Words>28551</Words>
  <Characters>162743</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Monika</cp:lastModifiedBy>
  <cp:revision>36</cp:revision>
  <cp:lastPrinted>2017-05-20T17:05:00Z</cp:lastPrinted>
  <dcterms:created xsi:type="dcterms:W3CDTF">2017-05-20T17:03:00Z</dcterms:created>
  <dcterms:modified xsi:type="dcterms:W3CDTF">2017-05-20T17:06:00Z</dcterms:modified>
</cp:coreProperties>
</file>