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r w:rsidRPr="00FF0C30">
        <w:rPr>
          <w:rFonts w:ascii="TimesNewRomanPSMT" w:hAnsi="TimesNewRomanPSMT" w:cs="TimesNewRomanPSMT"/>
          <w:szCs w:val="24"/>
          <w:lang w:val="en-US"/>
        </w:rPr>
        <w:t>St. Petersburg State University</w:t>
      </w: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r w:rsidRPr="00FF0C30">
        <w:rPr>
          <w:rFonts w:ascii="TimesNewRomanPSMT" w:hAnsi="TimesNewRomanPSMT" w:cs="TimesNewRomanPSMT"/>
          <w:szCs w:val="24"/>
          <w:lang w:val="en-US"/>
        </w:rPr>
        <w:t>Graduate School of Management</w:t>
      </w: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r w:rsidRPr="00FF0C30">
        <w:rPr>
          <w:rFonts w:ascii="TimesNewRomanPSMT" w:hAnsi="TimesNewRomanPSMT" w:cs="TimesNewRomanPSMT"/>
          <w:szCs w:val="24"/>
          <w:lang w:val="en-US"/>
        </w:rPr>
        <w:t>Master in Corporate Finance Program</w:t>
      </w: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p>
    <w:p w:rsidR="00653F14" w:rsidRPr="00FF0C30" w:rsidRDefault="00653F14" w:rsidP="0091523E">
      <w:pPr>
        <w:autoSpaceDE w:val="0"/>
        <w:autoSpaceDN w:val="0"/>
        <w:adjustRightInd w:val="0"/>
        <w:spacing w:line="240" w:lineRule="auto"/>
        <w:jc w:val="center"/>
        <w:rPr>
          <w:rFonts w:ascii="TimesNewRomanPSMT" w:hAnsi="TimesNewRomanPSMT" w:cs="TimesNewRomanPSMT"/>
          <w:szCs w:val="24"/>
          <w:lang w:val="en-US"/>
        </w:rPr>
      </w:pPr>
    </w:p>
    <w:p w:rsidR="00653F14" w:rsidRPr="00FF0C30" w:rsidRDefault="00653F14" w:rsidP="0091523E">
      <w:pPr>
        <w:autoSpaceDE w:val="0"/>
        <w:autoSpaceDN w:val="0"/>
        <w:adjustRightInd w:val="0"/>
        <w:spacing w:line="240" w:lineRule="auto"/>
        <w:jc w:val="center"/>
        <w:rPr>
          <w:rFonts w:ascii="TimesNewRomanPSMT" w:hAnsi="TimesNewRomanPSMT" w:cs="TimesNewRomanPSMT"/>
          <w:szCs w:val="24"/>
          <w:lang w:val="en-US"/>
        </w:rPr>
      </w:pP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p>
    <w:p w:rsidR="00653F14" w:rsidRPr="00FF0C30" w:rsidRDefault="00653F14" w:rsidP="0091523E">
      <w:pPr>
        <w:autoSpaceDE w:val="0"/>
        <w:autoSpaceDN w:val="0"/>
        <w:adjustRightInd w:val="0"/>
        <w:spacing w:line="240" w:lineRule="auto"/>
        <w:jc w:val="center"/>
        <w:rPr>
          <w:rFonts w:ascii="TimesNewRomanPSMT" w:hAnsi="TimesNewRomanPSMT" w:cs="TimesNewRomanPSMT"/>
          <w:szCs w:val="24"/>
          <w:lang w:val="en-US"/>
        </w:rPr>
      </w:pPr>
    </w:p>
    <w:p w:rsidR="00653F14" w:rsidRPr="00FF0C30" w:rsidRDefault="00653F14" w:rsidP="0091523E">
      <w:pPr>
        <w:autoSpaceDE w:val="0"/>
        <w:autoSpaceDN w:val="0"/>
        <w:adjustRightInd w:val="0"/>
        <w:spacing w:line="240" w:lineRule="auto"/>
        <w:jc w:val="center"/>
        <w:rPr>
          <w:rFonts w:ascii="TimesNewRomanPSMT" w:hAnsi="TimesNewRomanPSMT" w:cs="TimesNewRomanPSMT"/>
          <w:szCs w:val="24"/>
          <w:lang w:val="en-US"/>
        </w:rPr>
      </w:pP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p>
    <w:p w:rsidR="00483F7C" w:rsidRDefault="00653F14" w:rsidP="0091523E">
      <w:pPr>
        <w:autoSpaceDE w:val="0"/>
        <w:autoSpaceDN w:val="0"/>
        <w:adjustRightInd w:val="0"/>
        <w:spacing w:line="240" w:lineRule="auto"/>
        <w:contextualSpacing/>
        <w:jc w:val="center"/>
        <w:rPr>
          <w:rFonts w:ascii="TimesNewRomanPSMT" w:hAnsi="TimesNewRomanPSMT" w:cs="TimesNewRomanPSMT"/>
          <w:b/>
          <w:sz w:val="28"/>
          <w:szCs w:val="24"/>
          <w:lang w:val="en-US"/>
        </w:rPr>
      </w:pPr>
      <w:r w:rsidRPr="00FF0C30">
        <w:rPr>
          <w:rFonts w:ascii="TimesNewRomanPSMT" w:hAnsi="TimesNewRomanPSMT" w:cs="TimesNewRomanPSMT"/>
          <w:b/>
          <w:sz w:val="28"/>
          <w:szCs w:val="24"/>
          <w:lang w:val="en-US"/>
        </w:rPr>
        <w:t xml:space="preserve">REAL OPTIONS THEORY APPLIED TO OIL AND GAS </w:t>
      </w:r>
    </w:p>
    <w:p w:rsidR="003F6083" w:rsidRPr="00FF0C30" w:rsidRDefault="00653F14" w:rsidP="0091523E">
      <w:pPr>
        <w:autoSpaceDE w:val="0"/>
        <w:autoSpaceDN w:val="0"/>
        <w:adjustRightInd w:val="0"/>
        <w:spacing w:line="240" w:lineRule="auto"/>
        <w:contextualSpacing/>
        <w:jc w:val="center"/>
        <w:rPr>
          <w:rFonts w:ascii="TimesNewRomanPSMT" w:hAnsi="TimesNewRomanPSMT" w:cs="TimesNewRomanPSMT"/>
          <w:sz w:val="28"/>
          <w:szCs w:val="24"/>
          <w:lang w:val="en-US"/>
        </w:rPr>
      </w:pPr>
      <w:r w:rsidRPr="00FF0C30">
        <w:rPr>
          <w:rFonts w:ascii="TimesNewRomanPSMT" w:hAnsi="TimesNewRomanPSMT" w:cs="TimesNewRomanPSMT"/>
          <w:b/>
          <w:sz w:val="28"/>
          <w:szCs w:val="24"/>
          <w:lang w:val="en-US"/>
        </w:rPr>
        <w:t>INVESTMENT PROJECTS IN RUSSIA</w:t>
      </w:r>
    </w:p>
    <w:p w:rsidR="003F6083" w:rsidRPr="00FF0C30" w:rsidRDefault="003F6083" w:rsidP="0091523E">
      <w:pPr>
        <w:autoSpaceDE w:val="0"/>
        <w:autoSpaceDN w:val="0"/>
        <w:adjustRightInd w:val="0"/>
        <w:spacing w:line="240" w:lineRule="auto"/>
        <w:jc w:val="right"/>
        <w:rPr>
          <w:rFonts w:ascii="TimesNewRomanPSMT" w:hAnsi="TimesNewRomanPSMT" w:cs="TimesNewRomanPSMT"/>
          <w:szCs w:val="24"/>
          <w:lang w:val="en-US"/>
        </w:rPr>
      </w:pPr>
    </w:p>
    <w:p w:rsidR="003F6083" w:rsidRPr="00FF0C30" w:rsidRDefault="003F6083" w:rsidP="0091523E">
      <w:pPr>
        <w:autoSpaceDE w:val="0"/>
        <w:autoSpaceDN w:val="0"/>
        <w:adjustRightInd w:val="0"/>
        <w:spacing w:line="240" w:lineRule="auto"/>
        <w:jc w:val="right"/>
        <w:rPr>
          <w:rFonts w:ascii="TimesNewRomanPSMT" w:hAnsi="TimesNewRomanPSMT" w:cs="TimesNewRomanPSMT"/>
          <w:szCs w:val="24"/>
          <w:lang w:val="en-US"/>
        </w:rPr>
      </w:pPr>
    </w:p>
    <w:p w:rsidR="003F6083" w:rsidRPr="00FF0C30" w:rsidRDefault="003F6083" w:rsidP="0091523E">
      <w:pPr>
        <w:autoSpaceDE w:val="0"/>
        <w:autoSpaceDN w:val="0"/>
        <w:adjustRightInd w:val="0"/>
        <w:spacing w:line="240" w:lineRule="auto"/>
        <w:jc w:val="right"/>
        <w:rPr>
          <w:rFonts w:ascii="TimesNewRomanPSMT" w:hAnsi="TimesNewRomanPSMT" w:cs="TimesNewRomanPSMT"/>
          <w:szCs w:val="24"/>
          <w:lang w:val="en-US"/>
        </w:rPr>
      </w:pPr>
    </w:p>
    <w:p w:rsidR="003F6083" w:rsidRPr="00FF0C30" w:rsidRDefault="003F6083" w:rsidP="0091523E">
      <w:pPr>
        <w:autoSpaceDE w:val="0"/>
        <w:autoSpaceDN w:val="0"/>
        <w:adjustRightInd w:val="0"/>
        <w:spacing w:line="240" w:lineRule="auto"/>
        <w:contextualSpacing/>
        <w:jc w:val="right"/>
        <w:rPr>
          <w:rFonts w:ascii="TimesNewRomanPSMT" w:hAnsi="TimesNewRomanPSMT" w:cs="TimesNewRomanPSMT"/>
          <w:szCs w:val="24"/>
          <w:lang w:val="en-US"/>
        </w:rPr>
      </w:pPr>
    </w:p>
    <w:p w:rsidR="00653F14" w:rsidRPr="00FF0C30" w:rsidRDefault="00653F14" w:rsidP="0091523E">
      <w:pPr>
        <w:autoSpaceDE w:val="0"/>
        <w:autoSpaceDN w:val="0"/>
        <w:adjustRightInd w:val="0"/>
        <w:ind w:firstLine="4253"/>
        <w:contextualSpacing/>
        <w:rPr>
          <w:rFonts w:ascii="TimesNewRomanPSMT" w:hAnsi="TimesNewRomanPSMT" w:cs="TimesNewRomanPSMT"/>
          <w:szCs w:val="24"/>
          <w:lang w:val="en-US"/>
        </w:rPr>
      </w:pPr>
      <w:r w:rsidRPr="00FF0C30">
        <w:rPr>
          <w:rFonts w:ascii="TimesNewRomanPSMT" w:hAnsi="TimesNewRomanPSMT" w:cs="TimesNewRomanPSMT"/>
          <w:szCs w:val="24"/>
          <w:lang w:val="en-US"/>
        </w:rPr>
        <w:t>Master’s Thesis by the 2</w:t>
      </w:r>
      <w:r w:rsidRPr="00FF0C30">
        <w:rPr>
          <w:rFonts w:ascii="TimesNewRomanPSMT" w:hAnsi="TimesNewRomanPSMT" w:cs="TimesNewRomanPSMT"/>
          <w:szCs w:val="24"/>
          <w:vertAlign w:val="superscript"/>
          <w:lang w:val="en-US"/>
        </w:rPr>
        <w:t>nd</w:t>
      </w:r>
      <w:r w:rsidRPr="00FF0C30">
        <w:rPr>
          <w:rFonts w:ascii="TimesNewRomanPSMT" w:hAnsi="TimesNewRomanPSMT" w:cs="TimesNewRomanPSMT"/>
          <w:szCs w:val="24"/>
          <w:lang w:val="en-US"/>
        </w:rPr>
        <w:t xml:space="preserve"> year student</w:t>
      </w:r>
    </w:p>
    <w:p w:rsidR="00653F14" w:rsidRPr="00FF0C30" w:rsidRDefault="00653F14" w:rsidP="0091523E">
      <w:pPr>
        <w:autoSpaceDE w:val="0"/>
        <w:autoSpaceDN w:val="0"/>
        <w:adjustRightInd w:val="0"/>
        <w:ind w:firstLine="4253"/>
        <w:contextualSpacing/>
        <w:rPr>
          <w:rFonts w:ascii="TimesNewRomanPSMT" w:hAnsi="TimesNewRomanPSMT" w:cs="TimesNewRomanPSMT"/>
          <w:szCs w:val="24"/>
          <w:lang w:val="en-US"/>
        </w:rPr>
      </w:pPr>
      <w:r w:rsidRPr="00FF0C30">
        <w:rPr>
          <w:rFonts w:ascii="TimesNewRomanPSMT" w:hAnsi="TimesNewRomanPSMT" w:cs="TimesNewRomanPSMT"/>
          <w:szCs w:val="24"/>
          <w:lang w:val="en-US"/>
        </w:rPr>
        <w:t>Concentration – Master in Corporate Finance</w:t>
      </w:r>
      <w:r w:rsidR="003C0926">
        <w:rPr>
          <w:rFonts w:ascii="TimesNewRomanPSMT" w:hAnsi="TimesNewRomanPSMT" w:cs="TimesNewRomanPSMT"/>
          <w:szCs w:val="24"/>
          <w:lang w:val="en-US"/>
        </w:rPr>
        <w:tab/>
      </w:r>
    </w:p>
    <w:p w:rsidR="00653F14" w:rsidRPr="00FF0C30" w:rsidRDefault="00653F14" w:rsidP="0091523E">
      <w:pPr>
        <w:autoSpaceDE w:val="0"/>
        <w:autoSpaceDN w:val="0"/>
        <w:adjustRightInd w:val="0"/>
        <w:ind w:firstLine="4253"/>
        <w:contextualSpacing/>
        <w:jc w:val="left"/>
        <w:rPr>
          <w:rFonts w:ascii="TimesNewRomanPSMT" w:hAnsi="TimesNewRomanPSMT" w:cs="TimesNewRomanPSMT"/>
          <w:i/>
          <w:szCs w:val="24"/>
          <w:lang w:val="en-US"/>
        </w:rPr>
      </w:pPr>
      <w:r w:rsidRPr="00FF0C30">
        <w:rPr>
          <w:rFonts w:ascii="TimesNewRomanPSMT" w:hAnsi="TimesNewRomanPSMT" w:cs="TimesNewRomanPSMT"/>
          <w:i/>
          <w:szCs w:val="24"/>
          <w:lang w:val="en-US"/>
        </w:rPr>
        <w:t>Zimin Ilia</w:t>
      </w:r>
      <w:r w:rsidR="00662E04">
        <w:rPr>
          <w:rFonts w:ascii="TimesNewRomanPSMT" w:hAnsi="TimesNewRomanPSMT" w:cs="TimesNewRomanPSMT"/>
          <w:i/>
          <w:szCs w:val="24"/>
          <w:lang w:val="en-US"/>
        </w:rPr>
        <w:tab/>
      </w:r>
    </w:p>
    <w:p w:rsidR="00653F14" w:rsidRPr="00FF0C30" w:rsidRDefault="00653F14" w:rsidP="0091523E">
      <w:pPr>
        <w:autoSpaceDE w:val="0"/>
        <w:autoSpaceDN w:val="0"/>
        <w:adjustRightInd w:val="0"/>
        <w:ind w:firstLine="4253"/>
        <w:contextualSpacing/>
        <w:rPr>
          <w:rFonts w:ascii="TimesNewRomanPSMT" w:hAnsi="TimesNewRomanPSMT" w:cs="TimesNewRomanPSMT"/>
          <w:szCs w:val="24"/>
          <w:lang w:val="en-US"/>
        </w:rPr>
      </w:pPr>
    </w:p>
    <w:p w:rsidR="00653F14" w:rsidRPr="00FF0C30" w:rsidRDefault="00653F14" w:rsidP="0091523E">
      <w:pPr>
        <w:autoSpaceDE w:val="0"/>
        <w:autoSpaceDN w:val="0"/>
        <w:adjustRightInd w:val="0"/>
        <w:ind w:firstLine="4253"/>
        <w:contextualSpacing/>
        <w:rPr>
          <w:rFonts w:ascii="TimesNewRomanPSMT" w:hAnsi="TimesNewRomanPSMT" w:cs="TimesNewRomanPSMT"/>
          <w:szCs w:val="24"/>
          <w:lang w:val="en-US"/>
        </w:rPr>
      </w:pPr>
      <w:r w:rsidRPr="00FF0C30">
        <w:rPr>
          <w:rFonts w:ascii="TimesNewRomanPSMT" w:hAnsi="TimesNewRomanPSMT" w:cs="TimesNewRomanPSMT"/>
          <w:szCs w:val="24"/>
          <w:lang w:val="en-US"/>
        </w:rPr>
        <w:t>Research advisor:</w:t>
      </w:r>
    </w:p>
    <w:p w:rsidR="00483F7C" w:rsidRDefault="003C0926" w:rsidP="0091523E">
      <w:pPr>
        <w:autoSpaceDE w:val="0"/>
        <w:autoSpaceDN w:val="0"/>
        <w:adjustRightInd w:val="0"/>
        <w:spacing w:line="240" w:lineRule="auto"/>
        <w:ind w:firstLine="4253"/>
        <w:contextualSpacing/>
        <w:jc w:val="left"/>
        <w:rPr>
          <w:rFonts w:ascii="TimesNewRomanPSMT" w:hAnsi="TimesNewRomanPSMT" w:cs="TimesNewRomanPSMT"/>
          <w:i/>
          <w:szCs w:val="24"/>
          <w:lang w:val="en-US"/>
        </w:rPr>
      </w:pPr>
      <w:r w:rsidRPr="00662E04">
        <w:rPr>
          <w:rFonts w:ascii="TimesNewRomanPSMT" w:hAnsi="TimesNewRomanPSMT" w:cs="TimesNewRomanPSMT"/>
          <w:i/>
          <w:szCs w:val="24"/>
          <w:lang w:val="en-US"/>
        </w:rPr>
        <w:t xml:space="preserve">Associate Professor </w:t>
      </w:r>
    </w:p>
    <w:p w:rsidR="00662E04" w:rsidRPr="00662E04" w:rsidRDefault="00662E04" w:rsidP="0091523E">
      <w:pPr>
        <w:autoSpaceDE w:val="0"/>
        <w:autoSpaceDN w:val="0"/>
        <w:adjustRightInd w:val="0"/>
        <w:spacing w:line="240" w:lineRule="auto"/>
        <w:ind w:firstLine="4253"/>
        <w:contextualSpacing/>
        <w:jc w:val="left"/>
        <w:rPr>
          <w:rFonts w:ascii="TimesNewRomanPSMT" w:hAnsi="TimesNewRomanPSMT" w:cs="TimesNewRomanPSMT"/>
          <w:i/>
          <w:szCs w:val="24"/>
          <w:lang w:val="en-US"/>
        </w:rPr>
      </w:pPr>
      <w:r w:rsidRPr="00662E04">
        <w:rPr>
          <w:rFonts w:ascii="TimesNewRomanPSMT" w:hAnsi="TimesNewRomanPSMT" w:cs="TimesNewRomanPSMT"/>
          <w:i/>
          <w:szCs w:val="24"/>
          <w:lang w:val="en-US"/>
        </w:rPr>
        <w:t>Anna E. Loukianova</w:t>
      </w:r>
      <w:r>
        <w:rPr>
          <w:rFonts w:ascii="TimesNewRomanPSMT" w:hAnsi="TimesNewRomanPSMT" w:cs="TimesNewRomanPSMT"/>
          <w:i/>
          <w:szCs w:val="24"/>
          <w:lang w:val="en-US"/>
        </w:rPr>
        <w:tab/>
      </w:r>
      <w:r>
        <w:rPr>
          <w:rFonts w:ascii="TimesNewRomanPSMT" w:hAnsi="TimesNewRomanPSMT" w:cs="TimesNewRomanPSMT"/>
          <w:i/>
          <w:szCs w:val="24"/>
          <w:lang w:val="en-US"/>
        </w:rPr>
        <w:tab/>
      </w:r>
    </w:p>
    <w:p w:rsidR="003F6083" w:rsidRPr="00FF0C30" w:rsidRDefault="003C0926" w:rsidP="0091523E">
      <w:pPr>
        <w:autoSpaceDE w:val="0"/>
        <w:autoSpaceDN w:val="0"/>
        <w:adjustRightInd w:val="0"/>
        <w:spacing w:line="240" w:lineRule="auto"/>
        <w:jc w:val="right"/>
        <w:rPr>
          <w:rFonts w:ascii="TimesNewRomanPSMT" w:hAnsi="TimesNewRomanPSMT" w:cs="TimesNewRomanPSMT"/>
          <w:szCs w:val="24"/>
          <w:lang w:val="en-US"/>
        </w:rPr>
      </w:pPr>
      <w:r>
        <w:rPr>
          <w:rFonts w:ascii="TimesNewRomanPSMT" w:hAnsi="TimesNewRomanPSMT" w:cs="TimesNewRomanPSMT"/>
          <w:i/>
          <w:szCs w:val="24"/>
          <w:lang w:val="en-US"/>
        </w:rPr>
        <w:tab/>
      </w:r>
    </w:p>
    <w:p w:rsidR="003F6083" w:rsidRDefault="003F6083" w:rsidP="0091523E">
      <w:pPr>
        <w:autoSpaceDE w:val="0"/>
        <w:autoSpaceDN w:val="0"/>
        <w:adjustRightInd w:val="0"/>
        <w:spacing w:line="240" w:lineRule="auto"/>
        <w:jc w:val="center"/>
        <w:rPr>
          <w:rFonts w:ascii="TimesNewRomanPSMT" w:hAnsi="TimesNewRomanPSMT" w:cs="TimesNewRomanPSMT"/>
          <w:szCs w:val="24"/>
          <w:lang w:val="en-US"/>
        </w:rPr>
      </w:pPr>
    </w:p>
    <w:p w:rsidR="00483F7C" w:rsidRDefault="00483F7C" w:rsidP="0091523E">
      <w:pPr>
        <w:autoSpaceDE w:val="0"/>
        <w:autoSpaceDN w:val="0"/>
        <w:adjustRightInd w:val="0"/>
        <w:spacing w:line="240" w:lineRule="auto"/>
        <w:jc w:val="center"/>
        <w:rPr>
          <w:rFonts w:ascii="TimesNewRomanPSMT" w:hAnsi="TimesNewRomanPSMT" w:cs="TimesNewRomanPSMT"/>
          <w:szCs w:val="24"/>
          <w:lang w:val="en-US"/>
        </w:rPr>
      </w:pPr>
    </w:p>
    <w:p w:rsidR="00483F7C" w:rsidRDefault="00483F7C" w:rsidP="0091523E">
      <w:pPr>
        <w:autoSpaceDE w:val="0"/>
        <w:autoSpaceDN w:val="0"/>
        <w:adjustRightInd w:val="0"/>
        <w:spacing w:line="240" w:lineRule="auto"/>
        <w:jc w:val="center"/>
        <w:rPr>
          <w:rFonts w:ascii="TimesNewRomanPSMT" w:hAnsi="TimesNewRomanPSMT" w:cs="TimesNewRomanPSMT"/>
          <w:szCs w:val="24"/>
          <w:lang w:val="en-US"/>
        </w:rPr>
      </w:pPr>
    </w:p>
    <w:p w:rsidR="00483F7C" w:rsidRDefault="00483F7C" w:rsidP="0091523E">
      <w:pPr>
        <w:autoSpaceDE w:val="0"/>
        <w:autoSpaceDN w:val="0"/>
        <w:adjustRightInd w:val="0"/>
        <w:spacing w:line="240" w:lineRule="auto"/>
        <w:jc w:val="center"/>
        <w:rPr>
          <w:rFonts w:ascii="TimesNewRomanPSMT" w:hAnsi="TimesNewRomanPSMT" w:cs="TimesNewRomanPSMT"/>
          <w:szCs w:val="24"/>
          <w:lang w:val="en-US"/>
        </w:rPr>
      </w:pPr>
    </w:p>
    <w:p w:rsidR="00483F7C" w:rsidRPr="00FF0C30" w:rsidRDefault="00483F7C" w:rsidP="0091523E">
      <w:pPr>
        <w:autoSpaceDE w:val="0"/>
        <w:autoSpaceDN w:val="0"/>
        <w:adjustRightInd w:val="0"/>
        <w:spacing w:line="240" w:lineRule="auto"/>
        <w:jc w:val="center"/>
        <w:rPr>
          <w:rFonts w:ascii="TimesNewRomanPSMT" w:hAnsi="TimesNewRomanPSMT" w:cs="TimesNewRomanPSMT"/>
          <w:szCs w:val="24"/>
          <w:lang w:val="en-US"/>
        </w:rPr>
      </w:pP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r w:rsidRPr="00FF0C30">
        <w:rPr>
          <w:rFonts w:ascii="TimesNewRomanPSMT" w:hAnsi="TimesNewRomanPSMT" w:cs="TimesNewRomanPSMT"/>
          <w:szCs w:val="24"/>
          <w:lang w:val="en-US"/>
        </w:rPr>
        <w:t>St. Petersburg</w:t>
      </w:r>
    </w:p>
    <w:p w:rsidR="003F6083" w:rsidRPr="00FF0C30" w:rsidRDefault="003F6083" w:rsidP="0091523E">
      <w:pPr>
        <w:autoSpaceDE w:val="0"/>
        <w:autoSpaceDN w:val="0"/>
        <w:adjustRightInd w:val="0"/>
        <w:spacing w:line="240" w:lineRule="auto"/>
        <w:jc w:val="center"/>
        <w:rPr>
          <w:rFonts w:ascii="TimesNewRomanPSMT" w:hAnsi="TimesNewRomanPSMT" w:cs="TimesNewRomanPSMT"/>
          <w:szCs w:val="24"/>
          <w:lang w:val="en-US"/>
        </w:rPr>
      </w:pPr>
      <w:r w:rsidRPr="00FF0C30">
        <w:rPr>
          <w:rFonts w:ascii="TimesNewRomanPSMT" w:hAnsi="TimesNewRomanPSMT" w:cs="TimesNewRomanPSMT"/>
          <w:szCs w:val="24"/>
          <w:lang w:val="en-US"/>
        </w:rPr>
        <w:t>2017</w:t>
      </w:r>
    </w:p>
    <w:p w:rsidR="00662E04" w:rsidRPr="00FF0C30" w:rsidRDefault="00662E04" w:rsidP="0091523E">
      <w:pPr>
        <w:autoSpaceDE w:val="0"/>
        <w:autoSpaceDN w:val="0"/>
        <w:adjustRightInd w:val="0"/>
        <w:rPr>
          <w:rFonts w:ascii="TimesNewRomanPSMT" w:hAnsi="TimesNewRomanPSMT" w:cs="TimesNewRomanPSMT"/>
          <w:sz w:val="28"/>
          <w:szCs w:val="28"/>
          <w:lang w:val="en-US"/>
        </w:rPr>
      </w:pPr>
    </w:p>
    <w:p w:rsidR="000E69A9" w:rsidRPr="0042140A" w:rsidRDefault="000E69A9" w:rsidP="000E69A9">
      <w:pPr>
        <w:pStyle w:val="af7"/>
        <w:tabs>
          <w:tab w:val="left" w:pos="720"/>
        </w:tabs>
        <w:spacing w:after="0" w:line="360" w:lineRule="auto"/>
        <w:ind w:left="284"/>
        <w:jc w:val="center"/>
        <w:rPr>
          <w:rFonts w:ascii="Times New Roman" w:hAnsi="Times New Roman"/>
          <w:sz w:val="24"/>
          <w:szCs w:val="24"/>
          <w:lang w:val="ru-RU"/>
        </w:rPr>
      </w:pPr>
      <w:bookmarkStart w:id="0" w:name="_Toc482660713"/>
      <w:bookmarkStart w:id="1" w:name="_Toc482661004"/>
      <w:bookmarkStart w:id="2" w:name="_Toc483792353"/>
      <w:bookmarkStart w:id="3" w:name="_Toc483792460"/>
      <w:bookmarkStart w:id="4" w:name="_Toc483793407"/>
      <w:bookmarkStart w:id="5" w:name="_Toc483793489"/>
      <w:r w:rsidRPr="0042140A">
        <w:rPr>
          <w:rFonts w:ascii="Times New Roman" w:hAnsi="Times New Roman"/>
          <w:sz w:val="24"/>
          <w:szCs w:val="24"/>
          <w:lang w:val="ru-RU"/>
        </w:rPr>
        <w:lastRenderedPageBreak/>
        <w:t>ЗАЯВЛЕНИЕ О САМОСТОЯТЕЛЬНОМ ХАРАКТЕРЕ ВЫПОЛНЕНИЯ</w:t>
      </w:r>
    </w:p>
    <w:p w:rsidR="000E69A9" w:rsidRPr="0042140A" w:rsidRDefault="000E69A9" w:rsidP="000E69A9">
      <w:pPr>
        <w:pStyle w:val="af7"/>
        <w:tabs>
          <w:tab w:val="left" w:pos="720"/>
        </w:tabs>
        <w:spacing w:after="0" w:line="360" w:lineRule="auto"/>
        <w:ind w:left="284"/>
        <w:jc w:val="center"/>
        <w:rPr>
          <w:rFonts w:ascii="Times New Roman" w:hAnsi="Times New Roman"/>
          <w:sz w:val="24"/>
          <w:szCs w:val="24"/>
          <w:lang w:val="ru-RU"/>
        </w:rPr>
      </w:pPr>
      <w:r w:rsidRPr="0042140A">
        <w:rPr>
          <w:rFonts w:ascii="Times New Roman" w:hAnsi="Times New Roman"/>
          <w:sz w:val="24"/>
          <w:szCs w:val="24"/>
          <w:lang w:val="ru-RU"/>
        </w:rPr>
        <w:t>ВЫПУСКНОЙ КВАЛИФИКАЦИОННОЙ РАБОТЫ</w:t>
      </w:r>
    </w:p>
    <w:p w:rsidR="000E69A9" w:rsidRPr="0042140A" w:rsidRDefault="000E69A9" w:rsidP="0091523E">
      <w:pPr>
        <w:spacing w:before="120" w:after="120"/>
      </w:pPr>
      <w:r w:rsidRPr="0042140A">
        <w:t xml:space="preserve">Я, </w:t>
      </w:r>
      <w:r>
        <w:t>Зимин Илья Валентинович</w:t>
      </w:r>
      <w:r w:rsidRPr="0042140A">
        <w:t>, студент второго курса магистратуры направления «Менеджмент», заявляю, что в моей магистерской диссертации на тему «</w:t>
      </w:r>
      <w:r w:rsidR="0091523E" w:rsidRPr="00441E48">
        <w:t>Метод реальных опционов в оценке и анализе инвестиционных проекто</w:t>
      </w:r>
      <w:r w:rsidR="0091523E">
        <w:t>в нефтегазовой отрасли в России</w:t>
      </w:r>
      <w:r w:rsidRPr="0042140A">
        <w:t xml:space="preserve">», представленной в службу обеспечения программ магистратуры для последующей передачи в государственную аттестационную комиссию для публичной защиты, не содержится элементов плагиата. </w:t>
      </w:r>
    </w:p>
    <w:p w:rsidR="000E69A9" w:rsidRPr="0042140A" w:rsidRDefault="000E69A9" w:rsidP="000E69A9">
      <w:pPr>
        <w:ind w:firstLine="360"/>
      </w:pPr>
      <w:r w:rsidRPr="0042140A">
        <w:t>Все прямые заимствования из печатных и электронных источников, а также из защищенных ранее выпускных квалификационных работ, кандидатских и докторских диссертаций имеют соответствующие ссылки.</w:t>
      </w:r>
    </w:p>
    <w:p w:rsidR="000E69A9" w:rsidRPr="00F740FC" w:rsidRDefault="000E69A9" w:rsidP="000E69A9">
      <w:pPr>
        <w:ind w:firstLine="360"/>
      </w:pPr>
      <w:r w:rsidRPr="00F740FC">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rsidR="000E69A9" w:rsidRPr="0042140A" w:rsidRDefault="000E69A9" w:rsidP="000E69A9">
      <w:pPr>
        <w:pStyle w:val="af7"/>
        <w:tabs>
          <w:tab w:val="left" w:pos="720"/>
        </w:tabs>
        <w:spacing w:before="120" w:line="360" w:lineRule="auto"/>
        <w:jc w:val="both"/>
        <w:rPr>
          <w:rFonts w:ascii="Times New Roman" w:hAnsi="Times New Roman"/>
          <w:sz w:val="24"/>
          <w:szCs w:val="24"/>
          <w:lang w:val="en-US"/>
        </w:rPr>
      </w:pPr>
      <w:r w:rsidRPr="0042140A">
        <w:rPr>
          <w:rFonts w:ascii="Times New Roman" w:hAnsi="Times New Roman"/>
          <w:sz w:val="24"/>
          <w:szCs w:val="24"/>
          <w:lang w:val="en-US"/>
        </w:rPr>
        <w:t>_______________________________________________ (Подпись студента)</w:t>
      </w:r>
    </w:p>
    <w:p w:rsidR="000E69A9" w:rsidRPr="0042140A" w:rsidRDefault="000E69A9" w:rsidP="000E69A9">
      <w:pPr>
        <w:pStyle w:val="af7"/>
        <w:tabs>
          <w:tab w:val="left" w:pos="720"/>
        </w:tabs>
        <w:spacing w:before="120" w:line="360" w:lineRule="auto"/>
        <w:jc w:val="both"/>
        <w:rPr>
          <w:rFonts w:ascii="Times New Roman" w:hAnsi="Times New Roman"/>
          <w:sz w:val="24"/>
          <w:szCs w:val="24"/>
          <w:lang w:val="en-US"/>
        </w:rPr>
      </w:pPr>
      <w:r w:rsidRPr="0042140A">
        <w:rPr>
          <w:rFonts w:ascii="Times New Roman" w:hAnsi="Times New Roman"/>
          <w:sz w:val="24"/>
          <w:szCs w:val="24"/>
          <w:lang w:val="en-US"/>
        </w:rPr>
        <w:t>_________________________</w:t>
      </w:r>
      <w:r w:rsidRPr="001151ED">
        <w:rPr>
          <w:rFonts w:ascii="Times New Roman" w:hAnsi="Times New Roman"/>
          <w:sz w:val="24"/>
          <w:szCs w:val="24"/>
          <w:lang w:val="en-US"/>
        </w:rPr>
        <w:t>_______</w:t>
      </w:r>
      <w:r w:rsidRPr="0042140A">
        <w:rPr>
          <w:rFonts w:ascii="Times New Roman" w:hAnsi="Times New Roman"/>
          <w:sz w:val="24"/>
          <w:szCs w:val="24"/>
          <w:lang w:val="en-US"/>
        </w:rPr>
        <w:t>_______________ (Дата)</w:t>
      </w:r>
    </w:p>
    <w:p w:rsidR="000E69A9" w:rsidRPr="0044603E" w:rsidRDefault="000E69A9" w:rsidP="000E69A9">
      <w:pPr>
        <w:rPr>
          <w:rFonts w:cs="Times New Roman"/>
          <w:lang w:val="en-US"/>
        </w:rPr>
      </w:pPr>
    </w:p>
    <w:p w:rsidR="000E69A9" w:rsidRPr="0044603E" w:rsidRDefault="000E69A9" w:rsidP="000E69A9">
      <w:pPr>
        <w:rPr>
          <w:rFonts w:cs="Times New Roman"/>
          <w:lang w:val="en-US"/>
        </w:rPr>
      </w:pPr>
    </w:p>
    <w:p w:rsidR="000E69A9" w:rsidRPr="0044603E" w:rsidRDefault="000E69A9" w:rsidP="000E69A9">
      <w:pPr>
        <w:rPr>
          <w:rFonts w:eastAsia="Calibri" w:cs="Times New Roman"/>
          <w:lang w:val="en-US"/>
        </w:rPr>
      </w:pPr>
      <w:r w:rsidRPr="0044603E">
        <w:rPr>
          <w:rFonts w:cs="Times New Roman"/>
          <w:lang w:val="en-US"/>
        </w:rPr>
        <w:br w:type="page"/>
      </w:r>
    </w:p>
    <w:p w:rsidR="000E69A9" w:rsidRPr="0042140A" w:rsidRDefault="000E69A9" w:rsidP="000E69A9">
      <w:pPr>
        <w:pStyle w:val="af7"/>
        <w:tabs>
          <w:tab w:val="left" w:pos="720"/>
        </w:tabs>
        <w:spacing w:after="0" w:line="360" w:lineRule="auto"/>
        <w:ind w:left="284"/>
        <w:jc w:val="center"/>
        <w:rPr>
          <w:rFonts w:ascii="Times New Roman" w:hAnsi="Times New Roman"/>
          <w:sz w:val="24"/>
          <w:szCs w:val="24"/>
          <w:lang w:val="en-US"/>
        </w:rPr>
      </w:pPr>
      <w:r w:rsidRPr="0042140A">
        <w:rPr>
          <w:rFonts w:ascii="Times New Roman" w:hAnsi="Times New Roman"/>
          <w:sz w:val="24"/>
          <w:szCs w:val="24"/>
          <w:lang w:val="en-US"/>
        </w:rPr>
        <w:lastRenderedPageBreak/>
        <w:t>STATEMENT ABOUT THE INDEPENDENT CHARACTER OF</w:t>
      </w:r>
    </w:p>
    <w:p w:rsidR="000E69A9" w:rsidRPr="0042140A" w:rsidRDefault="000E69A9" w:rsidP="000E69A9">
      <w:pPr>
        <w:pStyle w:val="af7"/>
        <w:tabs>
          <w:tab w:val="left" w:pos="720"/>
        </w:tabs>
        <w:spacing w:after="0" w:line="360" w:lineRule="auto"/>
        <w:ind w:left="284"/>
        <w:jc w:val="center"/>
        <w:rPr>
          <w:rFonts w:ascii="Times New Roman" w:hAnsi="Times New Roman"/>
          <w:sz w:val="24"/>
          <w:szCs w:val="24"/>
          <w:lang w:val="en-US"/>
        </w:rPr>
      </w:pPr>
      <w:r w:rsidRPr="0042140A">
        <w:rPr>
          <w:rFonts w:ascii="Times New Roman" w:hAnsi="Times New Roman"/>
          <w:sz w:val="24"/>
          <w:szCs w:val="24"/>
          <w:lang w:val="en-US"/>
        </w:rPr>
        <w:t>THE MASTER THESIS</w:t>
      </w:r>
    </w:p>
    <w:p w:rsidR="000E69A9" w:rsidRPr="0044603E" w:rsidRDefault="000E69A9" w:rsidP="0091523E">
      <w:pPr>
        <w:spacing w:before="120" w:after="120"/>
        <w:rPr>
          <w:lang w:val="en-US"/>
        </w:rPr>
      </w:pPr>
      <w:r w:rsidRPr="0044603E">
        <w:rPr>
          <w:lang w:val="en-US"/>
        </w:rPr>
        <w:t xml:space="preserve">I, </w:t>
      </w:r>
      <w:r w:rsidR="0091523E">
        <w:rPr>
          <w:lang w:val="en-US"/>
        </w:rPr>
        <w:t>Ilia Zimin</w:t>
      </w:r>
      <w:r w:rsidRPr="0044603E">
        <w:rPr>
          <w:lang w:val="en-US"/>
        </w:rPr>
        <w:t>, second year master student, Master in Corporate Finance program «Management», state that</w:t>
      </w:r>
      <w:r w:rsidR="0091523E">
        <w:rPr>
          <w:lang w:val="en-US"/>
        </w:rPr>
        <w:t xml:space="preserve"> my master thesis on the topic “</w:t>
      </w:r>
      <w:r w:rsidR="0091523E" w:rsidRPr="0091523E">
        <w:rPr>
          <w:lang w:val="en-US"/>
        </w:rPr>
        <w:t>Real Options Theory Applied to Oil and Ga</w:t>
      </w:r>
      <w:r w:rsidR="0091523E">
        <w:rPr>
          <w:lang w:val="en-US"/>
        </w:rPr>
        <w:t>s Investment Projects in Russia”</w:t>
      </w:r>
      <w:r w:rsidRPr="0044603E">
        <w:rPr>
          <w:lang w:val="en-US"/>
        </w:rPr>
        <w:t xml:space="preserve">, which is presented to the Master Office to be submitted to the Official Defense Committee for the public defense, does not contain any elements of plagiarism. </w:t>
      </w:r>
    </w:p>
    <w:p w:rsidR="000E69A9" w:rsidRPr="0044603E" w:rsidRDefault="000E69A9" w:rsidP="000E69A9">
      <w:pPr>
        <w:ind w:firstLine="360"/>
        <w:rPr>
          <w:lang w:val="en-US"/>
        </w:rPr>
      </w:pPr>
      <w:r w:rsidRPr="0044603E">
        <w:rPr>
          <w:lang w:val="en-US"/>
        </w:rPr>
        <w:t xml:space="preserve">All direct borrowings from printed and electronic sources, as well as from master theses, PhD and doctorate theses which were defended earlier, have appropriate references. </w:t>
      </w:r>
    </w:p>
    <w:p w:rsidR="000E69A9" w:rsidRPr="0044603E" w:rsidRDefault="000E69A9" w:rsidP="000E69A9">
      <w:pPr>
        <w:ind w:firstLine="360"/>
        <w:rPr>
          <w:lang w:val="en-US"/>
        </w:rPr>
      </w:pPr>
      <w:r w:rsidRPr="0044603E">
        <w:rPr>
          <w:lang w:val="en-US"/>
        </w:rPr>
        <w:t>I am aware that according to paragraph 9.7.1. of  Guidelines for instruction in major curriculum programs of higher and secondary professional education at St.Petersburg University «A master thesis must be completed by each of the degree candidates individually under the supervision of his or her advisor», and according to paragraph 51 of Charter of the Federal State Institution of Higher Professional Education Saint-Petersburg State University «a student can be expelled from St.Petersburg University for submitting of the course or graduation qualification work developed by other person (persons)».</w:t>
      </w:r>
    </w:p>
    <w:p w:rsidR="000E69A9" w:rsidRPr="0042140A" w:rsidRDefault="000E69A9" w:rsidP="000E69A9">
      <w:pPr>
        <w:pStyle w:val="af7"/>
        <w:tabs>
          <w:tab w:val="left" w:pos="720"/>
        </w:tabs>
        <w:spacing w:before="120" w:line="360" w:lineRule="auto"/>
        <w:jc w:val="both"/>
        <w:rPr>
          <w:rFonts w:ascii="Times New Roman" w:hAnsi="Times New Roman"/>
          <w:sz w:val="24"/>
          <w:szCs w:val="24"/>
          <w:lang w:val="en-US"/>
        </w:rPr>
      </w:pPr>
      <w:r w:rsidRPr="0042140A">
        <w:rPr>
          <w:rFonts w:ascii="Times New Roman" w:hAnsi="Times New Roman"/>
          <w:sz w:val="24"/>
          <w:szCs w:val="24"/>
          <w:lang w:val="en-US"/>
        </w:rPr>
        <w:t>________________________________________________ (Student’s signature)</w:t>
      </w:r>
    </w:p>
    <w:p w:rsidR="000E69A9" w:rsidRPr="0042140A" w:rsidRDefault="000E69A9" w:rsidP="000E69A9">
      <w:pPr>
        <w:pStyle w:val="af7"/>
        <w:tabs>
          <w:tab w:val="left" w:pos="720"/>
        </w:tabs>
        <w:spacing w:before="120" w:line="360" w:lineRule="auto"/>
        <w:jc w:val="both"/>
        <w:rPr>
          <w:rFonts w:ascii="Times New Roman" w:hAnsi="Times New Roman"/>
          <w:sz w:val="24"/>
          <w:szCs w:val="24"/>
          <w:lang w:val="en-US"/>
        </w:rPr>
      </w:pPr>
      <w:r w:rsidRPr="0042140A">
        <w:rPr>
          <w:rFonts w:ascii="Times New Roman" w:hAnsi="Times New Roman"/>
          <w:sz w:val="24"/>
          <w:szCs w:val="24"/>
          <w:lang w:val="en-US"/>
        </w:rPr>
        <w:t>__________________________</w:t>
      </w:r>
      <w:r>
        <w:rPr>
          <w:rFonts w:ascii="Times New Roman" w:hAnsi="Times New Roman"/>
          <w:sz w:val="24"/>
          <w:szCs w:val="24"/>
          <w:lang w:val="en-US"/>
        </w:rPr>
        <w:t>_______</w:t>
      </w:r>
      <w:r w:rsidRPr="0042140A">
        <w:rPr>
          <w:rFonts w:ascii="Times New Roman" w:hAnsi="Times New Roman"/>
          <w:sz w:val="24"/>
          <w:szCs w:val="24"/>
          <w:lang w:val="en-US"/>
        </w:rPr>
        <w:t>_______________ (Date)</w:t>
      </w:r>
    </w:p>
    <w:p w:rsidR="000E69A9" w:rsidRPr="0042140A" w:rsidRDefault="000E69A9" w:rsidP="000E69A9">
      <w:pPr>
        <w:spacing w:before="120" w:after="120"/>
        <w:jc w:val="center"/>
        <w:rPr>
          <w:rFonts w:cs="Times New Roman"/>
          <w:b/>
        </w:rPr>
      </w:pPr>
      <w:r w:rsidRPr="0042140A">
        <w:rPr>
          <w:rFonts w:cs="Times New Roman"/>
        </w:rPr>
        <w:br w:type="page"/>
      </w:r>
      <w:r w:rsidRPr="0042140A">
        <w:rPr>
          <w:rFonts w:cs="Times New Roman"/>
          <w:b/>
        </w:rPr>
        <w:lastRenderedPageBreak/>
        <w:t>АННОТАЦИЯ</w:t>
      </w:r>
    </w:p>
    <w:tbl>
      <w:tblPr>
        <w:tblStyle w:val="af"/>
        <w:tblW w:w="0" w:type="auto"/>
        <w:tblLook w:val="04A0" w:firstRow="1" w:lastRow="0" w:firstColumn="1" w:lastColumn="0" w:noHBand="0" w:noVBand="1"/>
      </w:tblPr>
      <w:tblGrid>
        <w:gridCol w:w="2402"/>
        <w:gridCol w:w="6943"/>
      </w:tblGrid>
      <w:tr w:rsidR="000E69A9" w:rsidRPr="0042140A" w:rsidTr="000E69A9">
        <w:tc>
          <w:tcPr>
            <w:tcW w:w="2402" w:type="dxa"/>
          </w:tcPr>
          <w:p w:rsidR="000E69A9" w:rsidRPr="0042140A" w:rsidRDefault="000E69A9" w:rsidP="000E69A9">
            <w:pPr>
              <w:spacing w:before="120" w:after="120"/>
              <w:jc w:val="left"/>
              <w:rPr>
                <w:rFonts w:cs="Times New Roman"/>
              </w:rPr>
            </w:pPr>
            <w:r w:rsidRPr="0042140A">
              <w:rPr>
                <w:rFonts w:cs="Times New Roman"/>
              </w:rPr>
              <w:t>Автор</w:t>
            </w:r>
          </w:p>
        </w:tc>
        <w:tc>
          <w:tcPr>
            <w:tcW w:w="6943" w:type="dxa"/>
          </w:tcPr>
          <w:p w:rsidR="000E69A9" w:rsidRPr="0091523E" w:rsidRDefault="0091523E" w:rsidP="000E69A9">
            <w:pPr>
              <w:spacing w:before="120" w:after="120"/>
              <w:jc w:val="left"/>
              <w:rPr>
                <w:rFonts w:cs="Times New Roman"/>
              </w:rPr>
            </w:pPr>
            <w:r>
              <w:rPr>
                <w:rFonts w:cs="Times New Roman"/>
              </w:rPr>
              <w:t>Зимин Илья Валентинович</w:t>
            </w:r>
          </w:p>
        </w:tc>
      </w:tr>
      <w:tr w:rsidR="000E69A9" w:rsidRPr="00B55427" w:rsidTr="000E69A9">
        <w:tc>
          <w:tcPr>
            <w:tcW w:w="2402" w:type="dxa"/>
          </w:tcPr>
          <w:p w:rsidR="000E69A9" w:rsidRPr="0042140A" w:rsidRDefault="000E69A9" w:rsidP="001D5A93">
            <w:pPr>
              <w:spacing w:before="120" w:after="120" w:line="240" w:lineRule="auto"/>
              <w:jc w:val="left"/>
              <w:rPr>
                <w:rFonts w:cs="Times New Roman"/>
              </w:rPr>
            </w:pPr>
            <w:r w:rsidRPr="0042140A">
              <w:rPr>
                <w:rFonts w:cs="Times New Roman"/>
              </w:rPr>
              <w:t>Название магистерской диссертации</w:t>
            </w:r>
          </w:p>
        </w:tc>
        <w:tc>
          <w:tcPr>
            <w:tcW w:w="6943" w:type="dxa"/>
            <w:vAlign w:val="center"/>
          </w:tcPr>
          <w:p w:rsidR="000E69A9" w:rsidRPr="0091523E" w:rsidRDefault="0091523E" w:rsidP="001D5A93">
            <w:pPr>
              <w:spacing w:before="120" w:after="120" w:line="240" w:lineRule="auto"/>
              <w:jc w:val="left"/>
              <w:rPr>
                <w:rFonts w:cs="Times New Roman"/>
              </w:rPr>
            </w:pPr>
            <w:r>
              <w:t>«</w:t>
            </w:r>
            <w:r w:rsidRPr="00441E48">
              <w:t>Метод реальных опционов в оценке и анализе инвестиционных проекто</w:t>
            </w:r>
            <w:r>
              <w:t>в нефтегазовой отрасли в России»</w:t>
            </w:r>
          </w:p>
        </w:tc>
      </w:tr>
      <w:tr w:rsidR="000E69A9" w:rsidRPr="0042140A" w:rsidTr="000E69A9">
        <w:tc>
          <w:tcPr>
            <w:tcW w:w="2402" w:type="dxa"/>
          </w:tcPr>
          <w:p w:rsidR="000E69A9" w:rsidRPr="0042140A" w:rsidRDefault="000E69A9" w:rsidP="000E69A9">
            <w:pPr>
              <w:spacing w:before="120" w:after="120"/>
              <w:jc w:val="left"/>
              <w:rPr>
                <w:rFonts w:cs="Times New Roman"/>
              </w:rPr>
            </w:pPr>
            <w:r w:rsidRPr="0042140A">
              <w:rPr>
                <w:rFonts w:cs="Times New Roman"/>
              </w:rPr>
              <w:t>Факультет</w:t>
            </w:r>
          </w:p>
        </w:tc>
        <w:tc>
          <w:tcPr>
            <w:tcW w:w="6943" w:type="dxa"/>
          </w:tcPr>
          <w:p w:rsidR="000E69A9" w:rsidRPr="0042140A" w:rsidRDefault="000E69A9" w:rsidP="000E69A9">
            <w:pPr>
              <w:spacing w:before="120" w:after="120"/>
              <w:jc w:val="left"/>
              <w:rPr>
                <w:rFonts w:cs="Times New Roman"/>
              </w:rPr>
            </w:pPr>
            <w:r>
              <w:rPr>
                <w:rFonts w:cs="Times New Roman"/>
              </w:rPr>
              <w:t>Высшая Школа М</w:t>
            </w:r>
            <w:r w:rsidRPr="0042140A">
              <w:rPr>
                <w:rFonts w:cs="Times New Roman"/>
              </w:rPr>
              <w:t>енеджмента</w:t>
            </w:r>
          </w:p>
        </w:tc>
      </w:tr>
      <w:tr w:rsidR="000E69A9" w:rsidRPr="0042140A" w:rsidTr="000E69A9">
        <w:tc>
          <w:tcPr>
            <w:tcW w:w="2402" w:type="dxa"/>
          </w:tcPr>
          <w:p w:rsidR="000E69A9" w:rsidRPr="0042140A" w:rsidRDefault="000E69A9" w:rsidP="000E69A9">
            <w:pPr>
              <w:spacing w:before="120" w:after="120"/>
              <w:jc w:val="left"/>
              <w:rPr>
                <w:rFonts w:cs="Times New Roman"/>
              </w:rPr>
            </w:pPr>
            <w:r w:rsidRPr="0042140A">
              <w:rPr>
                <w:rFonts w:cs="Times New Roman"/>
              </w:rPr>
              <w:t>Направление подготовки</w:t>
            </w:r>
          </w:p>
        </w:tc>
        <w:tc>
          <w:tcPr>
            <w:tcW w:w="6943" w:type="dxa"/>
          </w:tcPr>
          <w:p w:rsidR="000E69A9" w:rsidRPr="0042140A" w:rsidRDefault="000E69A9" w:rsidP="000E69A9">
            <w:pPr>
              <w:spacing w:before="120" w:after="120"/>
              <w:jc w:val="left"/>
              <w:rPr>
                <w:rFonts w:cs="Times New Roman"/>
              </w:rPr>
            </w:pPr>
            <w:r w:rsidRPr="0042140A">
              <w:rPr>
                <w:rFonts w:cs="Times New Roman"/>
              </w:rPr>
              <w:t>080200 “Менеджмент” (Профиль: Корпоративные финансы)</w:t>
            </w:r>
          </w:p>
        </w:tc>
      </w:tr>
      <w:tr w:rsidR="000E69A9" w:rsidRPr="0042140A" w:rsidTr="000E69A9">
        <w:tc>
          <w:tcPr>
            <w:tcW w:w="2402" w:type="dxa"/>
          </w:tcPr>
          <w:p w:rsidR="000E69A9" w:rsidRPr="0042140A" w:rsidRDefault="000E69A9" w:rsidP="000E69A9">
            <w:pPr>
              <w:spacing w:before="120" w:after="120"/>
              <w:jc w:val="left"/>
              <w:rPr>
                <w:rFonts w:cs="Times New Roman"/>
              </w:rPr>
            </w:pPr>
            <w:r w:rsidRPr="0042140A">
              <w:rPr>
                <w:rFonts w:cs="Times New Roman"/>
              </w:rPr>
              <w:t>Год</w:t>
            </w:r>
          </w:p>
        </w:tc>
        <w:tc>
          <w:tcPr>
            <w:tcW w:w="6943" w:type="dxa"/>
          </w:tcPr>
          <w:p w:rsidR="000E69A9" w:rsidRPr="0042140A" w:rsidRDefault="000E69A9" w:rsidP="000E69A9">
            <w:pPr>
              <w:spacing w:before="120" w:after="120"/>
              <w:jc w:val="left"/>
              <w:rPr>
                <w:rFonts w:cs="Times New Roman"/>
              </w:rPr>
            </w:pPr>
            <w:r w:rsidRPr="0042140A">
              <w:rPr>
                <w:rFonts w:cs="Times New Roman"/>
              </w:rPr>
              <w:t>2017</w:t>
            </w:r>
          </w:p>
        </w:tc>
      </w:tr>
      <w:tr w:rsidR="000E69A9" w:rsidRPr="00B55427" w:rsidTr="000E69A9">
        <w:tc>
          <w:tcPr>
            <w:tcW w:w="2402" w:type="dxa"/>
          </w:tcPr>
          <w:p w:rsidR="000E69A9" w:rsidRPr="0042140A" w:rsidRDefault="000E69A9" w:rsidP="000E69A9">
            <w:pPr>
              <w:spacing w:before="120" w:after="120"/>
              <w:jc w:val="left"/>
              <w:rPr>
                <w:rFonts w:cs="Times New Roman"/>
              </w:rPr>
            </w:pPr>
            <w:r w:rsidRPr="0042140A">
              <w:rPr>
                <w:rFonts w:cs="Times New Roman"/>
              </w:rPr>
              <w:t>Научный руководитель</w:t>
            </w:r>
          </w:p>
        </w:tc>
        <w:tc>
          <w:tcPr>
            <w:tcW w:w="6943" w:type="dxa"/>
          </w:tcPr>
          <w:p w:rsidR="000E69A9" w:rsidRPr="0042140A" w:rsidRDefault="0091523E" w:rsidP="000E69A9">
            <w:pPr>
              <w:spacing w:before="120" w:after="120"/>
              <w:jc w:val="left"/>
              <w:rPr>
                <w:rFonts w:cs="Times New Roman"/>
              </w:rPr>
            </w:pPr>
            <w:r>
              <w:rPr>
                <w:rFonts w:cs="Times New Roman"/>
              </w:rPr>
              <w:t>Лукьянова Анна Евгеньевна</w:t>
            </w:r>
            <w:r w:rsidRPr="0091523E">
              <w:rPr>
                <w:rFonts w:cs="Times New Roman"/>
              </w:rPr>
              <w:t>,</w:t>
            </w:r>
            <w:r>
              <w:rPr>
                <w:rFonts w:cs="Times New Roman"/>
              </w:rPr>
              <w:t xml:space="preserve"> доцент, к.ф.-м.н.</w:t>
            </w:r>
          </w:p>
        </w:tc>
      </w:tr>
      <w:tr w:rsidR="000E69A9" w:rsidRPr="00CD54AE" w:rsidTr="000E69A9">
        <w:tc>
          <w:tcPr>
            <w:tcW w:w="2402" w:type="dxa"/>
          </w:tcPr>
          <w:p w:rsidR="000E69A9" w:rsidRPr="0042140A" w:rsidRDefault="000E69A9" w:rsidP="000E69A9">
            <w:pPr>
              <w:spacing w:before="120" w:after="120"/>
              <w:jc w:val="left"/>
              <w:rPr>
                <w:rFonts w:cs="Times New Roman"/>
              </w:rPr>
            </w:pPr>
            <w:r w:rsidRPr="0042140A">
              <w:rPr>
                <w:rFonts w:cs="Times New Roman"/>
              </w:rPr>
              <w:t>Описание цели, задач и основных результатов</w:t>
            </w:r>
          </w:p>
        </w:tc>
        <w:tc>
          <w:tcPr>
            <w:tcW w:w="6943" w:type="dxa"/>
          </w:tcPr>
          <w:p w:rsidR="00CD54AE" w:rsidRPr="00CD54AE" w:rsidRDefault="00CD54AE" w:rsidP="00CD54AE">
            <w:pPr>
              <w:spacing w:line="240" w:lineRule="auto"/>
              <w:ind w:firstLine="567"/>
              <w:rPr>
                <w:rFonts w:cs="Times New Roman"/>
                <w:szCs w:val="24"/>
              </w:rPr>
            </w:pPr>
            <w:r w:rsidRPr="00CD54AE">
              <w:rPr>
                <w:rFonts w:cs="Times New Roman"/>
                <w:szCs w:val="24"/>
              </w:rPr>
              <w:t>Нефтегазовая</w:t>
            </w:r>
            <w:r>
              <w:rPr>
                <w:rFonts w:cs="Times New Roman"/>
                <w:szCs w:val="24"/>
              </w:rPr>
              <w:t xml:space="preserve"> отрасль</w:t>
            </w:r>
            <w:r w:rsidRPr="00CD54AE">
              <w:rPr>
                <w:rFonts w:cs="Times New Roman"/>
                <w:szCs w:val="24"/>
              </w:rPr>
              <w:t xml:space="preserve"> важна для российской экономики. Инвестиционные проекты </w:t>
            </w:r>
            <w:r>
              <w:rPr>
                <w:rFonts w:cs="Times New Roman"/>
                <w:szCs w:val="24"/>
              </w:rPr>
              <w:t xml:space="preserve">в ней подвержены </w:t>
            </w:r>
            <w:r w:rsidR="001D5A93">
              <w:rPr>
                <w:rFonts w:cs="Times New Roman"/>
                <w:szCs w:val="24"/>
              </w:rPr>
              <w:t>многим</w:t>
            </w:r>
            <w:r>
              <w:rPr>
                <w:rFonts w:cs="Times New Roman"/>
                <w:szCs w:val="24"/>
              </w:rPr>
              <w:t xml:space="preserve"> </w:t>
            </w:r>
            <w:r w:rsidR="001D5A93">
              <w:rPr>
                <w:rFonts w:cs="Times New Roman"/>
                <w:szCs w:val="24"/>
              </w:rPr>
              <w:t>рискам</w:t>
            </w:r>
            <w:r w:rsidRPr="00CD54AE">
              <w:rPr>
                <w:rFonts w:cs="Times New Roman"/>
                <w:szCs w:val="24"/>
              </w:rPr>
              <w:t xml:space="preserve">, </w:t>
            </w:r>
            <w:r w:rsidR="001D5A93">
              <w:rPr>
                <w:rFonts w:cs="Times New Roman"/>
                <w:szCs w:val="24"/>
              </w:rPr>
              <w:t xml:space="preserve">обладают некоторой </w:t>
            </w:r>
            <w:r>
              <w:rPr>
                <w:rFonts w:cs="Times New Roman"/>
                <w:szCs w:val="24"/>
              </w:rPr>
              <w:t>гибкость</w:t>
            </w:r>
            <w:r w:rsidR="001D5A93">
              <w:rPr>
                <w:rFonts w:cs="Times New Roman"/>
                <w:szCs w:val="24"/>
              </w:rPr>
              <w:t>ю</w:t>
            </w:r>
            <w:r w:rsidRPr="00CD54AE">
              <w:rPr>
                <w:rFonts w:cs="Times New Roman"/>
                <w:szCs w:val="24"/>
              </w:rPr>
              <w:t xml:space="preserve"> и активно управляются в течение их срока. Эти проекты </w:t>
            </w:r>
            <w:r w:rsidR="001D5A93">
              <w:rPr>
                <w:rFonts w:cs="Times New Roman"/>
                <w:szCs w:val="24"/>
              </w:rPr>
              <w:t xml:space="preserve">чаще всего оцениваются </w:t>
            </w:r>
            <w:r w:rsidRPr="00CD54AE">
              <w:rPr>
                <w:rFonts w:cs="Times New Roman"/>
                <w:szCs w:val="24"/>
              </w:rPr>
              <w:t xml:space="preserve">с помощью </w:t>
            </w:r>
            <w:r w:rsidR="001D5A93">
              <w:rPr>
                <w:rFonts w:cs="Times New Roman"/>
                <w:szCs w:val="24"/>
              </w:rPr>
              <w:t>метода дисконтированных денежных потоков</w:t>
            </w:r>
            <w:r w:rsidRPr="00CD54AE">
              <w:rPr>
                <w:rFonts w:cs="Times New Roman"/>
                <w:szCs w:val="24"/>
              </w:rPr>
              <w:t xml:space="preserve">, </w:t>
            </w:r>
            <w:r w:rsidR="001D5A93">
              <w:rPr>
                <w:rFonts w:cs="Times New Roman"/>
                <w:szCs w:val="24"/>
              </w:rPr>
              <w:t>который предполагает</w:t>
            </w:r>
            <w:r w:rsidRPr="00CD54AE">
              <w:rPr>
                <w:rFonts w:cs="Times New Roman"/>
                <w:szCs w:val="24"/>
              </w:rPr>
              <w:t xml:space="preserve"> пассивное управление и недооценива</w:t>
            </w:r>
            <w:r w:rsidR="001D5A93">
              <w:rPr>
                <w:rFonts w:cs="Times New Roman"/>
                <w:szCs w:val="24"/>
              </w:rPr>
              <w:t>е</w:t>
            </w:r>
            <w:r w:rsidRPr="00CD54AE">
              <w:rPr>
                <w:rFonts w:cs="Times New Roman"/>
                <w:szCs w:val="24"/>
              </w:rPr>
              <w:t xml:space="preserve">т гибкие проекты в условиях неопределенности. Анализ реальных </w:t>
            </w:r>
            <w:r w:rsidR="001D5A93">
              <w:rPr>
                <w:rFonts w:cs="Times New Roman"/>
                <w:szCs w:val="24"/>
              </w:rPr>
              <w:t>опционов</w:t>
            </w:r>
            <w:r w:rsidRPr="00CD54AE">
              <w:rPr>
                <w:rFonts w:cs="Times New Roman"/>
                <w:szCs w:val="24"/>
              </w:rPr>
              <w:t xml:space="preserve"> позволяет </w:t>
            </w:r>
            <w:r w:rsidR="001D5A93">
              <w:rPr>
                <w:rFonts w:cs="Times New Roman"/>
                <w:szCs w:val="24"/>
              </w:rPr>
              <w:t>учесть</w:t>
            </w:r>
            <w:r w:rsidRPr="00CD54AE">
              <w:rPr>
                <w:rFonts w:cs="Times New Roman"/>
                <w:szCs w:val="24"/>
              </w:rPr>
              <w:t xml:space="preserve"> </w:t>
            </w:r>
            <w:r w:rsidR="001D5A93">
              <w:rPr>
                <w:rFonts w:cs="Times New Roman"/>
                <w:szCs w:val="24"/>
              </w:rPr>
              <w:t>ценность</w:t>
            </w:r>
            <w:r w:rsidRPr="00CD54AE">
              <w:rPr>
                <w:rFonts w:cs="Times New Roman"/>
                <w:szCs w:val="24"/>
              </w:rPr>
              <w:t xml:space="preserve"> встроенн</w:t>
            </w:r>
            <w:r w:rsidR="001D5A93">
              <w:rPr>
                <w:rFonts w:cs="Times New Roman"/>
                <w:szCs w:val="24"/>
              </w:rPr>
              <w:t>ой</w:t>
            </w:r>
            <w:r w:rsidRPr="00CD54AE">
              <w:rPr>
                <w:rFonts w:cs="Times New Roman"/>
                <w:szCs w:val="24"/>
              </w:rPr>
              <w:t xml:space="preserve"> </w:t>
            </w:r>
            <w:r w:rsidR="001D5A93">
              <w:rPr>
                <w:rFonts w:cs="Times New Roman"/>
                <w:szCs w:val="24"/>
              </w:rPr>
              <w:t>гибкости и активного</w:t>
            </w:r>
            <w:r w:rsidRPr="00CD54AE">
              <w:rPr>
                <w:rFonts w:cs="Times New Roman"/>
                <w:szCs w:val="24"/>
              </w:rPr>
              <w:t xml:space="preserve"> </w:t>
            </w:r>
            <w:r w:rsidR="001D5A93">
              <w:rPr>
                <w:rFonts w:cs="Times New Roman"/>
                <w:szCs w:val="24"/>
              </w:rPr>
              <w:t>менеджмента в условиях неопределенности.</w:t>
            </w:r>
          </w:p>
          <w:p w:rsidR="00CD54AE" w:rsidRPr="00CD54AE" w:rsidRDefault="001D5A93" w:rsidP="00CD54AE">
            <w:pPr>
              <w:spacing w:line="240" w:lineRule="auto"/>
              <w:ind w:firstLine="567"/>
              <w:rPr>
                <w:rFonts w:cs="Times New Roman"/>
                <w:szCs w:val="24"/>
              </w:rPr>
            </w:pPr>
            <w:r>
              <w:rPr>
                <w:rFonts w:cs="Times New Roman"/>
                <w:szCs w:val="24"/>
              </w:rPr>
              <w:t>Ц</w:t>
            </w:r>
            <w:r w:rsidR="00941DB4">
              <w:rPr>
                <w:rFonts w:cs="Times New Roman"/>
                <w:szCs w:val="24"/>
              </w:rPr>
              <w:t>ель</w:t>
            </w:r>
            <w:r w:rsidR="00CD54AE" w:rsidRPr="00CD54AE">
              <w:rPr>
                <w:rFonts w:cs="Times New Roman"/>
                <w:szCs w:val="24"/>
              </w:rPr>
              <w:t xml:space="preserve"> </w:t>
            </w:r>
            <w:r>
              <w:rPr>
                <w:rFonts w:cs="Times New Roman"/>
                <w:szCs w:val="24"/>
              </w:rPr>
              <w:t>этой работы</w:t>
            </w:r>
            <w:r w:rsidR="00CD54AE" w:rsidRPr="00CD54AE">
              <w:rPr>
                <w:rFonts w:cs="Times New Roman"/>
                <w:szCs w:val="24"/>
              </w:rPr>
              <w:t xml:space="preserve"> </w:t>
            </w:r>
            <w:r w:rsidR="00423E49">
              <w:rPr>
                <w:rFonts w:cs="Times New Roman"/>
                <w:szCs w:val="24"/>
              </w:rPr>
              <w:t xml:space="preserve">– </w:t>
            </w:r>
            <w:r w:rsidR="00CD54AE" w:rsidRPr="00CD54AE">
              <w:rPr>
                <w:rFonts w:cs="Times New Roman"/>
                <w:szCs w:val="24"/>
              </w:rPr>
              <w:t>исследова</w:t>
            </w:r>
            <w:r w:rsidR="00423E49">
              <w:rPr>
                <w:rFonts w:cs="Times New Roman"/>
                <w:szCs w:val="24"/>
              </w:rPr>
              <w:t>ть</w:t>
            </w:r>
            <w:r w:rsidR="00CD54AE" w:rsidRPr="00CD54AE">
              <w:rPr>
                <w:rFonts w:cs="Times New Roman"/>
                <w:szCs w:val="24"/>
              </w:rPr>
              <w:t xml:space="preserve"> применени</w:t>
            </w:r>
            <w:r w:rsidR="00423E49">
              <w:rPr>
                <w:rFonts w:cs="Times New Roman"/>
                <w:szCs w:val="24"/>
              </w:rPr>
              <w:t>е</w:t>
            </w:r>
            <w:r w:rsidR="00CD54AE" w:rsidRPr="00CD54AE">
              <w:rPr>
                <w:rFonts w:cs="Times New Roman"/>
                <w:szCs w:val="24"/>
              </w:rPr>
              <w:t xml:space="preserve"> </w:t>
            </w:r>
            <w:r>
              <w:rPr>
                <w:rFonts w:cs="Times New Roman"/>
                <w:szCs w:val="24"/>
              </w:rPr>
              <w:t>метода</w:t>
            </w:r>
            <w:r w:rsidR="00CD54AE" w:rsidRPr="00CD54AE">
              <w:rPr>
                <w:rFonts w:cs="Times New Roman"/>
                <w:szCs w:val="24"/>
              </w:rPr>
              <w:t xml:space="preserve"> реальных опционов </w:t>
            </w:r>
            <w:r>
              <w:rPr>
                <w:rFonts w:cs="Times New Roman"/>
                <w:szCs w:val="24"/>
              </w:rPr>
              <w:t>к российским инвестиционным проектам в нефтегазовой отрасли и привести пример возможного применения метода</w:t>
            </w:r>
            <w:r w:rsidR="00CD54AE" w:rsidRPr="00CD54AE">
              <w:rPr>
                <w:rFonts w:cs="Times New Roman"/>
                <w:szCs w:val="24"/>
              </w:rPr>
              <w:t>. Для достижения этой цели</w:t>
            </w:r>
            <w:r>
              <w:rPr>
                <w:rFonts w:cs="Times New Roman"/>
                <w:szCs w:val="24"/>
              </w:rPr>
              <w:t xml:space="preserve"> описаны</w:t>
            </w:r>
            <w:r w:rsidR="00CD54AE" w:rsidRPr="00CD54AE">
              <w:rPr>
                <w:rFonts w:cs="Times New Roman"/>
                <w:szCs w:val="24"/>
              </w:rPr>
              <w:t xml:space="preserve"> часто используемые модели оценки проектов, </w:t>
            </w:r>
            <w:r>
              <w:rPr>
                <w:rFonts w:cs="Times New Roman"/>
                <w:szCs w:val="24"/>
              </w:rPr>
              <w:t xml:space="preserve">отличия метода </w:t>
            </w:r>
            <w:r w:rsidR="00CD54AE" w:rsidRPr="00CD54AE">
              <w:rPr>
                <w:rFonts w:cs="Times New Roman"/>
                <w:szCs w:val="24"/>
              </w:rPr>
              <w:t xml:space="preserve">реальных </w:t>
            </w:r>
            <w:r>
              <w:rPr>
                <w:rFonts w:cs="Times New Roman"/>
                <w:szCs w:val="24"/>
              </w:rPr>
              <w:t xml:space="preserve">опционов </w:t>
            </w:r>
            <w:r w:rsidR="00CD54AE" w:rsidRPr="00CD54AE">
              <w:rPr>
                <w:rFonts w:cs="Times New Roman"/>
                <w:szCs w:val="24"/>
              </w:rPr>
              <w:t xml:space="preserve">от традиционных методов, </w:t>
            </w:r>
            <w:r>
              <w:rPr>
                <w:rFonts w:cs="Times New Roman"/>
                <w:szCs w:val="24"/>
              </w:rPr>
              <w:t>проанализирована</w:t>
            </w:r>
            <w:r w:rsidR="00CD54AE" w:rsidRPr="00CD54AE">
              <w:rPr>
                <w:rFonts w:cs="Times New Roman"/>
                <w:szCs w:val="24"/>
              </w:rPr>
              <w:t xml:space="preserve"> </w:t>
            </w:r>
            <w:r>
              <w:rPr>
                <w:rFonts w:cs="Times New Roman"/>
                <w:szCs w:val="24"/>
              </w:rPr>
              <w:t xml:space="preserve">специфика </w:t>
            </w:r>
            <w:r w:rsidR="00CD54AE" w:rsidRPr="00CD54AE">
              <w:rPr>
                <w:rFonts w:cs="Times New Roman"/>
                <w:szCs w:val="24"/>
              </w:rPr>
              <w:t>инвестиционных проектов в нефтегазовой отрасли в России</w:t>
            </w:r>
            <w:r>
              <w:rPr>
                <w:rFonts w:cs="Times New Roman"/>
                <w:szCs w:val="24"/>
              </w:rPr>
              <w:t xml:space="preserve"> и показано</w:t>
            </w:r>
            <w:r w:rsidR="00CD54AE" w:rsidRPr="00CD54AE">
              <w:rPr>
                <w:rFonts w:cs="Times New Roman"/>
                <w:szCs w:val="24"/>
              </w:rPr>
              <w:t xml:space="preserve">, как </w:t>
            </w:r>
            <w:r>
              <w:rPr>
                <w:rFonts w:cs="Times New Roman"/>
                <w:szCs w:val="24"/>
              </w:rPr>
              <w:t>метод</w:t>
            </w:r>
            <w:r w:rsidR="00CD54AE" w:rsidRPr="00CD54AE">
              <w:rPr>
                <w:rFonts w:cs="Times New Roman"/>
                <w:szCs w:val="24"/>
              </w:rPr>
              <w:t xml:space="preserve"> реальных </w:t>
            </w:r>
            <w:r>
              <w:rPr>
                <w:rFonts w:cs="Times New Roman"/>
                <w:szCs w:val="24"/>
              </w:rPr>
              <w:t>опционов</w:t>
            </w:r>
            <w:r w:rsidR="00CD54AE" w:rsidRPr="00CD54AE">
              <w:rPr>
                <w:rFonts w:cs="Times New Roman"/>
                <w:szCs w:val="24"/>
              </w:rPr>
              <w:t xml:space="preserve"> может влиять на</w:t>
            </w:r>
            <w:r>
              <w:rPr>
                <w:rFonts w:cs="Times New Roman"/>
                <w:szCs w:val="24"/>
              </w:rPr>
              <w:t xml:space="preserve"> оценку проекта</w:t>
            </w:r>
            <w:r w:rsidR="00423E49">
              <w:rPr>
                <w:rFonts w:cs="Times New Roman"/>
                <w:szCs w:val="24"/>
              </w:rPr>
              <w:t>,</w:t>
            </w:r>
            <w:r w:rsidR="00CD54AE" w:rsidRPr="00CD54AE">
              <w:rPr>
                <w:rFonts w:cs="Times New Roman"/>
                <w:szCs w:val="24"/>
              </w:rPr>
              <w:t xml:space="preserve"> на</w:t>
            </w:r>
            <w:r>
              <w:rPr>
                <w:rFonts w:cs="Times New Roman"/>
                <w:szCs w:val="24"/>
              </w:rPr>
              <w:t xml:space="preserve"> конкретном примере</w:t>
            </w:r>
            <w:r w:rsidR="00CD54AE" w:rsidRPr="00CD54AE">
              <w:rPr>
                <w:rFonts w:cs="Times New Roman"/>
                <w:szCs w:val="24"/>
              </w:rPr>
              <w:t>.</w:t>
            </w:r>
          </w:p>
          <w:p w:rsidR="000E69A9" w:rsidRPr="00CD54AE" w:rsidRDefault="00CD54AE" w:rsidP="00423E49">
            <w:pPr>
              <w:spacing w:after="120" w:line="240" w:lineRule="auto"/>
              <w:ind w:firstLine="567"/>
              <w:rPr>
                <w:rFonts w:cs="Times New Roman"/>
              </w:rPr>
            </w:pPr>
            <w:r w:rsidRPr="00CD54AE">
              <w:rPr>
                <w:rFonts w:cs="Times New Roman"/>
                <w:szCs w:val="24"/>
              </w:rPr>
              <w:t xml:space="preserve">Результаты анализа подтверждают, что проекты </w:t>
            </w:r>
            <w:r w:rsidR="001D5A93">
              <w:rPr>
                <w:rFonts w:cs="Times New Roman"/>
                <w:szCs w:val="24"/>
              </w:rPr>
              <w:t xml:space="preserve">нефтегазовой отрасли </w:t>
            </w:r>
            <w:r w:rsidRPr="00CD54AE">
              <w:rPr>
                <w:rFonts w:cs="Times New Roman"/>
                <w:szCs w:val="24"/>
              </w:rPr>
              <w:t>зависят от м</w:t>
            </w:r>
            <w:r w:rsidR="001D5A93">
              <w:rPr>
                <w:rFonts w:cs="Times New Roman"/>
                <w:szCs w:val="24"/>
              </w:rPr>
              <w:t>ногих факторов неопределенности</w:t>
            </w:r>
            <w:r w:rsidRPr="00CD54AE">
              <w:rPr>
                <w:rFonts w:cs="Times New Roman"/>
                <w:szCs w:val="24"/>
              </w:rPr>
              <w:t xml:space="preserve">. </w:t>
            </w:r>
            <w:r w:rsidR="00423E49">
              <w:rPr>
                <w:rFonts w:cs="Times New Roman"/>
                <w:szCs w:val="24"/>
              </w:rPr>
              <w:t>П</w:t>
            </w:r>
            <w:r w:rsidR="00423E49" w:rsidRPr="00CD54AE">
              <w:rPr>
                <w:rFonts w:cs="Times New Roman"/>
                <w:szCs w:val="24"/>
              </w:rPr>
              <w:t>о сравнению с</w:t>
            </w:r>
            <w:r w:rsidR="00423E49">
              <w:rPr>
                <w:rFonts w:cs="Times New Roman"/>
                <w:szCs w:val="24"/>
              </w:rPr>
              <w:t xml:space="preserve"> рынками развитых стран, российский рынок обладает большей неопределенностью</w:t>
            </w:r>
            <w:r w:rsidRPr="00CD54AE">
              <w:rPr>
                <w:rFonts w:cs="Times New Roman"/>
                <w:szCs w:val="24"/>
              </w:rPr>
              <w:t xml:space="preserve">. Применение анализа реальных </w:t>
            </w:r>
            <w:r w:rsidR="001D5A93">
              <w:rPr>
                <w:rFonts w:cs="Times New Roman"/>
                <w:szCs w:val="24"/>
              </w:rPr>
              <w:t>опционов</w:t>
            </w:r>
            <w:r w:rsidR="00423E49">
              <w:rPr>
                <w:rFonts w:cs="Times New Roman"/>
                <w:szCs w:val="24"/>
              </w:rPr>
              <w:t xml:space="preserve"> на конкретном примере</w:t>
            </w:r>
            <w:r w:rsidRPr="00CD54AE">
              <w:rPr>
                <w:rFonts w:cs="Times New Roman"/>
                <w:szCs w:val="24"/>
              </w:rPr>
              <w:t xml:space="preserve"> позволило </w:t>
            </w:r>
            <w:r w:rsidR="001D5A93">
              <w:rPr>
                <w:rFonts w:cs="Times New Roman"/>
                <w:szCs w:val="24"/>
              </w:rPr>
              <w:t>оценить гибкость проекта</w:t>
            </w:r>
            <w:r w:rsidRPr="00CD54AE">
              <w:rPr>
                <w:rFonts w:cs="Times New Roman"/>
                <w:szCs w:val="24"/>
              </w:rPr>
              <w:t xml:space="preserve">, </w:t>
            </w:r>
            <w:r w:rsidR="001D5A93">
              <w:rPr>
                <w:rFonts w:cs="Times New Roman"/>
                <w:szCs w:val="24"/>
              </w:rPr>
              <w:t>и оказало</w:t>
            </w:r>
            <w:r w:rsidRPr="00CD54AE">
              <w:rPr>
                <w:rFonts w:cs="Times New Roman"/>
                <w:szCs w:val="24"/>
              </w:rPr>
              <w:t xml:space="preserve"> значительное влияние на </w:t>
            </w:r>
            <w:r w:rsidR="001D5A93">
              <w:rPr>
                <w:rFonts w:cs="Times New Roman"/>
                <w:szCs w:val="24"/>
              </w:rPr>
              <w:t>ценность</w:t>
            </w:r>
            <w:r w:rsidRPr="00CD54AE">
              <w:rPr>
                <w:rFonts w:cs="Times New Roman"/>
                <w:szCs w:val="24"/>
              </w:rPr>
              <w:t xml:space="preserve"> проекта</w:t>
            </w:r>
            <w:r w:rsidR="001D5A93">
              <w:rPr>
                <w:rFonts w:cs="Times New Roman"/>
                <w:szCs w:val="24"/>
              </w:rPr>
              <w:t xml:space="preserve"> для инвестора, позволило разработать рекомендации </w:t>
            </w:r>
            <w:r w:rsidRPr="00CD54AE">
              <w:rPr>
                <w:rFonts w:cs="Times New Roman"/>
                <w:szCs w:val="24"/>
              </w:rPr>
              <w:t>по управлению рисками</w:t>
            </w:r>
            <w:r w:rsidR="001D5A93">
              <w:rPr>
                <w:rFonts w:cs="Times New Roman"/>
                <w:szCs w:val="24"/>
              </w:rPr>
              <w:t>.</w:t>
            </w:r>
          </w:p>
        </w:tc>
      </w:tr>
      <w:tr w:rsidR="000E69A9" w:rsidRPr="001D5A93" w:rsidTr="000E69A9">
        <w:trPr>
          <w:trHeight w:val="365"/>
        </w:trPr>
        <w:tc>
          <w:tcPr>
            <w:tcW w:w="2402" w:type="dxa"/>
          </w:tcPr>
          <w:p w:rsidR="000E69A9" w:rsidRPr="0042140A" w:rsidRDefault="000E69A9" w:rsidP="000E69A9">
            <w:pPr>
              <w:spacing w:before="120" w:after="120"/>
              <w:jc w:val="left"/>
              <w:rPr>
                <w:rFonts w:cs="Times New Roman"/>
              </w:rPr>
            </w:pPr>
            <w:r w:rsidRPr="0042140A">
              <w:rPr>
                <w:rFonts w:cs="Times New Roman"/>
              </w:rPr>
              <w:t>Ключевые слова</w:t>
            </w:r>
          </w:p>
        </w:tc>
        <w:tc>
          <w:tcPr>
            <w:tcW w:w="6943" w:type="dxa"/>
          </w:tcPr>
          <w:p w:rsidR="000E69A9" w:rsidRPr="001D5A93" w:rsidRDefault="001D5A93" w:rsidP="00CF32F2">
            <w:pPr>
              <w:spacing w:before="120" w:after="120"/>
              <w:rPr>
                <w:rFonts w:cs="Times New Roman"/>
              </w:rPr>
            </w:pPr>
            <w:r>
              <w:rPr>
                <w:rFonts w:cs="Times New Roman"/>
              </w:rPr>
              <w:t>Реальны</w:t>
            </w:r>
            <w:r w:rsidR="00CF32F2">
              <w:rPr>
                <w:rFonts w:cs="Times New Roman"/>
              </w:rPr>
              <w:t>е</w:t>
            </w:r>
            <w:r>
              <w:rPr>
                <w:rFonts w:cs="Times New Roman"/>
              </w:rPr>
              <w:t xml:space="preserve"> опционы, </w:t>
            </w:r>
            <w:r w:rsidR="00CF32F2">
              <w:rPr>
                <w:rFonts w:cs="Times New Roman"/>
              </w:rPr>
              <w:t>нефтегазовая отрасль</w:t>
            </w:r>
            <w:r>
              <w:rPr>
                <w:rFonts w:cs="Times New Roman"/>
              </w:rPr>
              <w:t>, неопределенность, гибкость, риск</w:t>
            </w:r>
          </w:p>
        </w:tc>
      </w:tr>
    </w:tbl>
    <w:p w:rsidR="000E69A9" w:rsidRPr="0042140A" w:rsidRDefault="000E69A9" w:rsidP="000E69A9">
      <w:pPr>
        <w:spacing w:after="120"/>
        <w:jc w:val="center"/>
        <w:rPr>
          <w:rFonts w:eastAsia="MS Mincho" w:cs="Times New Roman"/>
          <w:b/>
        </w:rPr>
      </w:pPr>
      <w:r w:rsidRPr="001D5A93">
        <w:rPr>
          <w:rFonts w:eastAsia="MS Mincho" w:cs="Times New Roman"/>
          <w:b/>
        </w:rPr>
        <w:br w:type="page"/>
      </w:r>
      <w:r w:rsidRPr="0042140A">
        <w:rPr>
          <w:rFonts w:eastAsia="MS Mincho" w:cs="Times New Roman"/>
          <w:b/>
        </w:rPr>
        <w:lastRenderedPageBreak/>
        <w:t>ABSTRACT</w:t>
      </w:r>
    </w:p>
    <w:tbl>
      <w:tblPr>
        <w:tblStyle w:val="af"/>
        <w:tblW w:w="0" w:type="auto"/>
        <w:tblLook w:val="04A0" w:firstRow="1" w:lastRow="0" w:firstColumn="1" w:lastColumn="0" w:noHBand="0" w:noVBand="1"/>
      </w:tblPr>
      <w:tblGrid>
        <w:gridCol w:w="2504"/>
        <w:gridCol w:w="6841"/>
      </w:tblGrid>
      <w:tr w:rsidR="000E69A9" w:rsidRPr="0042140A" w:rsidTr="000E69A9">
        <w:tc>
          <w:tcPr>
            <w:tcW w:w="2504" w:type="dxa"/>
          </w:tcPr>
          <w:p w:rsidR="000E69A9" w:rsidRPr="0042140A" w:rsidRDefault="000E69A9" w:rsidP="000E69A9">
            <w:pPr>
              <w:spacing w:before="120" w:after="120"/>
              <w:jc w:val="left"/>
              <w:rPr>
                <w:rFonts w:cs="Times New Roman"/>
              </w:rPr>
            </w:pPr>
            <w:r w:rsidRPr="0042140A">
              <w:rPr>
                <w:rFonts w:eastAsia="MS Mincho" w:cs="Times New Roman"/>
              </w:rPr>
              <w:t>Master Student's Name</w:t>
            </w:r>
          </w:p>
        </w:tc>
        <w:tc>
          <w:tcPr>
            <w:tcW w:w="6841" w:type="dxa"/>
          </w:tcPr>
          <w:p w:rsidR="000E69A9" w:rsidRPr="00995D3D" w:rsidRDefault="001755F6" w:rsidP="000E69A9">
            <w:pPr>
              <w:spacing w:before="120" w:after="120"/>
              <w:jc w:val="left"/>
              <w:rPr>
                <w:rFonts w:cs="Times New Roman"/>
                <w:lang w:val="en-US"/>
              </w:rPr>
            </w:pPr>
            <w:r>
              <w:rPr>
                <w:rFonts w:cs="Times New Roman"/>
                <w:lang w:val="en-US"/>
              </w:rPr>
              <w:t>Ilia Zimin</w:t>
            </w:r>
          </w:p>
        </w:tc>
      </w:tr>
      <w:tr w:rsidR="000E69A9" w:rsidRPr="000E69A9" w:rsidTr="000E69A9">
        <w:tc>
          <w:tcPr>
            <w:tcW w:w="2504" w:type="dxa"/>
          </w:tcPr>
          <w:p w:rsidR="000E69A9" w:rsidRPr="0042140A" w:rsidRDefault="000E69A9" w:rsidP="000E69A9">
            <w:pPr>
              <w:spacing w:before="120" w:after="120"/>
              <w:jc w:val="left"/>
              <w:rPr>
                <w:rFonts w:cs="Times New Roman"/>
              </w:rPr>
            </w:pPr>
            <w:r w:rsidRPr="0042140A">
              <w:rPr>
                <w:rFonts w:eastAsia="MS Mincho" w:cs="Times New Roman"/>
              </w:rPr>
              <w:t>Master Thesis Title</w:t>
            </w:r>
          </w:p>
        </w:tc>
        <w:tc>
          <w:tcPr>
            <w:tcW w:w="6841" w:type="dxa"/>
          </w:tcPr>
          <w:p w:rsidR="000E69A9" w:rsidRPr="00963AAD" w:rsidRDefault="001755F6" w:rsidP="001755F6">
            <w:pPr>
              <w:spacing w:before="120" w:after="120"/>
              <w:jc w:val="left"/>
              <w:rPr>
                <w:rFonts w:cs="Times New Roman"/>
                <w:lang w:val="en-US"/>
              </w:rPr>
            </w:pPr>
            <w:r>
              <w:rPr>
                <w:lang w:val="en-US"/>
              </w:rPr>
              <w:t>“</w:t>
            </w:r>
            <w:r w:rsidRPr="0091523E">
              <w:rPr>
                <w:lang w:val="en-US"/>
              </w:rPr>
              <w:t>Real Options Theory Applied to Oil and Ga</w:t>
            </w:r>
            <w:r>
              <w:rPr>
                <w:lang w:val="en-US"/>
              </w:rPr>
              <w:t>s Investment Projects in Russia”</w:t>
            </w:r>
          </w:p>
        </w:tc>
      </w:tr>
      <w:tr w:rsidR="000E69A9" w:rsidRPr="0042140A" w:rsidTr="000E69A9">
        <w:tc>
          <w:tcPr>
            <w:tcW w:w="2504" w:type="dxa"/>
          </w:tcPr>
          <w:p w:rsidR="000E69A9" w:rsidRPr="0042140A" w:rsidRDefault="000E69A9" w:rsidP="000E69A9">
            <w:pPr>
              <w:spacing w:before="120" w:after="120"/>
              <w:jc w:val="left"/>
              <w:rPr>
                <w:rFonts w:cs="Times New Roman"/>
              </w:rPr>
            </w:pPr>
            <w:r w:rsidRPr="0042140A">
              <w:rPr>
                <w:rFonts w:eastAsia="MS Mincho" w:cs="Times New Roman"/>
              </w:rPr>
              <w:t>Faculty</w:t>
            </w:r>
          </w:p>
        </w:tc>
        <w:tc>
          <w:tcPr>
            <w:tcW w:w="6841" w:type="dxa"/>
          </w:tcPr>
          <w:p w:rsidR="000E69A9" w:rsidRPr="0042140A" w:rsidRDefault="000E69A9" w:rsidP="000E69A9">
            <w:pPr>
              <w:spacing w:before="120" w:after="120"/>
              <w:jc w:val="left"/>
              <w:rPr>
                <w:rFonts w:cs="Times New Roman"/>
              </w:rPr>
            </w:pPr>
            <w:r>
              <w:rPr>
                <w:rFonts w:eastAsia="MS Mincho" w:cs="Times New Roman"/>
              </w:rPr>
              <w:t>Graduate School of M</w:t>
            </w:r>
            <w:r w:rsidRPr="0042140A">
              <w:rPr>
                <w:rFonts w:eastAsia="MS Mincho" w:cs="Times New Roman"/>
              </w:rPr>
              <w:t xml:space="preserve">anagement </w:t>
            </w:r>
          </w:p>
        </w:tc>
      </w:tr>
      <w:tr w:rsidR="000E69A9" w:rsidRPr="000E69A9" w:rsidTr="000E69A9">
        <w:tc>
          <w:tcPr>
            <w:tcW w:w="2504" w:type="dxa"/>
          </w:tcPr>
          <w:p w:rsidR="000E69A9" w:rsidRPr="0042140A" w:rsidRDefault="000E69A9" w:rsidP="000E69A9">
            <w:pPr>
              <w:spacing w:before="120" w:after="120"/>
              <w:jc w:val="left"/>
              <w:rPr>
                <w:rFonts w:cs="Times New Roman"/>
              </w:rPr>
            </w:pPr>
            <w:r w:rsidRPr="0042140A">
              <w:rPr>
                <w:rFonts w:eastAsia="MS Mincho" w:cs="Times New Roman"/>
              </w:rPr>
              <w:t>Main field of study</w:t>
            </w:r>
          </w:p>
        </w:tc>
        <w:tc>
          <w:tcPr>
            <w:tcW w:w="6841" w:type="dxa"/>
          </w:tcPr>
          <w:p w:rsidR="000E69A9" w:rsidRPr="00963AAD" w:rsidRDefault="000E69A9" w:rsidP="000E69A9">
            <w:pPr>
              <w:spacing w:before="120" w:after="120"/>
              <w:jc w:val="left"/>
              <w:rPr>
                <w:rFonts w:cs="Times New Roman"/>
                <w:lang w:val="en-US"/>
              </w:rPr>
            </w:pPr>
            <w:r w:rsidRPr="00963AAD">
              <w:rPr>
                <w:rFonts w:eastAsia="MS Mincho" w:cs="Times New Roman"/>
                <w:lang w:val="en-US"/>
              </w:rPr>
              <w:t>080200 “Management” (specialization: Master of Corporate Finance)</w:t>
            </w:r>
          </w:p>
        </w:tc>
      </w:tr>
      <w:tr w:rsidR="000E69A9" w:rsidRPr="0042140A" w:rsidTr="000E69A9">
        <w:trPr>
          <w:trHeight w:val="561"/>
        </w:trPr>
        <w:tc>
          <w:tcPr>
            <w:tcW w:w="2504" w:type="dxa"/>
          </w:tcPr>
          <w:p w:rsidR="000E69A9" w:rsidRPr="0042140A" w:rsidRDefault="000E69A9" w:rsidP="000E69A9">
            <w:pPr>
              <w:spacing w:before="120" w:after="120"/>
              <w:jc w:val="left"/>
              <w:rPr>
                <w:rFonts w:cs="Times New Roman"/>
              </w:rPr>
            </w:pPr>
            <w:r w:rsidRPr="0042140A">
              <w:rPr>
                <w:rFonts w:eastAsia="MS Mincho" w:cs="Times New Roman"/>
              </w:rPr>
              <w:t>Year</w:t>
            </w:r>
          </w:p>
        </w:tc>
        <w:tc>
          <w:tcPr>
            <w:tcW w:w="6841" w:type="dxa"/>
          </w:tcPr>
          <w:p w:rsidR="000E69A9" w:rsidRPr="0042140A" w:rsidRDefault="000E69A9" w:rsidP="000E69A9">
            <w:pPr>
              <w:spacing w:before="120" w:after="120"/>
              <w:jc w:val="left"/>
              <w:rPr>
                <w:rFonts w:cs="Times New Roman"/>
              </w:rPr>
            </w:pPr>
            <w:r w:rsidRPr="0042140A">
              <w:rPr>
                <w:rFonts w:eastAsia="MS Mincho" w:cs="Times New Roman"/>
              </w:rPr>
              <w:t>2017</w:t>
            </w:r>
          </w:p>
        </w:tc>
      </w:tr>
      <w:tr w:rsidR="000E69A9" w:rsidRPr="000E69A9" w:rsidTr="0091523E">
        <w:tc>
          <w:tcPr>
            <w:tcW w:w="2504" w:type="dxa"/>
          </w:tcPr>
          <w:p w:rsidR="000E69A9" w:rsidRPr="0042140A" w:rsidRDefault="000E69A9" w:rsidP="000E69A9">
            <w:pPr>
              <w:spacing w:before="120" w:after="120"/>
              <w:jc w:val="left"/>
              <w:rPr>
                <w:rFonts w:cs="Times New Roman"/>
              </w:rPr>
            </w:pPr>
            <w:r w:rsidRPr="0042140A">
              <w:rPr>
                <w:rFonts w:eastAsia="MS Mincho" w:cs="Times New Roman"/>
              </w:rPr>
              <w:t>Academic Advisor’s Name</w:t>
            </w:r>
          </w:p>
        </w:tc>
        <w:tc>
          <w:tcPr>
            <w:tcW w:w="6841" w:type="dxa"/>
            <w:vAlign w:val="center"/>
          </w:tcPr>
          <w:p w:rsidR="000E69A9" w:rsidRPr="0091523E" w:rsidRDefault="0091523E" w:rsidP="0091523E">
            <w:pPr>
              <w:autoSpaceDE w:val="0"/>
              <w:autoSpaceDN w:val="0"/>
              <w:adjustRightInd w:val="0"/>
              <w:spacing w:line="240" w:lineRule="auto"/>
              <w:contextualSpacing/>
              <w:jc w:val="left"/>
              <w:rPr>
                <w:rFonts w:ascii="TimesNewRomanPSMT" w:hAnsi="TimesNewRomanPSMT" w:cs="TimesNewRomanPSMT"/>
                <w:i/>
                <w:szCs w:val="24"/>
                <w:lang w:val="en-US"/>
              </w:rPr>
            </w:pPr>
            <w:r w:rsidRPr="00662E04">
              <w:rPr>
                <w:rFonts w:ascii="TimesNewRomanPSMT" w:hAnsi="TimesNewRomanPSMT" w:cs="TimesNewRomanPSMT"/>
                <w:i/>
                <w:szCs w:val="24"/>
                <w:lang w:val="en-US"/>
              </w:rPr>
              <w:t xml:space="preserve">Anna E. Loukianova </w:t>
            </w:r>
            <w:r>
              <w:rPr>
                <w:rFonts w:ascii="TimesNewRomanPSMT" w:hAnsi="TimesNewRomanPSMT" w:cs="TimesNewRomanPSMT"/>
                <w:i/>
                <w:szCs w:val="24"/>
                <w:lang w:val="en-US"/>
              </w:rPr>
              <w:t xml:space="preserve">, </w:t>
            </w:r>
            <w:r w:rsidRPr="00662E04">
              <w:rPr>
                <w:rFonts w:ascii="TimesNewRomanPSMT" w:hAnsi="TimesNewRomanPSMT" w:cs="TimesNewRomanPSMT"/>
                <w:i/>
                <w:szCs w:val="24"/>
                <w:lang w:val="en-US"/>
              </w:rPr>
              <w:t xml:space="preserve">Associate Professor </w:t>
            </w:r>
          </w:p>
        </w:tc>
      </w:tr>
      <w:tr w:rsidR="000E69A9" w:rsidRPr="000E69A9" w:rsidTr="000E69A9">
        <w:trPr>
          <w:trHeight w:val="2302"/>
        </w:trPr>
        <w:tc>
          <w:tcPr>
            <w:tcW w:w="2504" w:type="dxa"/>
          </w:tcPr>
          <w:p w:rsidR="000E69A9" w:rsidRPr="00963AAD" w:rsidRDefault="000E69A9" w:rsidP="000E69A9">
            <w:pPr>
              <w:spacing w:before="120" w:after="120"/>
              <w:jc w:val="left"/>
              <w:rPr>
                <w:rFonts w:cs="Times New Roman"/>
                <w:lang w:val="en-US"/>
              </w:rPr>
            </w:pPr>
            <w:r w:rsidRPr="00963AAD">
              <w:rPr>
                <w:rFonts w:cs="Times New Roman"/>
                <w:lang w:val="en-US"/>
              </w:rPr>
              <w:t>Description of the goal, task and main results</w:t>
            </w:r>
          </w:p>
        </w:tc>
        <w:tc>
          <w:tcPr>
            <w:tcW w:w="6841" w:type="dxa"/>
          </w:tcPr>
          <w:p w:rsidR="00693A04" w:rsidRDefault="00693A04" w:rsidP="00693A04">
            <w:pPr>
              <w:spacing w:line="240" w:lineRule="auto"/>
              <w:ind w:firstLine="567"/>
              <w:rPr>
                <w:rFonts w:cs="Times New Roman"/>
                <w:szCs w:val="24"/>
                <w:lang w:val="en-US"/>
              </w:rPr>
            </w:pPr>
            <w:r w:rsidRPr="007A769B">
              <w:rPr>
                <w:lang w:val="en-US"/>
              </w:rPr>
              <w:t xml:space="preserve">Oil and gas industry </w:t>
            </w:r>
            <w:r>
              <w:rPr>
                <w:lang w:val="en-US"/>
              </w:rPr>
              <w:t>is</w:t>
            </w:r>
            <w:r w:rsidRPr="007A769B">
              <w:rPr>
                <w:lang w:val="en-US"/>
              </w:rPr>
              <w:t xml:space="preserve"> </w:t>
            </w:r>
            <w:r>
              <w:rPr>
                <w:lang w:val="en-US"/>
              </w:rPr>
              <w:t>very</w:t>
            </w:r>
            <w:r w:rsidRPr="007A769B">
              <w:rPr>
                <w:lang w:val="en-US"/>
              </w:rPr>
              <w:t xml:space="preserve"> important for Russia’s economy</w:t>
            </w:r>
            <w:r w:rsidRPr="00125C88">
              <w:rPr>
                <w:lang w:val="en-US"/>
              </w:rPr>
              <w:t xml:space="preserve">. </w:t>
            </w:r>
            <w:r>
              <w:rPr>
                <w:lang w:val="en-US"/>
              </w:rPr>
              <w:t>I</w:t>
            </w:r>
            <w:r w:rsidR="0091523E" w:rsidRPr="00693A04">
              <w:rPr>
                <w:lang w:val="en-US"/>
              </w:rPr>
              <w:t>nvestment projects experience wide range of uncertainties</w:t>
            </w:r>
            <w:r>
              <w:rPr>
                <w:lang w:val="en-US"/>
              </w:rPr>
              <w:t xml:space="preserve">, </w:t>
            </w:r>
            <w:r w:rsidR="0091523E" w:rsidRPr="00693A04">
              <w:rPr>
                <w:lang w:val="en-US"/>
              </w:rPr>
              <w:t>include flexibilities and are actively managed during their lifespan</w:t>
            </w:r>
            <w:r w:rsidRPr="00693A04">
              <w:rPr>
                <w:lang w:val="en-US"/>
              </w:rPr>
              <w:t xml:space="preserve">. </w:t>
            </w:r>
            <w:r w:rsidR="0091523E" w:rsidRPr="00693A04">
              <w:rPr>
                <w:lang w:val="en-US"/>
              </w:rPr>
              <w:t xml:space="preserve">These projects are mostly </w:t>
            </w:r>
            <w:r w:rsidRPr="00693A04">
              <w:rPr>
                <w:lang w:val="en-US"/>
              </w:rPr>
              <w:t>evaluated with DCF, which</w:t>
            </w:r>
            <w:r w:rsidR="0091523E" w:rsidRPr="00693A04">
              <w:rPr>
                <w:rFonts w:cs="Times New Roman"/>
                <w:szCs w:val="24"/>
                <w:lang w:val="en-US"/>
              </w:rPr>
              <w:t xml:space="preserve"> assume passive management and tend to undervalue flexible projects under uncertainty</w:t>
            </w:r>
            <w:r w:rsidRPr="00693A04">
              <w:rPr>
                <w:rFonts w:cs="Times New Roman"/>
                <w:szCs w:val="24"/>
                <w:lang w:val="en-US"/>
              </w:rPr>
              <w:t xml:space="preserve">. </w:t>
            </w:r>
            <w:r>
              <w:rPr>
                <w:rFonts w:cs="Times New Roman"/>
                <w:szCs w:val="24"/>
                <w:lang w:val="en-US"/>
              </w:rPr>
              <w:t xml:space="preserve"> </w:t>
            </w:r>
            <w:r w:rsidR="0091523E">
              <w:rPr>
                <w:rFonts w:cs="Times New Roman"/>
                <w:szCs w:val="24"/>
                <w:lang w:val="en-US"/>
              </w:rPr>
              <w:t>Real options analysis allows to capture the value of built-in flexibilities and fulfill the assumption of active management under uncertainty and adjust the initial NPV estimation with this value.</w:t>
            </w:r>
            <w:r>
              <w:rPr>
                <w:rFonts w:cs="Times New Roman"/>
                <w:szCs w:val="24"/>
                <w:lang w:val="en-US"/>
              </w:rPr>
              <w:t xml:space="preserve"> </w:t>
            </w:r>
          </w:p>
          <w:p w:rsidR="000E69A9" w:rsidRDefault="0091523E" w:rsidP="00693A04">
            <w:pPr>
              <w:spacing w:line="240" w:lineRule="auto"/>
              <w:ind w:firstLine="567"/>
              <w:rPr>
                <w:lang w:val="en-US"/>
              </w:rPr>
            </w:pPr>
            <w:r>
              <w:rPr>
                <w:rFonts w:cs="Times New Roman"/>
                <w:szCs w:val="24"/>
                <w:lang w:val="en-US"/>
              </w:rPr>
              <w:t>Consequently, t</w:t>
            </w:r>
            <w:r w:rsidRPr="00527CD1">
              <w:rPr>
                <w:rFonts w:cs="Times New Roman"/>
                <w:szCs w:val="24"/>
                <w:lang w:val="en-US"/>
              </w:rPr>
              <w:t xml:space="preserve">he </w:t>
            </w:r>
            <w:r w:rsidRPr="00527CD1">
              <w:rPr>
                <w:rFonts w:cs="Times New Roman"/>
                <w:i/>
                <w:szCs w:val="24"/>
                <w:lang w:val="en-US"/>
              </w:rPr>
              <w:t>goal</w:t>
            </w:r>
            <w:r w:rsidRPr="00527CD1">
              <w:rPr>
                <w:rFonts w:cs="Times New Roman"/>
                <w:szCs w:val="24"/>
                <w:lang w:val="en-US"/>
              </w:rPr>
              <w:t xml:space="preserve"> of this thesis is to investigate application of </w:t>
            </w:r>
            <w:r>
              <w:rPr>
                <w:rFonts w:cs="Times New Roman"/>
                <w:szCs w:val="24"/>
                <w:lang w:val="en-US"/>
              </w:rPr>
              <w:t>real options analysis</w:t>
            </w:r>
            <w:r w:rsidRPr="00527CD1">
              <w:rPr>
                <w:rFonts w:cs="Times New Roman"/>
                <w:szCs w:val="24"/>
                <w:lang w:val="en-US"/>
              </w:rPr>
              <w:t xml:space="preserve"> to Russian oil and gas investment projects and provide an illustrative example of possible application.</w:t>
            </w:r>
            <w:r w:rsidR="00693A04">
              <w:rPr>
                <w:rFonts w:cs="Times New Roman"/>
                <w:szCs w:val="24"/>
                <w:lang w:val="en-US"/>
              </w:rPr>
              <w:t xml:space="preserve"> To achieve this, we d</w:t>
            </w:r>
            <w:r w:rsidRPr="0019295E">
              <w:rPr>
                <w:lang w:val="en-US"/>
              </w:rPr>
              <w:t>escribe commonly used project valuation models</w:t>
            </w:r>
            <w:r w:rsidR="00693A04">
              <w:rPr>
                <w:lang w:val="en-US"/>
              </w:rPr>
              <w:t>, a</w:t>
            </w:r>
            <w:r w:rsidRPr="0019295E">
              <w:rPr>
                <w:lang w:val="en-US"/>
              </w:rPr>
              <w:t xml:space="preserve">nalyze how </w:t>
            </w:r>
            <w:r>
              <w:rPr>
                <w:lang w:val="en-US"/>
              </w:rPr>
              <w:t>real options analysis</w:t>
            </w:r>
            <w:r w:rsidRPr="0019295E">
              <w:rPr>
                <w:lang w:val="en-US"/>
              </w:rPr>
              <w:t xml:space="preserve"> differs from traditional valuation techniques</w:t>
            </w:r>
            <w:r w:rsidR="00693A04">
              <w:rPr>
                <w:lang w:val="en-US"/>
              </w:rPr>
              <w:t>, d</w:t>
            </w:r>
            <w:r w:rsidRPr="0019295E">
              <w:rPr>
                <w:lang w:val="en-US"/>
              </w:rPr>
              <w:t xml:space="preserve">escribe specific features of </w:t>
            </w:r>
            <w:r>
              <w:rPr>
                <w:lang w:val="en-US"/>
              </w:rPr>
              <w:t>real options analysis</w:t>
            </w:r>
            <w:r w:rsidRPr="0019295E">
              <w:rPr>
                <w:lang w:val="en-US"/>
              </w:rPr>
              <w:t xml:space="preserve"> for oil and gas investment projects in Russia</w:t>
            </w:r>
            <w:r w:rsidR="00693A04">
              <w:rPr>
                <w:lang w:val="en-US"/>
              </w:rPr>
              <w:t xml:space="preserve"> and a</w:t>
            </w:r>
            <w:r w:rsidRPr="0019295E">
              <w:rPr>
                <w:lang w:val="en-US"/>
              </w:rPr>
              <w:t xml:space="preserve">nalyze how taking into account real options </w:t>
            </w:r>
            <w:r>
              <w:rPr>
                <w:lang w:val="en-US"/>
              </w:rPr>
              <w:t>can</w:t>
            </w:r>
            <w:r w:rsidRPr="0019295E">
              <w:rPr>
                <w:lang w:val="en-US"/>
              </w:rPr>
              <w:t xml:space="preserve"> influence decision making process on example of a specific case. </w:t>
            </w:r>
          </w:p>
          <w:p w:rsidR="00693A04" w:rsidRPr="00693A04" w:rsidRDefault="00693A04" w:rsidP="00693A04">
            <w:pPr>
              <w:spacing w:line="240" w:lineRule="auto"/>
              <w:ind w:firstLine="567"/>
              <w:rPr>
                <w:lang w:val="en-US"/>
              </w:rPr>
            </w:pPr>
            <w:r>
              <w:rPr>
                <w:lang w:val="en-US"/>
              </w:rPr>
              <w:t>Results of the analysis confirm that p</w:t>
            </w:r>
            <w:r w:rsidRPr="00693A04">
              <w:rPr>
                <w:lang w:val="en-US"/>
              </w:rPr>
              <w:t>rojects in oil and gas depend on</w:t>
            </w:r>
            <w:r>
              <w:rPr>
                <w:lang w:val="en-US"/>
              </w:rPr>
              <w:t xml:space="preserve"> numerous factors of uncertainty: economic, political, technical.</w:t>
            </w:r>
            <w:r w:rsidRPr="00693A04">
              <w:rPr>
                <w:lang w:val="en-US"/>
              </w:rPr>
              <w:t xml:space="preserve"> All types of uncertainties are stronger in Russian market if compared to developed countries.</w:t>
            </w:r>
            <w:r>
              <w:rPr>
                <w:lang w:val="en-US"/>
              </w:rPr>
              <w:t xml:space="preserve"> </w:t>
            </w:r>
            <w:r w:rsidRPr="00693A04">
              <w:rPr>
                <w:lang w:val="en-US"/>
              </w:rPr>
              <w:t>Application of real options analysis</w:t>
            </w:r>
            <w:r>
              <w:rPr>
                <w:lang w:val="en-US"/>
              </w:rPr>
              <w:t xml:space="preserve"> to a specific case</w:t>
            </w:r>
            <w:r w:rsidRPr="00693A04">
              <w:rPr>
                <w:lang w:val="en-US"/>
              </w:rPr>
              <w:t xml:space="preserve"> allowed to estimate the built-in flexibilities that turn out to have a significant influence on project value. It also contributed to formulation of risk management recommendations that increase the expected value of the project and decrease its risk.</w:t>
            </w:r>
          </w:p>
        </w:tc>
      </w:tr>
      <w:tr w:rsidR="000E69A9" w:rsidRPr="001755F6" w:rsidTr="000E69A9">
        <w:trPr>
          <w:trHeight w:val="77"/>
        </w:trPr>
        <w:tc>
          <w:tcPr>
            <w:tcW w:w="2504" w:type="dxa"/>
          </w:tcPr>
          <w:p w:rsidR="000E69A9" w:rsidRPr="00995D3D" w:rsidRDefault="000E69A9" w:rsidP="000E69A9">
            <w:pPr>
              <w:spacing w:before="120" w:after="120"/>
              <w:jc w:val="left"/>
              <w:rPr>
                <w:rFonts w:cs="Times New Roman"/>
                <w:lang w:val="en-US"/>
              </w:rPr>
            </w:pPr>
            <w:r w:rsidRPr="00995D3D">
              <w:rPr>
                <w:rFonts w:cs="Times New Roman"/>
                <w:lang w:val="en-US"/>
              </w:rPr>
              <w:t>Keywords</w:t>
            </w:r>
          </w:p>
        </w:tc>
        <w:tc>
          <w:tcPr>
            <w:tcW w:w="6841" w:type="dxa"/>
          </w:tcPr>
          <w:p w:rsidR="000E69A9" w:rsidRPr="00995D3D" w:rsidRDefault="001755F6" w:rsidP="001755F6">
            <w:pPr>
              <w:spacing w:before="120" w:after="120"/>
              <w:jc w:val="left"/>
              <w:rPr>
                <w:rFonts w:cs="Times New Roman"/>
                <w:lang w:val="en-US"/>
              </w:rPr>
            </w:pPr>
            <w:r>
              <w:rPr>
                <w:rFonts w:cs="Times New Roman"/>
                <w:lang w:val="en-US"/>
              </w:rPr>
              <w:t xml:space="preserve">Real options, oil and gas, valuation, risk management, </w:t>
            </w:r>
            <w:r w:rsidRPr="001755F6">
              <w:rPr>
                <w:rFonts w:cs="Times New Roman"/>
                <w:lang w:val="en-US"/>
              </w:rPr>
              <w:t xml:space="preserve">uncertainty, </w:t>
            </w:r>
            <w:r>
              <w:rPr>
                <w:rFonts w:cs="Times New Roman"/>
                <w:lang w:val="en-US"/>
              </w:rPr>
              <w:t>flexibility</w:t>
            </w:r>
            <w:r w:rsidR="001D5A93" w:rsidRPr="001D5A93">
              <w:rPr>
                <w:rFonts w:cs="Times New Roman"/>
                <w:lang w:val="en-US"/>
              </w:rPr>
              <w:t>,</w:t>
            </w:r>
            <w:r>
              <w:rPr>
                <w:rFonts w:cs="Times New Roman"/>
                <w:lang w:val="en-US"/>
              </w:rPr>
              <w:t xml:space="preserve"> </w:t>
            </w:r>
            <w:r w:rsidRPr="001755F6">
              <w:rPr>
                <w:rFonts w:cs="Times New Roman"/>
                <w:lang w:val="en-US"/>
              </w:rPr>
              <w:t>risk analysis, decision</w:t>
            </w:r>
            <w:r>
              <w:rPr>
                <w:rFonts w:cs="Times New Roman"/>
                <w:lang w:val="en-US"/>
              </w:rPr>
              <w:t xml:space="preserve"> </w:t>
            </w:r>
            <w:r w:rsidRPr="001755F6">
              <w:rPr>
                <w:rFonts w:cs="Times New Roman"/>
                <w:lang w:val="en-US"/>
              </w:rPr>
              <w:t>analysis</w:t>
            </w:r>
          </w:p>
        </w:tc>
      </w:tr>
    </w:tbl>
    <w:p w:rsidR="000E69A9" w:rsidRDefault="000E69A9">
      <w:pPr>
        <w:spacing w:line="259" w:lineRule="auto"/>
        <w:jc w:val="left"/>
        <w:rPr>
          <w:rFonts w:eastAsiaTheme="majorEastAsia" w:cs="Times New Roman"/>
          <w:b/>
          <w:caps/>
          <w:spacing w:val="10"/>
          <w:sz w:val="28"/>
          <w:szCs w:val="26"/>
          <w:lang w:val="en-US"/>
        </w:rPr>
      </w:pPr>
      <w:r w:rsidRPr="001755F6">
        <w:rPr>
          <w:lang w:val="en-US"/>
        </w:rPr>
        <w:br w:type="page"/>
      </w:r>
    </w:p>
    <w:p w:rsidR="00662E04" w:rsidRPr="00FF0C30" w:rsidRDefault="00662E04" w:rsidP="006501CF">
      <w:pPr>
        <w:pStyle w:val="1"/>
        <w:numPr>
          <w:ilvl w:val="0"/>
          <w:numId w:val="0"/>
        </w:numPr>
        <w:ind w:left="360" w:hanging="360"/>
      </w:pPr>
      <w:bookmarkStart w:id="6" w:name="_Toc484036295"/>
      <w:r>
        <w:lastRenderedPageBreak/>
        <w:t>List of Contents</w:t>
      </w:r>
      <w:bookmarkEnd w:id="0"/>
      <w:bookmarkEnd w:id="1"/>
      <w:bookmarkEnd w:id="2"/>
      <w:bookmarkEnd w:id="3"/>
      <w:bookmarkEnd w:id="4"/>
      <w:bookmarkEnd w:id="5"/>
      <w:bookmarkEnd w:id="6"/>
    </w:p>
    <w:p w:rsidR="009D60DD" w:rsidRDefault="00662E04" w:rsidP="009D60DD">
      <w:pPr>
        <w:pStyle w:val="11"/>
        <w:spacing w:line="276" w:lineRule="auto"/>
        <w:rPr>
          <w:rFonts w:asciiTheme="minorHAnsi" w:eastAsiaTheme="minorEastAsia" w:hAnsiTheme="minorHAnsi"/>
          <w:b w:val="0"/>
          <w:sz w:val="22"/>
          <w:lang w:eastAsia="ru-RU"/>
        </w:rPr>
      </w:pPr>
      <w:r>
        <w:rPr>
          <w:caps/>
        </w:rPr>
        <w:fldChar w:fldCharType="begin"/>
      </w:r>
      <w:r w:rsidRPr="009D60DD">
        <w:rPr>
          <w:caps/>
        </w:rPr>
        <w:instrText xml:space="preserve"> TOC \o "1-2" \h \z \u </w:instrText>
      </w:r>
      <w:r>
        <w:rPr>
          <w:caps/>
        </w:rPr>
        <w:fldChar w:fldCharType="separate"/>
      </w:r>
      <w:hyperlink w:anchor="_Toc484036295" w:history="1">
        <w:r w:rsidR="009D60DD" w:rsidRPr="00F95607">
          <w:rPr>
            <w:rStyle w:val="ae"/>
          </w:rPr>
          <w:t>List of Contents</w:t>
        </w:r>
        <w:r w:rsidR="009D60DD">
          <w:rPr>
            <w:webHidden/>
          </w:rPr>
          <w:tab/>
        </w:r>
        <w:r w:rsidR="009D60DD">
          <w:rPr>
            <w:webHidden/>
          </w:rPr>
          <w:fldChar w:fldCharType="begin"/>
        </w:r>
        <w:r w:rsidR="009D60DD">
          <w:rPr>
            <w:webHidden/>
          </w:rPr>
          <w:instrText xml:space="preserve"> PAGEREF _Toc484036295 \h </w:instrText>
        </w:r>
        <w:r w:rsidR="009D60DD">
          <w:rPr>
            <w:webHidden/>
          </w:rPr>
        </w:r>
        <w:r w:rsidR="009D60DD">
          <w:rPr>
            <w:webHidden/>
          </w:rPr>
          <w:fldChar w:fldCharType="separate"/>
        </w:r>
        <w:r w:rsidR="008324C6">
          <w:rPr>
            <w:webHidden/>
          </w:rPr>
          <w:t>6</w:t>
        </w:r>
        <w:r w:rsidR="009D60DD">
          <w:rPr>
            <w:webHidden/>
          </w:rPr>
          <w:fldChar w:fldCharType="end"/>
        </w:r>
      </w:hyperlink>
    </w:p>
    <w:p w:rsidR="009D60DD" w:rsidRDefault="009D60DD" w:rsidP="009D60DD">
      <w:pPr>
        <w:pStyle w:val="11"/>
        <w:spacing w:line="276" w:lineRule="auto"/>
        <w:rPr>
          <w:rFonts w:asciiTheme="minorHAnsi" w:eastAsiaTheme="minorEastAsia" w:hAnsiTheme="minorHAnsi"/>
          <w:b w:val="0"/>
          <w:sz w:val="22"/>
          <w:lang w:eastAsia="ru-RU"/>
        </w:rPr>
      </w:pPr>
      <w:hyperlink w:anchor="_Toc484036296" w:history="1">
        <w:r w:rsidRPr="00F95607">
          <w:rPr>
            <w:rStyle w:val="ae"/>
          </w:rPr>
          <w:t>Introduction</w:t>
        </w:r>
        <w:r>
          <w:rPr>
            <w:webHidden/>
          </w:rPr>
          <w:tab/>
        </w:r>
        <w:r>
          <w:rPr>
            <w:webHidden/>
          </w:rPr>
          <w:fldChar w:fldCharType="begin"/>
        </w:r>
        <w:r>
          <w:rPr>
            <w:webHidden/>
          </w:rPr>
          <w:instrText xml:space="preserve"> PAGEREF _Toc484036296 \h </w:instrText>
        </w:r>
        <w:r>
          <w:rPr>
            <w:webHidden/>
          </w:rPr>
        </w:r>
        <w:r>
          <w:rPr>
            <w:webHidden/>
          </w:rPr>
          <w:fldChar w:fldCharType="separate"/>
        </w:r>
        <w:r w:rsidR="008324C6">
          <w:rPr>
            <w:webHidden/>
          </w:rPr>
          <w:t>7</w:t>
        </w:r>
        <w:r>
          <w:rPr>
            <w:webHidden/>
          </w:rPr>
          <w:fldChar w:fldCharType="end"/>
        </w:r>
      </w:hyperlink>
    </w:p>
    <w:p w:rsidR="009D60DD" w:rsidRDefault="009D60DD" w:rsidP="009D60DD">
      <w:pPr>
        <w:pStyle w:val="11"/>
        <w:tabs>
          <w:tab w:val="left" w:pos="1320"/>
        </w:tabs>
        <w:spacing w:line="276" w:lineRule="auto"/>
        <w:rPr>
          <w:rFonts w:asciiTheme="minorHAnsi" w:eastAsiaTheme="minorEastAsia" w:hAnsiTheme="minorHAnsi"/>
          <w:b w:val="0"/>
          <w:sz w:val="22"/>
          <w:lang w:eastAsia="ru-RU"/>
        </w:rPr>
      </w:pPr>
      <w:hyperlink w:anchor="_Toc484036297" w:history="1">
        <w:r w:rsidRPr="00F95607">
          <w:rPr>
            <w:rStyle w:val="ae"/>
          </w:rPr>
          <w:t>Chapter 1.</w:t>
        </w:r>
        <w:r>
          <w:rPr>
            <w:rFonts w:asciiTheme="minorHAnsi" w:eastAsiaTheme="minorEastAsia" w:hAnsiTheme="minorHAnsi"/>
            <w:b w:val="0"/>
            <w:sz w:val="22"/>
            <w:lang w:eastAsia="ru-RU"/>
          </w:rPr>
          <w:tab/>
        </w:r>
        <w:r w:rsidRPr="00F95607">
          <w:rPr>
            <w:rStyle w:val="ae"/>
          </w:rPr>
          <w:t>Real options as a tool of investment project valuation</w:t>
        </w:r>
        <w:r>
          <w:rPr>
            <w:webHidden/>
          </w:rPr>
          <w:tab/>
        </w:r>
        <w:r>
          <w:rPr>
            <w:webHidden/>
          </w:rPr>
          <w:fldChar w:fldCharType="begin"/>
        </w:r>
        <w:r>
          <w:rPr>
            <w:webHidden/>
          </w:rPr>
          <w:instrText xml:space="preserve"> PAGEREF _Toc484036297 \h </w:instrText>
        </w:r>
        <w:r>
          <w:rPr>
            <w:webHidden/>
          </w:rPr>
        </w:r>
        <w:r>
          <w:rPr>
            <w:webHidden/>
          </w:rPr>
          <w:fldChar w:fldCharType="separate"/>
        </w:r>
        <w:r w:rsidR="008324C6">
          <w:rPr>
            <w:webHidden/>
          </w:rPr>
          <w:t>9</w:t>
        </w:r>
        <w:r>
          <w:rPr>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298" w:history="1">
        <w:r w:rsidRPr="00F95607">
          <w:rPr>
            <w:rStyle w:val="ae"/>
            <w:noProof/>
          </w:rPr>
          <w:t>Traditional valuation approach</w:t>
        </w:r>
        <w:r>
          <w:rPr>
            <w:noProof/>
            <w:webHidden/>
          </w:rPr>
          <w:tab/>
        </w:r>
        <w:r>
          <w:rPr>
            <w:noProof/>
            <w:webHidden/>
          </w:rPr>
          <w:fldChar w:fldCharType="begin"/>
        </w:r>
        <w:r>
          <w:rPr>
            <w:noProof/>
            <w:webHidden/>
          </w:rPr>
          <w:instrText xml:space="preserve"> PAGEREF _Toc484036298 \h </w:instrText>
        </w:r>
        <w:r>
          <w:rPr>
            <w:noProof/>
            <w:webHidden/>
          </w:rPr>
        </w:r>
        <w:r>
          <w:rPr>
            <w:noProof/>
            <w:webHidden/>
          </w:rPr>
          <w:fldChar w:fldCharType="separate"/>
        </w:r>
        <w:r w:rsidR="008324C6">
          <w:rPr>
            <w:noProof/>
            <w:webHidden/>
          </w:rPr>
          <w:t>9</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299" w:history="1">
        <w:r w:rsidRPr="00F95607">
          <w:rPr>
            <w:rStyle w:val="ae"/>
            <w:noProof/>
          </w:rPr>
          <w:t>Real Options</w:t>
        </w:r>
        <w:r>
          <w:rPr>
            <w:noProof/>
            <w:webHidden/>
          </w:rPr>
          <w:tab/>
        </w:r>
        <w:r>
          <w:rPr>
            <w:noProof/>
            <w:webHidden/>
          </w:rPr>
          <w:fldChar w:fldCharType="begin"/>
        </w:r>
        <w:r>
          <w:rPr>
            <w:noProof/>
            <w:webHidden/>
          </w:rPr>
          <w:instrText xml:space="preserve"> PAGEREF _Toc484036299 \h </w:instrText>
        </w:r>
        <w:r>
          <w:rPr>
            <w:noProof/>
            <w:webHidden/>
          </w:rPr>
        </w:r>
        <w:r>
          <w:rPr>
            <w:noProof/>
            <w:webHidden/>
          </w:rPr>
          <w:fldChar w:fldCharType="separate"/>
        </w:r>
        <w:r w:rsidR="008324C6">
          <w:rPr>
            <w:noProof/>
            <w:webHidden/>
          </w:rPr>
          <w:t>12</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00" w:history="1">
        <w:r w:rsidRPr="00F95607">
          <w:rPr>
            <w:rStyle w:val="ae"/>
            <w:noProof/>
          </w:rPr>
          <w:t>Application of real options</w:t>
        </w:r>
        <w:r>
          <w:rPr>
            <w:noProof/>
            <w:webHidden/>
          </w:rPr>
          <w:tab/>
        </w:r>
        <w:r>
          <w:rPr>
            <w:noProof/>
            <w:webHidden/>
          </w:rPr>
          <w:fldChar w:fldCharType="begin"/>
        </w:r>
        <w:r>
          <w:rPr>
            <w:noProof/>
            <w:webHidden/>
          </w:rPr>
          <w:instrText xml:space="preserve"> PAGEREF _Toc484036300 \h </w:instrText>
        </w:r>
        <w:r>
          <w:rPr>
            <w:noProof/>
            <w:webHidden/>
          </w:rPr>
        </w:r>
        <w:r>
          <w:rPr>
            <w:noProof/>
            <w:webHidden/>
          </w:rPr>
          <w:fldChar w:fldCharType="separate"/>
        </w:r>
        <w:r w:rsidR="008324C6">
          <w:rPr>
            <w:noProof/>
            <w:webHidden/>
          </w:rPr>
          <w:t>22</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01" w:history="1">
        <w:r w:rsidRPr="00F95607">
          <w:rPr>
            <w:rStyle w:val="ae"/>
            <w:noProof/>
          </w:rPr>
          <w:t>Chapter summary</w:t>
        </w:r>
        <w:r>
          <w:rPr>
            <w:noProof/>
            <w:webHidden/>
          </w:rPr>
          <w:tab/>
        </w:r>
        <w:r>
          <w:rPr>
            <w:noProof/>
            <w:webHidden/>
          </w:rPr>
          <w:fldChar w:fldCharType="begin"/>
        </w:r>
        <w:r>
          <w:rPr>
            <w:noProof/>
            <w:webHidden/>
          </w:rPr>
          <w:instrText xml:space="preserve"> PAGEREF _Toc484036301 \h </w:instrText>
        </w:r>
        <w:r>
          <w:rPr>
            <w:noProof/>
            <w:webHidden/>
          </w:rPr>
        </w:r>
        <w:r>
          <w:rPr>
            <w:noProof/>
            <w:webHidden/>
          </w:rPr>
          <w:fldChar w:fldCharType="separate"/>
        </w:r>
        <w:r w:rsidR="008324C6">
          <w:rPr>
            <w:noProof/>
            <w:webHidden/>
          </w:rPr>
          <w:t>24</w:t>
        </w:r>
        <w:r>
          <w:rPr>
            <w:noProof/>
            <w:webHidden/>
          </w:rPr>
          <w:fldChar w:fldCharType="end"/>
        </w:r>
      </w:hyperlink>
    </w:p>
    <w:p w:rsidR="009D60DD" w:rsidRDefault="009D60DD" w:rsidP="009D60DD">
      <w:pPr>
        <w:pStyle w:val="11"/>
        <w:tabs>
          <w:tab w:val="left" w:pos="1320"/>
        </w:tabs>
        <w:spacing w:line="276" w:lineRule="auto"/>
        <w:rPr>
          <w:rFonts w:asciiTheme="minorHAnsi" w:eastAsiaTheme="minorEastAsia" w:hAnsiTheme="minorHAnsi"/>
          <w:b w:val="0"/>
          <w:sz w:val="22"/>
          <w:lang w:eastAsia="ru-RU"/>
        </w:rPr>
      </w:pPr>
      <w:hyperlink w:anchor="_Toc484036302" w:history="1">
        <w:r w:rsidRPr="00F95607">
          <w:rPr>
            <w:rStyle w:val="ae"/>
          </w:rPr>
          <w:t>Chapter 2.</w:t>
        </w:r>
        <w:r>
          <w:rPr>
            <w:rFonts w:asciiTheme="minorHAnsi" w:eastAsiaTheme="minorEastAsia" w:hAnsiTheme="minorHAnsi"/>
            <w:b w:val="0"/>
            <w:sz w:val="22"/>
            <w:lang w:eastAsia="ru-RU"/>
          </w:rPr>
          <w:tab/>
        </w:r>
        <w:r w:rsidRPr="00F95607">
          <w:rPr>
            <w:rStyle w:val="ae"/>
          </w:rPr>
          <w:t>Real options theory applied to oil and gas projects</w:t>
        </w:r>
        <w:r>
          <w:rPr>
            <w:webHidden/>
          </w:rPr>
          <w:tab/>
        </w:r>
        <w:r>
          <w:rPr>
            <w:webHidden/>
          </w:rPr>
          <w:fldChar w:fldCharType="begin"/>
        </w:r>
        <w:r>
          <w:rPr>
            <w:webHidden/>
          </w:rPr>
          <w:instrText xml:space="preserve"> PAGEREF _Toc484036302 \h </w:instrText>
        </w:r>
        <w:r>
          <w:rPr>
            <w:webHidden/>
          </w:rPr>
        </w:r>
        <w:r>
          <w:rPr>
            <w:webHidden/>
          </w:rPr>
          <w:fldChar w:fldCharType="separate"/>
        </w:r>
        <w:r w:rsidR="008324C6">
          <w:rPr>
            <w:webHidden/>
          </w:rPr>
          <w:t>26</w:t>
        </w:r>
        <w:r>
          <w:rPr>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03" w:history="1">
        <w:r w:rsidRPr="00F95607">
          <w:rPr>
            <w:rStyle w:val="ae"/>
            <w:noProof/>
          </w:rPr>
          <w:t>Oil and gas projects in russia</w:t>
        </w:r>
        <w:r>
          <w:rPr>
            <w:noProof/>
            <w:webHidden/>
          </w:rPr>
          <w:tab/>
        </w:r>
        <w:r>
          <w:rPr>
            <w:noProof/>
            <w:webHidden/>
          </w:rPr>
          <w:fldChar w:fldCharType="begin"/>
        </w:r>
        <w:r>
          <w:rPr>
            <w:noProof/>
            <w:webHidden/>
          </w:rPr>
          <w:instrText xml:space="preserve"> PAGEREF _Toc484036303 \h </w:instrText>
        </w:r>
        <w:r>
          <w:rPr>
            <w:noProof/>
            <w:webHidden/>
          </w:rPr>
        </w:r>
        <w:r>
          <w:rPr>
            <w:noProof/>
            <w:webHidden/>
          </w:rPr>
          <w:fldChar w:fldCharType="separate"/>
        </w:r>
        <w:r w:rsidR="008324C6">
          <w:rPr>
            <w:noProof/>
            <w:webHidden/>
          </w:rPr>
          <w:t>26</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04" w:history="1">
        <w:r w:rsidRPr="00F95607">
          <w:rPr>
            <w:rStyle w:val="ae"/>
            <w:noProof/>
          </w:rPr>
          <w:t>Real options analysis algorithm</w:t>
        </w:r>
        <w:r>
          <w:rPr>
            <w:noProof/>
            <w:webHidden/>
          </w:rPr>
          <w:tab/>
        </w:r>
        <w:r>
          <w:rPr>
            <w:noProof/>
            <w:webHidden/>
          </w:rPr>
          <w:fldChar w:fldCharType="begin"/>
        </w:r>
        <w:r>
          <w:rPr>
            <w:noProof/>
            <w:webHidden/>
          </w:rPr>
          <w:instrText xml:space="preserve"> PAGEREF _Toc484036304 \h </w:instrText>
        </w:r>
        <w:r>
          <w:rPr>
            <w:noProof/>
            <w:webHidden/>
          </w:rPr>
        </w:r>
        <w:r>
          <w:rPr>
            <w:noProof/>
            <w:webHidden/>
          </w:rPr>
          <w:fldChar w:fldCharType="separate"/>
        </w:r>
        <w:r w:rsidR="008324C6">
          <w:rPr>
            <w:noProof/>
            <w:webHidden/>
          </w:rPr>
          <w:t>34</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05" w:history="1">
        <w:r w:rsidRPr="00F95607">
          <w:rPr>
            <w:rStyle w:val="ae"/>
            <w:noProof/>
          </w:rPr>
          <w:t>Chapter summary</w:t>
        </w:r>
        <w:r>
          <w:rPr>
            <w:noProof/>
            <w:webHidden/>
          </w:rPr>
          <w:tab/>
        </w:r>
        <w:r>
          <w:rPr>
            <w:noProof/>
            <w:webHidden/>
          </w:rPr>
          <w:fldChar w:fldCharType="begin"/>
        </w:r>
        <w:r>
          <w:rPr>
            <w:noProof/>
            <w:webHidden/>
          </w:rPr>
          <w:instrText xml:space="preserve"> PAGEREF _Toc484036305 \h </w:instrText>
        </w:r>
        <w:r>
          <w:rPr>
            <w:noProof/>
            <w:webHidden/>
          </w:rPr>
        </w:r>
        <w:r>
          <w:rPr>
            <w:noProof/>
            <w:webHidden/>
          </w:rPr>
          <w:fldChar w:fldCharType="separate"/>
        </w:r>
        <w:r w:rsidR="008324C6">
          <w:rPr>
            <w:noProof/>
            <w:webHidden/>
          </w:rPr>
          <w:t>40</w:t>
        </w:r>
        <w:r>
          <w:rPr>
            <w:noProof/>
            <w:webHidden/>
          </w:rPr>
          <w:fldChar w:fldCharType="end"/>
        </w:r>
      </w:hyperlink>
    </w:p>
    <w:p w:rsidR="009D60DD" w:rsidRDefault="009D60DD" w:rsidP="009D60DD">
      <w:pPr>
        <w:pStyle w:val="11"/>
        <w:tabs>
          <w:tab w:val="left" w:pos="1320"/>
        </w:tabs>
        <w:spacing w:line="276" w:lineRule="auto"/>
        <w:rPr>
          <w:rFonts w:asciiTheme="minorHAnsi" w:eastAsiaTheme="minorEastAsia" w:hAnsiTheme="minorHAnsi"/>
          <w:b w:val="0"/>
          <w:sz w:val="22"/>
          <w:lang w:eastAsia="ru-RU"/>
        </w:rPr>
      </w:pPr>
      <w:hyperlink w:anchor="_Toc484036306" w:history="1">
        <w:r w:rsidRPr="00F95607">
          <w:rPr>
            <w:rStyle w:val="ae"/>
          </w:rPr>
          <w:t>Chapter 3.</w:t>
        </w:r>
        <w:r>
          <w:rPr>
            <w:rFonts w:asciiTheme="minorHAnsi" w:eastAsiaTheme="minorEastAsia" w:hAnsiTheme="minorHAnsi"/>
            <w:b w:val="0"/>
            <w:sz w:val="22"/>
            <w:lang w:eastAsia="ru-RU"/>
          </w:rPr>
          <w:tab/>
        </w:r>
        <w:r w:rsidRPr="00F95607">
          <w:rPr>
            <w:rStyle w:val="ae"/>
          </w:rPr>
          <w:t>Case Study</w:t>
        </w:r>
        <w:r>
          <w:rPr>
            <w:webHidden/>
          </w:rPr>
          <w:tab/>
        </w:r>
        <w:r>
          <w:rPr>
            <w:webHidden/>
          </w:rPr>
          <w:fldChar w:fldCharType="begin"/>
        </w:r>
        <w:r>
          <w:rPr>
            <w:webHidden/>
          </w:rPr>
          <w:instrText xml:space="preserve"> PAGEREF _Toc484036306 \h </w:instrText>
        </w:r>
        <w:r>
          <w:rPr>
            <w:webHidden/>
          </w:rPr>
        </w:r>
        <w:r>
          <w:rPr>
            <w:webHidden/>
          </w:rPr>
          <w:fldChar w:fldCharType="separate"/>
        </w:r>
        <w:r w:rsidR="008324C6">
          <w:rPr>
            <w:webHidden/>
          </w:rPr>
          <w:t>42</w:t>
        </w:r>
        <w:r>
          <w:rPr>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07" w:history="1">
        <w:r w:rsidRPr="00F95607">
          <w:rPr>
            <w:rStyle w:val="ae"/>
            <w:noProof/>
          </w:rPr>
          <w:t>Project description</w:t>
        </w:r>
        <w:r>
          <w:rPr>
            <w:noProof/>
            <w:webHidden/>
          </w:rPr>
          <w:tab/>
        </w:r>
        <w:r>
          <w:rPr>
            <w:noProof/>
            <w:webHidden/>
          </w:rPr>
          <w:fldChar w:fldCharType="begin"/>
        </w:r>
        <w:r>
          <w:rPr>
            <w:noProof/>
            <w:webHidden/>
          </w:rPr>
          <w:instrText xml:space="preserve"> PAGEREF _Toc484036307 \h </w:instrText>
        </w:r>
        <w:r>
          <w:rPr>
            <w:noProof/>
            <w:webHidden/>
          </w:rPr>
        </w:r>
        <w:r>
          <w:rPr>
            <w:noProof/>
            <w:webHidden/>
          </w:rPr>
          <w:fldChar w:fldCharType="separate"/>
        </w:r>
        <w:r w:rsidR="008324C6">
          <w:rPr>
            <w:noProof/>
            <w:webHidden/>
          </w:rPr>
          <w:t>42</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08" w:history="1">
        <w:r w:rsidRPr="00F95607">
          <w:rPr>
            <w:rStyle w:val="ae"/>
            <w:noProof/>
            <w:lang w:eastAsia="ru-RU"/>
          </w:rPr>
          <w:t>Time series forecast</w:t>
        </w:r>
        <w:r>
          <w:rPr>
            <w:noProof/>
            <w:webHidden/>
          </w:rPr>
          <w:tab/>
        </w:r>
        <w:r>
          <w:rPr>
            <w:noProof/>
            <w:webHidden/>
          </w:rPr>
          <w:fldChar w:fldCharType="begin"/>
        </w:r>
        <w:r>
          <w:rPr>
            <w:noProof/>
            <w:webHidden/>
          </w:rPr>
          <w:instrText xml:space="preserve"> PAGEREF _Toc484036308 \h </w:instrText>
        </w:r>
        <w:r>
          <w:rPr>
            <w:noProof/>
            <w:webHidden/>
          </w:rPr>
        </w:r>
        <w:r>
          <w:rPr>
            <w:noProof/>
            <w:webHidden/>
          </w:rPr>
          <w:fldChar w:fldCharType="separate"/>
        </w:r>
        <w:r w:rsidR="008324C6">
          <w:rPr>
            <w:noProof/>
            <w:webHidden/>
          </w:rPr>
          <w:t>43</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09" w:history="1">
        <w:r w:rsidRPr="00F95607">
          <w:rPr>
            <w:rStyle w:val="ae"/>
            <w:noProof/>
            <w:lang w:eastAsia="ru-RU"/>
          </w:rPr>
          <w:t>Base case NPV model</w:t>
        </w:r>
        <w:r>
          <w:rPr>
            <w:noProof/>
            <w:webHidden/>
          </w:rPr>
          <w:tab/>
        </w:r>
        <w:r>
          <w:rPr>
            <w:noProof/>
            <w:webHidden/>
          </w:rPr>
          <w:fldChar w:fldCharType="begin"/>
        </w:r>
        <w:r>
          <w:rPr>
            <w:noProof/>
            <w:webHidden/>
          </w:rPr>
          <w:instrText xml:space="preserve"> PAGEREF _Toc484036309 \h </w:instrText>
        </w:r>
        <w:r>
          <w:rPr>
            <w:noProof/>
            <w:webHidden/>
          </w:rPr>
        </w:r>
        <w:r>
          <w:rPr>
            <w:noProof/>
            <w:webHidden/>
          </w:rPr>
          <w:fldChar w:fldCharType="separate"/>
        </w:r>
        <w:r w:rsidR="008324C6">
          <w:rPr>
            <w:noProof/>
            <w:webHidden/>
          </w:rPr>
          <w:t>44</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10" w:history="1">
        <w:r w:rsidRPr="00F95607">
          <w:rPr>
            <w:rStyle w:val="ae"/>
            <w:noProof/>
            <w:lang w:eastAsia="ru-RU"/>
          </w:rPr>
          <w:t>Monte Carlo simulation</w:t>
        </w:r>
        <w:r>
          <w:rPr>
            <w:noProof/>
            <w:webHidden/>
          </w:rPr>
          <w:tab/>
        </w:r>
        <w:r>
          <w:rPr>
            <w:noProof/>
            <w:webHidden/>
          </w:rPr>
          <w:fldChar w:fldCharType="begin"/>
        </w:r>
        <w:r>
          <w:rPr>
            <w:noProof/>
            <w:webHidden/>
          </w:rPr>
          <w:instrText xml:space="preserve"> PAGEREF _Toc484036310 \h </w:instrText>
        </w:r>
        <w:r>
          <w:rPr>
            <w:noProof/>
            <w:webHidden/>
          </w:rPr>
        </w:r>
        <w:r>
          <w:rPr>
            <w:noProof/>
            <w:webHidden/>
          </w:rPr>
          <w:fldChar w:fldCharType="separate"/>
        </w:r>
        <w:r w:rsidR="008324C6">
          <w:rPr>
            <w:noProof/>
            <w:webHidden/>
          </w:rPr>
          <w:t>52</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11" w:history="1">
        <w:r w:rsidRPr="00F95607">
          <w:rPr>
            <w:rStyle w:val="ae"/>
            <w:noProof/>
            <w:lang w:eastAsia="ru-RU"/>
          </w:rPr>
          <w:t>Description of real options</w:t>
        </w:r>
        <w:r>
          <w:rPr>
            <w:noProof/>
            <w:webHidden/>
          </w:rPr>
          <w:tab/>
        </w:r>
        <w:r>
          <w:rPr>
            <w:noProof/>
            <w:webHidden/>
          </w:rPr>
          <w:fldChar w:fldCharType="begin"/>
        </w:r>
        <w:r>
          <w:rPr>
            <w:noProof/>
            <w:webHidden/>
          </w:rPr>
          <w:instrText xml:space="preserve"> PAGEREF _Toc484036311 \h </w:instrText>
        </w:r>
        <w:r>
          <w:rPr>
            <w:noProof/>
            <w:webHidden/>
          </w:rPr>
        </w:r>
        <w:r>
          <w:rPr>
            <w:noProof/>
            <w:webHidden/>
          </w:rPr>
          <w:fldChar w:fldCharType="separate"/>
        </w:r>
        <w:r w:rsidR="008324C6">
          <w:rPr>
            <w:noProof/>
            <w:webHidden/>
          </w:rPr>
          <w:t>54</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12" w:history="1">
        <w:r w:rsidRPr="00F95607">
          <w:rPr>
            <w:rStyle w:val="ae"/>
            <w:noProof/>
            <w:lang w:eastAsia="ru-RU"/>
          </w:rPr>
          <w:t>Valuation of real options and adjustment of the base case NPV</w:t>
        </w:r>
        <w:r>
          <w:rPr>
            <w:noProof/>
            <w:webHidden/>
          </w:rPr>
          <w:tab/>
        </w:r>
        <w:r>
          <w:rPr>
            <w:noProof/>
            <w:webHidden/>
          </w:rPr>
          <w:fldChar w:fldCharType="begin"/>
        </w:r>
        <w:r>
          <w:rPr>
            <w:noProof/>
            <w:webHidden/>
          </w:rPr>
          <w:instrText xml:space="preserve"> PAGEREF _Toc484036312 \h </w:instrText>
        </w:r>
        <w:r>
          <w:rPr>
            <w:noProof/>
            <w:webHidden/>
          </w:rPr>
        </w:r>
        <w:r>
          <w:rPr>
            <w:noProof/>
            <w:webHidden/>
          </w:rPr>
          <w:fldChar w:fldCharType="separate"/>
        </w:r>
        <w:r w:rsidR="008324C6">
          <w:rPr>
            <w:noProof/>
            <w:webHidden/>
          </w:rPr>
          <w:t>55</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13" w:history="1">
        <w:r w:rsidRPr="00F95607">
          <w:rPr>
            <w:rStyle w:val="ae"/>
            <w:noProof/>
            <w:lang w:eastAsia="ru-RU"/>
          </w:rPr>
          <w:t>Formulating risk management recommendations</w:t>
        </w:r>
        <w:r>
          <w:rPr>
            <w:noProof/>
            <w:webHidden/>
          </w:rPr>
          <w:tab/>
        </w:r>
        <w:r>
          <w:rPr>
            <w:noProof/>
            <w:webHidden/>
          </w:rPr>
          <w:fldChar w:fldCharType="begin"/>
        </w:r>
        <w:r>
          <w:rPr>
            <w:noProof/>
            <w:webHidden/>
          </w:rPr>
          <w:instrText xml:space="preserve"> PAGEREF _Toc484036313 \h </w:instrText>
        </w:r>
        <w:r>
          <w:rPr>
            <w:noProof/>
            <w:webHidden/>
          </w:rPr>
        </w:r>
        <w:r>
          <w:rPr>
            <w:noProof/>
            <w:webHidden/>
          </w:rPr>
          <w:fldChar w:fldCharType="separate"/>
        </w:r>
        <w:r w:rsidR="008324C6">
          <w:rPr>
            <w:noProof/>
            <w:webHidden/>
          </w:rPr>
          <w:t>58</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14" w:history="1">
        <w:r w:rsidRPr="00F95607">
          <w:rPr>
            <w:rStyle w:val="ae"/>
            <w:noProof/>
          </w:rPr>
          <w:t>Chapter summary</w:t>
        </w:r>
        <w:r>
          <w:rPr>
            <w:noProof/>
            <w:webHidden/>
          </w:rPr>
          <w:tab/>
        </w:r>
        <w:r>
          <w:rPr>
            <w:noProof/>
            <w:webHidden/>
          </w:rPr>
          <w:fldChar w:fldCharType="begin"/>
        </w:r>
        <w:r>
          <w:rPr>
            <w:noProof/>
            <w:webHidden/>
          </w:rPr>
          <w:instrText xml:space="preserve"> PAGEREF _Toc484036314 \h </w:instrText>
        </w:r>
        <w:r>
          <w:rPr>
            <w:noProof/>
            <w:webHidden/>
          </w:rPr>
        </w:r>
        <w:r>
          <w:rPr>
            <w:noProof/>
            <w:webHidden/>
          </w:rPr>
          <w:fldChar w:fldCharType="separate"/>
        </w:r>
        <w:r w:rsidR="008324C6">
          <w:rPr>
            <w:noProof/>
            <w:webHidden/>
          </w:rPr>
          <w:t>59</w:t>
        </w:r>
        <w:r>
          <w:rPr>
            <w:noProof/>
            <w:webHidden/>
          </w:rPr>
          <w:fldChar w:fldCharType="end"/>
        </w:r>
      </w:hyperlink>
    </w:p>
    <w:p w:rsidR="009D60DD" w:rsidRDefault="009D60DD" w:rsidP="009D60DD">
      <w:pPr>
        <w:pStyle w:val="11"/>
        <w:spacing w:line="276" w:lineRule="auto"/>
        <w:rPr>
          <w:rFonts w:asciiTheme="minorHAnsi" w:eastAsiaTheme="minorEastAsia" w:hAnsiTheme="minorHAnsi"/>
          <w:b w:val="0"/>
          <w:sz w:val="22"/>
          <w:lang w:eastAsia="ru-RU"/>
        </w:rPr>
      </w:pPr>
      <w:hyperlink w:anchor="_Toc484036315" w:history="1">
        <w:r w:rsidRPr="00F95607">
          <w:rPr>
            <w:rStyle w:val="ae"/>
          </w:rPr>
          <w:t>Conclusion</w:t>
        </w:r>
        <w:r>
          <w:rPr>
            <w:webHidden/>
          </w:rPr>
          <w:tab/>
        </w:r>
        <w:r>
          <w:rPr>
            <w:webHidden/>
          </w:rPr>
          <w:fldChar w:fldCharType="begin"/>
        </w:r>
        <w:r>
          <w:rPr>
            <w:webHidden/>
          </w:rPr>
          <w:instrText xml:space="preserve"> PAGEREF _Toc484036315 \h </w:instrText>
        </w:r>
        <w:r>
          <w:rPr>
            <w:webHidden/>
          </w:rPr>
        </w:r>
        <w:r>
          <w:rPr>
            <w:webHidden/>
          </w:rPr>
          <w:fldChar w:fldCharType="separate"/>
        </w:r>
        <w:r w:rsidR="008324C6">
          <w:rPr>
            <w:webHidden/>
          </w:rPr>
          <w:t>61</w:t>
        </w:r>
        <w:r>
          <w:rPr>
            <w:webHidden/>
          </w:rPr>
          <w:fldChar w:fldCharType="end"/>
        </w:r>
      </w:hyperlink>
    </w:p>
    <w:p w:rsidR="009D60DD" w:rsidRDefault="009D60DD" w:rsidP="009D60DD">
      <w:pPr>
        <w:pStyle w:val="11"/>
        <w:spacing w:line="276" w:lineRule="auto"/>
        <w:rPr>
          <w:rFonts w:asciiTheme="minorHAnsi" w:eastAsiaTheme="minorEastAsia" w:hAnsiTheme="minorHAnsi"/>
          <w:b w:val="0"/>
          <w:sz w:val="22"/>
          <w:lang w:eastAsia="ru-RU"/>
        </w:rPr>
      </w:pPr>
      <w:hyperlink w:anchor="_Toc484036316" w:history="1">
        <w:r w:rsidRPr="00F95607">
          <w:rPr>
            <w:rStyle w:val="ae"/>
          </w:rPr>
          <w:t>Bibliography</w:t>
        </w:r>
        <w:r>
          <w:rPr>
            <w:webHidden/>
          </w:rPr>
          <w:tab/>
        </w:r>
        <w:r>
          <w:rPr>
            <w:webHidden/>
          </w:rPr>
          <w:fldChar w:fldCharType="begin"/>
        </w:r>
        <w:r>
          <w:rPr>
            <w:webHidden/>
          </w:rPr>
          <w:instrText xml:space="preserve"> PAGEREF _Toc484036316 \h </w:instrText>
        </w:r>
        <w:r>
          <w:rPr>
            <w:webHidden/>
          </w:rPr>
        </w:r>
        <w:r>
          <w:rPr>
            <w:webHidden/>
          </w:rPr>
          <w:fldChar w:fldCharType="separate"/>
        </w:r>
        <w:r w:rsidR="008324C6">
          <w:rPr>
            <w:webHidden/>
          </w:rPr>
          <w:t>63</w:t>
        </w:r>
        <w:r>
          <w:rPr>
            <w:webHidden/>
          </w:rPr>
          <w:fldChar w:fldCharType="end"/>
        </w:r>
      </w:hyperlink>
    </w:p>
    <w:p w:rsidR="009D60DD" w:rsidRDefault="009D60DD" w:rsidP="009D60DD">
      <w:pPr>
        <w:pStyle w:val="11"/>
        <w:spacing w:line="276" w:lineRule="auto"/>
        <w:rPr>
          <w:rFonts w:asciiTheme="minorHAnsi" w:eastAsiaTheme="minorEastAsia" w:hAnsiTheme="minorHAnsi"/>
          <w:b w:val="0"/>
          <w:sz w:val="22"/>
          <w:lang w:eastAsia="ru-RU"/>
        </w:rPr>
      </w:pPr>
      <w:hyperlink w:anchor="_Toc484036317" w:history="1">
        <w:r w:rsidRPr="00F95607">
          <w:rPr>
            <w:rStyle w:val="ae"/>
          </w:rPr>
          <w:t>List of figures</w:t>
        </w:r>
        <w:r>
          <w:rPr>
            <w:webHidden/>
          </w:rPr>
          <w:tab/>
        </w:r>
        <w:r>
          <w:rPr>
            <w:webHidden/>
          </w:rPr>
          <w:fldChar w:fldCharType="begin"/>
        </w:r>
        <w:r>
          <w:rPr>
            <w:webHidden/>
          </w:rPr>
          <w:instrText xml:space="preserve"> PAGEREF _Toc484036317 \h </w:instrText>
        </w:r>
        <w:r>
          <w:rPr>
            <w:webHidden/>
          </w:rPr>
        </w:r>
        <w:r>
          <w:rPr>
            <w:webHidden/>
          </w:rPr>
          <w:fldChar w:fldCharType="separate"/>
        </w:r>
        <w:r w:rsidR="008324C6">
          <w:rPr>
            <w:webHidden/>
          </w:rPr>
          <w:t>65</w:t>
        </w:r>
        <w:r>
          <w:rPr>
            <w:webHidden/>
          </w:rPr>
          <w:fldChar w:fldCharType="end"/>
        </w:r>
      </w:hyperlink>
    </w:p>
    <w:p w:rsidR="009D60DD" w:rsidRDefault="009D60DD" w:rsidP="009D60DD">
      <w:pPr>
        <w:pStyle w:val="11"/>
        <w:spacing w:line="276" w:lineRule="auto"/>
        <w:rPr>
          <w:rFonts w:asciiTheme="minorHAnsi" w:eastAsiaTheme="minorEastAsia" w:hAnsiTheme="minorHAnsi"/>
          <w:b w:val="0"/>
          <w:sz w:val="22"/>
          <w:lang w:eastAsia="ru-RU"/>
        </w:rPr>
      </w:pPr>
      <w:hyperlink w:anchor="_Toc484036318" w:history="1">
        <w:r w:rsidRPr="00F95607">
          <w:rPr>
            <w:rStyle w:val="ae"/>
          </w:rPr>
          <w:t>Appendices</w:t>
        </w:r>
        <w:r>
          <w:rPr>
            <w:webHidden/>
          </w:rPr>
          <w:tab/>
        </w:r>
        <w:r>
          <w:rPr>
            <w:webHidden/>
          </w:rPr>
          <w:fldChar w:fldCharType="begin"/>
        </w:r>
        <w:r>
          <w:rPr>
            <w:webHidden/>
          </w:rPr>
          <w:instrText xml:space="preserve"> PAGEREF _Toc484036318 \h </w:instrText>
        </w:r>
        <w:r>
          <w:rPr>
            <w:webHidden/>
          </w:rPr>
        </w:r>
        <w:r>
          <w:rPr>
            <w:webHidden/>
          </w:rPr>
          <w:fldChar w:fldCharType="separate"/>
        </w:r>
        <w:r w:rsidR="008324C6">
          <w:rPr>
            <w:webHidden/>
          </w:rPr>
          <w:t>66</w:t>
        </w:r>
        <w:r>
          <w:rPr>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19" w:history="1">
        <w:r w:rsidRPr="00F95607">
          <w:rPr>
            <w:rStyle w:val="ae"/>
            <w:noProof/>
          </w:rPr>
          <w:t>Appendix 1. Full lattice for Option to abandon</w:t>
        </w:r>
        <w:r>
          <w:rPr>
            <w:noProof/>
            <w:webHidden/>
          </w:rPr>
          <w:tab/>
        </w:r>
        <w:r>
          <w:rPr>
            <w:noProof/>
            <w:webHidden/>
          </w:rPr>
          <w:fldChar w:fldCharType="begin"/>
        </w:r>
        <w:r>
          <w:rPr>
            <w:noProof/>
            <w:webHidden/>
          </w:rPr>
          <w:instrText xml:space="preserve"> PAGEREF _Toc484036319 \h </w:instrText>
        </w:r>
        <w:r>
          <w:rPr>
            <w:noProof/>
            <w:webHidden/>
          </w:rPr>
        </w:r>
        <w:r>
          <w:rPr>
            <w:noProof/>
            <w:webHidden/>
          </w:rPr>
          <w:fldChar w:fldCharType="separate"/>
        </w:r>
        <w:r w:rsidR="008324C6">
          <w:rPr>
            <w:noProof/>
            <w:webHidden/>
          </w:rPr>
          <w:t>66</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20" w:history="1">
        <w:r w:rsidRPr="00F95607">
          <w:rPr>
            <w:rStyle w:val="ae"/>
            <w:noProof/>
          </w:rPr>
          <w:t>Appendix 2. Option to wait</w:t>
        </w:r>
        <w:r>
          <w:rPr>
            <w:noProof/>
            <w:webHidden/>
          </w:rPr>
          <w:tab/>
        </w:r>
        <w:r>
          <w:rPr>
            <w:noProof/>
            <w:webHidden/>
          </w:rPr>
          <w:fldChar w:fldCharType="begin"/>
        </w:r>
        <w:r>
          <w:rPr>
            <w:noProof/>
            <w:webHidden/>
          </w:rPr>
          <w:instrText xml:space="preserve"> PAGEREF _Toc484036320 \h </w:instrText>
        </w:r>
        <w:r>
          <w:rPr>
            <w:noProof/>
            <w:webHidden/>
          </w:rPr>
        </w:r>
        <w:r>
          <w:rPr>
            <w:noProof/>
            <w:webHidden/>
          </w:rPr>
          <w:fldChar w:fldCharType="separate"/>
        </w:r>
        <w:r w:rsidR="008324C6">
          <w:rPr>
            <w:noProof/>
            <w:webHidden/>
          </w:rPr>
          <w:t>67</w:t>
        </w:r>
        <w:r>
          <w:rPr>
            <w:noProof/>
            <w:webHidden/>
          </w:rPr>
          <w:fldChar w:fldCharType="end"/>
        </w:r>
      </w:hyperlink>
    </w:p>
    <w:p w:rsid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21" w:history="1">
        <w:r w:rsidRPr="00F95607">
          <w:rPr>
            <w:rStyle w:val="ae"/>
            <w:noProof/>
          </w:rPr>
          <w:t>Appendix 3. DCF Model</w:t>
        </w:r>
        <w:r>
          <w:rPr>
            <w:noProof/>
            <w:webHidden/>
          </w:rPr>
          <w:tab/>
        </w:r>
        <w:r>
          <w:rPr>
            <w:noProof/>
            <w:webHidden/>
          </w:rPr>
          <w:fldChar w:fldCharType="begin"/>
        </w:r>
        <w:r>
          <w:rPr>
            <w:noProof/>
            <w:webHidden/>
          </w:rPr>
          <w:instrText xml:space="preserve"> PAGEREF _Toc484036321 \h </w:instrText>
        </w:r>
        <w:r>
          <w:rPr>
            <w:noProof/>
            <w:webHidden/>
          </w:rPr>
        </w:r>
        <w:r>
          <w:rPr>
            <w:noProof/>
            <w:webHidden/>
          </w:rPr>
          <w:fldChar w:fldCharType="separate"/>
        </w:r>
        <w:r w:rsidR="008324C6">
          <w:rPr>
            <w:noProof/>
            <w:webHidden/>
          </w:rPr>
          <w:t>68</w:t>
        </w:r>
        <w:r>
          <w:rPr>
            <w:noProof/>
            <w:webHidden/>
          </w:rPr>
          <w:fldChar w:fldCharType="end"/>
        </w:r>
      </w:hyperlink>
    </w:p>
    <w:p w:rsidR="009D60DD" w:rsidRPr="009D60DD" w:rsidRDefault="009D60DD" w:rsidP="009D60DD">
      <w:pPr>
        <w:pStyle w:val="21"/>
        <w:tabs>
          <w:tab w:val="right" w:leader="dot" w:pos="9345"/>
        </w:tabs>
        <w:spacing w:line="276" w:lineRule="auto"/>
        <w:rPr>
          <w:rFonts w:asciiTheme="minorHAnsi" w:eastAsiaTheme="minorEastAsia" w:hAnsiTheme="minorHAnsi"/>
          <w:noProof/>
          <w:sz w:val="22"/>
          <w:lang w:eastAsia="ru-RU"/>
        </w:rPr>
      </w:pPr>
      <w:hyperlink w:anchor="_Toc484036322" w:history="1">
        <w:r w:rsidRPr="00F95607">
          <w:rPr>
            <w:rStyle w:val="ae"/>
            <w:noProof/>
          </w:rPr>
          <w:t>Appendix 4. Inputs</w:t>
        </w:r>
        <w:r>
          <w:rPr>
            <w:noProof/>
            <w:webHidden/>
          </w:rPr>
          <w:tab/>
        </w:r>
        <w:r>
          <w:rPr>
            <w:noProof/>
            <w:webHidden/>
          </w:rPr>
          <w:fldChar w:fldCharType="begin"/>
        </w:r>
        <w:r>
          <w:rPr>
            <w:noProof/>
            <w:webHidden/>
          </w:rPr>
          <w:instrText xml:space="preserve"> PAGEREF _Toc484036322 \h </w:instrText>
        </w:r>
        <w:r>
          <w:rPr>
            <w:noProof/>
            <w:webHidden/>
          </w:rPr>
        </w:r>
        <w:r>
          <w:rPr>
            <w:noProof/>
            <w:webHidden/>
          </w:rPr>
          <w:fldChar w:fldCharType="separate"/>
        </w:r>
        <w:r w:rsidR="008324C6">
          <w:rPr>
            <w:noProof/>
            <w:webHidden/>
          </w:rPr>
          <w:t>69</w:t>
        </w:r>
        <w:r>
          <w:rPr>
            <w:noProof/>
            <w:webHidden/>
          </w:rPr>
          <w:fldChar w:fldCharType="end"/>
        </w:r>
      </w:hyperlink>
      <w:r w:rsidR="00662E04">
        <w:rPr>
          <w:caps/>
          <w:noProof/>
        </w:rPr>
        <w:fldChar w:fldCharType="end"/>
      </w:r>
    </w:p>
    <w:p w:rsidR="009D60DD" w:rsidRDefault="009D60DD">
      <w:pPr>
        <w:spacing w:line="259" w:lineRule="auto"/>
        <w:jc w:val="left"/>
        <w:rPr>
          <w:caps/>
          <w:noProof/>
        </w:rPr>
      </w:pPr>
      <w:r>
        <w:rPr>
          <w:caps/>
          <w:noProof/>
        </w:rPr>
        <w:br w:type="page"/>
      </w:r>
    </w:p>
    <w:p w:rsidR="009D60DD" w:rsidRPr="009D60DD" w:rsidRDefault="009D60DD" w:rsidP="009D60DD">
      <w:pPr>
        <w:pStyle w:val="1"/>
        <w:numPr>
          <w:ilvl w:val="0"/>
          <w:numId w:val="0"/>
        </w:numPr>
        <w:ind w:left="360" w:hanging="360"/>
      </w:pPr>
      <w:bookmarkStart w:id="7" w:name="_Toc484036296"/>
      <w:r w:rsidRPr="009D60DD">
        <w:lastRenderedPageBreak/>
        <w:t>Introduction</w:t>
      </w:r>
      <w:bookmarkEnd w:id="7"/>
    </w:p>
    <w:p w:rsidR="00174E9B" w:rsidRDefault="009E4BDA" w:rsidP="009D60DD">
      <w:pPr>
        <w:rPr>
          <w:lang w:val="en-US"/>
        </w:rPr>
      </w:pPr>
      <w:r w:rsidRPr="007A769B">
        <w:rPr>
          <w:lang w:val="en-US"/>
        </w:rPr>
        <w:t>Russia is the world’s largest hydrocarbon producer, producing 15% of total hydrocarbons</w:t>
      </w:r>
      <w:r>
        <w:rPr>
          <w:lang w:val="en-US"/>
        </w:rPr>
        <w:t xml:space="preserve"> </w:t>
      </w:r>
      <w:r w:rsidRPr="007A769B">
        <w:rPr>
          <w:lang w:val="en-US"/>
        </w:rPr>
        <w:t xml:space="preserve">on a combined </w:t>
      </w:r>
      <w:r>
        <w:rPr>
          <w:lang w:val="en-US"/>
        </w:rPr>
        <w:t xml:space="preserve">oil and gas </w:t>
      </w:r>
      <w:r w:rsidRPr="007A769B">
        <w:rPr>
          <w:lang w:val="en-US"/>
        </w:rPr>
        <w:t xml:space="preserve">basis. Russia produces 12.8% of global </w:t>
      </w:r>
      <w:r w:rsidR="007A75A6" w:rsidRPr="007A769B">
        <w:rPr>
          <w:lang w:val="en-US"/>
        </w:rPr>
        <w:t xml:space="preserve">oil </w:t>
      </w:r>
      <w:r w:rsidR="007A75A6">
        <w:rPr>
          <w:lang w:val="en-US"/>
        </w:rPr>
        <w:t>ranking</w:t>
      </w:r>
      <w:r w:rsidRPr="007A769B">
        <w:rPr>
          <w:lang w:val="en-US"/>
        </w:rPr>
        <w:t xml:space="preserve"> second in terms of</w:t>
      </w:r>
      <w:r>
        <w:rPr>
          <w:lang w:val="en-US"/>
        </w:rPr>
        <w:t xml:space="preserve"> </w:t>
      </w:r>
      <w:r w:rsidRPr="007A769B">
        <w:rPr>
          <w:lang w:val="en-US"/>
        </w:rPr>
        <w:t>global</w:t>
      </w:r>
      <w:r>
        <w:rPr>
          <w:lang w:val="en-US"/>
        </w:rPr>
        <w:t xml:space="preserve"> production after Saudi </w:t>
      </w:r>
      <w:r w:rsidR="007A75A6">
        <w:rPr>
          <w:lang w:val="en-US"/>
        </w:rPr>
        <w:t>Arabia</w:t>
      </w:r>
      <w:r w:rsidR="007A75A6" w:rsidRPr="007A769B">
        <w:rPr>
          <w:lang w:val="en-US"/>
        </w:rPr>
        <w:t xml:space="preserve"> </w:t>
      </w:r>
      <w:r w:rsidR="007A75A6">
        <w:rPr>
          <w:lang w:val="en-US"/>
        </w:rPr>
        <w:t>and</w:t>
      </w:r>
      <w:r w:rsidRPr="007A769B">
        <w:rPr>
          <w:lang w:val="en-US"/>
        </w:rPr>
        <w:t xml:space="preserve"> 17.6% of global gas, making it the world’s second-largest gas producer after the US</w:t>
      </w:r>
      <w:r>
        <w:rPr>
          <w:lang w:val="en-US"/>
        </w:rPr>
        <w:t>.</w:t>
      </w:r>
      <w:r w:rsidR="00FA58D0">
        <w:rPr>
          <w:lang w:val="en-US"/>
        </w:rPr>
        <w:t xml:space="preserve"> </w:t>
      </w:r>
    </w:p>
    <w:p w:rsidR="009E4BDA" w:rsidRDefault="009E4BDA" w:rsidP="00FA58D0">
      <w:pPr>
        <w:rPr>
          <w:lang w:val="en-US"/>
        </w:rPr>
      </w:pPr>
      <w:r w:rsidRPr="007A769B">
        <w:rPr>
          <w:lang w:val="en-US"/>
        </w:rPr>
        <w:t xml:space="preserve">Oil and gas industry </w:t>
      </w:r>
      <w:r w:rsidR="00FA58D0">
        <w:rPr>
          <w:lang w:val="en-US"/>
        </w:rPr>
        <w:t>is</w:t>
      </w:r>
      <w:r w:rsidRPr="007A769B">
        <w:rPr>
          <w:lang w:val="en-US"/>
        </w:rPr>
        <w:t xml:space="preserve"> </w:t>
      </w:r>
      <w:r w:rsidR="00FA58D0">
        <w:rPr>
          <w:lang w:val="en-US"/>
        </w:rPr>
        <w:t>very</w:t>
      </w:r>
      <w:r w:rsidRPr="007A769B">
        <w:rPr>
          <w:lang w:val="en-US"/>
        </w:rPr>
        <w:t xml:space="preserve"> important for Russia’s economy</w:t>
      </w:r>
      <w:r w:rsidRPr="00125C88">
        <w:rPr>
          <w:lang w:val="en-US"/>
        </w:rPr>
        <w:t>. Before Ukrainian crisis of 2014</w:t>
      </w:r>
      <w:r>
        <w:rPr>
          <w:lang w:val="en-US"/>
        </w:rPr>
        <w:t>,</w:t>
      </w:r>
      <w:r w:rsidRPr="007A769B">
        <w:rPr>
          <w:lang w:val="en-US"/>
        </w:rPr>
        <w:t xml:space="preserve"> the sector accounted for</w:t>
      </w:r>
      <w:r>
        <w:rPr>
          <w:lang w:val="en-US"/>
        </w:rPr>
        <w:t xml:space="preserve"> </w:t>
      </w:r>
      <w:r w:rsidRPr="007A769B">
        <w:rPr>
          <w:lang w:val="en-US"/>
        </w:rPr>
        <w:t>28% of Russia’s GDP, 67% of the country’s exports and 56% of total revenues of the federal budget.</w:t>
      </w:r>
      <w:r w:rsidR="00730F0C">
        <w:rPr>
          <w:lang w:val="en-US"/>
        </w:rPr>
        <w:t xml:space="preserve"> </w:t>
      </w:r>
      <w:r w:rsidR="00730F0C">
        <w:rPr>
          <w:lang w:val="en-US"/>
        </w:rPr>
        <w:fldChar w:fldCharType="begin" w:fldLock="1"/>
      </w:r>
      <w:r w:rsidR="008F1F91">
        <w:rPr>
          <w:lang w:val="en-US"/>
        </w:rPr>
        <w:instrText>ADDIN CSL_CITATION { "citationItems" : [ { "id" : "ITEM-1", "itemData" : { "author" : [ { "dropping-particle" : "", "family" : "Nazarov", "given" : "Alexander", "non-dropping-particle" : "", "parse-names" : false, "suffix" : "" }, { "dropping-particle" : "", "family" : "Khromushin", "given" : "Ivan", "non-dropping-particle" : "", "parse-names" : false, "suffix" : "" }, { "dropping-particle" : "", "family" : "Dorokhov", "given" : "Alexey", "non-dropping-particle" : "", "parse-names" : false, "suffix" : "" }, { "dropping-particle" : "", "family" : "Zinovyeva", "given" : "Ekaterina", "non-dropping-particle" : "", "parse-names" : false, "suffix" : "" }, { "dropping-particle" : "", "family" : "Tulinov", "given" : "Yury", "non-dropping-particle" : "", "parse-names" : false, "suffix" : "" }, { "dropping-particle" : "", "family" : "DePoy", "given" : "Erik", "non-dropping-particle" : "", "parse-names" : false, "suffix" : "" } ], "container-title" : "Gazprombank Industry Update", "id" : "ITEM-1", "issue" : "June", "issued" : { "date-parts" : [ [ "2014" ] ] }, "number-of-pages" : "1-41", "publisher-place" : "Moscow", "title" : "Russian Oil and Gas. Basic industry overview", "type" : "report" }, "uris" : [ "http://www.mendeley.com/documents/?uuid=eb0314eb-c28b-437c-9bf6-63f002d00622" ] } ], "mendeley" : { "formattedCitation" : "(Nazarov, Khromushin, Dorokhov, Zinovyeva, et al. 2014)", "plainTextFormattedCitation" : "(Nazarov, Khromushin, Dorokhov, Zinovyeva, et al. 2014)", "previouslyFormattedCitation" : "(Nazarov, Khromushin, Dorokhov, Zinovyeva, et al. 2014)" }, "properties" : { "noteIndex" : 0 }, "schema" : "https://github.com/citation-style-language/schema/raw/master/csl-citation.json" }</w:instrText>
      </w:r>
      <w:r w:rsidR="00730F0C">
        <w:rPr>
          <w:lang w:val="en-US"/>
        </w:rPr>
        <w:fldChar w:fldCharType="separate"/>
      </w:r>
      <w:r w:rsidR="00587F48" w:rsidRPr="00587F48">
        <w:rPr>
          <w:noProof/>
          <w:lang w:val="en-US"/>
        </w:rPr>
        <w:t>(Nazarov, Khromushin, Dorokhov, Zinovyeva, et al. 2014)</w:t>
      </w:r>
      <w:r w:rsidR="00730F0C">
        <w:rPr>
          <w:lang w:val="en-US"/>
        </w:rPr>
        <w:fldChar w:fldCharType="end"/>
      </w:r>
    </w:p>
    <w:p w:rsidR="007A75A6" w:rsidRDefault="00F54882" w:rsidP="00FA58D0">
      <w:pPr>
        <w:rPr>
          <w:lang w:val="en-US"/>
        </w:rPr>
      </w:pPr>
      <w:r w:rsidRPr="00F54882">
        <w:rPr>
          <w:i/>
          <w:lang w:val="en-US"/>
        </w:rPr>
        <w:t>Investors face problem of valuation of oil and gas projects, which is connected to the decision making process on participating or rejecting the project</w:t>
      </w:r>
      <w:r>
        <w:rPr>
          <w:lang w:val="en-US"/>
        </w:rPr>
        <w:t xml:space="preserve"> </w:t>
      </w:r>
      <w:r w:rsidRPr="00527CD1">
        <w:rPr>
          <w:i/>
          <w:lang w:val="en-US"/>
        </w:rPr>
        <w:t>and is more-in-detail described below.</w:t>
      </w:r>
    </w:p>
    <w:p w:rsidR="00174E9B" w:rsidRDefault="00174E9B" w:rsidP="00FA58D0">
      <w:pPr>
        <w:rPr>
          <w:lang w:val="en-US"/>
        </w:rPr>
      </w:pPr>
      <w:r>
        <w:rPr>
          <w:lang w:val="en-US"/>
        </w:rPr>
        <w:t xml:space="preserve">Oil and gas investment projects are capital intensive and usually have a planning horizon of several decades. </w:t>
      </w:r>
      <w:r w:rsidR="00FA58D0" w:rsidRPr="00FA58D0">
        <w:rPr>
          <w:lang w:val="en-US"/>
        </w:rPr>
        <w:t xml:space="preserve">Due to long lifespan </w:t>
      </w:r>
      <w:r w:rsidR="00FA58D0">
        <w:rPr>
          <w:lang w:val="en-US"/>
        </w:rPr>
        <w:t>o</w:t>
      </w:r>
      <w:r w:rsidR="00FA58D0" w:rsidRPr="00FA58D0">
        <w:rPr>
          <w:lang w:val="en-US"/>
        </w:rPr>
        <w:t xml:space="preserve">il and gas investment projects </w:t>
      </w:r>
      <w:r>
        <w:rPr>
          <w:lang w:val="en-US"/>
        </w:rPr>
        <w:t xml:space="preserve">experience </w:t>
      </w:r>
      <w:r w:rsidR="00FA58D0" w:rsidRPr="00FA58D0">
        <w:rPr>
          <w:lang w:val="en-US"/>
        </w:rPr>
        <w:t xml:space="preserve">severe </w:t>
      </w:r>
      <w:r w:rsidR="00FA58D0" w:rsidRPr="00FA58D0">
        <w:rPr>
          <w:i/>
          <w:lang w:val="en-US"/>
        </w:rPr>
        <w:t>uncertainties</w:t>
      </w:r>
      <w:r w:rsidR="00FA58D0" w:rsidRPr="00FA58D0">
        <w:rPr>
          <w:lang w:val="en-US"/>
        </w:rPr>
        <w:t xml:space="preserve"> in external environment </w:t>
      </w:r>
      <w:r w:rsidR="00FA58D0">
        <w:rPr>
          <w:lang w:val="en-US"/>
        </w:rPr>
        <w:t>(</w:t>
      </w:r>
      <w:r w:rsidR="00FA58D0" w:rsidRPr="00FA58D0">
        <w:rPr>
          <w:lang w:val="en-US"/>
        </w:rPr>
        <w:t>regulatory, econom</w:t>
      </w:r>
      <w:r w:rsidR="00FA58D0">
        <w:rPr>
          <w:lang w:val="en-US"/>
        </w:rPr>
        <w:t xml:space="preserve">ic, technical and environmental, etc.) </w:t>
      </w:r>
      <w:r w:rsidR="00FA58D0" w:rsidRPr="00FA58D0">
        <w:rPr>
          <w:lang w:val="en-US"/>
        </w:rPr>
        <w:t>and are actively managed during the</w:t>
      </w:r>
      <w:r>
        <w:rPr>
          <w:lang w:val="en-US"/>
        </w:rPr>
        <w:t>ir</w:t>
      </w:r>
      <w:r w:rsidR="00FA58D0" w:rsidRPr="00FA58D0">
        <w:rPr>
          <w:lang w:val="en-US"/>
        </w:rPr>
        <w:t xml:space="preserve"> lifespan</w:t>
      </w:r>
      <w:r>
        <w:rPr>
          <w:lang w:val="en-US"/>
        </w:rPr>
        <w:t xml:space="preserve">. They also widely include </w:t>
      </w:r>
      <w:r w:rsidRPr="00174E9B">
        <w:rPr>
          <w:i/>
          <w:lang w:val="en-US"/>
        </w:rPr>
        <w:t>flexibilities</w:t>
      </w:r>
      <w:r>
        <w:rPr>
          <w:lang w:val="en-US"/>
        </w:rPr>
        <w:t>, such as ability to postpone the start of the project, expand capacity, abandon the project for salvage value</w:t>
      </w:r>
      <w:r w:rsidR="00D04BAF">
        <w:rPr>
          <w:lang w:val="en-US"/>
        </w:rPr>
        <w:t>, etc</w:t>
      </w:r>
      <w:r>
        <w:rPr>
          <w:lang w:val="en-US"/>
        </w:rPr>
        <w:t xml:space="preserve">. </w:t>
      </w:r>
    </w:p>
    <w:p w:rsidR="00174E9B" w:rsidRDefault="00174E9B" w:rsidP="00174E9B">
      <w:pPr>
        <w:rPr>
          <w:rFonts w:cs="Times New Roman"/>
          <w:szCs w:val="24"/>
          <w:lang w:val="en-US"/>
        </w:rPr>
      </w:pPr>
      <w:r>
        <w:rPr>
          <w:lang w:val="en-US"/>
        </w:rPr>
        <w:t xml:space="preserve">These projects are mostly estimated with traditional valuation techniques, based on idea of discounted cash flows. </w:t>
      </w:r>
      <w:r w:rsidRPr="00FF0C30">
        <w:rPr>
          <w:rFonts w:cs="Times New Roman"/>
          <w:szCs w:val="24"/>
          <w:lang w:val="en-US"/>
        </w:rPr>
        <w:t>However, due to their deterministic nature, DCF methods</w:t>
      </w:r>
      <w:r>
        <w:rPr>
          <w:rFonts w:cs="Times New Roman"/>
          <w:szCs w:val="24"/>
          <w:lang w:val="en-US"/>
        </w:rPr>
        <w:t xml:space="preserve"> assume passive management and</w:t>
      </w:r>
      <w:r w:rsidRPr="00FF0C30">
        <w:rPr>
          <w:rFonts w:cs="Times New Roman"/>
          <w:szCs w:val="24"/>
          <w:lang w:val="en-US"/>
        </w:rPr>
        <w:t xml:space="preserve"> tend to undervalue </w:t>
      </w:r>
      <w:r w:rsidRPr="00FA58D0">
        <w:rPr>
          <w:rFonts w:cs="Times New Roman"/>
          <w:i/>
          <w:szCs w:val="24"/>
          <w:lang w:val="en-US"/>
        </w:rPr>
        <w:t>flexible</w:t>
      </w:r>
      <w:r w:rsidRPr="00FF0C30">
        <w:rPr>
          <w:rFonts w:cs="Times New Roman"/>
          <w:szCs w:val="24"/>
          <w:lang w:val="en-US"/>
        </w:rPr>
        <w:t xml:space="preserve"> projects under </w:t>
      </w:r>
      <w:r w:rsidRPr="00FA58D0">
        <w:rPr>
          <w:rFonts w:cs="Times New Roman"/>
          <w:i/>
          <w:szCs w:val="24"/>
          <w:lang w:val="en-US"/>
        </w:rPr>
        <w:t>uncertainty</w:t>
      </w:r>
      <w:r w:rsidRPr="00FF0C30">
        <w:rPr>
          <w:rFonts w:cs="Times New Roman"/>
          <w:szCs w:val="24"/>
          <w:lang w:val="en-US"/>
        </w:rPr>
        <w:t>, even when extended with analytic methods, i.e. sensitivity analys</w:t>
      </w:r>
      <w:r>
        <w:rPr>
          <w:rFonts w:cs="Times New Roman"/>
          <w:szCs w:val="24"/>
          <w:lang w:val="en-US"/>
        </w:rPr>
        <w:t>i</w:t>
      </w:r>
      <w:r w:rsidRPr="00FF0C30">
        <w:rPr>
          <w:rFonts w:cs="Times New Roman"/>
          <w:szCs w:val="24"/>
          <w:lang w:val="en-US"/>
        </w:rPr>
        <w:t>s</w:t>
      </w:r>
      <w:r>
        <w:rPr>
          <w:rFonts w:cs="Times New Roman"/>
          <w:szCs w:val="24"/>
          <w:lang w:val="en-US"/>
        </w:rPr>
        <w:t>.</w:t>
      </w:r>
      <w:r w:rsidR="004A723D">
        <w:rPr>
          <w:rFonts w:cs="Times New Roman"/>
          <w:szCs w:val="24"/>
          <w:lang w:val="en-US"/>
        </w:rPr>
        <w:t xml:space="preserve"> </w:t>
      </w:r>
      <w:r w:rsidR="004A723D">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"Cesena", "given" : "Eduardo Alejandro Martinez", "non-dropping-particle" : "", "parse-names" : false, "suffix" : "" } ], "id" : "ITEM-1", "issued" : { "date-parts" : [ [ "2012" ] ] }, "title" : "Real Options Theory Applied to Renewable Energy Generation Projects Planning", "type" : "article-journal" }, "uris" : [ "http://www.mendeley.com/documents/?uuid=f9bb843b-aa6c-3046-9588-8e25b61538bd" ] } ], "mendeley" : { "formattedCitation" : "(Cesena 2012)", "plainTextFormattedCitation" : "(Cesena 2012)", "previouslyFormattedCitation" : "(Cesena 2012)" }, "properties" : { "noteIndex" : 0 }, "schema" : "https://github.com/citation-style-language/schema/raw/master/csl-citation.json" }</w:instrText>
      </w:r>
      <w:r w:rsidR="004A723D">
        <w:rPr>
          <w:rFonts w:cs="Times New Roman"/>
          <w:szCs w:val="24"/>
          <w:lang w:val="en-US"/>
        </w:rPr>
        <w:fldChar w:fldCharType="separate"/>
      </w:r>
      <w:r w:rsidR="00587F48" w:rsidRPr="00587F48">
        <w:rPr>
          <w:rFonts w:cs="Times New Roman"/>
          <w:noProof/>
          <w:szCs w:val="24"/>
          <w:lang w:val="en-US"/>
        </w:rPr>
        <w:t>(Cesena 2012)</w:t>
      </w:r>
      <w:r w:rsidR="004A723D">
        <w:rPr>
          <w:rFonts w:cs="Times New Roman"/>
          <w:szCs w:val="24"/>
          <w:lang w:val="en-US"/>
        </w:rPr>
        <w:fldChar w:fldCharType="end"/>
      </w:r>
    </w:p>
    <w:p w:rsidR="00527CD1" w:rsidRDefault="00317C7C" w:rsidP="00527CD1">
      <w:pPr>
        <w:rPr>
          <w:noProof/>
          <w:lang w:val="en-US" w:eastAsia="ru-RU"/>
        </w:rPr>
      </w:pPr>
      <w:r>
        <w:rPr>
          <w:rFonts w:cs="Times New Roman"/>
          <w:szCs w:val="24"/>
          <w:lang w:val="en-US"/>
        </w:rPr>
        <w:t>Real options analysis</w:t>
      </w:r>
      <w:r w:rsidR="00D04BAF">
        <w:rPr>
          <w:rFonts w:cs="Times New Roman"/>
          <w:szCs w:val="24"/>
          <w:lang w:val="en-US"/>
        </w:rPr>
        <w:t xml:space="preserve"> allows to capture the value of built-in flexibilities and fulfill the assumption of active management under uncertainty</w:t>
      </w:r>
      <w:r w:rsidR="00527CD1">
        <w:rPr>
          <w:rFonts w:cs="Times New Roman"/>
          <w:szCs w:val="24"/>
          <w:lang w:val="en-US"/>
        </w:rPr>
        <w:t xml:space="preserve"> and adjust the initial NPV estimation with this value. At the same time </w:t>
      </w:r>
      <w:r>
        <w:rPr>
          <w:rFonts w:cs="Times New Roman"/>
          <w:szCs w:val="24"/>
          <w:lang w:val="en-US"/>
        </w:rPr>
        <w:t>real options analysis</w:t>
      </w:r>
      <w:r w:rsidR="00527CD1">
        <w:rPr>
          <w:rFonts w:cs="Times New Roman"/>
          <w:szCs w:val="24"/>
          <w:lang w:val="en-US"/>
        </w:rPr>
        <w:t xml:space="preserve"> </w:t>
      </w:r>
      <w:r w:rsidR="00527CD1">
        <w:rPr>
          <w:rFonts w:cs="Times New Roman"/>
          <w:lang w:val="en-US"/>
        </w:rPr>
        <w:t xml:space="preserve">allow to account for both positive and negative outcomes of the factors of uncertainty and adopt the project to capture maximal value from those outcomes. Therefore, usage of </w:t>
      </w:r>
      <w:r>
        <w:rPr>
          <w:rFonts w:cs="Times New Roman"/>
          <w:lang w:val="en-US"/>
        </w:rPr>
        <w:t>real options analysis</w:t>
      </w:r>
      <w:r w:rsidR="00527CD1">
        <w:rPr>
          <w:rFonts w:cs="Times New Roman"/>
          <w:lang w:val="en-US"/>
        </w:rPr>
        <w:t xml:space="preserve"> and linked to it active management lead to both decrease of volatility of the project’s value for investor and increase of the mean value of the expected cash flows.</w:t>
      </w:r>
      <w:r w:rsidR="00527CD1" w:rsidRPr="0062188B">
        <w:rPr>
          <w:noProof/>
          <w:lang w:val="en-US" w:eastAsia="ru-RU"/>
        </w:rPr>
        <w:t xml:space="preserve"> </w:t>
      </w:r>
    </w:p>
    <w:p w:rsidR="00527CD1" w:rsidRPr="00317C7C" w:rsidRDefault="00527CD1" w:rsidP="00FA58D0">
      <w:pPr>
        <w:rPr>
          <w:rFonts w:cs="Times New Roman"/>
          <w:szCs w:val="24"/>
          <w:lang w:val="en-US"/>
        </w:rPr>
      </w:pPr>
    </w:p>
    <w:p w:rsidR="009E4BDA" w:rsidRPr="002356D7" w:rsidRDefault="00527CD1" w:rsidP="00FA58D0">
      <w:pPr>
        <w:rPr>
          <w:rFonts w:cs="Times New Roman"/>
          <w:szCs w:val="24"/>
          <w:lang w:val="en-US"/>
        </w:rPr>
      </w:pPr>
      <w:r>
        <w:rPr>
          <w:rFonts w:cs="Times New Roman"/>
          <w:szCs w:val="24"/>
          <w:lang w:val="en-US"/>
        </w:rPr>
        <w:t>Consequently, t</w:t>
      </w:r>
      <w:r w:rsidRPr="00527CD1">
        <w:rPr>
          <w:rFonts w:cs="Times New Roman"/>
          <w:szCs w:val="24"/>
          <w:lang w:val="en-US"/>
        </w:rPr>
        <w:t xml:space="preserve">he </w:t>
      </w:r>
      <w:r w:rsidRPr="00527CD1">
        <w:rPr>
          <w:rFonts w:cs="Times New Roman"/>
          <w:i/>
          <w:szCs w:val="24"/>
          <w:lang w:val="en-US"/>
        </w:rPr>
        <w:t>goal</w:t>
      </w:r>
      <w:r w:rsidRPr="00527CD1">
        <w:rPr>
          <w:rFonts w:cs="Times New Roman"/>
          <w:szCs w:val="24"/>
          <w:lang w:val="en-US"/>
        </w:rPr>
        <w:t xml:space="preserve"> of this thesis is to investigate application of </w:t>
      </w:r>
      <w:r w:rsidR="00317C7C">
        <w:rPr>
          <w:rFonts w:cs="Times New Roman"/>
          <w:szCs w:val="24"/>
          <w:lang w:val="en-US"/>
        </w:rPr>
        <w:t>real options analysis</w:t>
      </w:r>
      <w:r w:rsidRPr="00527CD1">
        <w:rPr>
          <w:rFonts w:cs="Times New Roman"/>
          <w:szCs w:val="24"/>
          <w:lang w:val="en-US"/>
        </w:rPr>
        <w:t xml:space="preserve"> to Russian oil and gas investment projects and provide an illustrative example of possible application.</w:t>
      </w:r>
    </w:p>
    <w:p w:rsidR="009D60DD" w:rsidRDefault="009D60DD">
      <w:pPr>
        <w:spacing w:line="259" w:lineRule="auto"/>
        <w:jc w:val="left"/>
        <w:rPr>
          <w:lang w:val="en-US"/>
        </w:rPr>
      </w:pPr>
      <w:r>
        <w:rPr>
          <w:lang w:val="en-US"/>
        </w:rPr>
        <w:br w:type="page"/>
      </w:r>
    </w:p>
    <w:p w:rsidR="0019295E" w:rsidRDefault="0019295E" w:rsidP="0019295E">
      <w:pPr>
        <w:rPr>
          <w:lang w:val="en-US"/>
        </w:rPr>
      </w:pPr>
      <w:r w:rsidRPr="0019295E">
        <w:rPr>
          <w:lang w:val="en-US"/>
        </w:rPr>
        <w:lastRenderedPageBreak/>
        <w:t>This primary goal can be achieved</w:t>
      </w:r>
      <w:r>
        <w:rPr>
          <w:lang w:val="en-US"/>
        </w:rPr>
        <w:t xml:space="preserve"> </w:t>
      </w:r>
      <w:r w:rsidRPr="0019295E">
        <w:rPr>
          <w:lang w:val="en-US"/>
        </w:rPr>
        <w:t>through the following speci</w:t>
      </w:r>
      <w:r>
        <w:rPr>
          <w:lang w:val="en-US"/>
        </w:rPr>
        <w:t>fi</w:t>
      </w:r>
      <w:r w:rsidRPr="0019295E">
        <w:rPr>
          <w:lang w:val="en-US"/>
        </w:rPr>
        <w:t>c objectives:</w:t>
      </w:r>
    </w:p>
    <w:p w:rsidR="00527CD1" w:rsidRPr="0019295E" w:rsidRDefault="00527CD1" w:rsidP="00B7274B">
      <w:pPr>
        <w:pStyle w:val="a3"/>
        <w:numPr>
          <w:ilvl w:val="0"/>
          <w:numId w:val="12"/>
        </w:numPr>
        <w:rPr>
          <w:lang w:val="en-US"/>
        </w:rPr>
      </w:pPr>
      <w:r w:rsidRPr="0019295E">
        <w:rPr>
          <w:lang w:val="en-US"/>
        </w:rPr>
        <w:t>Describe commonly used project valuation models</w:t>
      </w:r>
    </w:p>
    <w:p w:rsidR="00527CD1" w:rsidRPr="0019295E" w:rsidRDefault="00527CD1" w:rsidP="00B7274B">
      <w:pPr>
        <w:pStyle w:val="a3"/>
        <w:numPr>
          <w:ilvl w:val="0"/>
          <w:numId w:val="12"/>
        </w:numPr>
        <w:rPr>
          <w:lang w:val="en-US"/>
        </w:rPr>
      </w:pPr>
      <w:r w:rsidRPr="0019295E">
        <w:rPr>
          <w:lang w:val="en-US"/>
        </w:rPr>
        <w:t xml:space="preserve">Analyze how </w:t>
      </w:r>
      <w:r w:rsidR="00317C7C">
        <w:rPr>
          <w:lang w:val="en-US"/>
        </w:rPr>
        <w:t>real options analysis</w:t>
      </w:r>
      <w:r w:rsidRPr="0019295E">
        <w:rPr>
          <w:lang w:val="en-US"/>
        </w:rPr>
        <w:t xml:space="preserve"> differs from traditional valuation techniques</w:t>
      </w:r>
    </w:p>
    <w:p w:rsidR="00527CD1" w:rsidRPr="0019295E" w:rsidRDefault="00527CD1" w:rsidP="00B7274B">
      <w:pPr>
        <w:pStyle w:val="a3"/>
        <w:numPr>
          <w:ilvl w:val="0"/>
          <w:numId w:val="12"/>
        </w:numPr>
        <w:rPr>
          <w:lang w:val="en-US"/>
        </w:rPr>
      </w:pPr>
      <w:r w:rsidRPr="0019295E">
        <w:rPr>
          <w:lang w:val="en-US"/>
        </w:rPr>
        <w:t xml:space="preserve">Describe specific features of </w:t>
      </w:r>
      <w:r w:rsidR="00317C7C">
        <w:rPr>
          <w:lang w:val="en-US"/>
        </w:rPr>
        <w:t>real options analysis</w:t>
      </w:r>
      <w:r w:rsidRPr="0019295E">
        <w:rPr>
          <w:lang w:val="en-US"/>
        </w:rPr>
        <w:t xml:space="preserve"> for oil and gas investment projects in Russia</w:t>
      </w:r>
    </w:p>
    <w:p w:rsidR="00527CD1" w:rsidRPr="0019295E" w:rsidRDefault="00527CD1" w:rsidP="00B7274B">
      <w:pPr>
        <w:pStyle w:val="a3"/>
        <w:numPr>
          <w:ilvl w:val="0"/>
          <w:numId w:val="12"/>
        </w:numPr>
        <w:rPr>
          <w:lang w:val="en-US"/>
        </w:rPr>
      </w:pPr>
      <w:r w:rsidRPr="0019295E">
        <w:rPr>
          <w:lang w:val="en-US"/>
        </w:rPr>
        <w:t xml:space="preserve">Analyze how taking into account real options </w:t>
      </w:r>
      <w:r w:rsidR="000E69A9">
        <w:rPr>
          <w:lang w:val="en-US"/>
        </w:rPr>
        <w:t>can</w:t>
      </w:r>
      <w:r w:rsidRPr="0019295E">
        <w:rPr>
          <w:lang w:val="en-US"/>
        </w:rPr>
        <w:t xml:space="preserve"> influence decision making process on example of a specific case. </w:t>
      </w:r>
    </w:p>
    <w:p w:rsidR="00483F7C" w:rsidRPr="00483F7C" w:rsidRDefault="00483F7C" w:rsidP="00527CD1">
      <w:pPr>
        <w:rPr>
          <w:lang w:val="en-US"/>
        </w:rPr>
      </w:pPr>
      <w:r>
        <w:rPr>
          <w:lang w:val="en-US"/>
        </w:rPr>
        <w:t xml:space="preserve">Thereby, the thesis describes main existing valuation models for investment projects and place of </w:t>
      </w:r>
      <w:r w:rsidR="00317C7C">
        <w:rPr>
          <w:lang w:val="en-US"/>
        </w:rPr>
        <w:t>real options analysis</w:t>
      </w:r>
      <w:r>
        <w:rPr>
          <w:lang w:val="en-US"/>
        </w:rPr>
        <w:t xml:space="preserve"> among these models. Real</w:t>
      </w:r>
      <w:r w:rsidRPr="00483F7C">
        <w:rPr>
          <w:lang w:val="en-US"/>
        </w:rPr>
        <w:t xml:space="preserve"> </w:t>
      </w:r>
      <w:r>
        <w:rPr>
          <w:lang w:val="en-US"/>
        </w:rPr>
        <w:t>options</w:t>
      </w:r>
      <w:r w:rsidRPr="00483F7C">
        <w:rPr>
          <w:lang w:val="en-US"/>
        </w:rPr>
        <w:t xml:space="preserve"> </w:t>
      </w:r>
      <w:r>
        <w:rPr>
          <w:lang w:val="en-US"/>
        </w:rPr>
        <w:t>are</w:t>
      </w:r>
      <w:r w:rsidRPr="00483F7C">
        <w:rPr>
          <w:lang w:val="en-US"/>
        </w:rPr>
        <w:t xml:space="preserve"> </w:t>
      </w:r>
      <w:r>
        <w:rPr>
          <w:lang w:val="en-US"/>
        </w:rPr>
        <w:t>compared</w:t>
      </w:r>
      <w:r w:rsidRPr="00483F7C">
        <w:rPr>
          <w:lang w:val="en-US"/>
        </w:rPr>
        <w:t xml:space="preserve"> </w:t>
      </w:r>
      <w:r>
        <w:rPr>
          <w:lang w:val="en-US"/>
        </w:rPr>
        <w:t>to</w:t>
      </w:r>
      <w:r w:rsidRPr="00483F7C">
        <w:rPr>
          <w:lang w:val="en-US"/>
        </w:rPr>
        <w:t xml:space="preserve"> </w:t>
      </w:r>
      <w:r>
        <w:rPr>
          <w:lang w:val="en-US"/>
        </w:rPr>
        <w:t>the</w:t>
      </w:r>
      <w:r w:rsidRPr="00483F7C">
        <w:rPr>
          <w:lang w:val="en-US"/>
        </w:rPr>
        <w:t xml:space="preserve"> </w:t>
      </w:r>
      <w:r>
        <w:rPr>
          <w:lang w:val="en-US"/>
        </w:rPr>
        <w:t>traditional</w:t>
      </w:r>
      <w:r w:rsidRPr="00483F7C">
        <w:rPr>
          <w:lang w:val="en-US"/>
        </w:rPr>
        <w:t xml:space="preserve"> </w:t>
      </w:r>
      <w:r>
        <w:rPr>
          <w:lang w:val="en-US"/>
        </w:rPr>
        <w:t>valuation</w:t>
      </w:r>
      <w:r w:rsidRPr="00483F7C">
        <w:rPr>
          <w:lang w:val="en-US"/>
        </w:rPr>
        <w:t xml:space="preserve"> </w:t>
      </w:r>
      <w:r>
        <w:rPr>
          <w:lang w:val="en-US"/>
        </w:rPr>
        <w:t>techniques, their advantages and disadvantages are analyzed. Specifics of oil and gas investment projects</w:t>
      </w:r>
      <w:r w:rsidR="00375332">
        <w:rPr>
          <w:lang w:val="en-US"/>
        </w:rPr>
        <w:t xml:space="preserve">, and specifics of their implementation in Russia are described with </w:t>
      </w:r>
      <w:r w:rsidR="00317C7C">
        <w:rPr>
          <w:lang w:val="en-US"/>
        </w:rPr>
        <w:t>real options analysis</w:t>
      </w:r>
      <w:r w:rsidR="00375332">
        <w:rPr>
          <w:lang w:val="en-US"/>
        </w:rPr>
        <w:t xml:space="preserve"> perspective. </w:t>
      </w:r>
      <w:r w:rsidR="00317C7C">
        <w:rPr>
          <w:lang w:val="en-US"/>
        </w:rPr>
        <w:t>Real options analysis</w:t>
      </w:r>
      <w:r w:rsidR="00375332">
        <w:rPr>
          <w:lang w:val="en-US"/>
        </w:rPr>
        <w:t xml:space="preserve"> algorithm is formulated and applied to an illustrative case of shelf oilfield development project.</w:t>
      </w:r>
    </w:p>
    <w:p w:rsidR="00375332" w:rsidRPr="00375332" w:rsidRDefault="00375332" w:rsidP="00527CD1">
      <w:pPr>
        <w:rPr>
          <w:lang w:val="en-US"/>
        </w:rPr>
      </w:pPr>
      <w:r>
        <w:rPr>
          <w:lang w:val="en-US"/>
        </w:rPr>
        <w:t xml:space="preserve">The first chapter covers theoretical background of </w:t>
      </w:r>
      <w:r w:rsidR="00317C7C">
        <w:rPr>
          <w:lang w:val="en-US"/>
        </w:rPr>
        <w:t>real options analysis</w:t>
      </w:r>
      <w:r>
        <w:rPr>
          <w:lang w:val="en-US"/>
        </w:rPr>
        <w:t>, describes its place among other valuation techniques, advantages and disadvantages, link with risk management and main valuation approaches.</w:t>
      </w:r>
    </w:p>
    <w:p w:rsidR="00A4464B" w:rsidRPr="00FF0C30" w:rsidRDefault="00375332" w:rsidP="00A4464B">
      <w:pPr>
        <w:rPr>
          <w:lang w:val="en-US" w:eastAsia="ru-RU"/>
        </w:rPr>
      </w:pPr>
      <w:r>
        <w:rPr>
          <w:lang w:val="en-US"/>
        </w:rPr>
        <w:t xml:space="preserve">Second chapter addresses </w:t>
      </w:r>
      <w:r w:rsidR="00A4464B">
        <w:rPr>
          <w:lang w:val="en-US"/>
        </w:rPr>
        <w:t xml:space="preserve">specifics of Russian market, </w:t>
      </w:r>
      <w:r>
        <w:rPr>
          <w:lang w:val="en-US"/>
        </w:rPr>
        <w:t>specifics of oil and gas investment projects:</w:t>
      </w:r>
      <w:r w:rsidR="00A4464B">
        <w:rPr>
          <w:lang w:val="en-US"/>
        </w:rPr>
        <w:t xml:space="preserve"> main features, typical built-in flexibilities and linked uncertainties. It describes 7-step algorithm of </w:t>
      </w:r>
      <w:r w:rsidR="00317C7C">
        <w:rPr>
          <w:lang w:val="en-US"/>
        </w:rPr>
        <w:t>real options analysis</w:t>
      </w:r>
      <w:r w:rsidR="004A723D">
        <w:rPr>
          <w:lang w:val="en-US"/>
        </w:rPr>
        <w:t xml:space="preserve"> adopted from </w:t>
      </w:r>
      <w:r w:rsidR="004A723D">
        <w:rPr>
          <w:lang w:val="en-US"/>
        </w:rPr>
        <w:fldChar w:fldCharType="begin" w:fldLock="1"/>
      </w:r>
      <w:r w:rsidR="00587F48">
        <w:rPr>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004A723D">
        <w:rPr>
          <w:lang w:val="en-US"/>
        </w:rPr>
        <w:fldChar w:fldCharType="separate"/>
      </w:r>
      <w:r w:rsidR="00587F48" w:rsidRPr="00587F48">
        <w:rPr>
          <w:noProof/>
          <w:lang w:val="en-US"/>
        </w:rPr>
        <w:t>(Mun 2002)</w:t>
      </w:r>
      <w:r w:rsidR="004A723D">
        <w:rPr>
          <w:lang w:val="en-US"/>
        </w:rPr>
        <w:fldChar w:fldCharType="end"/>
      </w:r>
      <w:r w:rsidR="00A4464B">
        <w:rPr>
          <w:lang w:val="en-US"/>
        </w:rPr>
        <w:t>, which include p</w:t>
      </w:r>
      <w:r w:rsidR="00A4464B" w:rsidRPr="00A4464B">
        <w:rPr>
          <w:lang w:val="en-US"/>
        </w:rPr>
        <w:t>roject description and qualitative analysis</w:t>
      </w:r>
      <w:r w:rsidR="00A4464B">
        <w:rPr>
          <w:lang w:val="en-US"/>
        </w:rPr>
        <w:t>, t</w:t>
      </w:r>
      <w:r w:rsidR="00A4464B" w:rsidRPr="00A4464B">
        <w:rPr>
          <w:lang w:val="en-US"/>
        </w:rPr>
        <w:t>ime series forecast</w:t>
      </w:r>
      <w:r w:rsidR="00A4464B">
        <w:rPr>
          <w:lang w:val="en-US"/>
        </w:rPr>
        <w:t>ing, b</w:t>
      </w:r>
      <w:r w:rsidR="00A4464B" w:rsidRPr="00A4464B">
        <w:rPr>
          <w:lang w:val="en-US"/>
        </w:rPr>
        <w:t>ase case NPV model</w:t>
      </w:r>
      <w:r w:rsidR="00A4464B">
        <w:rPr>
          <w:lang w:val="en-US"/>
        </w:rPr>
        <w:t>ing, M</w:t>
      </w:r>
      <w:r w:rsidR="00A4464B" w:rsidRPr="00A4464B">
        <w:rPr>
          <w:lang w:val="en-US"/>
        </w:rPr>
        <w:t>onte Carlo simulation</w:t>
      </w:r>
      <w:r w:rsidR="00A4464B">
        <w:rPr>
          <w:lang w:val="en-US"/>
        </w:rPr>
        <w:t>, d</w:t>
      </w:r>
      <w:r w:rsidR="00A4464B" w:rsidRPr="00A4464B">
        <w:rPr>
          <w:lang w:val="en-US"/>
        </w:rPr>
        <w:t>escription of real options</w:t>
      </w:r>
      <w:r w:rsidR="00A4464B">
        <w:rPr>
          <w:lang w:val="en-US"/>
        </w:rPr>
        <w:t>, v</w:t>
      </w:r>
      <w:r w:rsidR="00A4464B" w:rsidRPr="00A4464B">
        <w:rPr>
          <w:lang w:val="en-US"/>
        </w:rPr>
        <w:t>aluation of real options and adjustment of the base case NPV</w:t>
      </w:r>
      <w:r w:rsidR="00A4464B">
        <w:rPr>
          <w:lang w:val="en-US"/>
        </w:rPr>
        <w:t xml:space="preserve">, </w:t>
      </w:r>
      <w:r w:rsidR="004A723D">
        <w:rPr>
          <w:lang w:val="en-US"/>
        </w:rPr>
        <w:t xml:space="preserve">and </w:t>
      </w:r>
      <w:r w:rsidR="00A4464B">
        <w:rPr>
          <w:lang w:val="en-US"/>
        </w:rPr>
        <w:t>f</w:t>
      </w:r>
      <w:r w:rsidR="00A4464B" w:rsidRPr="00A4464B">
        <w:rPr>
          <w:lang w:val="en-US"/>
        </w:rPr>
        <w:t>ormulating risk management recommendations</w:t>
      </w:r>
      <w:r w:rsidR="00A4464B">
        <w:rPr>
          <w:lang w:val="en-US"/>
        </w:rPr>
        <w:t>.</w:t>
      </w:r>
    </w:p>
    <w:p w:rsidR="00A4464B" w:rsidRPr="00483F7C" w:rsidRDefault="00A4464B" w:rsidP="00A4464B">
      <w:pPr>
        <w:rPr>
          <w:lang w:val="en-US"/>
        </w:rPr>
      </w:pPr>
      <w:r>
        <w:rPr>
          <w:lang w:val="en-US"/>
        </w:rPr>
        <w:t>Third</w:t>
      </w:r>
      <w:r w:rsidRPr="00A4464B">
        <w:rPr>
          <w:lang w:val="en-US"/>
        </w:rPr>
        <w:t xml:space="preserve"> </w:t>
      </w:r>
      <w:r>
        <w:rPr>
          <w:lang w:val="en-US"/>
        </w:rPr>
        <w:t>chapter</w:t>
      </w:r>
      <w:r w:rsidRPr="00A4464B">
        <w:rPr>
          <w:lang w:val="en-US"/>
        </w:rPr>
        <w:t xml:space="preserve"> </w:t>
      </w:r>
      <w:r>
        <w:rPr>
          <w:lang w:val="en-US"/>
        </w:rPr>
        <w:t>provides</w:t>
      </w:r>
      <w:r w:rsidRPr="00A4464B">
        <w:rPr>
          <w:lang w:val="en-US"/>
        </w:rPr>
        <w:t xml:space="preserve"> </w:t>
      </w:r>
      <w:r>
        <w:rPr>
          <w:lang w:val="en-US"/>
        </w:rPr>
        <w:t>illustrative</w:t>
      </w:r>
      <w:r w:rsidRPr="00A4464B">
        <w:rPr>
          <w:lang w:val="en-US"/>
        </w:rPr>
        <w:t xml:space="preserve"> </w:t>
      </w:r>
      <w:r>
        <w:rPr>
          <w:lang w:val="en-US"/>
        </w:rPr>
        <w:t>example</w:t>
      </w:r>
      <w:r w:rsidRPr="00A4464B">
        <w:rPr>
          <w:lang w:val="en-US"/>
        </w:rPr>
        <w:t xml:space="preserve"> </w:t>
      </w:r>
      <w:r>
        <w:rPr>
          <w:lang w:val="en-US"/>
        </w:rPr>
        <w:t>of</w:t>
      </w:r>
      <w:r w:rsidRPr="00A4464B">
        <w:rPr>
          <w:lang w:val="en-US"/>
        </w:rPr>
        <w:t xml:space="preserve"> </w:t>
      </w:r>
      <w:r w:rsidR="00317C7C">
        <w:rPr>
          <w:lang w:val="en-US"/>
        </w:rPr>
        <w:t>real options analysis</w:t>
      </w:r>
      <w:r>
        <w:rPr>
          <w:lang w:val="en-US"/>
        </w:rPr>
        <w:t xml:space="preserve"> applied to a</w:t>
      </w:r>
      <w:r w:rsidRPr="00A4464B">
        <w:rPr>
          <w:lang w:val="en-US"/>
        </w:rPr>
        <w:t xml:space="preserve"> </w:t>
      </w:r>
      <w:r>
        <w:rPr>
          <w:lang w:val="en-US"/>
        </w:rPr>
        <w:t xml:space="preserve">case of shelf oilfield development project. It covers project description and follows the algorithm stated above to estimate adjusted value of NPV and formulate </w:t>
      </w:r>
      <w:r w:rsidR="0075283F">
        <w:rPr>
          <w:lang w:val="en-US"/>
        </w:rPr>
        <w:t xml:space="preserve">some </w:t>
      </w:r>
      <w:r>
        <w:rPr>
          <w:lang w:val="en-US"/>
        </w:rPr>
        <w:t>recommendations on risk management.</w:t>
      </w:r>
    </w:p>
    <w:p w:rsidR="00644785" w:rsidRDefault="00644785" w:rsidP="00527CD1">
      <w:pPr>
        <w:rPr>
          <w:lang w:val="en-US"/>
        </w:rPr>
      </w:pPr>
    </w:p>
    <w:p w:rsidR="00A4464B" w:rsidRPr="00644785" w:rsidRDefault="00644785" w:rsidP="00527CD1">
      <w:pPr>
        <w:rPr>
          <w:lang w:val="en-US"/>
        </w:rPr>
      </w:pPr>
      <w:r>
        <w:rPr>
          <w:lang w:val="en-US"/>
        </w:rPr>
        <w:t xml:space="preserve">The data used for the research was mainly collected from open sources. Data on the illustrative example, including </w:t>
      </w:r>
      <w:r w:rsidR="0075283F">
        <w:rPr>
          <w:lang w:val="en-US"/>
        </w:rPr>
        <w:t xml:space="preserve">project </w:t>
      </w:r>
      <w:r>
        <w:rPr>
          <w:lang w:val="en-US"/>
        </w:rPr>
        <w:t xml:space="preserve">CAPEX, OPEX, </w:t>
      </w:r>
      <w:r w:rsidR="0075283F">
        <w:rPr>
          <w:lang w:val="en-US"/>
        </w:rPr>
        <w:t>required cost of capital</w:t>
      </w:r>
      <w:r w:rsidR="0019295E">
        <w:rPr>
          <w:lang w:val="en-US"/>
        </w:rPr>
        <w:t xml:space="preserve"> and other project-related inputs for the model,</w:t>
      </w:r>
      <w:r>
        <w:rPr>
          <w:lang w:val="en-US"/>
        </w:rPr>
        <w:t xml:space="preserve"> </w:t>
      </w:r>
      <w:r w:rsidR="0019295E">
        <w:rPr>
          <w:lang w:val="en-US"/>
        </w:rPr>
        <w:t>were</w:t>
      </w:r>
      <w:r>
        <w:rPr>
          <w:lang w:val="en-US"/>
        </w:rPr>
        <w:t xml:space="preserve"> adopted from independent analysis of the Russian shelf oilfield development project</w:t>
      </w:r>
      <w:r w:rsidR="00730F0C">
        <w:rPr>
          <w:lang w:val="en-US"/>
        </w:rPr>
        <w:t xml:space="preserve"> </w:t>
      </w:r>
      <w:r w:rsidR="00730F0C">
        <w:rPr>
          <w:lang w:val="en-US"/>
        </w:rPr>
        <w:fldChar w:fldCharType="begin" w:fldLock="1"/>
      </w:r>
      <w:r w:rsidR="00587F48">
        <w:rPr>
          <w:lang w:val="en-US"/>
        </w:rPr>
        <w:instrText>ADDIN CSL_CITATION { "citationItems" : [ { "id" : "ITEM-1", "itemData" : { "author" : [ { "dropping-particle" : "", "family" : "Lunden", "given" : "Lars Petter", "non-dropping-particle" : "", "parse-names" : false, "suffix" : "" }, { "dropping-particle" : "", "family" : "Fjaertoft", "given" : "Daniel", "non-dropping-particle" : "", "parse-names" : false, "suffix" : "" } ], "id" : "ITEM-1", "issue" : "July", "issued" : { "date-parts" : [ [ "2014" ] ] }, "number-of-pages" : "1-58", "publisher-place" : "GENEVA", "title" : "Government Support to Upstream Oil &amp; Gas in Russia - How Subsidies Influence the Yamal LNG and Prirazlomnoe Projects", "type" : "report" }, "uris" : [ "http://www.mendeley.com/documents/?uuid=182ae5d6-24e6-36a2-8073-4a7c1a7a0443" ] } ], "mendeley" : { "formattedCitation" : "(Lunden and Fjaertoft 2014)", "plainTextFormattedCitation" : "(Lunden and Fjaertoft 2014)", "previouslyFormattedCitation" : "(Lunden and Fjaertoft 2014)" }, "properties" : { "noteIndex" : 0 }, "schema" : "https://github.com/citation-style-language/schema/raw/master/csl-citation.json" }</w:instrText>
      </w:r>
      <w:r w:rsidR="00730F0C">
        <w:rPr>
          <w:lang w:val="en-US"/>
        </w:rPr>
        <w:fldChar w:fldCharType="separate"/>
      </w:r>
      <w:r w:rsidR="00587F48" w:rsidRPr="00587F48">
        <w:rPr>
          <w:noProof/>
          <w:lang w:val="en-US"/>
        </w:rPr>
        <w:t>(Lunden and Fjaertoft 2014)</w:t>
      </w:r>
      <w:r w:rsidR="00730F0C">
        <w:rPr>
          <w:lang w:val="en-US"/>
        </w:rPr>
        <w:fldChar w:fldCharType="end"/>
      </w:r>
      <w:r w:rsidR="00730F0C">
        <w:rPr>
          <w:lang w:val="en-US"/>
        </w:rPr>
        <w:t xml:space="preserve">. </w:t>
      </w:r>
      <w:r>
        <w:rPr>
          <w:lang w:val="en-US"/>
        </w:rPr>
        <w:t>Modeling and simulation were performed in Excel statistic add-in Palisade @Risk.</w:t>
      </w:r>
    </w:p>
    <w:p w:rsidR="003E251E" w:rsidRPr="00644785" w:rsidRDefault="0062188B" w:rsidP="00527CD1">
      <w:pPr>
        <w:spacing w:line="259" w:lineRule="auto"/>
        <w:jc w:val="left"/>
        <w:rPr>
          <w:lang w:val="en-US"/>
        </w:rPr>
      </w:pPr>
      <w:r w:rsidRPr="00644785">
        <w:rPr>
          <w:lang w:val="en-US"/>
        </w:rPr>
        <w:br w:type="page"/>
      </w:r>
    </w:p>
    <w:p w:rsidR="007A24FA" w:rsidRPr="00FF0C30" w:rsidRDefault="007A24FA" w:rsidP="0024006E">
      <w:pPr>
        <w:pStyle w:val="1"/>
      </w:pPr>
      <w:bookmarkStart w:id="8" w:name="_Toc484036297"/>
      <w:r w:rsidRPr="00FF0C30">
        <w:lastRenderedPageBreak/>
        <w:t>Real options as a tool of investment project valuation</w:t>
      </w:r>
      <w:bookmarkEnd w:id="8"/>
    </w:p>
    <w:p w:rsidR="0094372B" w:rsidRDefault="0094372B" w:rsidP="0094372B">
      <w:pPr>
        <w:rPr>
          <w:lang w:val="en-US"/>
        </w:rPr>
      </w:pPr>
    </w:p>
    <w:p w:rsidR="0094372B" w:rsidRPr="009E7598" w:rsidRDefault="0094372B" w:rsidP="00E270C6">
      <w:pPr>
        <w:rPr>
          <w:i/>
          <w:lang w:val="en-US"/>
        </w:rPr>
      </w:pPr>
      <w:r w:rsidRPr="009E7598">
        <w:rPr>
          <w:i/>
          <w:lang w:val="en-US"/>
        </w:rPr>
        <w:t xml:space="preserve">This chapter provides theoretical background on </w:t>
      </w:r>
      <w:r w:rsidR="00317C7C">
        <w:rPr>
          <w:i/>
          <w:lang w:val="en-US"/>
        </w:rPr>
        <w:t>real options analysis</w:t>
      </w:r>
      <w:r w:rsidRPr="009E7598">
        <w:rPr>
          <w:i/>
          <w:lang w:val="en-US"/>
        </w:rPr>
        <w:t xml:space="preserve"> and consist of </w:t>
      </w:r>
      <w:r w:rsidR="009E7598">
        <w:rPr>
          <w:i/>
          <w:lang w:val="en-US"/>
        </w:rPr>
        <w:t>4</w:t>
      </w:r>
      <w:r w:rsidRPr="009E7598">
        <w:rPr>
          <w:i/>
          <w:lang w:val="en-US"/>
        </w:rPr>
        <w:t xml:space="preserve"> parts. </w:t>
      </w:r>
      <w:r w:rsidR="00E270C6" w:rsidRPr="009E7598">
        <w:rPr>
          <w:i/>
          <w:lang w:val="en-US"/>
        </w:rPr>
        <w:t xml:space="preserve">The </w:t>
      </w:r>
      <w:r w:rsidR="009E7598">
        <w:rPr>
          <w:i/>
          <w:lang w:val="en-US"/>
        </w:rPr>
        <w:t>1</w:t>
      </w:r>
      <w:r w:rsidR="009E7598" w:rsidRPr="009E7598">
        <w:rPr>
          <w:i/>
          <w:vertAlign w:val="superscript"/>
          <w:lang w:val="en-US"/>
        </w:rPr>
        <w:t>st</w:t>
      </w:r>
      <w:r w:rsidR="009E7598">
        <w:rPr>
          <w:i/>
          <w:lang w:val="en-US"/>
        </w:rPr>
        <w:t xml:space="preserve"> </w:t>
      </w:r>
      <w:r w:rsidRPr="009E7598">
        <w:rPr>
          <w:i/>
          <w:lang w:val="en-US"/>
        </w:rPr>
        <w:t>part cove</w:t>
      </w:r>
      <w:r w:rsidR="001A115A">
        <w:rPr>
          <w:i/>
          <w:lang w:val="en-US"/>
        </w:rPr>
        <w:t xml:space="preserve">rs </w:t>
      </w:r>
      <w:r w:rsidR="00F44325">
        <w:rPr>
          <w:i/>
          <w:lang w:val="en-US"/>
        </w:rPr>
        <w:t>traditional valuation approach, describes its benefits and drawbacks</w:t>
      </w:r>
      <w:r w:rsidR="001A115A">
        <w:rPr>
          <w:i/>
          <w:lang w:val="en-US"/>
        </w:rPr>
        <w:t xml:space="preserve">. </w:t>
      </w:r>
      <w:r w:rsidR="00E270C6" w:rsidRPr="009E7598">
        <w:rPr>
          <w:i/>
          <w:lang w:val="en-US"/>
        </w:rPr>
        <w:t xml:space="preserve">The </w:t>
      </w:r>
      <w:r w:rsidR="009E7598">
        <w:rPr>
          <w:i/>
          <w:lang w:val="en-US"/>
        </w:rPr>
        <w:t>2</w:t>
      </w:r>
      <w:r w:rsidR="009E7598" w:rsidRPr="009E7598">
        <w:rPr>
          <w:i/>
          <w:vertAlign w:val="superscript"/>
          <w:lang w:val="en-US"/>
        </w:rPr>
        <w:t>nd</w:t>
      </w:r>
      <w:r w:rsidR="009E7598">
        <w:rPr>
          <w:i/>
          <w:lang w:val="en-US"/>
        </w:rPr>
        <w:t xml:space="preserve"> </w:t>
      </w:r>
      <w:r w:rsidR="00E270C6" w:rsidRPr="009E7598">
        <w:rPr>
          <w:i/>
          <w:lang w:val="en-US"/>
        </w:rPr>
        <w:t xml:space="preserve">part is a </w:t>
      </w:r>
      <w:r w:rsidR="00F44325">
        <w:rPr>
          <w:i/>
          <w:lang w:val="en-US"/>
        </w:rPr>
        <w:t>more-in-depth information on real options</w:t>
      </w:r>
      <w:r w:rsidR="00E270C6" w:rsidRPr="009E7598">
        <w:rPr>
          <w:i/>
          <w:lang w:val="en-US"/>
        </w:rPr>
        <w:t>. It provides insight about advantages and disadvantages of real options compared to traditional approach.</w:t>
      </w:r>
      <w:r w:rsidR="009E7598">
        <w:rPr>
          <w:i/>
          <w:lang w:val="en-US"/>
        </w:rPr>
        <w:t xml:space="preserve"> The 3</w:t>
      </w:r>
      <w:r w:rsidR="009E7598" w:rsidRPr="009E7598">
        <w:rPr>
          <w:i/>
          <w:vertAlign w:val="superscript"/>
          <w:lang w:val="en-US"/>
        </w:rPr>
        <w:t>rd</w:t>
      </w:r>
      <w:r w:rsidR="009E7598">
        <w:rPr>
          <w:i/>
          <w:lang w:val="en-US"/>
        </w:rPr>
        <w:t xml:space="preserve"> part describes applications of real options: their link with risk management and utilization in industry. 4</w:t>
      </w:r>
      <w:r w:rsidR="009E7598" w:rsidRPr="009E7598">
        <w:rPr>
          <w:i/>
          <w:vertAlign w:val="superscript"/>
          <w:lang w:val="en-US"/>
        </w:rPr>
        <w:t>th</w:t>
      </w:r>
      <w:r w:rsidR="009E7598">
        <w:rPr>
          <w:i/>
          <w:lang w:val="en-US"/>
        </w:rPr>
        <w:t xml:space="preserve"> part provide summary of the chapter.</w:t>
      </w:r>
    </w:p>
    <w:p w:rsidR="00FF2FC5" w:rsidRPr="00587F48" w:rsidRDefault="00FF2FC5" w:rsidP="00F44325">
      <w:pPr>
        <w:pStyle w:val="OfficialNormal"/>
        <w:rPr>
          <w:lang w:val="en-US"/>
        </w:rPr>
      </w:pPr>
    </w:p>
    <w:p w:rsidR="00275AA3" w:rsidRPr="00E270C6" w:rsidRDefault="00275AA3" w:rsidP="00275AA3">
      <w:pPr>
        <w:pStyle w:val="2"/>
      </w:pPr>
      <w:bookmarkStart w:id="9" w:name="_Toc484036298"/>
      <w:r>
        <w:t>Traditional valuation approach</w:t>
      </w:r>
      <w:bookmarkEnd w:id="9"/>
    </w:p>
    <w:p w:rsidR="00275AA3" w:rsidRDefault="00275AA3" w:rsidP="00275AA3">
      <w:pPr>
        <w:rPr>
          <w:rFonts w:cs="Times New Roman"/>
          <w:szCs w:val="24"/>
          <w:lang w:val="en-US"/>
        </w:rPr>
      </w:pPr>
      <w:r w:rsidRPr="00FF0C30">
        <w:rPr>
          <w:rFonts w:cs="Times New Roman"/>
          <w:szCs w:val="24"/>
          <w:lang w:val="en-US"/>
        </w:rPr>
        <w:t xml:space="preserve">Techniques based on discounted cash flow (DCF) methods are the most widely used for the assessment of investment projects. These methods provide sound assessments and allow the identification of robust investment alternatives. However, due to their deterministic nature, DCF methods tend to undervalue flexible projects under uncertainty, even when extended with analytic methods, i.e. sensitivity, decisions, and risk analyses. </w:t>
      </w: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"Cesena", "given" : "Eduardo Alejandro Martinez", "non-dropping-particle" : "", "parse-names" : false, "suffix" : "" } ], "id" : "ITEM-1", "issued" : { "date-parts" : [ [ "2012" ] ] }, "title" : "Real Options Theory Applied to Renewable Energy Generation Projects Planning", "type" : "article-journal" }, "uris" : [ "http://www.mendeley.com/documents/?uuid=f9bb843b-aa6c-3046-9588-8e25b61538bd" ] } ], "mendeley" : { "formattedCitation" : "(Cesena 2012)", "plainTextFormattedCitation" : "(Cesena 2012)", "previouslyFormattedCitation" : "(Cesena 2012)"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(Cesena 2012)</w:t>
      </w:r>
      <w:r>
        <w:rPr>
          <w:rFonts w:cs="Times New Roman"/>
          <w:szCs w:val="24"/>
          <w:lang w:val="en-US"/>
        </w:rPr>
        <w:fldChar w:fldCharType="end"/>
      </w:r>
    </w:p>
    <w:p w:rsidR="00275AA3" w:rsidRPr="00FF0C30" w:rsidRDefault="00275AA3" w:rsidP="00275AA3">
      <w:pPr>
        <w:rPr>
          <w:rFonts w:cs="Times New Roman"/>
          <w:szCs w:val="24"/>
          <w:lang w:val="en-US"/>
        </w:rPr>
      </w:pPr>
      <w:r w:rsidRPr="00FF0C30">
        <w:rPr>
          <w:rFonts w:cs="Times New Roman"/>
          <w:szCs w:val="24"/>
          <w:lang w:val="en-US"/>
        </w:rPr>
        <w:t xml:space="preserve">DCF methods are based on </w:t>
      </w:r>
      <w:r>
        <w:rPr>
          <w:rFonts w:cs="Times New Roman"/>
          <w:szCs w:val="24"/>
          <w:lang w:val="en-US"/>
        </w:rPr>
        <w:t>the idea of time value of money; t</w:t>
      </w:r>
      <w:r w:rsidRPr="00FF0C30">
        <w:rPr>
          <w:rFonts w:cs="Times New Roman"/>
          <w:szCs w:val="24"/>
          <w:lang w:val="en-US"/>
        </w:rPr>
        <w:t xml:space="preserve">hat is, money has a greater value in the present than in the future. </w:t>
      </w:r>
      <w:r>
        <w:rPr>
          <w:rFonts w:cs="Times New Roman"/>
          <w:szCs w:val="24"/>
          <w:lang w:val="en-US"/>
        </w:rPr>
        <w:t>A</w:t>
      </w:r>
      <w:r w:rsidRPr="00FF0C30">
        <w:rPr>
          <w:rFonts w:cs="Times New Roman"/>
          <w:szCs w:val="24"/>
          <w:lang w:val="en-US"/>
        </w:rPr>
        <w:t xml:space="preserve">n investor prefers to receive money in the present than to be promised the same </w:t>
      </w:r>
      <w:r>
        <w:rPr>
          <w:rFonts w:cs="Times New Roman"/>
          <w:szCs w:val="24"/>
          <w:lang w:val="en-US"/>
        </w:rPr>
        <w:t xml:space="preserve">amount of money in the future </w:t>
      </w:r>
      <w:r w:rsidRPr="00FF0C30">
        <w:rPr>
          <w:rFonts w:cs="Times New Roman"/>
          <w:szCs w:val="24"/>
          <w:lang w:val="en-US"/>
        </w:rPr>
        <w:t xml:space="preserve">because money in the present can be invested to produce additional revenues, the capital is devalued with time due to inflation, and there is a risk that the amount of money promised in the future will vary </w:t>
      </w:r>
      <w:r>
        <w:rPr>
          <w:rFonts w:cs="Times New Roman"/>
          <w:szCs w:val="24"/>
          <w:lang w:val="en-US"/>
        </w:rPr>
        <w:t xml:space="preserve">as it is </w:t>
      </w:r>
      <w:r w:rsidRPr="00FF0C30">
        <w:rPr>
          <w:rFonts w:cs="Times New Roman"/>
          <w:szCs w:val="24"/>
          <w:lang w:val="en-US"/>
        </w:rPr>
        <w:t xml:space="preserve">subject to risk. Therefore, in order for an investor to sacrifice money in the present in exchange for a promised return in the future, the expected return must offer a premium that compensates for the time value of money </w:t>
      </w:r>
    </w:p>
    <w:p w:rsidR="00275AA3" w:rsidRPr="00FF0C30" w:rsidRDefault="00275AA3" w:rsidP="00275AA3">
      <w:pPr>
        <w:pStyle w:val="4"/>
      </w:pPr>
      <w:r w:rsidRPr="00FF0C30">
        <w:t>Net Present Value</w:t>
      </w:r>
    </w:p>
    <w:p w:rsidR="00275AA3" w:rsidRPr="00FF0C30" w:rsidRDefault="00275AA3" w:rsidP="00275AA3">
      <w:pPr>
        <w:rPr>
          <w:rFonts w:cs="Times New Roman"/>
          <w:szCs w:val="24"/>
          <w:lang w:val="en-US"/>
        </w:rPr>
      </w:pPr>
      <w:r w:rsidRPr="00FF0C30">
        <w:rPr>
          <w:rFonts w:cs="Times New Roman"/>
          <w:szCs w:val="24"/>
          <w:lang w:val="en-US"/>
        </w:rPr>
        <w:t xml:space="preserve">In an NPV approach, the cost of an investment is compared to the future </w:t>
      </w:r>
      <w:r>
        <w:rPr>
          <w:rFonts w:cs="Times New Roman"/>
          <w:szCs w:val="24"/>
          <w:lang w:val="en-US"/>
        </w:rPr>
        <w:t>free</w:t>
      </w:r>
      <w:r w:rsidRPr="00FF0C30">
        <w:rPr>
          <w:rFonts w:cs="Times New Roman"/>
          <w:szCs w:val="24"/>
          <w:lang w:val="en-US"/>
        </w:rPr>
        <w:t xml:space="preserve"> cash flows that the investment is expected to generate. The NPV of a project is therefore the sum of the discounted expected cash flows, </w:t>
      </w:r>
      <w:r w:rsidRPr="00DE4251">
        <w:rPr>
          <w:rFonts w:cs="Times New Roman"/>
          <w:i/>
          <w:szCs w:val="24"/>
          <w:lang w:val="en-US"/>
        </w:rPr>
        <w:t>CF</w:t>
      </w:r>
      <w:r w:rsidRPr="00DE4251">
        <w:rPr>
          <w:rFonts w:cs="Times New Roman"/>
          <w:i/>
          <w:szCs w:val="24"/>
          <w:vertAlign w:val="subscript"/>
          <w:lang w:val="en-US"/>
        </w:rPr>
        <w:t>t</w:t>
      </w:r>
      <w:r w:rsidRPr="00FF0C30">
        <w:rPr>
          <w:rFonts w:cs="Times New Roman"/>
          <w:szCs w:val="24"/>
          <w:lang w:val="en-US"/>
        </w:rPr>
        <w:t xml:space="preserve">, that occur at times </w:t>
      </w:r>
      <w:r w:rsidRPr="00DE4251">
        <w:rPr>
          <w:rFonts w:cs="Times New Roman"/>
          <w:i/>
          <w:szCs w:val="24"/>
          <w:lang w:val="en-US"/>
        </w:rPr>
        <w:t xml:space="preserve">t </w:t>
      </w:r>
      <w:r w:rsidRPr="00FF0C30">
        <w:rPr>
          <w:rFonts w:cs="Times New Roman"/>
          <w:szCs w:val="24"/>
          <w:lang w:val="en-US"/>
        </w:rPr>
        <w:t xml:space="preserve">with </w:t>
      </w:r>
      <w:r w:rsidRPr="00DE4251">
        <w:rPr>
          <w:rFonts w:cs="Times New Roman"/>
          <w:i/>
          <w:szCs w:val="24"/>
          <w:lang w:val="en-US"/>
        </w:rPr>
        <w:t>t</w:t>
      </w:r>
      <w:r w:rsidRPr="00FF0C30">
        <w:rPr>
          <w:rFonts w:cs="Times New Roman"/>
          <w:szCs w:val="24"/>
          <w:lang w:val="en-US"/>
        </w:rPr>
        <w:t xml:space="preserve"> = 1, 2,</w:t>
      </w:r>
      <w:r>
        <w:rPr>
          <w:rFonts w:cs="Times New Roman"/>
          <w:szCs w:val="24"/>
          <w:lang w:val="en-US"/>
        </w:rPr>
        <w:t xml:space="preserve"> …,</w:t>
      </w:r>
      <w:r w:rsidRPr="00FF0C30">
        <w:rPr>
          <w:rFonts w:cs="Times New Roman"/>
          <w:szCs w:val="24"/>
          <w:lang w:val="en-US"/>
        </w:rPr>
        <w:t xml:space="preserve"> </w:t>
      </w:r>
      <w:r w:rsidRPr="00DE4251">
        <w:rPr>
          <w:rFonts w:cs="Times New Roman"/>
          <w:i/>
          <w:szCs w:val="24"/>
          <w:lang w:val="en-US"/>
        </w:rPr>
        <w:t>n</w:t>
      </w:r>
      <w:r w:rsidR="0059417E">
        <w:rPr>
          <w:rFonts w:cs="Times New Roman"/>
          <w:szCs w:val="24"/>
          <w:lang w:val="en-US"/>
        </w:rPr>
        <w:t xml:space="preserve">, </w:t>
      </w:r>
      <w:r w:rsidR="0059417E">
        <w:rPr>
          <w:rFonts w:cs="Times New Roman"/>
          <w:szCs w:val="24"/>
          <w:lang w:val="en-US"/>
        </w:rPr>
        <w:fldChar w:fldCharType="begin"/>
      </w:r>
      <w:r w:rsidR="0059417E">
        <w:rPr>
          <w:rFonts w:cs="Times New Roman"/>
          <w:szCs w:val="24"/>
          <w:lang w:val="en-US"/>
        </w:rPr>
        <w:instrText xml:space="preserve"> REF _Ref484009527 \h </w:instrText>
      </w:r>
      <w:r w:rsidR="0059417E">
        <w:rPr>
          <w:rFonts w:cs="Times New Roman"/>
          <w:szCs w:val="24"/>
          <w:lang w:val="en-US"/>
        </w:rPr>
      </w:r>
      <w:r w:rsidR="0059417E">
        <w:rPr>
          <w:rFonts w:cs="Times New Roman"/>
          <w:szCs w:val="24"/>
          <w:lang w:val="en-US"/>
        </w:rPr>
        <w:fldChar w:fldCharType="separate"/>
      </w:r>
      <w:r w:rsidR="008324C6" w:rsidRPr="008324C6">
        <w:rPr>
          <w:lang w:val="en-US"/>
        </w:rPr>
        <w:t>(</w:t>
      </w:r>
      <w:r w:rsidR="008324C6" w:rsidRPr="008324C6">
        <w:rPr>
          <w:noProof/>
          <w:lang w:val="en-US"/>
        </w:rPr>
        <w:t>1</w:t>
      </w:r>
      <w:r w:rsidR="008324C6" w:rsidRPr="008324C6">
        <w:rPr>
          <w:lang w:val="en-US"/>
        </w:rPr>
        <w:t>.</w:t>
      </w:r>
      <w:r w:rsidR="008324C6" w:rsidRPr="008324C6">
        <w:rPr>
          <w:noProof/>
          <w:lang w:val="en-US"/>
        </w:rPr>
        <w:t>1</w:t>
      </w:r>
      <w:r w:rsidR="0059417E">
        <w:rPr>
          <w:rFonts w:cs="Times New Roman"/>
          <w:szCs w:val="24"/>
          <w:lang w:val="en-US"/>
        </w:rPr>
        <w:fldChar w:fldCharType="end"/>
      </w:r>
      <w:r w:rsidR="0059417E">
        <w:rPr>
          <w:rFonts w:cs="Times New Roman"/>
          <w:szCs w:val="24"/>
          <w:lang w:val="en-US"/>
        </w:rPr>
        <w:t>)</w:t>
      </w:r>
    </w:p>
    <w:tbl>
      <w:tblPr>
        <w:tblStyle w:val="af6"/>
        <w:tblW w:w="0" w:type="auto"/>
        <w:tblLook w:val="04A0" w:firstRow="1" w:lastRow="0" w:firstColumn="1" w:lastColumn="0" w:noHBand="0" w:noVBand="1"/>
      </w:tblPr>
      <w:tblGrid>
        <w:gridCol w:w="8683"/>
        <w:gridCol w:w="672"/>
      </w:tblGrid>
      <w:tr w:rsidR="002356D7" w:rsidTr="006501CF">
        <w:tc>
          <w:tcPr>
            <w:tcW w:w="8897" w:type="dxa"/>
          </w:tcPr>
          <w:p w:rsidR="002356D7" w:rsidRPr="006501CF" w:rsidRDefault="002356D7" w:rsidP="002356D7">
            <w:pPr>
              <w:jc w:val="center"/>
              <w:rPr>
                <w:rFonts w:eastAsia="Calibri" w:cs="Times New Roman"/>
                <w:szCs w:val="24"/>
                <w:lang w:val="en-US"/>
              </w:rPr>
            </w:pPr>
            <m:oMathPara>
              <m:oMathParaPr>
                <m:jc m:val="center"/>
              </m:oMathParaPr>
              <m:oMath>
                <m:r>
                  <w:rPr>
                    <w:rFonts w:ascii="Cambria Math" w:hAnsi="Cambria Math" w:cs="Times New Roman"/>
                    <w:szCs w:val="24"/>
                    <w:lang w:val="en-US"/>
                  </w:rPr>
                  <m:t>NPV=</m:t>
                </m:r>
                <m:nary>
                  <m:naryPr>
                    <m:chr m:val="∑"/>
                    <m:limLoc m:val="undOvr"/>
                    <m:ctrlPr>
                      <w:rPr>
                        <w:rFonts w:ascii="Cambria Math" w:hAnsi="Cambria Math" w:cs="Times New Roman"/>
                        <w:i/>
                        <w:szCs w:val="24"/>
                        <w:lang w:val="en-US"/>
                      </w:rPr>
                    </m:ctrlPr>
                  </m:naryPr>
                  <m:sub>
                    <m:r>
                      <w:rPr>
                        <w:rFonts w:ascii="Cambria Math" w:hAnsi="Cambria Math" w:cs="Times New Roman"/>
                        <w:szCs w:val="24"/>
                        <w:lang w:val="en-US"/>
                      </w:rPr>
                      <m:t>t=1</m:t>
                    </m:r>
                  </m:sub>
                  <m:sup>
                    <m:r>
                      <w:rPr>
                        <w:rFonts w:ascii="Cambria Math" w:hAnsi="Cambria Math" w:cs="Times New Roman"/>
                        <w:szCs w:val="24"/>
                        <w:lang w:val="en-US"/>
                      </w:rPr>
                      <m:t>n</m:t>
                    </m:r>
                  </m:sup>
                  <m:e>
                    <m:f>
                      <m:fPr>
                        <m:ctrlPr>
                          <w:rPr>
                            <w:rFonts w:ascii="Cambria Math" w:hAnsi="Cambria Math" w:cs="Times New Roman"/>
                            <w:i/>
                            <w:szCs w:val="24"/>
                            <w:lang w:val="en-US"/>
                          </w:rPr>
                        </m:ctrlPr>
                      </m:fPr>
                      <m:num>
                        <m:r>
                          <w:rPr>
                            <w:rFonts w:ascii="Cambria Math" w:hAnsi="Cambria Math" w:cs="Times New Roman"/>
                            <w:szCs w:val="24"/>
                            <w:lang w:val="en-US"/>
                          </w:rPr>
                          <m:t>C</m:t>
                        </m:r>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t</m:t>
                            </m:r>
                          </m:sub>
                        </m:sSub>
                      </m:num>
                      <m:den>
                        <m:sSup>
                          <m:sSupPr>
                            <m:ctrlPr>
                              <w:rPr>
                                <w:rFonts w:ascii="Cambria Math" w:hAnsi="Cambria Math" w:cs="Times New Roman"/>
                                <w:i/>
                                <w:szCs w:val="24"/>
                                <w:lang w:val="en-US"/>
                              </w:rPr>
                            </m:ctrlPr>
                          </m:sSupPr>
                          <m:e>
                            <m:d>
                              <m:dPr>
                                <m:ctrlPr>
                                  <w:rPr>
                                    <w:rFonts w:ascii="Cambria Math" w:hAnsi="Cambria Math" w:cs="Times New Roman"/>
                                    <w:i/>
                                    <w:szCs w:val="24"/>
                                    <w:lang w:val="en-US"/>
                                  </w:rPr>
                                </m:ctrlPr>
                              </m:dPr>
                              <m:e>
                                <m:r>
                                  <w:rPr>
                                    <w:rFonts w:ascii="Cambria Math" w:hAnsi="Cambria Math" w:cs="Times New Roman"/>
                                    <w:szCs w:val="24"/>
                                    <w:lang w:val="en-US"/>
                                  </w:rPr>
                                  <m:t>1+r</m:t>
                                </m:r>
                              </m:e>
                            </m:d>
                          </m:e>
                          <m:sup>
                            <m:r>
                              <w:rPr>
                                <w:rFonts w:ascii="Cambria Math" w:hAnsi="Cambria Math" w:cs="Times New Roman"/>
                                <w:szCs w:val="24"/>
                                <w:lang w:val="en-US"/>
                              </w:rPr>
                              <m:t>t</m:t>
                            </m:r>
                          </m:sup>
                        </m:sSup>
                      </m:den>
                    </m:f>
                    <m:r>
                      <w:rPr>
                        <w:rFonts w:ascii="Cambria Math" w:hAnsi="Cambria Math" w:cs="Times New Roman"/>
                        <w:szCs w:val="24"/>
                        <w:lang w:val="en-US"/>
                      </w:rPr>
                      <m:t xml:space="preserve">, </m:t>
                    </m:r>
                  </m:e>
                </m:nary>
              </m:oMath>
            </m:oMathPara>
          </w:p>
        </w:tc>
        <w:tc>
          <w:tcPr>
            <w:tcW w:w="674" w:type="dxa"/>
          </w:tcPr>
          <w:p w:rsidR="002356D7" w:rsidRPr="0059417E" w:rsidRDefault="0059417E" w:rsidP="0059417E">
            <w:pPr>
              <w:pStyle w:val="ac"/>
            </w:pPr>
            <w:bookmarkStart w:id="10" w:name="_Ref484009527"/>
            <w:r>
              <w:t>(</w:t>
            </w:r>
            <w:r w:rsidR="008F1F91">
              <w:fldChar w:fldCharType="begin"/>
            </w:r>
            <w:r w:rsidR="008F1F91">
              <w:instrText xml:space="preserve"> STYLEREF 1 \s </w:instrText>
            </w:r>
            <w:r w:rsidR="008F1F91">
              <w:fldChar w:fldCharType="separate"/>
            </w:r>
            <w:r w:rsidR="008324C6">
              <w:rPr>
                <w:noProof/>
              </w:rPr>
              <w:t>1</w:t>
            </w:r>
            <w:r w:rsidR="008F1F91">
              <w:fldChar w:fldCharType="end"/>
            </w:r>
            <w:r w:rsidR="008F1F91">
              <w:t>.</w:t>
            </w:r>
            <w:r w:rsidR="008F1F91">
              <w:fldChar w:fldCharType="begin"/>
            </w:r>
            <w:r w:rsidR="008F1F91">
              <w:instrText xml:space="preserve"> SEQ Formula \* ARABIC \s 1 </w:instrText>
            </w:r>
            <w:r w:rsidR="008F1F91">
              <w:fldChar w:fldCharType="separate"/>
            </w:r>
            <w:r w:rsidR="008324C6">
              <w:rPr>
                <w:noProof/>
              </w:rPr>
              <w:t>1</w:t>
            </w:r>
            <w:r w:rsidR="008F1F91">
              <w:fldChar w:fldCharType="end"/>
            </w:r>
            <w:bookmarkEnd w:id="10"/>
            <w:r>
              <w:t>)</w:t>
            </w:r>
          </w:p>
        </w:tc>
      </w:tr>
    </w:tbl>
    <w:p w:rsidR="00275AA3" w:rsidRPr="00FF0C30" w:rsidRDefault="00275AA3" w:rsidP="00275AA3">
      <w:pPr>
        <w:rPr>
          <w:rFonts w:cs="Times New Roman"/>
          <w:szCs w:val="24"/>
          <w:lang w:val="en-US"/>
        </w:rPr>
      </w:pPr>
      <w:r w:rsidRPr="002356D7">
        <w:rPr>
          <w:rFonts w:cs="Times New Roman"/>
          <w:szCs w:val="24"/>
          <w:lang w:val="en-US"/>
        </w:rPr>
        <w:t xml:space="preserve">where </w:t>
      </w:r>
      <w:r w:rsidRPr="002356D7">
        <w:rPr>
          <w:rFonts w:cs="Times New Roman"/>
          <w:i/>
          <w:szCs w:val="24"/>
          <w:lang w:val="en-US"/>
        </w:rPr>
        <w:t>r</w:t>
      </w:r>
      <w:r w:rsidRPr="002356D7">
        <w:rPr>
          <w:rFonts w:cs="Times New Roman"/>
          <w:szCs w:val="24"/>
          <w:lang w:val="en-US"/>
        </w:rPr>
        <w:t xml:space="preserve"> is the discount rate.</w:t>
      </w:r>
    </w:p>
    <w:p w:rsidR="004B68C3" w:rsidRDefault="00275AA3" w:rsidP="00275AA3">
      <w:pPr>
        <w:rPr>
          <w:rFonts w:cs="Times New Roman"/>
          <w:szCs w:val="24"/>
          <w:lang w:val="en-US"/>
        </w:rPr>
      </w:pPr>
      <w:r w:rsidRPr="00FF0C30">
        <w:rPr>
          <w:rFonts w:cs="Times New Roman"/>
          <w:szCs w:val="24"/>
          <w:lang w:val="en-US"/>
        </w:rPr>
        <w:lastRenderedPageBreak/>
        <w:t>A positive cash flow is a cash inflow and a negative cash flow is a cash outflow to a project. To account for the time value of money and the declining value of future cash flows, the expected cash flows are discounted at a specific rate. When comparing several alternative projects, the most common discount rate employed by an NPV analysis is the weighted average cost of capital (WAC</w:t>
      </w:r>
      <w:r w:rsidRPr="004B68C3">
        <w:rPr>
          <w:rFonts w:cs="Times New Roman"/>
          <w:szCs w:val="24"/>
          <w:lang w:val="en-US"/>
        </w:rPr>
        <w:t>C</w:t>
      </w:r>
      <w:r w:rsidR="004B68C3" w:rsidRPr="004B68C3">
        <w:rPr>
          <w:rFonts w:cs="Times New Roman"/>
          <w:szCs w:val="24"/>
          <w:lang w:val="en-US"/>
        </w:rPr>
        <w:t xml:space="preserve">) </w:t>
      </w:r>
      <w:r w:rsidR="004B68C3">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"Kobari", "given" : "Laleh", "non-dropping-particle" : "", "parse-names" : false, "suffix" : "" } ], "id" : "ITEM-1", "issued" : { "date-parts" : [ [ "2014" ] ] }, "number-of-pages" : "150", "publisher" : "University of Toronto", "title" : "Evaluation of Oil Sands Projects and Their Expansion Rate Using Real Options", "type" : "thesis" }, "uris" : [ "http://www.mendeley.com/documents/?uuid=983d648b-05bc-3ec4-886d-50a34ef214ed" ] } ], "mendeley" : { "formattedCitation" : "(Kobari 2014)", "plainTextFormattedCitation" : "(Kobari 2014)", "previouslyFormattedCitation" : "(Kobari 2014)" }, "properties" : { "noteIndex" : 0 }, "schema" : "https://github.com/citation-style-language/schema/raw/master/csl-citation.json" }</w:instrText>
      </w:r>
      <w:r w:rsidR="004B68C3">
        <w:rPr>
          <w:rFonts w:cs="Times New Roman"/>
          <w:szCs w:val="24"/>
          <w:lang w:val="en-US"/>
        </w:rPr>
        <w:fldChar w:fldCharType="separate"/>
      </w:r>
      <w:r w:rsidR="00587F48" w:rsidRPr="00587F48">
        <w:rPr>
          <w:rFonts w:cs="Times New Roman"/>
          <w:noProof/>
          <w:szCs w:val="24"/>
          <w:lang w:val="en-US"/>
        </w:rPr>
        <w:t>(Kobari 2014)</w:t>
      </w:r>
      <w:r w:rsidR="004B68C3">
        <w:rPr>
          <w:rFonts w:cs="Times New Roman"/>
          <w:szCs w:val="24"/>
          <w:lang w:val="en-US"/>
        </w:rPr>
        <w:fldChar w:fldCharType="end"/>
      </w:r>
      <w:r w:rsidRPr="004B68C3">
        <w:rPr>
          <w:rFonts w:cs="Times New Roman"/>
          <w:szCs w:val="24"/>
          <w:lang w:val="en-US"/>
        </w:rPr>
        <w:t>.</w:t>
      </w:r>
      <w:r w:rsidRPr="00FF0C30">
        <w:rPr>
          <w:rFonts w:cs="Times New Roman"/>
          <w:szCs w:val="24"/>
          <w:lang w:val="en-US"/>
        </w:rPr>
        <w:t xml:space="preserve"> </w:t>
      </w:r>
    </w:p>
    <w:p w:rsidR="00275AA3" w:rsidRPr="002356D7" w:rsidRDefault="00275AA3" w:rsidP="00275AA3">
      <w:pPr>
        <w:rPr>
          <w:rFonts w:cs="Times New Roman"/>
          <w:szCs w:val="24"/>
          <w:lang w:val="en-US"/>
        </w:rPr>
      </w:pPr>
      <w:r w:rsidRPr="00FF0C30">
        <w:rPr>
          <w:rFonts w:cs="Times New Roman"/>
          <w:szCs w:val="24"/>
          <w:lang w:val="en-US"/>
        </w:rPr>
        <w:tab/>
        <w:t xml:space="preserve"> The WACC is the weighted average of the after-tax marginal cost of equity, </w:t>
      </w:r>
      <w:r w:rsidR="002356D7">
        <w:rPr>
          <w:rFonts w:cs="Times New Roman"/>
          <w:i/>
          <w:szCs w:val="24"/>
          <w:lang w:val="en-US"/>
        </w:rPr>
        <w:t>k</w:t>
      </w:r>
      <w:r w:rsidRPr="00FF0C30">
        <w:rPr>
          <w:rFonts w:cs="Times New Roman"/>
          <w:i/>
          <w:szCs w:val="24"/>
          <w:vertAlign w:val="subscript"/>
          <w:lang w:val="en-US"/>
        </w:rPr>
        <w:t>E</w:t>
      </w:r>
      <w:r w:rsidRPr="00FF0C30">
        <w:rPr>
          <w:rFonts w:cs="Times New Roman"/>
          <w:szCs w:val="24"/>
          <w:lang w:val="en-US"/>
        </w:rPr>
        <w:t xml:space="preserve">, and cost </w:t>
      </w:r>
      <w:r w:rsidRPr="002356D7">
        <w:rPr>
          <w:rFonts w:cs="Times New Roman"/>
          <w:szCs w:val="24"/>
          <w:lang w:val="en-US"/>
        </w:rPr>
        <w:t xml:space="preserve">of debt </w:t>
      </w:r>
      <w:r w:rsidR="002356D7" w:rsidRPr="002356D7">
        <w:rPr>
          <w:rFonts w:cs="Times New Roman"/>
          <w:i/>
          <w:szCs w:val="24"/>
          <w:lang w:val="en-US"/>
        </w:rPr>
        <w:t>k</w:t>
      </w:r>
      <w:r w:rsidRPr="002356D7">
        <w:rPr>
          <w:rFonts w:cs="Times New Roman"/>
          <w:i/>
          <w:szCs w:val="24"/>
          <w:vertAlign w:val="subscript"/>
          <w:lang w:val="en-US"/>
        </w:rPr>
        <w:t>D</w:t>
      </w:r>
      <w:r w:rsidRPr="002356D7">
        <w:rPr>
          <w:rFonts w:cs="Times New Roman"/>
          <w:szCs w:val="24"/>
          <w:lang w:val="en-US"/>
        </w:rPr>
        <w:t xml:space="preserve">, and it is weighted by the market value of the firm's debt, D, and equity E: </w:t>
      </w:r>
      <w:r w:rsidR="0059417E">
        <w:rPr>
          <w:rFonts w:cs="Times New Roman"/>
          <w:szCs w:val="24"/>
          <w:lang w:val="en-US"/>
        </w:rPr>
        <w:fldChar w:fldCharType="begin"/>
      </w:r>
      <w:r w:rsidR="0059417E">
        <w:rPr>
          <w:rFonts w:cs="Times New Roman"/>
          <w:szCs w:val="24"/>
          <w:lang w:val="en-US"/>
        </w:rPr>
        <w:instrText xml:space="preserve"> REF _Ref484009610 \h </w:instrText>
      </w:r>
      <w:r w:rsidR="0059417E">
        <w:rPr>
          <w:rFonts w:cs="Times New Roman"/>
          <w:szCs w:val="24"/>
          <w:lang w:val="en-US"/>
        </w:rPr>
      </w:r>
      <w:r w:rsidR="0059417E">
        <w:rPr>
          <w:rFonts w:cs="Times New Roman"/>
          <w:szCs w:val="24"/>
          <w:lang w:val="en-US"/>
        </w:rPr>
        <w:fldChar w:fldCharType="separate"/>
      </w:r>
      <w:r w:rsidR="008324C6" w:rsidRPr="008324C6">
        <w:rPr>
          <w:lang w:val="en-US"/>
        </w:rPr>
        <w:t>(</w:t>
      </w:r>
      <w:r w:rsidR="008324C6" w:rsidRPr="008324C6">
        <w:rPr>
          <w:noProof/>
          <w:lang w:val="en-US"/>
        </w:rPr>
        <w:t>1</w:t>
      </w:r>
      <w:r w:rsidR="008324C6" w:rsidRPr="008324C6">
        <w:rPr>
          <w:lang w:val="en-US"/>
        </w:rPr>
        <w:t>.</w:t>
      </w:r>
      <w:r w:rsidR="008324C6" w:rsidRPr="008324C6">
        <w:rPr>
          <w:noProof/>
          <w:lang w:val="en-US"/>
        </w:rPr>
        <w:t>2</w:t>
      </w:r>
      <w:r w:rsidR="0059417E">
        <w:rPr>
          <w:rFonts w:cs="Times New Roman"/>
          <w:szCs w:val="24"/>
          <w:lang w:val="en-US"/>
        </w:rPr>
        <w:fldChar w:fldCharType="end"/>
      </w:r>
      <w:r w:rsidR="0059417E">
        <w:rPr>
          <w:rFonts w:cs="Times New Roman"/>
          <w:szCs w:val="24"/>
          <w:lang w:val="en-US"/>
        </w:rPr>
        <w:t>)</w:t>
      </w:r>
    </w:p>
    <w:tbl>
      <w:tblPr>
        <w:tblStyle w:val="af6"/>
        <w:tblW w:w="0" w:type="auto"/>
        <w:tblLook w:val="04A0" w:firstRow="1" w:lastRow="0" w:firstColumn="1" w:lastColumn="0" w:noHBand="0" w:noVBand="1"/>
      </w:tblPr>
      <w:tblGrid>
        <w:gridCol w:w="8683"/>
        <w:gridCol w:w="672"/>
      </w:tblGrid>
      <w:tr w:rsidR="002356D7" w:rsidRPr="002356D7" w:rsidTr="006501CF">
        <w:tc>
          <w:tcPr>
            <w:tcW w:w="8897" w:type="dxa"/>
          </w:tcPr>
          <w:p w:rsidR="002356D7" w:rsidRPr="006501CF" w:rsidRDefault="002356D7" w:rsidP="002356D7">
            <w:pPr>
              <w:jc w:val="right"/>
              <w:rPr>
                <w:rFonts w:cs="Times New Roman"/>
                <w:i/>
                <w:szCs w:val="24"/>
                <w:lang w:val="en-US"/>
              </w:rPr>
            </w:pPr>
            <m:oMathPara>
              <m:oMathParaPr>
                <m:jc m:val="center"/>
              </m:oMathParaPr>
              <m:oMath>
                <m:r>
                  <w:rPr>
                    <w:rFonts w:ascii="Cambria Math" w:hAnsi="Cambria Math" w:cs="Times New Roman"/>
                    <w:szCs w:val="24"/>
                    <w:lang w:val="en-US"/>
                  </w:rPr>
                  <m:t>WACC=</m:t>
                </m:r>
                <m:f>
                  <m:fPr>
                    <m:ctrlPr>
                      <w:rPr>
                        <w:rFonts w:ascii="Cambria Math" w:hAnsi="Cambria Math" w:cs="Times New Roman"/>
                        <w:i/>
                        <w:szCs w:val="24"/>
                        <w:lang w:val="en-US"/>
                      </w:rPr>
                    </m:ctrlPr>
                  </m:fPr>
                  <m:num>
                    <m:r>
                      <w:rPr>
                        <w:rFonts w:ascii="Cambria Math" w:hAnsi="Cambria Math" w:cs="Times New Roman"/>
                        <w:szCs w:val="24"/>
                        <w:lang w:val="en-US"/>
                      </w:rPr>
                      <m:t>E</m:t>
                    </m:r>
                  </m:num>
                  <m:den>
                    <m:r>
                      <w:rPr>
                        <w:rFonts w:ascii="Cambria Math" w:hAnsi="Cambria Math" w:cs="Times New Roman"/>
                        <w:szCs w:val="24"/>
                        <w:lang w:val="en-US"/>
                      </w:rPr>
                      <m:t>E+D</m:t>
                    </m:r>
                  </m:den>
                </m:f>
                <m:r>
                  <w:rPr>
                    <w:rFonts w:ascii="Cambria Math" w:hAns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k</m:t>
                    </m:r>
                  </m:e>
                  <m:sub>
                    <m:r>
                      <w:rPr>
                        <w:rFonts w:ascii="Cambria Math" w:hAnsi="Cambria Math" w:cs="Times New Roman"/>
                        <w:szCs w:val="24"/>
                        <w:lang w:val="en-US"/>
                      </w:rPr>
                      <m:t>E</m:t>
                    </m:r>
                  </m:sub>
                </m:sSub>
                <m:r>
                  <w:rPr>
                    <w:rFonts w:ascii="Cambria Math" w:hAnsi="Cambria Math" w:cs="Times New Roman"/>
                    <w:szCs w:val="24"/>
                    <w:lang w:val="en-US"/>
                  </w:rPr>
                  <m:t xml:space="preserve">+ </m:t>
                </m:r>
                <m:f>
                  <m:fPr>
                    <m:ctrlPr>
                      <w:rPr>
                        <w:rFonts w:ascii="Cambria Math" w:hAnsi="Cambria Math" w:cs="Times New Roman"/>
                        <w:i/>
                        <w:szCs w:val="24"/>
                        <w:lang w:val="en-US"/>
                      </w:rPr>
                    </m:ctrlPr>
                  </m:fPr>
                  <m:num>
                    <m:r>
                      <w:rPr>
                        <w:rFonts w:ascii="Cambria Math" w:hAnsi="Cambria Math" w:cs="Times New Roman"/>
                        <w:szCs w:val="24"/>
                        <w:lang w:val="en-US"/>
                      </w:rPr>
                      <m:t>D</m:t>
                    </m:r>
                  </m:num>
                  <m:den>
                    <m:r>
                      <w:rPr>
                        <w:rFonts w:ascii="Cambria Math" w:hAnsi="Cambria Math" w:cs="Times New Roman"/>
                        <w:szCs w:val="24"/>
                        <w:lang w:val="en-US"/>
                      </w:rPr>
                      <m:t>E+D</m:t>
                    </m:r>
                  </m:den>
                </m:f>
                <m:r>
                  <w:rPr>
                    <w:rFonts w:ascii="Cambria Math" w:hAns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k</m:t>
                    </m:r>
                  </m:e>
                  <m:sub>
                    <m:r>
                      <w:rPr>
                        <w:rFonts w:ascii="Cambria Math" w:hAnsi="Cambria Math" w:cs="Times New Roman"/>
                        <w:szCs w:val="24"/>
                        <w:lang w:val="en-US"/>
                      </w:rPr>
                      <m:t>D</m:t>
                    </m:r>
                  </m:sub>
                </m:sSub>
                <m:d>
                  <m:dPr>
                    <m:ctrlPr>
                      <w:rPr>
                        <w:rFonts w:ascii="Cambria Math" w:hAnsi="Cambria Math" w:cs="Times New Roman"/>
                        <w:i/>
                        <w:szCs w:val="24"/>
                        <w:lang w:val="en-US"/>
                      </w:rPr>
                    </m:ctrlPr>
                  </m:dPr>
                  <m:e>
                    <m:r>
                      <w:rPr>
                        <w:rFonts w:ascii="Cambria Math" w:hAnsi="Cambria Math" w:cs="Times New Roman"/>
                        <w:szCs w:val="24"/>
                        <w:lang w:val="en-US"/>
                      </w:rPr>
                      <m:t>1-t</m:t>
                    </m:r>
                  </m:e>
                </m:d>
                <m:r>
                  <w:rPr>
                    <w:rFonts w:ascii="Cambria Math" w:hAnsi="Cambria Math" w:cs="Times New Roman"/>
                    <w:szCs w:val="24"/>
                    <w:lang w:val="en-US"/>
                  </w:rPr>
                  <m:t>,</m:t>
                </m:r>
                <m:r>
                  <w:rPr>
                    <w:rFonts w:ascii="Cambria Math" w:hAnsi="Cambria Math" w:cs="Times New Roman"/>
                    <w:szCs w:val="24"/>
                    <w:lang w:val="en-US"/>
                  </w:rPr>
                  <m:t xml:space="preserve"> </m:t>
                </m:r>
              </m:oMath>
            </m:oMathPara>
          </w:p>
        </w:tc>
        <w:tc>
          <w:tcPr>
            <w:tcW w:w="674" w:type="dxa"/>
          </w:tcPr>
          <w:p w:rsidR="002356D7" w:rsidRPr="0059417E" w:rsidRDefault="0059417E" w:rsidP="0059417E">
            <w:pPr>
              <w:pStyle w:val="ac"/>
            </w:pPr>
            <w:bookmarkStart w:id="11" w:name="_Ref484009610"/>
            <w:r>
              <w:t>(</w:t>
            </w:r>
            <w:r w:rsidR="008F1F91">
              <w:fldChar w:fldCharType="begin"/>
            </w:r>
            <w:r w:rsidR="008F1F91">
              <w:instrText xml:space="preserve"> STYLEREF 1 \s </w:instrText>
            </w:r>
            <w:r w:rsidR="008F1F91">
              <w:fldChar w:fldCharType="separate"/>
            </w:r>
            <w:r w:rsidR="008324C6">
              <w:rPr>
                <w:noProof/>
              </w:rPr>
              <w:t>1</w:t>
            </w:r>
            <w:r w:rsidR="008F1F91">
              <w:fldChar w:fldCharType="end"/>
            </w:r>
            <w:r w:rsidR="008F1F91">
              <w:t>.</w:t>
            </w:r>
            <w:r w:rsidR="008F1F91">
              <w:fldChar w:fldCharType="begin"/>
            </w:r>
            <w:r w:rsidR="008F1F91">
              <w:instrText xml:space="preserve"> SEQ Formula \* ARABIC \s 1 </w:instrText>
            </w:r>
            <w:r w:rsidR="008F1F91">
              <w:fldChar w:fldCharType="separate"/>
            </w:r>
            <w:r w:rsidR="008324C6">
              <w:rPr>
                <w:noProof/>
              </w:rPr>
              <w:t>2</w:t>
            </w:r>
            <w:r w:rsidR="008F1F91">
              <w:fldChar w:fldCharType="end"/>
            </w:r>
            <w:bookmarkEnd w:id="11"/>
            <w:r>
              <w:t>)</w:t>
            </w:r>
          </w:p>
        </w:tc>
      </w:tr>
    </w:tbl>
    <w:p w:rsidR="00275AA3" w:rsidRPr="002356D7" w:rsidRDefault="00275AA3" w:rsidP="002356D7">
      <w:pPr>
        <w:rPr>
          <w:lang w:val="en-US"/>
        </w:rPr>
      </w:pPr>
      <w:r w:rsidRPr="002356D7">
        <w:rPr>
          <w:lang w:val="en-US"/>
        </w:rPr>
        <w:t>Where</w:t>
      </w:r>
      <w:r w:rsidR="002356D7" w:rsidRPr="002356D7">
        <w:rPr>
          <w:lang w:val="en-US"/>
        </w:rPr>
        <w:t xml:space="preserve"> </w:t>
      </w:r>
      <w:r w:rsidRPr="002356D7">
        <w:rPr>
          <w:i/>
          <w:lang w:val="en-US"/>
        </w:rPr>
        <w:t>t</w:t>
      </w:r>
      <w:r w:rsidR="002356D7" w:rsidRPr="002356D7">
        <w:rPr>
          <w:lang w:val="en-US"/>
        </w:rPr>
        <w:t xml:space="preserve"> is the marginal tax rate.</w:t>
      </w:r>
      <w:r w:rsidRPr="002356D7">
        <w:rPr>
          <w:lang w:val="en-US"/>
        </w:rPr>
        <w:t xml:space="preserve"> </w:t>
      </w:r>
    </w:p>
    <w:p w:rsidR="00275AA3" w:rsidRPr="00FF0C30" w:rsidRDefault="002356D7" w:rsidP="002356D7">
      <w:pPr>
        <w:rPr>
          <w:lang w:val="en-US"/>
        </w:rPr>
      </w:pPr>
      <w:r w:rsidRPr="002356D7">
        <w:rPr>
          <w:i/>
          <w:lang w:val="en-US"/>
        </w:rPr>
        <w:t>k</w:t>
      </w:r>
      <w:r w:rsidRPr="002356D7">
        <w:rPr>
          <w:i/>
          <w:vertAlign w:val="subscript"/>
          <w:lang w:val="en-US"/>
        </w:rPr>
        <w:t>E</w:t>
      </w:r>
      <w:r w:rsidRPr="002356D7">
        <w:rPr>
          <w:lang w:val="en-US"/>
        </w:rPr>
        <w:t xml:space="preserve"> can be estimated by the capital asset</w:t>
      </w:r>
      <w:r w:rsidRPr="00FF0C30">
        <w:rPr>
          <w:lang w:val="en-US"/>
        </w:rPr>
        <w:t xml:space="preserve"> pricing model (CAPM).</w:t>
      </w:r>
      <w:r>
        <w:rPr>
          <w:lang w:val="en-US"/>
        </w:rPr>
        <w:t xml:space="preserve"> </w:t>
      </w:r>
      <w:r w:rsidR="00275AA3" w:rsidRPr="00FF0C30">
        <w:rPr>
          <w:lang w:val="en-US"/>
        </w:rPr>
        <w:t xml:space="preserve">The CAPM, developed primarily by </w:t>
      </w:r>
      <w:r w:rsidR="00227481">
        <w:rPr>
          <w:lang w:val="en-US"/>
        </w:rPr>
        <w:fldChar w:fldCharType="begin" w:fldLock="1"/>
      </w:r>
      <w:r w:rsidR="00666082">
        <w:rPr>
          <w:lang w:val="en-US"/>
        </w:rPr>
        <w:instrText>ADDIN CSL_CITATION { "citationItems" : [ { "id" : "ITEM-1", "itemData" : { "DOI" : "10.1111/j.1540-6261.1970.tb00518.x", "ISBN" : "00221082", "ISSN" : "00221082", "PMID" : "19724231", "abstract" : "N/A", "author" : [ { "dropping-particle" : "", "family" : "Malkiel", "given" : "Burton G.", "non-dropping-particle" : "", "parse-names" : false, "suffix" : "" }, { "dropping-particle" : "", "family" : "Fama", "given" : "Eugene F.", "non-dropping-particle" : "", "parse-names" : false, "suffix" : "" } ], "container-title" : "The Journal of Finance", "id" : "ITEM-1", "issue" : "2", "issued" : { "date-parts" : [ [ "1970", "5" ] ] }, "page" : "383-417", "title" : "Efficient Capital Markets: A Review of Theory and Empirical Work", "type" : "article-journal", "volume" : "25" }, "uris" : [ "http://www.mendeley.com/documents/?uuid=0e3b0a12-8809-4544-bf45-1b58fe0b4eff" ] } ], "mendeley" : { "formattedCitation" : "(Malkiel and Fama 1970)", "plainTextFormattedCitation" : "(Malkiel and Fama 1970)", "previouslyFormattedCitation" : "(Malkiel and Fama 1970)" }, "properties" : { "noteIndex" : 0 }, "schema" : "https://github.com/citation-style-language/schema/raw/master/csl-citation.json" }</w:instrText>
      </w:r>
      <w:r w:rsidR="00227481">
        <w:rPr>
          <w:lang w:val="en-US"/>
        </w:rPr>
        <w:fldChar w:fldCharType="separate"/>
      </w:r>
      <w:r w:rsidR="00587F48" w:rsidRPr="00587F48">
        <w:rPr>
          <w:noProof/>
          <w:lang w:val="en-US"/>
        </w:rPr>
        <w:t>(Malkiel and Fama 1970)</w:t>
      </w:r>
      <w:r w:rsidR="00227481">
        <w:rPr>
          <w:lang w:val="en-US"/>
        </w:rPr>
        <w:fldChar w:fldCharType="end"/>
      </w:r>
      <w:r w:rsidR="00227481">
        <w:rPr>
          <w:lang w:val="en-US"/>
        </w:rPr>
        <w:t xml:space="preserve"> </w:t>
      </w:r>
      <w:r w:rsidR="00275AA3" w:rsidRPr="00FF0C30">
        <w:rPr>
          <w:lang w:val="en-US"/>
        </w:rPr>
        <w:t xml:space="preserve">and </w:t>
      </w:r>
      <w:r w:rsidR="00227481">
        <w:rPr>
          <w:lang w:val="en-US"/>
        </w:rPr>
        <w:fldChar w:fldCharType="begin" w:fldLock="1"/>
      </w:r>
      <w:r w:rsidR="00587F48">
        <w:rPr>
          <w:lang w:val="en-US"/>
        </w:rPr>
        <w:instrText>ADDIN CSL_CITATION { "citationItems" : [ { "id" : "ITEM-1", "itemData" : { "author" : [ { "dropping-particle" : "", "family" : "Sharpe", "given" : "W F", "non-dropping-particle" : "", "parse-names" : false, "suffix" : "" } ], "collection-title" : "Foundations of American Government and Political Science Series", "id" : "ITEM-1", "issued" : { "date-parts" : [ [ "1970" ] ] }, "publisher" : "McGraw-Hill", "title" : "Portfolio theory and capital markets", "type" : "book" }, "uris" : [ "http://www.mendeley.com/documents/?uuid=684e692a-28eb-48ec-b244-a08741b4869b" ] } ], "mendeley" : { "formattedCitation" : "(Sharpe 1970)", "plainTextFormattedCitation" : "(Sharpe 1970)", "previouslyFormattedCitation" : "(Sharpe 1970)" }, "properties" : { "noteIndex" : 0 }, "schema" : "https://github.com/citation-style-language/schema/raw/master/csl-citation.json" }</w:instrText>
      </w:r>
      <w:r w:rsidR="00227481">
        <w:rPr>
          <w:lang w:val="en-US"/>
        </w:rPr>
        <w:fldChar w:fldCharType="separate"/>
      </w:r>
      <w:r w:rsidR="00587F48" w:rsidRPr="00587F48">
        <w:rPr>
          <w:noProof/>
          <w:lang w:val="en-US"/>
        </w:rPr>
        <w:t>(Sharpe 1970)</w:t>
      </w:r>
      <w:r w:rsidR="00227481">
        <w:rPr>
          <w:lang w:val="en-US"/>
        </w:rPr>
        <w:fldChar w:fldCharType="end"/>
      </w:r>
      <w:r w:rsidR="00227481">
        <w:rPr>
          <w:lang w:val="en-US"/>
        </w:rPr>
        <w:t xml:space="preserve">, </w:t>
      </w:r>
      <w:r w:rsidR="00275AA3" w:rsidRPr="00FF0C30">
        <w:rPr>
          <w:lang w:val="en-US"/>
        </w:rPr>
        <w:t>started with the idea that individual investment contains two types of risk:</w:t>
      </w:r>
    </w:p>
    <w:p w:rsidR="00275AA3" w:rsidRPr="00FF0C30" w:rsidRDefault="00275AA3" w:rsidP="00275AA3">
      <w:pPr>
        <w:ind w:left="708"/>
        <w:rPr>
          <w:rFonts w:cs="Times New Roman"/>
          <w:szCs w:val="24"/>
          <w:lang w:val="en-US"/>
        </w:rPr>
      </w:pPr>
      <w:r w:rsidRPr="00FF0C30">
        <w:rPr>
          <w:rFonts w:cs="Times New Roman"/>
          <w:i/>
          <w:szCs w:val="24"/>
          <w:lang w:val="en-US"/>
        </w:rPr>
        <w:t>1.</w:t>
      </w:r>
      <w:r w:rsidRPr="00FF0C30">
        <w:rPr>
          <w:rFonts w:cs="Times New Roman"/>
          <w:szCs w:val="24"/>
          <w:lang w:val="en-US"/>
        </w:rPr>
        <w:t xml:space="preserve"> </w:t>
      </w:r>
      <w:r w:rsidRPr="00FF0C30">
        <w:rPr>
          <w:rFonts w:cs="Times New Roman"/>
          <w:i/>
          <w:szCs w:val="24"/>
          <w:lang w:val="en-US"/>
        </w:rPr>
        <w:t>Systematic risk</w:t>
      </w:r>
      <w:r w:rsidRPr="00FF0C30">
        <w:rPr>
          <w:rFonts w:cs="Times New Roman"/>
          <w:szCs w:val="24"/>
          <w:lang w:val="en-US"/>
        </w:rPr>
        <w:t xml:space="preserve"> (or market risk), that cannot be diversified away, such as interest rates, recessions, and wars</w:t>
      </w:r>
    </w:p>
    <w:p w:rsidR="00275AA3" w:rsidRPr="00FF0C30" w:rsidRDefault="00275AA3" w:rsidP="00275AA3">
      <w:pPr>
        <w:ind w:left="708"/>
        <w:rPr>
          <w:rFonts w:cs="Times New Roman"/>
          <w:szCs w:val="24"/>
          <w:lang w:val="en-US"/>
        </w:rPr>
      </w:pPr>
      <w:r w:rsidRPr="00FF0C30">
        <w:rPr>
          <w:rFonts w:cs="Times New Roman"/>
          <w:i/>
          <w:szCs w:val="24"/>
          <w:lang w:val="en-US"/>
        </w:rPr>
        <w:t>2.</w:t>
      </w:r>
      <w:r w:rsidRPr="00FF0C30">
        <w:rPr>
          <w:rFonts w:cs="Times New Roman"/>
          <w:szCs w:val="24"/>
          <w:lang w:val="en-US"/>
        </w:rPr>
        <w:t xml:space="preserve"> </w:t>
      </w:r>
      <w:r w:rsidRPr="00FF0C30">
        <w:rPr>
          <w:rFonts w:cs="Times New Roman"/>
          <w:i/>
          <w:szCs w:val="24"/>
          <w:lang w:val="en-US"/>
        </w:rPr>
        <w:t>Unsystematic risk</w:t>
      </w:r>
      <w:r w:rsidRPr="00FF0C30">
        <w:rPr>
          <w:rFonts w:cs="Times New Roman"/>
          <w:szCs w:val="24"/>
          <w:lang w:val="en-US"/>
        </w:rPr>
        <w:t xml:space="preserve"> (or private risk, company specific risk, idiosyncratic risk), that is specific to individual stocks and can be diversified away as the investors increase the number of stocks in their portfolio. Unsystematic risk represents the component of a stock's return that is not correlated to the general market moves. </w:t>
      </w:r>
    </w:p>
    <w:p w:rsidR="00275AA3" w:rsidRDefault="00275AA3" w:rsidP="00275AA3">
      <w:pPr>
        <w:rPr>
          <w:rFonts w:cs="Times New Roman"/>
          <w:szCs w:val="24"/>
          <w:lang w:val="en-US"/>
        </w:rPr>
      </w:pPr>
      <w:r w:rsidRPr="00FF0C30">
        <w:rPr>
          <w:rFonts w:cs="Times New Roman"/>
          <w:szCs w:val="24"/>
          <w:lang w:val="en-US"/>
        </w:rPr>
        <w:t>Modern portfolio theory shows that although unsystematic risk can be hedged through diversification, systematic risk cannot be eliminated, and must be accounted for, when calculating a deserved return. The CAPM, evolved as a way to measure this systematic risk</w:t>
      </w:r>
      <w:r w:rsidR="00133A7F">
        <w:rPr>
          <w:rFonts w:cs="Times New Roman"/>
          <w:szCs w:val="24"/>
          <w:lang w:val="en-US"/>
        </w:rPr>
        <w:t xml:space="preserve"> </w:t>
      </w:r>
      <w:r w:rsidR="00133A7F">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"Sharpe", "given" : "W F", "non-dropping-particle" : "", "parse-names" : false, "suffix" : "" } ], "collection-title" : "Foundations of American Government and Political Science Series", "id" : "ITEM-1", "issued" : { "date-parts" : [ [ "1970" ] ] }, "publisher" : "McGraw-Hill", "title" : "Portfolio theory and capital markets", "type" : "book" }, "uris" : [ "http://www.mendeley.com/documents/?uuid=684e692a-28eb-48ec-b244-a08741b4869b" ] } ], "mendeley" : { "formattedCitation" : "(Sharpe 1970)", "plainTextFormattedCitation" : "(Sharpe 1970)", "previouslyFormattedCitation" : "(Sharpe 1970)" }, "properties" : { "noteIndex" : 0 }, "schema" : "https://github.com/citation-style-language/schema/raw/master/csl-citation.json" }</w:instrText>
      </w:r>
      <w:r w:rsidR="00133A7F">
        <w:rPr>
          <w:rFonts w:cs="Times New Roman"/>
          <w:szCs w:val="24"/>
          <w:lang w:val="en-US"/>
        </w:rPr>
        <w:fldChar w:fldCharType="separate"/>
      </w:r>
      <w:r w:rsidR="00587F48" w:rsidRPr="00587F48">
        <w:rPr>
          <w:rFonts w:cs="Times New Roman"/>
          <w:noProof/>
          <w:szCs w:val="24"/>
          <w:lang w:val="en-US"/>
        </w:rPr>
        <w:t>(Sharpe 1970)</w:t>
      </w:r>
      <w:r w:rsidR="00133A7F">
        <w:rPr>
          <w:rFonts w:cs="Times New Roman"/>
          <w:szCs w:val="24"/>
          <w:lang w:val="en-US"/>
        </w:rPr>
        <w:fldChar w:fldCharType="end"/>
      </w:r>
      <w:r w:rsidRPr="00FF0C30">
        <w:rPr>
          <w:rFonts w:cs="Times New Roman"/>
          <w:szCs w:val="24"/>
          <w:lang w:val="en-US"/>
        </w:rPr>
        <w:t xml:space="preserve">. The CAPM states that if the market portfolio, </w:t>
      </w:r>
      <w:r w:rsidRPr="00FF0C30">
        <w:rPr>
          <w:rFonts w:cs="Times New Roman"/>
          <w:i/>
          <w:szCs w:val="24"/>
          <w:lang w:val="en-US"/>
        </w:rPr>
        <w:t>M</w:t>
      </w:r>
      <w:r w:rsidRPr="00FF0C30">
        <w:rPr>
          <w:rFonts w:cs="Times New Roman"/>
          <w:szCs w:val="24"/>
          <w:lang w:val="en-US"/>
        </w:rPr>
        <w:t xml:space="preserve">, is efficient, the expected return of any asset </w:t>
      </w:r>
      <w:r w:rsidRPr="00FF0C30">
        <w:rPr>
          <w:rFonts w:cs="Times New Roman"/>
          <w:i/>
          <w:szCs w:val="24"/>
          <w:lang w:val="en-US"/>
        </w:rPr>
        <w:t>i</w:t>
      </w:r>
      <w:r w:rsidRPr="00FF0C30">
        <w:rPr>
          <w:rFonts w:cs="Times New Roman"/>
          <w:szCs w:val="24"/>
          <w:lang w:val="en-US"/>
        </w:rPr>
        <w:t xml:space="preserve">, equals the risk-free interest rate, </w:t>
      </w:r>
      <w:r w:rsidRPr="00FF0C30">
        <w:rPr>
          <w:rFonts w:cs="Times New Roman"/>
          <w:i/>
          <w:szCs w:val="24"/>
          <w:lang w:val="en-US"/>
        </w:rPr>
        <w:t>r</w:t>
      </w:r>
      <w:r w:rsidRPr="00FF0C30">
        <w:rPr>
          <w:rFonts w:cs="Times New Roman"/>
          <w:i/>
          <w:szCs w:val="24"/>
          <w:vertAlign w:val="subscript"/>
          <w:lang w:val="en-US"/>
        </w:rPr>
        <w:t>f</w:t>
      </w:r>
      <w:r w:rsidRPr="00FF0C30">
        <w:rPr>
          <w:rFonts w:cs="Times New Roman"/>
          <w:szCs w:val="24"/>
          <w:lang w:val="en-US"/>
        </w:rPr>
        <w:t xml:space="preserve"> , plus an added premium to the investor for taking the risk, as presented below: </w:t>
      </w:r>
      <w:r w:rsidR="0059417E">
        <w:rPr>
          <w:rFonts w:cs="Times New Roman"/>
          <w:szCs w:val="24"/>
          <w:lang w:val="en-US"/>
        </w:rPr>
        <w:fldChar w:fldCharType="begin"/>
      </w:r>
      <w:r w:rsidR="0059417E">
        <w:rPr>
          <w:rFonts w:cs="Times New Roman"/>
          <w:szCs w:val="24"/>
          <w:lang w:val="en-US"/>
        </w:rPr>
        <w:instrText xml:space="preserve"> REF _Ref484009671 \h </w:instrText>
      </w:r>
      <w:r w:rsidR="0059417E">
        <w:rPr>
          <w:rFonts w:cs="Times New Roman"/>
          <w:szCs w:val="24"/>
          <w:lang w:val="en-US"/>
        </w:rPr>
      </w:r>
      <w:r w:rsidR="0059417E">
        <w:rPr>
          <w:rFonts w:cs="Times New Roman"/>
          <w:szCs w:val="24"/>
          <w:lang w:val="en-US"/>
        </w:rPr>
        <w:fldChar w:fldCharType="separate"/>
      </w:r>
      <w:r w:rsidR="008324C6" w:rsidRPr="008324C6">
        <w:rPr>
          <w:rFonts w:cs="Times New Roman"/>
          <w:szCs w:val="24"/>
          <w:lang w:val="en-US"/>
        </w:rPr>
        <w:t>(</w:t>
      </w:r>
      <w:r w:rsidR="008324C6" w:rsidRPr="008324C6">
        <w:rPr>
          <w:rFonts w:cs="Times New Roman"/>
          <w:noProof/>
          <w:szCs w:val="24"/>
          <w:lang w:val="en-US"/>
        </w:rPr>
        <w:t>1</w:t>
      </w:r>
      <w:r w:rsidR="008324C6" w:rsidRPr="008324C6">
        <w:rPr>
          <w:rFonts w:cs="Times New Roman"/>
          <w:szCs w:val="24"/>
          <w:lang w:val="en-US"/>
        </w:rPr>
        <w:t>.</w:t>
      </w:r>
      <w:r w:rsidR="008324C6" w:rsidRPr="008324C6">
        <w:rPr>
          <w:rFonts w:cs="Times New Roman"/>
          <w:noProof/>
          <w:szCs w:val="24"/>
          <w:lang w:val="en-US"/>
        </w:rPr>
        <w:t>3</w:t>
      </w:r>
      <w:r w:rsidR="0059417E">
        <w:rPr>
          <w:rFonts w:cs="Times New Roman"/>
          <w:szCs w:val="24"/>
          <w:lang w:val="en-US"/>
        </w:rPr>
        <w:fldChar w:fldCharType="end"/>
      </w:r>
      <w:r w:rsidR="0059417E">
        <w:rPr>
          <w:rFonts w:cs="Times New Roman"/>
          <w:szCs w:val="24"/>
          <w:lang w:val="en-US"/>
        </w:rPr>
        <w:t>)</w:t>
      </w:r>
    </w:p>
    <w:tbl>
      <w:tblPr>
        <w:tblStyle w:val="af6"/>
        <w:tblW w:w="0" w:type="auto"/>
        <w:tblLook w:val="04A0" w:firstRow="1" w:lastRow="0" w:firstColumn="1" w:lastColumn="0" w:noHBand="0" w:noVBand="1"/>
      </w:tblPr>
      <w:tblGrid>
        <w:gridCol w:w="8683"/>
        <w:gridCol w:w="672"/>
      </w:tblGrid>
      <w:tr w:rsidR="002356D7" w:rsidTr="006501CF">
        <w:tc>
          <w:tcPr>
            <w:tcW w:w="8897" w:type="dxa"/>
          </w:tcPr>
          <w:p w:rsidR="002356D7" w:rsidRPr="006501CF" w:rsidRDefault="002356D7" w:rsidP="002356D7">
            <w:pPr>
              <w:ind w:left="1416"/>
              <w:jc w:val="center"/>
              <w:rPr>
                <w:rFonts w:eastAsiaTheme="minorEastAsia" w:cs="Times New Roman"/>
                <w:szCs w:val="24"/>
                <w:lang w:val="en-US"/>
              </w:rPr>
            </w:pPr>
            <m:oMathPara>
              <m:oMathParaPr>
                <m:jc m:val="center"/>
              </m:oMathParaPr>
              <m:oMath>
                <m:sSub>
                  <m:sSubPr>
                    <m:ctrlPr>
                      <w:rPr>
                        <w:rFonts w:ascii="Cambria Math" w:hAnsi="Cambria Math" w:cs="Times New Roman"/>
                        <w:i/>
                        <w:szCs w:val="24"/>
                        <w:lang w:val="en-US"/>
                      </w:rPr>
                    </m:ctrlPr>
                  </m:sSubPr>
                  <m:e>
                    <m:r>
                      <w:rPr>
                        <w:rFonts w:ascii="Cambria Math" w:hAnsi="Cambria Math" w:cs="Times New Roman"/>
                        <w:szCs w:val="24"/>
                        <w:lang w:val="en-US"/>
                      </w:rPr>
                      <m:t>r</m:t>
                    </m:r>
                  </m:e>
                  <m:sub>
                    <m:r>
                      <w:rPr>
                        <w:rFonts w:ascii="Cambria Math" w:hAnsi="Cambria Math" w:cs="Times New Roman"/>
                        <w:szCs w:val="24"/>
                        <w:lang w:val="en-US"/>
                      </w:rPr>
                      <m:t>i</m:t>
                    </m:r>
                  </m:sub>
                </m:sSub>
                <m:r>
                  <w:rPr>
                    <w:rFonts w:ascii="Cambria Math" w:hAns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r</m:t>
                    </m:r>
                  </m:e>
                  <m:sub>
                    <m:r>
                      <w:rPr>
                        <w:rFonts w:ascii="Cambria Math" w:hAnsi="Cambria Math" w:cs="Times New Roman"/>
                        <w:szCs w:val="24"/>
                        <w:lang w:val="en-US"/>
                      </w:rPr>
                      <m:t>f</m:t>
                    </m:r>
                  </m:sub>
                </m:sSub>
                <m:r>
                  <w:rPr>
                    <w:rFonts w:ascii="Cambria Math" w:hAns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β</m:t>
                    </m:r>
                  </m:e>
                  <m:sub>
                    <m:r>
                      <w:rPr>
                        <w:rFonts w:ascii="Cambria Math" w:hAnsi="Cambria Math" w:cs="Times New Roman"/>
                        <w:szCs w:val="24"/>
                        <w:lang w:val="en-US"/>
                      </w:rPr>
                      <m:t>i</m:t>
                    </m:r>
                  </m:sub>
                </m:sSub>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r</m:t>
                        </m:r>
                      </m:e>
                      <m:sub>
                        <m:r>
                          <w:rPr>
                            <w:rFonts w:ascii="Cambria Math" w:hAnsi="Cambria Math" w:cs="Times New Roman"/>
                            <w:szCs w:val="24"/>
                            <w:lang w:val="en-US"/>
                          </w:rPr>
                          <m:t>M</m:t>
                        </m:r>
                      </m:sub>
                    </m:sSub>
                    <m:r>
                      <w:rPr>
                        <w:rFonts w:ascii="Cambria Math" w:hAns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r</m:t>
                        </m:r>
                      </m:e>
                      <m:sub>
                        <m:r>
                          <w:rPr>
                            <w:rFonts w:ascii="Cambria Math" w:hAnsi="Cambria Math" w:cs="Times New Roman"/>
                            <w:szCs w:val="24"/>
                            <w:lang w:val="en-US"/>
                          </w:rPr>
                          <m:t>f</m:t>
                        </m:r>
                      </m:sub>
                    </m:sSub>
                  </m:e>
                </m:d>
                <m:r>
                  <w:rPr>
                    <w:rFonts w:ascii="Cambria Math" w:hAnsi="Cambria Math" w:cs="Times New Roman"/>
                    <w:szCs w:val="24"/>
                    <w:lang w:val="en-US"/>
                  </w:rPr>
                  <m:t>,</m:t>
                </m:r>
                <m:r>
                  <w:rPr>
                    <w:rFonts w:ascii="Cambria Math" w:hAnsi="Cambria Math" w:cs="Times New Roman"/>
                    <w:szCs w:val="24"/>
                    <w:lang w:val="en-US"/>
                  </w:rPr>
                  <m:t xml:space="preserve"> </m:t>
                </m:r>
              </m:oMath>
            </m:oMathPara>
          </w:p>
          <w:p w:rsidR="002356D7" w:rsidRPr="006501CF" w:rsidRDefault="002356D7" w:rsidP="002356D7">
            <w:pPr>
              <w:ind w:left="1416"/>
              <w:rPr>
                <w:rFonts w:eastAsiaTheme="minorEastAsia" w:cs="Times New Roman"/>
                <w:szCs w:val="24"/>
                <w:lang w:val="en-US"/>
              </w:rPr>
            </w:pPr>
            <m:oMathPara>
              <m:oMathParaPr>
                <m:jc m:val="center"/>
              </m:oMathParaPr>
              <m:oMath>
                <m:sSub>
                  <m:sSubPr>
                    <m:ctrlPr>
                      <w:rPr>
                        <w:rFonts w:ascii="Cambria Math" w:hAnsi="Cambria Math" w:cs="Times New Roman"/>
                        <w:i/>
                        <w:szCs w:val="24"/>
                        <w:lang w:val="en-US"/>
                      </w:rPr>
                    </m:ctrlPr>
                  </m:sSubPr>
                  <m:e>
                    <m:r>
                      <w:rPr>
                        <w:rFonts w:ascii="Cambria Math" w:hAnsi="Cambria Math" w:cs="Times New Roman"/>
                        <w:szCs w:val="24"/>
                        <w:lang w:val="en-US"/>
                      </w:rPr>
                      <m:t>β</m:t>
                    </m:r>
                  </m:e>
                  <m:sub>
                    <m:r>
                      <w:rPr>
                        <w:rFonts w:ascii="Cambria Math" w:hAnsi="Cambria Math" w:cs="Times New Roman"/>
                        <w:szCs w:val="24"/>
                        <w:lang w:val="en-US"/>
                      </w:rPr>
                      <m:t>i</m:t>
                    </m:r>
                  </m:sub>
                </m:sSub>
                <m:r>
                  <w:rPr>
                    <w:rFonts w:ascii="Cambria Math" w:hAnsi="Cambria Math" w:cs="Times New Roman"/>
                    <w:szCs w:val="24"/>
                    <w:lang w:val="en-US"/>
                  </w:rPr>
                  <m:t xml:space="preserve">= </m:t>
                </m:r>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sSub>
                          <m:sSubPr>
                            <m:ctrlPr>
                              <w:rPr>
                                <w:rFonts w:ascii="Cambria Math" w:hAnsi="Cambria Math" w:cs="Times New Roman"/>
                                <w:i/>
                                <w:szCs w:val="24"/>
                                <w:lang w:val="en-US"/>
                              </w:rPr>
                            </m:ctrlPr>
                          </m:sSubPr>
                          <m:e>
                            <m:r>
                              <w:rPr>
                                <w:rFonts w:ascii="Cambria Math" w:hAnsi="Cambria Math" w:cs="Times New Roman"/>
                                <w:szCs w:val="24"/>
                                <w:lang w:val="en-US"/>
                              </w:rPr>
                              <m:t>ρ</m:t>
                            </m:r>
                          </m:e>
                          <m:sub>
                            <m:r>
                              <w:rPr>
                                <w:rFonts w:ascii="Cambria Math" w:hAnsi="Cambria Math" w:cs="Times New Roman"/>
                                <w:szCs w:val="24"/>
                                <w:lang w:val="en-US"/>
                              </w:rPr>
                              <m:t>iM</m:t>
                            </m:r>
                          </m:sub>
                        </m:sSub>
                        <m:r>
                          <w:rPr>
                            <w:rFonts w:ascii="Cambria Math" w:hAnsi="Cambria Math" w:cs="Times New Roman"/>
                            <w:szCs w:val="24"/>
                            <w:lang w:val="en-US"/>
                          </w:rPr>
                          <m:t>*σ</m:t>
                        </m:r>
                      </m:e>
                      <m:sub>
                        <m:r>
                          <w:rPr>
                            <w:rFonts w:ascii="Cambria Math" w:hAnsi="Cambria Math" w:cs="Times New Roman"/>
                            <w:szCs w:val="24"/>
                            <w:lang w:val="en-US"/>
                          </w:rPr>
                          <m:t>i</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σ</m:t>
                        </m:r>
                      </m:e>
                      <m:sub>
                        <m:r>
                          <w:rPr>
                            <w:rFonts w:ascii="Cambria Math" w:hAnsi="Cambria Math" w:cs="Times New Roman"/>
                            <w:szCs w:val="24"/>
                            <w:lang w:val="en-US"/>
                          </w:rPr>
                          <m:t>M</m:t>
                        </m:r>
                      </m:sub>
                    </m:sSub>
                  </m:den>
                </m:f>
                <m:r>
                  <w:rPr>
                    <w:rFonts w:ascii="Cambria Math" w:hAnsi="Cambria Math" w:cs="Times New Roman"/>
                    <w:szCs w:val="24"/>
                    <w:lang w:val="en-US"/>
                  </w:rPr>
                  <m:t>,</m:t>
                </m:r>
              </m:oMath>
            </m:oMathPara>
          </w:p>
          <w:p w:rsidR="002356D7" w:rsidRDefault="002356D7" w:rsidP="00275AA3">
            <w:pPr>
              <w:rPr>
                <w:rFonts w:cs="Times New Roman"/>
                <w:szCs w:val="24"/>
                <w:lang w:val="en-US"/>
              </w:rPr>
            </w:pPr>
          </w:p>
        </w:tc>
        <w:tc>
          <w:tcPr>
            <w:tcW w:w="674" w:type="dxa"/>
          </w:tcPr>
          <w:p w:rsidR="002356D7" w:rsidRPr="0059417E" w:rsidRDefault="002356D7" w:rsidP="0059417E">
            <w:pPr>
              <w:pStyle w:val="ac"/>
            </w:pPr>
            <w:bookmarkStart w:id="12" w:name="_Ref484009671"/>
            <w:r>
              <w:rPr>
                <w:rFonts w:cs="Times New Roman"/>
                <w:szCs w:val="24"/>
              </w:rPr>
              <w:t>(</w:t>
            </w:r>
            <w:r w:rsidR="008F1F91">
              <w:rPr>
                <w:rFonts w:cs="Times New Roman"/>
                <w:szCs w:val="24"/>
              </w:rPr>
              <w:fldChar w:fldCharType="begin"/>
            </w:r>
            <w:r w:rsidR="008F1F91">
              <w:rPr>
                <w:rFonts w:cs="Times New Roman"/>
                <w:szCs w:val="24"/>
              </w:rPr>
              <w:instrText xml:space="preserve"> STYLEREF 1 \s </w:instrText>
            </w:r>
            <w:r w:rsidR="008F1F91">
              <w:rPr>
                <w:rFonts w:cs="Times New Roman"/>
                <w:szCs w:val="24"/>
              </w:rPr>
              <w:fldChar w:fldCharType="separate"/>
            </w:r>
            <w:r w:rsidR="008324C6">
              <w:rPr>
                <w:rFonts w:cs="Times New Roman"/>
                <w:noProof/>
                <w:szCs w:val="24"/>
              </w:rPr>
              <w:t>1</w:t>
            </w:r>
            <w:r w:rsidR="008F1F91">
              <w:rPr>
                <w:rFonts w:cs="Times New Roman"/>
                <w:szCs w:val="24"/>
              </w:rPr>
              <w:fldChar w:fldCharType="end"/>
            </w:r>
            <w:r w:rsidR="008F1F91">
              <w:rPr>
                <w:rFonts w:cs="Times New Roman"/>
                <w:szCs w:val="24"/>
              </w:rPr>
              <w:t>.</w:t>
            </w:r>
            <w:r w:rsidR="008F1F91">
              <w:rPr>
                <w:rFonts w:cs="Times New Roman"/>
                <w:szCs w:val="24"/>
              </w:rPr>
              <w:fldChar w:fldCharType="begin"/>
            </w:r>
            <w:r w:rsidR="008F1F91">
              <w:rPr>
                <w:rFonts w:cs="Times New Roman"/>
                <w:szCs w:val="24"/>
              </w:rPr>
              <w:instrText xml:space="preserve"> SEQ Formula \* ARABIC \s 1 </w:instrText>
            </w:r>
            <w:r w:rsidR="008F1F91">
              <w:rPr>
                <w:rFonts w:cs="Times New Roman"/>
                <w:szCs w:val="24"/>
              </w:rPr>
              <w:fldChar w:fldCharType="separate"/>
            </w:r>
            <w:r w:rsidR="008324C6">
              <w:rPr>
                <w:rFonts w:cs="Times New Roman"/>
                <w:noProof/>
                <w:szCs w:val="24"/>
              </w:rPr>
              <w:t>3</w:t>
            </w:r>
            <w:r w:rsidR="008F1F91">
              <w:rPr>
                <w:rFonts w:cs="Times New Roman"/>
                <w:szCs w:val="24"/>
              </w:rPr>
              <w:fldChar w:fldCharType="end"/>
            </w:r>
            <w:bookmarkEnd w:id="12"/>
            <w:r>
              <w:rPr>
                <w:rFonts w:cs="Times New Roman"/>
                <w:szCs w:val="24"/>
              </w:rPr>
              <w:t>)</w:t>
            </w:r>
          </w:p>
        </w:tc>
      </w:tr>
    </w:tbl>
    <w:p w:rsidR="00275AA3" w:rsidRPr="00F44325" w:rsidRDefault="00275AA3" w:rsidP="00275AA3">
      <w:pPr>
        <w:pStyle w:val="a4"/>
        <w:rPr>
          <w:rFonts w:cs="Times New Roman"/>
          <w:szCs w:val="24"/>
          <w:lang w:val="en-US"/>
        </w:rPr>
      </w:pPr>
      <w:r w:rsidRPr="00FF0C30">
        <w:rPr>
          <w:rFonts w:cs="Times New Roman"/>
          <w:szCs w:val="24"/>
          <w:lang w:val="en-US"/>
        </w:rPr>
        <w:t>Where:</w:t>
      </w:r>
      <w:r w:rsidRPr="00FF0C30">
        <w:rPr>
          <w:rFonts w:cs="Times New Roman"/>
          <w:szCs w:val="24"/>
          <w:lang w:val="en-US"/>
        </w:rPr>
        <w:tab/>
      </w:r>
      <w:r w:rsidRPr="00FF0C30">
        <w:rPr>
          <w:rFonts w:cs="Times New Roman"/>
          <w:szCs w:val="24"/>
          <w:lang w:val="en-US"/>
        </w:rPr>
        <w:tab/>
      </w:r>
      <w:r w:rsidRPr="00F44325">
        <w:rPr>
          <w:rFonts w:cs="Times New Roman"/>
          <w:i/>
          <w:szCs w:val="24"/>
          <w:lang w:val="en-US"/>
        </w:rPr>
        <w:t>r</w:t>
      </w:r>
      <w:r w:rsidRPr="00F44325">
        <w:rPr>
          <w:rFonts w:cs="Times New Roman"/>
          <w:i/>
          <w:szCs w:val="24"/>
          <w:vertAlign w:val="subscript"/>
          <w:lang w:val="en-US"/>
        </w:rPr>
        <w:t>i</w:t>
      </w:r>
      <w:r w:rsidRPr="00F44325">
        <w:rPr>
          <w:rFonts w:cs="Times New Roman"/>
          <w:szCs w:val="24"/>
          <w:lang w:val="en-US"/>
        </w:rPr>
        <w:t xml:space="preserve"> is the expected return of the asset </w:t>
      </w:r>
      <w:r w:rsidRPr="00F44325">
        <w:rPr>
          <w:rFonts w:cs="Times New Roman"/>
          <w:i/>
          <w:szCs w:val="24"/>
          <w:lang w:val="en-US"/>
        </w:rPr>
        <w:t>i</w:t>
      </w:r>
      <w:r w:rsidRPr="00F44325">
        <w:rPr>
          <w:rFonts w:cs="Times New Roman"/>
          <w:szCs w:val="24"/>
          <w:lang w:val="en-US"/>
        </w:rPr>
        <w:t>,</w:t>
      </w:r>
    </w:p>
    <w:p w:rsidR="00275AA3" w:rsidRPr="00F44325" w:rsidRDefault="00275AA3" w:rsidP="00275AA3">
      <w:pPr>
        <w:pStyle w:val="a4"/>
        <w:ind w:left="1416"/>
        <w:rPr>
          <w:rFonts w:cs="Times New Roman"/>
          <w:szCs w:val="24"/>
          <w:lang w:val="en-US"/>
        </w:rPr>
      </w:pPr>
      <w:r w:rsidRPr="00F44325">
        <w:rPr>
          <w:rFonts w:cs="Times New Roman"/>
          <w:i/>
          <w:szCs w:val="24"/>
          <w:lang w:val="en-US"/>
        </w:rPr>
        <w:t>r</w:t>
      </w:r>
      <w:r w:rsidRPr="00F44325">
        <w:rPr>
          <w:rFonts w:cs="Times New Roman"/>
          <w:i/>
          <w:szCs w:val="24"/>
          <w:vertAlign w:val="subscript"/>
          <w:lang w:val="en-US"/>
        </w:rPr>
        <w:t>M</w:t>
      </w:r>
      <w:r w:rsidRPr="00F44325">
        <w:rPr>
          <w:rFonts w:cs="Times New Roman"/>
          <w:szCs w:val="24"/>
          <w:lang w:val="en-US"/>
        </w:rPr>
        <w:t xml:space="preserve"> is the expected return of the market portfolio,</w:t>
      </w:r>
    </w:p>
    <w:p w:rsidR="00275AA3" w:rsidRPr="00F44325" w:rsidRDefault="00275AA3" w:rsidP="00275AA3">
      <w:pPr>
        <w:pStyle w:val="a4"/>
        <w:ind w:left="1416"/>
        <w:rPr>
          <w:rFonts w:cs="Times New Roman"/>
          <w:szCs w:val="24"/>
          <w:lang w:val="en-US"/>
        </w:rPr>
      </w:pPr>
      <w:r w:rsidRPr="00F44325">
        <w:rPr>
          <w:rFonts w:cs="Times New Roman"/>
          <w:i/>
          <w:szCs w:val="24"/>
          <w:lang w:val="en-US"/>
        </w:rPr>
        <w:t>β</w:t>
      </w:r>
      <w:r w:rsidR="002356D7" w:rsidRPr="002356D7">
        <w:rPr>
          <w:rFonts w:cs="Times New Roman"/>
          <w:i/>
          <w:szCs w:val="24"/>
          <w:vertAlign w:val="subscript"/>
          <w:lang w:val="en-US"/>
        </w:rPr>
        <w:t>i</w:t>
      </w:r>
      <w:r w:rsidRPr="00F44325">
        <w:rPr>
          <w:rFonts w:cs="Times New Roman"/>
          <w:szCs w:val="24"/>
          <w:lang w:val="en-US"/>
        </w:rPr>
        <w:t xml:space="preserve"> coefficient is a measure of the level of systematic risk between the market portfolio and the traded equity, </w:t>
      </w:r>
    </w:p>
    <w:p w:rsidR="00275AA3" w:rsidRPr="00F44325" w:rsidRDefault="00275AA3" w:rsidP="00275AA3">
      <w:pPr>
        <w:pStyle w:val="a4"/>
        <w:ind w:left="1416"/>
        <w:rPr>
          <w:rFonts w:cs="Times New Roman"/>
          <w:szCs w:val="24"/>
          <w:lang w:val="en-US"/>
        </w:rPr>
      </w:pPr>
      <w:r w:rsidRPr="00F44325">
        <w:rPr>
          <w:rFonts w:cs="Times New Roman"/>
          <w:i/>
          <w:szCs w:val="24"/>
          <w:lang w:val="en-US"/>
        </w:rPr>
        <w:lastRenderedPageBreak/>
        <w:t>ρ</w:t>
      </w:r>
      <w:r w:rsidRPr="00F44325">
        <w:rPr>
          <w:rFonts w:cs="Times New Roman"/>
          <w:i/>
          <w:szCs w:val="24"/>
          <w:vertAlign w:val="subscript"/>
          <w:lang w:val="en-US"/>
        </w:rPr>
        <w:t>iM</w:t>
      </w:r>
      <w:r w:rsidRPr="00F44325">
        <w:rPr>
          <w:rFonts w:cs="Times New Roman"/>
          <w:szCs w:val="24"/>
          <w:lang w:val="en-US"/>
        </w:rPr>
        <w:t xml:space="preserve"> is the correlation between the return of asset i and the return of the market portfolio, </w:t>
      </w:r>
    </w:p>
    <w:p w:rsidR="00275AA3" w:rsidRPr="00F44325" w:rsidRDefault="00275AA3" w:rsidP="00275AA3">
      <w:pPr>
        <w:pStyle w:val="a4"/>
        <w:ind w:left="1416"/>
        <w:rPr>
          <w:rFonts w:cs="Times New Roman"/>
          <w:szCs w:val="24"/>
          <w:lang w:val="en-US"/>
        </w:rPr>
      </w:pPr>
      <w:r w:rsidRPr="00F44325">
        <w:rPr>
          <w:rFonts w:cs="Times New Roman"/>
          <w:i/>
          <w:szCs w:val="24"/>
          <w:lang w:val="en-US"/>
        </w:rPr>
        <w:t>σ</w:t>
      </w:r>
      <w:r w:rsidRPr="00F44325">
        <w:rPr>
          <w:rFonts w:cs="Times New Roman"/>
          <w:i/>
          <w:szCs w:val="24"/>
          <w:vertAlign w:val="subscript"/>
          <w:lang w:val="en-US"/>
        </w:rPr>
        <w:t>i</w:t>
      </w:r>
      <w:r w:rsidRPr="00F44325">
        <w:rPr>
          <w:rFonts w:cs="Times New Roman"/>
          <w:szCs w:val="24"/>
          <w:lang w:val="en-US"/>
        </w:rPr>
        <w:t xml:space="preserve"> is the variance of return of asset i, </w:t>
      </w:r>
    </w:p>
    <w:p w:rsidR="00275AA3" w:rsidRPr="00FF0C30" w:rsidRDefault="00275AA3" w:rsidP="002356D7">
      <w:pPr>
        <w:ind w:left="708" w:firstLine="708"/>
        <w:rPr>
          <w:lang w:val="en-US"/>
        </w:rPr>
      </w:pPr>
      <w:r w:rsidRPr="00F44325">
        <w:rPr>
          <w:i/>
          <w:lang w:val="en-US"/>
        </w:rPr>
        <w:t>σ</w:t>
      </w:r>
      <w:r w:rsidRPr="00F44325">
        <w:rPr>
          <w:i/>
          <w:vertAlign w:val="subscript"/>
          <w:lang w:val="en-US"/>
        </w:rPr>
        <w:t>M</w:t>
      </w:r>
      <w:r w:rsidRPr="00F44325">
        <w:rPr>
          <w:lang w:val="en-US"/>
        </w:rPr>
        <w:t xml:space="preserve"> is the variance of return of the market portfolio. </w:t>
      </w:r>
    </w:p>
    <w:p w:rsidR="00133A7F" w:rsidRPr="00133A7F" w:rsidRDefault="00F44325" w:rsidP="00133A7F">
      <w:pPr>
        <w:spacing w:line="259" w:lineRule="auto"/>
        <w:jc w:val="left"/>
        <w:rPr>
          <w:lang w:val="en-US"/>
        </w:rPr>
      </w:pPr>
      <w:r>
        <w:rPr>
          <w:lang w:val="en-US"/>
        </w:rPr>
        <w:t xml:space="preserve">As </w:t>
      </w:r>
      <w:r w:rsidR="00D8356E">
        <w:rPr>
          <w:lang w:val="en-US"/>
        </w:rPr>
        <w:t xml:space="preserve">was mentioned earlier, DCF models are popular in industry and used to evaluate vast majority of projects. </w:t>
      </w:r>
      <w:r w:rsidR="00133A7F">
        <w:rPr>
          <w:lang w:val="en-US"/>
        </w:rPr>
        <w:t xml:space="preserve">According to </w:t>
      </w:r>
      <w:r w:rsidR="00133A7F">
        <w:rPr>
          <w:lang w:val="en-US"/>
        </w:rPr>
        <w:fldChar w:fldCharType="begin" w:fldLock="1"/>
      </w:r>
      <w:r w:rsidR="00587F48">
        <w:rPr>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00133A7F">
        <w:rPr>
          <w:lang w:val="en-US"/>
        </w:rPr>
        <w:fldChar w:fldCharType="separate"/>
      </w:r>
      <w:r w:rsidR="00587F48" w:rsidRPr="00587F48">
        <w:rPr>
          <w:noProof/>
          <w:lang w:val="en-US"/>
        </w:rPr>
        <w:t>(Mun 2002)</w:t>
      </w:r>
      <w:r w:rsidR="00133A7F">
        <w:rPr>
          <w:lang w:val="en-US"/>
        </w:rPr>
        <w:fldChar w:fldCharType="end"/>
      </w:r>
      <w:r w:rsidR="00133A7F">
        <w:rPr>
          <w:lang w:val="en-US"/>
        </w:rPr>
        <w:t xml:space="preserve"> d</w:t>
      </w:r>
      <w:r w:rsidR="00133A7F" w:rsidRPr="00133A7F">
        <w:rPr>
          <w:lang w:val="en-US"/>
        </w:rPr>
        <w:t xml:space="preserve">iscounted </w:t>
      </w:r>
      <w:r w:rsidR="00133A7F">
        <w:rPr>
          <w:lang w:val="en-US"/>
        </w:rPr>
        <w:t>c</w:t>
      </w:r>
      <w:r w:rsidR="00133A7F" w:rsidRPr="00133A7F">
        <w:rPr>
          <w:lang w:val="en-US"/>
        </w:rPr>
        <w:t xml:space="preserve">ash </w:t>
      </w:r>
      <w:r w:rsidR="00133A7F">
        <w:rPr>
          <w:lang w:val="en-US"/>
        </w:rPr>
        <w:t>f</w:t>
      </w:r>
      <w:r w:rsidR="00133A7F" w:rsidRPr="00133A7F">
        <w:rPr>
          <w:lang w:val="en-US"/>
        </w:rPr>
        <w:t>low</w:t>
      </w:r>
      <w:r w:rsidR="00133A7F">
        <w:rPr>
          <w:lang w:val="en-US"/>
        </w:rPr>
        <w:t xml:space="preserve"> models </w:t>
      </w:r>
      <w:r w:rsidR="00133A7F" w:rsidRPr="00133A7F">
        <w:rPr>
          <w:lang w:val="en-US"/>
        </w:rPr>
        <w:t xml:space="preserve"> </w:t>
      </w:r>
      <w:r w:rsidR="00133A7F">
        <w:rPr>
          <w:lang w:val="en-US"/>
        </w:rPr>
        <w:t xml:space="preserve">have several </w:t>
      </w:r>
      <w:r w:rsidR="00133A7F" w:rsidRPr="00133A7F">
        <w:rPr>
          <w:i/>
          <w:lang w:val="en-US"/>
        </w:rPr>
        <w:t>advantages</w:t>
      </w:r>
      <w:r w:rsidR="00133A7F">
        <w:rPr>
          <w:lang w:val="en-US"/>
        </w:rPr>
        <w:t>:</w:t>
      </w:r>
    </w:p>
    <w:p w:rsidR="00133A7F" w:rsidRPr="00133A7F" w:rsidRDefault="00133A7F" w:rsidP="00B7274B">
      <w:pPr>
        <w:pStyle w:val="a3"/>
        <w:numPr>
          <w:ilvl w:val="0"/>
          <w:numId w:val="9"/>
        </w:numPr>
        <w:spacing w:line="259" w:lineRule="auto"/>
        <w:jc w:val="left"/>
        <w:rPr>
          <w:lang w:val="en-US"/>
        </w:rPr>
      </w:pPr>
      <w:r w:rsidRPr="00133A7F">
        <w:rPr>
          <w:lang w:val="en-US"/>
        </w:rPr>
        <w:t>Clear, consistent decision criteria for all projects.</w:t>
      </w:r>
    </w:p>
    <w:p w:rsidR="00133A7F" w:rsidRPr="00133A7F" w:rsidRDefault="00133A7F" w:rsidP="00B7274B">
      <w:pPr>
        <w:pStyle w:val="a3"/>
        <w:numPr>
          <w:ilvl w:val="0"/>
          <w:numId w:val="9"/>
        </w:numPr>
        <w:spacing w:line="259" w:lineRule="auto"/>
        <w:jc w:val="left"/>
        <w:rPr>
          <w:lang w:val="en-US"/>
        </w:rPr>
      </w:pPr>
      <w:r w:rsidRPr="00133A7F">
        <w:rPr>
          <w:lang w:val="en-US"/>
        </w:rPr>
        <w:t>Same results regardless of risk preferences of investors.</w:t>
      </w:r>
    </w:p>
    <w:p w:rsidR="00133A7F" w:rsidRPr="00133A7F" w:rsidRDefault="00133A7F" w:rsidP="00B7274B">
      <w:pPr>
        <w:pStyle w:val="a3"/>
        <w:numPr>
          <w:ilvl w:val="0"/>
          <w:numId w:val="9"/>
        </w:numPr>
        <w:spacing w:line="259" w:lineRule="auto"/>
        <w:jc w:val="left"/>
        <w:rPr>
          <w:lang w:val="en-US"/>
        </w:rPr>
      </w:pPr>
      <w:r w:rsidRPr="00133A7F">
        <w:rPr>
          <w:lang w:val="en-US"/>
        </w:rPr>
        <w:t>Quantitative, decent level of precision, and economically rational.</w:t>
      </w:r>
    </w:p>
    <w:p w:rsidR="00133A7F" w:rsidRPr="00133A7F" w:rsidRDefault="00133A7F" w:rsidP="00B7274B">
      <w:pPr>
        <w:pStyle w:val="a3"/>
        <w:numPr>
          <w:ilvl w:val="0"/>
          <w:numId w:val="9"/>
        </w:numPr>
        <w:spacing w:line="259" w:lineRule="auto"/>
        <w:jc w:val="left"/>
        <w:rPr>
          <w:lang w:val="en-US"/>
        </w:rPr>
      </w:pPr>
      <w:r w:rsidRPr="00133A7F">
        <w:rPr>
          <w:lang w:val="en-US"/>
        </w:rPr>
        <w:t>Not as vulnerable to accounting conventions (depreciation, inventory valuation, etc.).</w:t>
      </w:r>
    </w:p>
    <w:p w:rsidR="00133A7F" w:rsidRPr="00133A7F" w:rsidRDefault="00133A7F" w:rsidP="00B7274B">
      <w:pPr>
        <w:pStyle w:val="a3"/>
        <w:numPr>
          <w:ilvl w:val="0"/>
          <w:numId w:val="9"/>
        </w:numPr>
        <w:spacing w:line="259" w:lineRule="auto"/>
        <w:jc w:val="left"/>
        <w:rPr>
          <w:lang w:val="en-US"/>
        </w:rPr>
      </w:pPr>
      <w:r w:rsidRPr="00133A7F">
        <w:rPr>
          <w:lang w:val="en-US"/>
        </w:rPr>
        <w:t>Factors in the time value of money and risk structures.</w:t>
      </w:r>
    </w:p>
    <w:p w:rsidR="00133A7F" w:rsidRPr="00133A7F" w:rsidRDefault="00133A7F" w:rsidP="00B7274B">
      <w:pPr>
        <w:pStyle w:val="a3"/>
        <w:numPr>
          <w:ilvl w:val="0"/>
          <w:numId w:val="9"/>
        </w:numPr>
        <w:spacing w:line="259" w:lineRule="auto"/>
        <w:jc w:val="left"/>
        <w:rPr>
          <w:lang w:val="en-US"/>
        </w:rPr>
      </w:pPr>
      <w:r w:rsidRPr="00133A7F">
        <w:rPr>
          <w:lang w:val="en-US"/>
        </w:rPr>
        <w:t>Relatively simple, widely taught, widely accepted.</w:t>
      </w:r>
    </w:p>
    <w:p w:rsidR="00133A7F" w:rsidRPr="00FF2FC5" w:rsidRDefault="00133A7F" w:rsidP="00B7274B">
      <w:pPr>
        <w:pStyle w:val="a3"/>
        <w:numPr>
          <w:ilvl w:val="0"/>
          <w:numId w:val="9"/>
        </w:numPr>
        <w:spacing w:line="259" w:lineRule="auto"/>
        <w:jc w:val="left"/>
        <w:rPr>
          <w:lang w:val="en-US"/>
        </w:rPr>
      </w:pPr>
      <w:r w:rsidRPr="00133A7F">
        <w:rPr>
          <w:lang w:val="en-US"/>
        </w:rPr>
        <w:t>S</w:t>
      </w:r>
      <w:r>
        <w:rPr>
          <w:lang w:val="en-US"/>
        </w:rPr>
        <w:t>imple to explain to management.</w:t>
      </w:r>
    </w:p>
    <w:p w:rsidR="00133A7F" w:rsidRDefault="009E7D3D" w:rsidP="00133A7F">
      <w:pPr>
        <w:rPr>
          <w:lang w:val="en-US"/>
        </w:rPr>
      </w:pPr>
      <w:r>
        <w:rPr>
          <w:lang w:val="en-US"/>
        </w:rPr>
        <w:t xml:space="preserve">However, Mun claims that underlying assumptions of DCF models do not depict real life problems and become major </w:t>
      </w:r>
      <w:r w:rsidRPr="00D8356E">
        <w:rPr>
          <w:i/>
          <w:lang w:val="en-US"/>
        </w:rPr>
        <w:t>drawback</w:t>
      </w:r>
      <w:r>
        <w:rPr>
          <w:lang w:val="en-US"/>
        </w:rPr>
        <w:t xml:space="preserve"> of the model</w:t>
      </w:r>
      <w:r w:rsidR="00133A7F" w:rsidRPr="00133A7F">
        <w:rPr>
          <w:lang w:val="en-US"/>
        </w:rPr>
        <w:t xml:space="preserve">, as shown in </w:t>
      </w:r>
      <w:r>
        <w:rPr>
          <w:lang w:val="en-US"/>
        </w:rPr>
        <w:fldChar w:fldCharType="begin"/>
      </w:r>
      <w:r>
        <w:rPr>
          <w:lang w:val="en-US"/>
        </w:rPr>
        <w:instrText xml:space="preserve"> REF _Ref483656430 \h </w:instrText>
      </w:r>
      <w:r>
        <w:rPr>
          <w:lang w:val="en-US"/>
        </w:rPr>
      </w:r>
      <w:r>
        <w:rPr>
          <w:lang w:val="en-US"/>
        </w:rPr>
        <w:fldChar w:fldCharType="separate"/>
      </w:r>
      <w:r w:rsidR="008324C6" w:rsidRPr="008324C6">
        <w:rPr>
          <w:lang w:val="en-US"/>
        </w:rPr>
        <w:t xml:space="preserve">Figure </w:t>
      </w:r>
      <w:r w:rsidR="008324C6" w:rsidRPr="008324C6">
        <w:rPr>
          <w:noProof/>
          <w:lang w:val="en-US"/>
        </w:rPr>
        <w:t>1</w:t>
      </w:r>
      <w:r>
        <w:rPr>
          <w:lang w:val="en-US"/>
        </w:rPr>
        <w:fldChar w:fldCharType="end"/>
      </w:r>
      <w:r>
        <w:rPr>
          <w:lang w:val="en-US"/>
        </w:rPr>
        <w:t>.</w:t>
      </w:r>
    </w:p>
    <w:tbl>
      <w:tblPr>
        <w:tblStyle w:val="41"/>
        <w:tblW w:w="0" w:type="auto"/>
        <w:tblLook w:val="04A0" w:firstRow="1" w:lastRow="0" w:firstColumn="1" w:lastColumn="0" w:noHBand="0" w:noVBand="1"/>
      </w:tblPr>
      <w:tblGrid>
        <w:gridCol w:w="3544"/>
        <w:gridCol w:w="5801"/>
      </w:tblGrid>
      <w:tr w:rsidR="00133A7F" w:rsidRPr="00133A7F" w:rsidTr="009E7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133A7F" w:rsidRPr="00133A7F" w:rsidRDefault="00133A7F" w:rsidP="00133A7F">
            <w:pPr>
              <w:rPr>
                <w:rFonts w:cs="Times New Roman"/>
                <w:sz w:val="20"/>
                <w:szCs w:val="20"/>
                <w:lang w:val="en-US"/>
              </w:rPr>
            </w:pPr>
            <w:r w:rsidRPr="00133A7F">
              <w:rPr>
                <w:rFonts w:cs="Times New Roman"/>
                <w:sz w:val="20"/>
                <w:szCs w:val="20"/>
                <w:lang w:val="en-US"/>
              </w:rPr>
              <w:t>DCF Assumption</w:t>
            </w:r>
          </w:p>
        </w:tc>
        <w:tc>
          <w:tcPr>
            <w:tcW w:w="5801" w:type="dxa"/>
          </w:tcPr>
          <w:p w:rsidR="00133A7F" w:rsidRPr="00133A7F" w:rsidRDefault="00133A7F" w:rsidP="00133A7F">
            <w:pPr>
              <w:cnfStyle w:val="100000000000" w:firstRow="1" w:lastRow="0" w:firstColumn="0" w:lastColumn="0" w:oddVBand="0" w:evenVBand="0" w:oddHBand="0" w:evenHBand="0" w:firstRowFirstColumn="0" w:firstRowLastColumn="0" w:lastRowFirstColumn="0" w:lastRowLastColumn="0"/>
              <w:rPr>
                <w:rFonts w:cs="Times New Roman"/>
                <w:sz w:val="20"/>
                <w:szCs w:val="20"/>
                <w:lang w:val="en-US"/>
              </w:rPr>
            </w:pPr>
            <w:r w:rsidRPr="00133A7F">
              <w:rPr>
                <w:rFonts w:cs="Times New Roman"/>
                <w:sz w:val="20"/>
                <w:szCs w:val="20"/>
                <w:lang w:val="en-US"/>
              </w:rPr>
              <w:t>Realities</w:t>
            </w:r>
          </w:p>
        </w:tc>
      </w:tr>
      <w:tr w:rsidR="00133A7F" w:rsidRPr="002356D7" w:rsidTr="009E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18" w:space="0" w:color="C00000"/>
              <w:bottom w:val="single" w:sz="8" w:space="0" w:color="7F7F7F" w:themeColor="text1" w:themeTint="80"/>
            </w:tcBorders>
            <w:vAlign w:val="center"/>
          </w:tcPr>
          <w:p w:rsidR="00133A7F" w:rsidRPr="009E7D3D" w:rsidRDefault="00133A7F" w:rsidP="009E7D3D">
            <w:pPr>
              <w:autoSpaceDE w:val="0"/>
              <w:autoSpaceDN w:val="0"/>
              <w:adjustRightInd w:val="0"/>
              <w:spacing w:line="276" w:lineRule="auto"/>
              <w:rPr>
                <w:rFonts w:cs="Times New Roman"/>
                <w:sz w:val="20"/>
                <w:szCs w:val="20"/>
                <w:lang w:val="en-US"/>
              </w:rPr>
            </w:pPr>
            <w:r w:rsidRPr="009E7D3D">
              <w:rPr>
                <w:rFonts w:cs="Times New Roman"/>
                <w:color w:val="151515"/>
                <w:sz w:val="20"/>
                <w:szCs w:val="20"/>
                <w:lang w:val="en-US"/>
              </w:rPr>
              <w:t>Decisions are made now, and cash flow streams are fixed for the future.</w:t>
            </w:r>
          </w:p>
        </w:tc>
        <w:tc>
          <w:tcPr>
            <w:tcW w:w="5801" w:type="dxa"/>
            <w:tcBorders>
              <w:top w:val="single" w:sz="18" w:space="0" w:color="C00000"/>
              <w:bottom w:val="single" w:sz="8" w:space="0" w:color="7F7F7F" w:themeColor="text1" w:themeTint="80"/>
            </w:tcBorders>
            <w:vAlign w:val="center"/>
          </w:tcPr>
          <w:p w:rsidR="00133A7F" w:rsidRPr="00133A7F" w:rsidRDefault="00133A7F" w:rsidP="009E7D3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133A7F">
              <w:rPr>
                <w:rFonts w:cs="Times New Roman"/>
                <w:color w:val="151515"/>
                <w:sz w:val="20"/>
                <w:szCs w:val="20"/>
                <w:lang w:val="en-US"/>
              </w:rPr>
              <w:t>Uncertainty and variability in future outcomes. Not all decisions are made today, as some may be deferred to the future, when uncertainty becomes resolved.</w:t>
            </w:r>
          </w:p>
        </w:tc>
      </w:tr>
      <w:tr w:rsidR="00133A7F" w:rsidRPr="002356D7" w:rsidTr="009E7D3D">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bottom w:val="single" w:sz="8" w:space="0" w:color="7F7F7F" w:themeColor="text1" w:themeTint="80"/>
            </w:tcBorders>
            <w:vAlign w:val="center"/>
          </w:tcPr>
          <w:p w:rsidR="00133A7F" w:rsidRPr="009E7D3D" w:rsidRDefault="00133A7F" w:rsidP="009E7D3D">
            <w:pPr>
              <w:autoSpaceDE w:val="0"/>
              <w:autoSpaceDN w:val="0"/>
              <w:adjustRightInd w:val="0"/>
              <w:spacing w:line="276" w:lineRule="auto"/>
              <w:rPr>
                <w:rFonts w:cs="Times New Roman"/>
                <w:sz w:val="20"/>
                <w:szCs w:val="20"/>
                <w:lang w:val="en-US"/>
              </w:rPr>
            </w:pPr>
            <w:r w:rsidRPr="009E7D3D">
              <w:rPr>
                <w:rFonts w:cs="Times New Roman"/>
                <w:color w:val="151515"/>
                <w:sz w:val="20"/>
                <w:szCs w:val="20"/>
                <w:lang w:val="en-US"/>
              </w:rPr>
              <w:t>Projects are “mini firms,” and they are interchangeable with whole firms.</w:t>
            </w:r>
          </w:p>
        </w:tc>
        <w:tc>
          <w:tcPr>
            <w:tcW w:w="5801" w:type="dxa"/>
            <w:tcBorders>
              <w:top w:val="single" w:sz="8" w:space="0" w:color="7F7F7F" w:themeColor="text1" w:themeTint="80"/>
              <w:bottom w:val="single" w:sz="8" w:space="0" w:color="7F7F7F" w:themeColor="text1" w:themeTint="80"/>
            </w:tcBorders>
            <w:vAlign w:val="center"/>
          </w:tcPr>
          <w:p w:rsidR="00133A7F" w:rsidRPr="00133A7F" w:rsidRDefault="00133A7F" w:rsidP="009E7D3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133A7F">
              <w:rPr>
                <w:rFonts w:cs="Times New Roman"/>
                <w:color w:val="151515"/>
                <w:sz w:val="20"/>
                <w:szCs w:val="20"/>
                <w:lang w:val="en-US"/>
              </w:rPr>
              <w:t>With the inclusion of network effects, diversification, interdependencies, and synergy, firms are portfolios of projects and their resulting cash flows. Sometimes projects cannot be evaluated as stand-alone cash flows.</w:t>
            </w:r>
          </w:p>
        </w:tc>
      </w:tr>
      <w:tr w:rsidR="00133A7F" w:rsidRPr="002356D7" w:rsidTr="009E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bottom w:val="single" w:sz="8" w:space="0" w:color="7F7F7F" w:themeColor="text1" w:themeTint="80"/>
            </w:tcBorders>
            <w:vAlign w:val="center"/>
          </w:tcPr>
          <w:p w:rsidR="00133A7F" w:rsidRPr="009E7D3D" w:rsidRDefault="00133A7F" w:rsidP="009E7D3D">
            <w:pPr>
              <w:spacing w:line="276" w:lineRule="auto"/>
              <w:rPr>
                <w:rFonts w:cs="Times New Roman"/>
                <w:sz w:val="20"/>
                <w:szCs w:val="20"/>
                <w:lang w:val="en-US"/>
              </w:rPr>
            </w:pPr>
            <w:r w:rsidRPr="009E7D3D">
              <w:rPr>
                <w:rFonts w:cs="Times New Roman"/>
                <w:color w:val="151515"/>
                <w:sz w:val="20"/>
                <w:szCs w:val="20"/>
                <w:lang w:val="en-US"/>
              </w:rPr>
              <w:t>Once launched, all projects are passively managed.</w:t>
            </w:r>
          </w:p>
        </w:tc>
        <w:tc>
          <w:tcPr>
            <w:tcW w:w="5801" w:type="dxa"/>
            <w:tcBorders>
              <w:top w:val="single" w:sz="8" w:space="0" w:color="7F7F7F" w:themeColor="text1" w:themeTint="80"/>
              <w:bottom w:val="single" w:sz="8" w:space="0" w:color="7F7F7F" w:themeColor="text1" w:themeTint="80"/>
            </w:tcBorders>
            <w:vAlign w:val="center"/>
          </w:tcPr>
          <w:p w:rsidR="00133A7F" w:rsidRPr="00133A7F" w:rsidRDefault="00133A7F" w:rsidP="009E7D3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133A7F">
              <w:rPr>
                <w:rFonts w:cs="Times New Roman"/>
                <w:color w:val="151515"/>
                <w:sz w:val="20"/>
                <w:szCs w:val="20"/>
                <w:lang w:val="en-US"/>
              </w:rPr>
              <w:t>Projects are usually actively managed through project life cycle, including checkpoints, decision options, budget constraints, and so forth.</w:t>
            </w:r>
          </w:p>
        </w:tc>
      </w:tr>
      <w:tr w:rsidR="00133A7F" w:rsidRPr="002356D7" w:rsidTr="009E7D3D">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bottom w:val="single" w:sz="8" w:space="0" w:color="7F7F7F" w:themeColor="text1" w:themeTint="80"/>
            </w:tcBorders>
            <w:vAlign w:val="center"/>
          </w:tcPr>
          <w:p w:rsidR="00133A7F" w:rsidRPr="009E7D3D" w:rsidRDefault="00133A7F" w:rsidP="009E7D3D">
            <w:pPr>
              <w:spacing w:line="276" w:lineRule="auto"/>
              <w:rPr>
                <w:rFonts w:cs="Times New Roman"/>
                <w:sz w:val="20"/>
                <w:szCs w:val="20"/>
                <w:lang w:val="en-US"/>
              </w:rPr>
            </w:pPr>
            <w:r w:rsidRPr="009E7D3D">
              <w:rPr>
                <w:rFonts w:cs="Times New Roman"/>
                <w:color w:val="151515"/>
                <w:sz w:val="20"/>
                <w:szCs w:val="20"/>
                <w:lang w:val="en-US"/>
              </w:rPr>
              <w:t>Future free cash flow streams are all highly predictable and deterministic.</w:t>
            </w:r>
          </w:p>
        </w:tc>
        <w:tc>
          <w:tcPr>
            <w:tcW w:w="5801" w:type="dxa"/>
            <w:tcBorders>
              <w:top w:val="single" w:sz="8" w:space="0" w:color="7F7F7F" w:themeColor="text1" w:themeTint="80"/>
              <w:bottom w:val="single" w:sz="8" w:space="0" w:color="7F7F7F" w:themeColor="text1" w:themeTint="80"/>
            </w:tcBorders>
            <w:vAlign w:val="center"/>
          </w:tcPr>
          <w:p w:rsidR="00133A7F" w:rsidRPr="00133A7F" w:rsidRDefault="00133A7F" w:rsidP="009E7D3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133A7F">
              <w:rPr>
                <w:rFonts w:cs="Times New Roman"/>
                <w:color w:val="151515"/>
                <w:sz w:val="20"/>
                <w:szCs w:val="20"/>
                <w:lang w:val="en-US"/>
              </w:rPr>
              <w:t>It may be difficult to estimate future cash flows as they are usually stochastic and risky in nature.</w:t>
            </w:r>
          </w:p>
        </w:tc>
      </w:tr>
      <w:tr w:rsidR="00133A7F" w:rsidRPr="002356D7" w:rsidTr="009E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bottom w:val="single" w:sz="8" w:space="0" w:color="7F7F7F" w:themeColor="text1" w:themeTint="80"/>
            </w:tcBorders>
            <w:vAlign w:val="center"/>
          </w:tcPr>
          <w:p w:rsidR="00133A7F" w:rsidRPr="009E7D3D" w:rsidRDefault="00133A7F" w:rsidP="009E7D3D">
            <w:pPr>
              <w:spacing w:line="276" w:lineRule="auto"/>
              <w:rPr>
                <w:rFonts w:cs="Times New Roman"/>
                <w:sz w:val="20"/>
                <w:szCs w:val="20"/>
                <w:lang w:val="en-US"/>
              </w:rPr>
            </w:pPr>
            <w:r w:rsidRPr="009E7D3D">
              <w:rPr>
                <w:rFonts w:cs="Times New Roman"/>
                <w:color w:val="151515"/>
                <w:sz w:val="20"/>
                <w:szCs w:val="20"/>
                <w:lang w:val="en-US"/>
              </w:rPr>
              <w:t>Project discount rate used is the opportunity cost of capital, which is proportional to non-diversifiable risk.</w:t>
            </w:r>
          </w:p>
        </w:tc>
        <w:tc>
          <w:tcPr>
            <w:tcW w:w="5801" w:type="dxa"/>
            <w:tcBorders>
              <w:top w:val="single" w:sz="8" w:space="0" w:color="7F7F7F" w:themeColor="text1" w:themeTint="80"/>
              <w:bottom w:val="single" w:sz="8" w:space="0" w:color="7F7F7F" w:themeColor="text1" w:themeTint="80"/>
            </w:tcBorders>
            <w:vAlign w:val="center"/>
          </w:tcPr>
          <w:p w:rsidR="00133A7F" w:rsidRPr="00133A7F" w:rsidRDefault="00133A7F" w:rsidP="009E7D3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133A7F">
              <w:rPr>
                <w:rFonts w:cs="Times New Roman"/>
                <w:color w:val="151515"/>
                <w:sz w:val="20"/>
                <w:szCs w:val="20"/>
                <w:lang w:val="en-US"/>
              </w:rPr>
              <w:t>There are multiple sources of business risks with different characteristics, and some are diversifiable across projects or time.</w:t>
            </w:r>
          </w:p>
        </w:tc>
      </w:tr>
      <w:tr w:rsidR="00133A7F" w:rsidRPr="002356D7" w:rsidTr="009E7D3D">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bottom w:val="single" w:sz="8" w:space="0" w:color="7F7F7F" w:themeColor="text1" w:themeTint="80"/>
            </w:tcBorders>
            <w:vAlign w:val="center"/>
          </w:tcPr>
          <w:p w:rsidR="00133A7F" w:rsidRPr="009E7D3D" w:rsidRDefault="00133A7F" w:rsidP="009E7D3D">
            <w:pPr>
              <w:spacing w:line="276" w:lineRule="auto"/>
              <w:rPr>
                <w:rFonts w:cs="Times New Roman"/>
                <w:sz w:val="20"/>
                <w:szCs w:val="20"/>
                <w:lang w:val="en-US"/>
              </w:rPr>
            </w:pPr>
            <w:r w:rsidRPr="009E7D3D">
              <w:rPr>
                <w:rFonts w:cs="Times New Roman"/>
                <w:color w:val="151515"/>
                <w:sz w:val="20"/>
                <w:szCs w:val="20"/>
                <w:lang w:val="en-US"/>
              </w:rPr>
              <w:t>All risks are completely accounted for by the discount rate.</w:t>
            </w:r>
          </w:p>
        </w:tc>
        <w:tc>
          <w:tcPr>
            <w:tcW w:w="5801" w:type="dxa"/>
            <w:tcBorders>
              <w:top w:val="single" w:sz="8" w:space="0" w:color="7F7F7F" w:themeColor="text1" w:themeTint="80"/>
              <w:bottom w:val="single" w:sz="8" w:space="0" w:color="7F7F7F" w:themeColor="text1" w:themeTint="80"/>
            </w:tcBorders>
            <w:vAlign w:val="center"/>
          </w:tcPr>
          <w:p w:rsidR="00133A7F" w:rsidRPr="00133A7F" w:rsidRDefault="00133A7F" w:rsidP="009E7D3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133A7F">
              <w:rPr>
                <w:rFonts w:cs="Times New Roman"/>
                <w:color w:val="151515"/>
                <w:sz w:val="20"/>
                <w:szCs w:val="20"/>
                <w:lang w:val="en-US"/>
              </w:rPr>
              <w:t>Firm and project risk can change during the course of a project.</w:t>
            </w:r>
          </w:p>
        </w:tc>
      </w:tr>
      <w:tr w:rsidR="00133A7F" w:rsidRPr="002356D7" w:rsidTr="009E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bottom w:val="single" w:sz="8" w:space="0" w:color="7F7F7F" w:themeColor="text1" w:themeTint="80"/>
            </w:tcBorders>
            <w:vAlign w:val="center"/>
          </w:tcPr>
          <w:p w:rsidR="00133A7F" w:rsidRPr="009E7D3D" w:rsidRDefault="00133A7F" w:rsidP="009E7D3D">
            <w:pPr>
              <w:spacing w:line="276" w:lineRule="auto"/>
              <w:rPr>
                <w:rFonts w:cs="Times New Roman"/>
                <w:sz w:val="20"/>
                <w:szCs w:val="20"/>
                <w:lang w:val="en-US"/>
              </w:rPr>
            </w:pPr>
            <w:r w:rsidRPr="009E7D3D">
              <w:rPr>
                <w:rFonts w:cs="Times New Roman"/>
                <w:color w:val="151515"/>
                <w:sz w:val="20"/>
                <w:szCs w:val="20"/>
                <w:lang w:val="en-US"/>
              </w:rPr>
              <w:t>All factors that could affect the outcome of the project and value to the investors are reflected in the DCF model through the NPV or IRR.</w:t>
            </w:r>
          </w:p>
        </w:tc>
        <w:tc>
          <w:tcPr>
            <w:tcW w:w="5801" w:type="dxa"/>
            <w:tcBorders>
              <w:top w:val="single" w:sz="8" w:space="0" w:color="7F7F7F" w:themeColor="text1" w:themeTint="80"/>
              <w:bottom w:val="single" w:sz="8" w:space="0" w:color="7F7F7F" w:themeColor="text1" w:themeTint="80"/>
            </w:tcBorders>
            <w:vAlign w:val="center"/>
          </w:tcPr>
          <w:p w:rsidR="00133A7F" w:rsidRPr="00133A7F" w:rsidRDefault="00133A7F" w:rsidP="009E7D3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133A7F">
              <w:rPr>
                <w:rFonts w:cs="Times New Roman"/>
                <w:color w:val="151515"/>
                <w:sz w:val="20"/>
                <w:szCs w:val="20"/>
                <w:lang w:val="en-US"/>
              </w:rPr>
              <w:t>Because of project complexity and so-called externalities, it may be difficult or impossible to quantify all factors in terms of incremental cash flows. Distributed, unplanned outcomes (e.g., strategic vision and entrepreneurial activity) can be significant and strategically important.</w:t>
            </w:r>
          </w:p>
        </w:tc>
      </w:tr>
      <w:tr w:rsidR="00133A7F" w:rsidRPr="002356D7" w:rsidTr="009E7D3D">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tcBorders>
            <w:vAlign w:val="center"/>
          </w:tcPr>
          <w:p w:rsidR="00133A7F" w:rsidRPr="009E7D3D" w:rsidRDefault="00133A7F" w:rsidP="009E7D3D">
            <w:pPr>
              <w:spacing w:line="276" w:lineRule="auto"/>
              <w:rPr>
                <w:rFonts w:cs="Times New Roman"/>
                <w:sz w:val="20"/>
                <w:szCs w:val="20"/>
                <w:lang w:val="en-US"/>
              </w:rPr>
            </w:pPr>
            <w:r w:rsidRPr="009E7D3D">
              <w:rPr>
                <w:rFonts w:cs="Times New Roman"/>
                <w:color w:val="151515"/>
                <w:sz w:val="20"/>
                <w:szCs w:val="20"/>
                <w:lang w:val="en-US"/>
              </w:rPr>
              <w:t>Unknown, intangible, or immeasurable factors are valued at zero.</w:t>
            </w:r>
          </w:p>
        </w:tc>
        <w:tc>
          <w:tcPr>
            <w:tcW w:w="5801" w:type="dxa"/>
            <w:tcBorders>
              <w:top w:val="single" w:sz="8" w:space="0" w:color="7F7F7F" w:themeColor="text1" w:themeTint="80"/>
            </w:tcBorders>
            <w:vAlign w:val="center"/>
          </w:tcPr>
          <w:p w:rsidR="00133A7F" w:rsidRPr="00133A7F" w:rsidRDefault="00133A7F" w:rsidP="009E7D3D">
            <w:pPr>
              <w:keepNext/>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133A7F">
              <w:rPr>
                <w:rFonts w:cs="Times New Roman"/>
                <w:color w:val="151515"/>
                <w:sz w:val="20"/>
                <w:szCs w:val="20"/>
                <w:lang w:val="en-US"/>
              </w:rPr>
              <w:t>Many of the important benefits are intangible assets or qualitative strategic positions.</w:t>
            </w:r>
          </w:p>
        </w:tc>
      </w:tr>
    </w:tbl>
    <w:p w:rsidR="00133A7F" w:rsidRPr="00481A23" w:rsidRDefault="009E7D3D" w:rsidP="00481A23">
      <w:pPr>
        <w:pStyle w:val="ac"/>
        <w:rPr>
          <w:rFonts w:cs="Times New Roman"/>
          <w:szCs w:val="24"/>
        </w:rPr>
      </w:pPr>
      <w:bookmarkStart w:id="13" w:name="_Ref483656430"/>
      <w:bookmarkStart w:id="14" w:name="_Toc484036515"/>
      <w:r>
        <w:t xml:space="preserve">Figure </w:t>
      </w:r>
      <w:r>
        <w:fldChar w:fldCharType="begin"/>
      </w:r>
      <w:r>
        <w:instrText xml:space="preserve"> SEQ Figure \* ARABIC </w:instrText>
      </w:r>
      <w:r>
        <w:fldChar w:fldCharType="separate"/>
      </w:r>
      <w:r w:rsidR="008324C6">
        <w:rPr>
          <w:noProof/>
        </w:rPr>
        <w:t>1</w:t>
      </w:r>
      <w:r>
        <w:fldChar w:fldCharType="end"/>
      </w:r>
      <w:bookmarkEnd w:id="13"/>
      <w:r>
        <w:t xml:space="preserve">. Flaws of DCF </w:t>
      </w:r>
      <w:r w:rsidRPr="009E7D3D">
        <w:t>models</w:t>
      </w:r>
      <w:r w:rsidR="00481A23" w:rsidRPr="00481A23">
        <w:t xml:space="preserve">. </w:t>
      </w:r>
      <w:r w:rsidR="00481A23">
        <w:t>Source</w:t>
      </w:r>
      <w:r w:rsidR="00481A23" w:rsidRPr="00481A23">
        <w:t>:</w:t>
      </w:r>
      <w:r w:rsidRPr="00481A23">
        <w:t xml:space="preserve"> </w:t>
      </w:r>
      <w:r w:rsidRPr="00481A23">
        <w:fldChar w:fldCharType="begin" w:fldLock="1"/>
      </w:r>
      <w:r w:rsidR="00587F48" w:rsidRPr="00481A23">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Pr="00481A23">
        <w:fldChar w:fldCharType="separate"/>
      </w:r>
      <w:r w:rsidR="00587F48" w:rsidRPr="00481A23">
        <w:rPr>
          <w:noProof/>
        </w:rPr>
        <w:t>(Mun 2002)</w:t>
      </w:r>
      <w:bookmarkEnd w:id="14"/>
      <w:r w:rsidRPr="00481A23">
        <w:fldChar w:fldCharType="end"/>
      </w:r>
    </w:p>
    <w:p w:rsidR="00FF2FC5" w:rsidRDefault="009E7D3D" w:rsidP="00133A7F">
      <w:pPr>
        <w:rPr>
          <w:lang w:val="en-US"/>
        </w:rPr>
      </w:pPr>
      <w:r>
        <w:rPr>
          <w:lang w:val="en-US"/>
        </w:rPr>
        <w:t>Traditional methods do not account for r</w:t>
      </w:r>
      <w:r w:rsidR="00133A7F" w:rsidRPr="00133A7F">
        <w:rPr>
          <w:lang w:val="en-US"/>
        </w:rPr>
        <w:t>isks and uncertainty</w:t>
      </w:r>
      <w:r w:rsidR="00133A7F">
        <w:rPr>
          <w:lang w:val="en-US"/>
        </w:rPr>
        <w:t xml:space="preserve"> </w:t>
      </w:r>
      <w:r w:rsidR="00133A7F" w:rsidRPr="00133A7F">
        <w:rPr>
          <w:lang w:val="en-US"/>
        </w:rPr>
        <w:t>abound when decisions have to be made and that management has the strategic</w:t>
      </w:r>
      <w:r w:rsidR="00133A7F">
        <w:rPr>
          <w:lang w:val="en-US"/>
        </w:rPr>
        <w:t xml:space="preserve"> </w:t>
      </w:r>
      <w:r w:rsidR="00133A7F" w:rsidRPr="00133A7F">
        <w:rPr>
          <w:lang w:val="en-US"/>
        </w:rPr>
        <w:t>flexibility to make and change decisions as these uncertainties become</w:t>
      </w:r>
      <w:r w:rsidR="00133A7F">
        <w:rPr>
          <w:lang w:val="en-US"/>
        </w:rPr>
        <w:t xml:space="preserve"> </w:t>
      </w:r>
      <w:r w:rsidR="00133A7F" w:rsidRPr="00133A7F">
        <w:rPr>
          <w:lang w:val="en-US"/>
        </w:rPr>
        <w:t xml:space="preserve">known over time. </w:t>
      </w:r>
      <w:r w:rsidR="00FF2FC5">
        <w:rPr>
          <w:lang w:val="en-US"/>
        </w:rPr>
        <w:t xml:space="preserve">According to </w:t>
      </w:r>
      <w:r w:rsidR="00FF2FC5">
        <w:rPr>
          <w:lang w:val="en-US"/>
        </w:rPr>
        <w:fldChar w:fldCharType="begin" w:fldLock="1"/>
      </w:r>
      <w:r w:rsidR="00587F48">
        <w:rPr>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00FF2FC5">
        <w:rPr>
          <w:lang w:val="en-US"/>
        </w:rPr>
        <w:fldChar w:fldCharType="separate"/>
      </w:r>
      <w:r w:rsidR="00587F48" w:rsidRPr="00587F48">
        <w:rPr>
          <w:noProof/>
          <w:lang w:val="en-US"/>
        </w:rPr>
        <w:t>(Mun 2002)</w:t>
      </w:r>
      <w:r w:rsidR="00FF2FC5">
        <w:rPr>
          <w:lang w:val="en-US"/>
        </w:rPr>
        <w:fldChar w:fldCharType="end"/>
      </w:r>
      <w:r w:rsidR="00FF2FC5">
        <w:rPr>
          <w:lang w:val="en-US"/>
        </w:rPr>
        <w:t xml:space="preserve"> i</w:t>
      </w:r>
      <w:r w:rsidR="00133A7F" w:rsidRPr="00133A7F">
        <w:rPr>
          <w:lang w:val="en-US"/>
        </w:rPr>
        <w:t>n such a stochastic world, using deterministic models like</w:t>
      </w:r>
      <w:r w:rsidR="00133A7F">
        <w:rPr>
          <w:lang w:val="en-US"/>
        </w:rPr>
        <w:t xml:space="preserve"> </w:t>
      </w:r>
      <w:r w:rsidR="00133A7F" w:rsidRPr="00133A7F">
        <w:rPr>
          <w:lang w:val="en-US"/>
        </w:rPr>
        <w:t xml:space="preserve">the discounted cash flow may potentially grossly underestimate the value </w:t>
      </w:r>
      <w:r w:rsidR="00133A7F" w:rsidRPr="00133A7F">
        <w:rPr>
          <w:lang w:val="en-US"/>
        </w:rPr>
        <w:lastRenderedPageBreak/>
        <w:t>of</w:t>
      </w:r>
      <w:r w:rsidR="00133A7F">
        <w:rPr>
          <w:lang w:val="en-US"/>
        </w:rPr>
        <w:t xml:space="preserve"> </w:t>
      </w:r>
      <w:r w:rsidR="00133A7F" w:rsidRPr="00133A7F">
        <w:rPr>
          <w:lang w:val="en-US"/>
        </w:rPr>
        <w:t xml:space="preserve">a particular project. </w:t>
      </w:r>
      <w:r w:rsidR="00D8356E">
        <w:rPr>
          <w:lang w:val="en-US"/>
        </w:rPr>
        <w:t xml:space="preserve">Same idea can be found in </w:t>
      </w:r>
      <w:r w:rsidR="00D8356E">
        <w:rPr>
          <w:lang w:val="en-US"/>
        </w:rPr>
        <w:fldChar w:fldCharType="begin" w:fldLock="1"/>
      </w:r>
      <w:r w:rsidR="00CF3C06">
        <w:rPr>
          <w:lang w:val="en-US"/>
        </w:rPr>
        <w:instrText>ADDIN CSL_CITATION { "citationItems" : [ { "id" : "ITEM-1", "itemData" : { "author" : [ { "dropping-particle" : "", "family" : "Trigeorgis", "given" : "Lenos", "non-dropping-particle" : "", "parse-names" : false, "suffix" : "" } ], "id" : "ITEM-1", "issued" : { "date-parts" : [ [ "1996" ] ] }, "publisher" : "MIT press", "title" : "Real Options: Managerial Flexibility and Strategy in Resource Allocation", "type" : "book" }, "uris" : [ "http://www.mendeley.com/documents/?uuid=f7468088-09d3-4d2b-b89f-56337db03219" ] }, { "id" : "ITEM-2", "itemData" : { "author" : [ { "dropping-particle" : "", "family" : "Cesena", "given" : "Eduardo Alejandro Martinez", "non-dropping-particle" : "", "parse-names" : false, "suffix" : "" } ], "id" : "ITEM-2", "issued" : { "date-parts" : [ [ "2012" ] ] }, "title" : "Real Options Theory Applied to Renewable Energy Generation Projects Planning", "type" : "article-journal" }, "uris" : [ "http://www.mendeley.com/documents/?uuid=f9bb843b-aa6c-3046-9588-8e25b61538bd" ] }, { "id" : "ITEM-3", "itemData" : { "author" : [ { "dropping-particle" : "", "family" : "Kobari", "given" : "Laleh", "non-dropping-particle" : "", "parse-names" : false, "suffix" : "" } ], "id" : "ITEM-3", "issued" : { "date-parts" : [ [ "2014" ] ] }, "number-of-pages" : "150", "publisher" : "University of Toronto", "title" : "Evaluation of Oil Sands Projects and Their Expansion Rate Using Real Options", "type" : "thesis" }, "uris" : [ "http://www.mendeley.com/documents/?uuid=983d648b-05bc-3ec4-886d-50a34ef214ed" ] } ], "mendeley" : { "formattedCitation" : "(Trigeorgis 1996; Cesena 2012; Kobari 2014)", "plainTextFormattedCitation" : "(Trigeorgis 1996; Cesena 2012; Kobari 2014)", "previouslyFormattedCitation" : "(Trigeorgis 1996; Cesena 2012; Kobari 2014)" }, "properties" : { "noteIndex" : 0 }, "schema" : "https://github.com/citation-style-language/schema/raw/master/csl-citation.json" }</w:instrText>
      </w:r>
      <w:r w:rsidR="00D8356E">
        <w:rPr>
          <w:lang w:val="en-US"/>
        </w:rPr>
        <w:fldChar w:fldCharType="separate"/>
      </w:r>
      <w:r w:rsidR="00CF3C06" w:rsidRPr="00CF3C06">
        <w:rPr>
          <w:noProof/>
          <w:lang w:val="en-US"/>
        </w:rPr>
        <w:t>(Trigeorgis 1996; Cesena 2012; Kobari 2014)</w:t>
      </w:r>
      <w:r w:rsidR="00D8356E">
        <w:rPr>
          <w:lang w:val="en-US"/>
        </w:rPr>
        <w:fldChar w:fldCharType="end"/>
      </w:r>
      <w:r w:rsidR="00D8356E">
        <w:rPr>
          <w:lang w:val="en-US"/>
        </w:rPr>
        <w:t xml:space="preserve"> and many more. </w:t>
      </w:r>
    </w:p>
    <w:p w:rsidR="00D8356E" w:rsidRDefault="00D8356E" w:rsidP="00133A7F">
      <w:pPr>
        <w:rPr>
          <w:lang w:val="en-US"/>
        </w:rPr>
      </w:pPr>
      <w:r w:rsidRPr="009E7D3D">
        <w:rPr>
          <w:lang w:val="en-US"/>
        </w:rPr>
        <w:t>The traditional valuation methodology relying on a discounted cash flow</w:t>
      </w:r>
      <w:r>
        <w:rPr>
          <w:lang w:val="en-US"/>
        </w:rPr>
        <w:t xml:space="preserve"> </w:t>
      </w:r>
      <w:r w:rsidRPr="009E7D3D">
        <w:rPr>
          <w:lang w:val="en-US"/>
        </w:rPr>
        <w:t>series does not get at some of the intrinsic attributes of the asset or investment</w:t>
      </w:r>
      <w:r>
        <w:rPr>
          <w:lang w:val="en-US"/>
        </w:rPr>
        <w:t xml:space="preserve"> </w:t>
      </w:r>
      <w:r w:rsidRPr="009E7D3D">
        <w:rPr>
          <w:lang w:val="en-US"/>
        </w:rPr>
        <w:t>opportunity. Traditional methods assume that the investment is an all</w:t>
      </w:r>
      <w:r>
        <w:rPr>
          <w:lang w:val="en-US"/>
        </w:rPr>
        <w:t>-</w:t>
      </w:r>
      <w:r w:rsidRPr="009E7D3D">
        <w:rPr>
          <w:lang w:val="en-US"/>
        </w:rPr>
        <w:t>or-nothing strategy and do not account for managerial flexibility that exists</w:t>
      </w:r>
      <w:r>
        <w:rPr>
          <w:lang w:val="en-US"/>
        </w:rPr>
        <w:t xml:space="preserve"> </w:t>
      </w:r>
      <w:r w:rsidRPr="009E7D3D">
        <w:rPr>
          <w:lang w:val="en-US"/>
        </w:rPr>
        <w:t>such that management can alter the course of an investment over time when</w:t>
      </w:r>
      <w:r>
        <w:rPr>
          <w:lang w:val="en-US"/>
        </w:rPr>
        <w:t xml:space="preserve"> </w:t>
      </w:r>
      <w:r w:rsidRPr="009E7D3D">
        <w:rPr>
          <w:lang w:val="en-US"/>
        </w:rPr>
        <w:t xml:space="preserve">certain aspects of the project’s uncertainty become known. </w:t>
      </w:r>
    </w:p>
    <w:p w:rsidR="00FF2FC5" w:rsidRDefault="00FF2FC5" w:rsidP="00133A7F">
      <w:pPr>
        <w:rPr>
          <w:lang w:val="en-US"/>
        </w:rPr>
      </w:pPr>
      <w:r>
        <w:rPr>
          <w:lang w:val="en-US"/>
        </w:rPr>
        <w:t>Discounted cash flows models perform well in a deterministic environment, when there are no fluctuations of market factors over time, and managers do not change the project to adopt to external factors</w:t>
      </w:r>
      <w:r w:rsidR="00D8356E">
        <w:rPr>
          <w:lang w:val="en-US"/>
        </w:rPr>
        <w:t xml:space="preserve"> (i.e. development path of the project is predetermined)</w:t>
      </w:r>
      <w:r>
        <w:rPr>
          <w:lang w:val="en-US"/>
        </w:rPr>
        <w:t xml:space="preserve">. </w:t>
      </w:r>
      <w:r w:rsidR="00133A7F" w:rsidRPr="00133A7F">
        <w:rPr>
          <w:lang w:val="en-US"/>
        </w:rPr>
        <w:t>If this is the case, then the discounted</w:t>
      </w:r>
      <w:r w:rsidR="00133A7F">
        <w:rPr>
          <w:lang w:val="en-US"/>
        </w:rPr>
        <w:t xml:space="preserve"> </w:t>
      </w:r>
      <w:r w:rsidR="00133A7F" w:rsidRPr="00133A7F">
        <w:rPr>
          <w:lang w:val="en-US"/>
        </w:rPr>
        <w:t>cash flow model is correctly specified as there would be no fluctuations</w:t>
      </w:r>
      <w:r w:rsidR="00133A7F">
        <w:rPr>
          <w:lang w:val="en-US"/>
        </w:rPr>
        <w:t xml:space="preserve"> </w:t>
      </w:r>
      <w:r w:rsidR="00133A7F" w:rsidRPr="00133A7F">
        <w:rPr>
          <w:lang w:val="en-US"/>
        </w:rPr>
        <w:t>in business conditions that would change the value of a particular</w:t>
      </w:r>
      <w:r w:rsidR="00133A7F">
        <w:rPr>
          <w:lang w:val="en-US"/>
        </w:rPr>
        <w:t xml:space="preserve"> </w:t>
      </w:r>
      <w:r w:rsidR="00133A7F" w:rsidRPr="00133A7F">
        <w:rPr>
          <w:lang w:val="en-US"/>
        </w:rPr>
        <w:t xml:space="preserve">project. In </w:t>
      </w:r>
      <w:r w:rsidR="00D8356E">
        <w:rPr>
          <w:lang w:val="en-US"/>
        </w:rPr>
        <w:t>fact</w:t>
      </w:r>
      <w:r w:rsidR="00133A7F" w:rsidRPr="00133A7F">
        <w:rPr>
          <w:lang w:val="en-US"/>
        </w:rPr>
        <w:t>, there would be no value in flexibility</w:t>
      </w:r>
      <w:r w:rsidR="00D8356E">
        <w:rPr>
          <w:lang w:val="en-US"/>
        </w:rPr>
        <w:t xml:space="preserve"> or active management</w:t>
      </w:r>
      <w:r w:rsidR="00133A7F" w:rsidRPr="00133A7F">
        <w:rPr>
          <w:lang w:val="en-US"/>
        </w:rPr>
        <w:t xml:space="preserve">. </w:t>
      </w:r>
    </w:p>
    <w:p w:rsidR="009E7D3D" w:rsidRDefault="00133A7F" w:rsidP="00133A7F">
      <w:pPr>
        <w:rPr>
          <w:lang w:val="en-US"/>
        </w:rPr>
      </w:pPr>
      <w:r w:rsidRPr="00133A7F">
        <w:rPr>
          <w:lang w:val="en-US"/>
        </w:rPr>
        <w:t>However, the</w:t>
      </w:r>
      <w:r>
        <w:rPr>
          <w:lang w:val="en-US"/>
        </w:rPr>
        <w:t xml:space="preserve"> </w:t>
      </w:r>
      <w:r w:rsidRPr="00133A7F">
        <w:rPr>
          <w:lang w:val="en-US"/>
        </w:rPr>
        <w:t xml:space="preserve">actual business environment is highly </w:t>
      </w:r>
      <w:r w:rsidR="00D8356E">
        <w:rPr>
          <w:lang w:val="en-US"/>
        </w:rPr>
        <w:t>volatile</w:t>
      </w:r>
      <w:r w:rsidRPr="00133A7F">
        <w:rPr>
          <w:lang w:val="en-US"/>
        </w:rPr>
        <w:t>, and if management has the flexibility</w:t>
      </w:r>
      <w:r>
        <w:rPr>
          <w:lang w:val="en-US"/>
        </w:rPr>
        <w:t xml:space="preserve"> </w:t>
      </w:r>
      <w:r w:rsidRPr="00133A7F">
        <w:rPr>
          <w:lang w:val="en-US"/>
        </w:rPr>
        <w:t>to make appropriate changes when conditions differ, then there is</w:t>
      </w:r>
      <w:r>
        <w:rPr>
          <w:lang w:val="en-US"/>
        </w:rPr>
        <w:t xml:space="preserve"> </w:t>
      </w:r>
      <w:r w:rsidRPr="00133A7F">
        <w:rPr>
          <w:lang w:val="en-US"/>
        </w:rPr>
        <w:t>indeed value in flexibility, a value that will be grossly underestimated using</w:t>
      </w:r>
      <w:r>
        <w:rPr>
          <w:lang w:val="en-US"/>
        </w:rPr>
        <w:t xml:space="preserve"> </w:t>
      </w:r>
      <w:r w:rsidRPr="00133A7F">
        <w:rPr>
          <w:lang w:val="en-US"/>
        </w:rPr>
        <w:t>a discounted cash flow model.</w:t>
      </w:r>
    </w:p>
    <w:p w:rsidR="00133A7F" w:rsidRDefault="008D3331" w:rsidP="009E7D3D">
      <w:pPr>
        <w:rPr>
          <w:rFonts w:eastAsiaTheme="majorEastAsia" w:cs="Times New Roman"/>
          <w:b/>
          <w:caps/>
          <w:spacing w:val="10"/>
          <w:szCs w:val="26"/>
          <w:lang w:val="en-US"/>
        </w:rPr>
      </w:pPr>
      <w:r>
        <w:rPr>
          <w:lang w:val="en-US"/>
        </w:rPr>
        <w:t>Next section provide description of how real options can capture the value of this flexibility and enhance the DCF method.</w:t>
      </w:r>
    </w:p>
    <w:p w:rsidR="00E270C6" w:rsidRPr="00FF0C30" w:rsidRDefault="00E270C6" w:rsidP="00E270C6">
      <w:pPr>
        <w:pStyle w:val="2"/>
      </w:pPr>
      <w:bookmarkStart w:id="15" w:name="_Toc484036299"/>
      <w:r w:rsidRPr="00FF0C30">
        <w:t>Real Options</w:t>
      </w:r>
      <w:bookmarkEnd w:id="15"/>
    </w:p>
    <w:p w:rsidR="00E270C6" w:rsidRPr="00FF0C30" w:rsidRDefault="00E270C6" w:rsidP="00E270C6">
      <w:pPr>
        <w:pStyle w:val="3"/>
      </w:pPr>
      <w:r w:rsidRPr="00FF0C30">
        <w:t>Financial options</w:t>
      </w:r>
    </w:p>
    <w:p w:rsidR="001A115A" w:rsidRDefault="00317C7C" w:rsidP="001A115A">
      <w:pPr>
        <w:rPr>
          <w:rFonts w:cs="Times New Roman"/>
          <w:szCs w:val="24"/>
          <w:lang w:val="en-US"/>
        </w:rPr>
      </w:pPr>
      <w:r>
        <w:rPr>
          <w:rFonts w:cs="Times New Roman"/>
          <w:szCs w:val="24"/>
          <w:lang w:val="en-US"/>
        </w:rPr>
        <w:t>Real options analysis</w:t>
      </w:r>
      <w:r w:rsidR="001A115A" w:rsidRPr="00FF0C30">
        <w:rPr>
          <w:rFonts w:cs="Times New Roman"/>
          <w:szCs w:val="24"/>
          <w:lang w:val="en-US"/>
        </w:rPr>
        <w:t xml:space="preserve"> can be described as the application of the ideas behind the valuation of financial options to the assessment of real assets.</w:t>
      </w:r>
      <w:r w:rsidR="00CD3BB3">
        <w:rPr>
          <w:rFonts w:cs="Times New Roman"/>
          <w:szCs w:val="24"/>
          <w:lang w:val="en-US"/>
        </w:rPr>
        <w:t xml:space="preserve"> </w:t>
      </w:r>
      <w:r w:rsidR="00CD3BB3">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"Kobari", "given" : "Laleh", "non-dropping-particle" : "", "parse-names" : false, "suffix" : "" } ], "id" : "ITEM-1", "issued" : { "date-parts" : [ [ "2014" ] ] }, "number-of-pages" : "150", "publisher" : "University of Toronto", "title" : "Evaluation of Oil Sands Projects and Their Expansion Rate Using Real Options", "type" : "thesis" }, "uris" : [ "http://www.mendeley.com/documents/?uuid=983d648b-05bc-3ec4-886d-50a34ef214ed" ] } ], "mendeley" : { "formattedCitation" : "(Kobari 2014)", "plainTextFormattedCitation" : "(Kobari 2014)", "previouslyFormattedCitation" : "(Kobari 2014)" }, "properties" : { "noteIndex" : 0 }, "schema" : "https://github.com/citation-style-language/schema/raw/master/csl-citation.json" }</w:instrText>
      </w:r>
      <w:r w:rsidR="00CD3BB3">
        <w:rPr>
          <w:rFonts w:cs="Times New Roman"/>
          <w:szCs w:val="24"/>
          <w:lang w:val="en-US"/>
        </w:rPr>
        <w:fldChar w:fldCharType="separate"/>
      </w:r>
      <w:r w:rsidR="00587F48" w:rsidRPr="00587F48">
        <w:rPr>
          <w:rFonts w:cs="Times New Roman"/>
          <w:noProof/>
          <w:szCs w:val="24"/>
          <w:lang w:val="en-US"/>
        </w:rPr>
        <w:t>(Kobari 2014)</w:t>
      </w:r>
      <w:r w:rsidR="00CD3BB3">
        <w:rPr>
          <w:rFonts w:cs="Times New Roman"/>
          <w:szCs w:val="24"/>
          <w:lang w:val="en-US"/>
        </w:rPr>
        <w:fldChar w:fldCharType="end"/>
      </w:r>
      <w:r w:rsidR="001A115A">
        <w:rPr>
          <w:rFonts w:cs="Times New Roman"/>
          <w:szCs w:val="24"/>
          <w:lang w:val="en-US"/>
        </w:rPr>
        <w:t xml:space="preserve"> </w:t>
      </w:r>
      <w:r w:rsidR="001A115A" w:rsidRPr="00FF0C30">
        <w:rPr>
          <w:rFonts w:cs="Times New Roman"/>
          <w:szCs w:val="24"/>
          <w:lang w:val="en-US"/>
        </w:rPr>
        <w:t xml:space="preserve"> </w:t>
      </w:r>
      <w:r w:rsidR="001A115A">
        <w:rPr>
          <w:rFonts w:cs="Times New Roman"/>
          <w:szCs w:val="24"/>
          <w:lang w:val="en-US"/>
        </w:rPr>
        <w:t xml:space="preserve">This section describes main ideas of financial option theory, according to </w:t>
      </w:r>
      <w:r w:rsidR="001A115A">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"Hull", "given" : "John C.", "non-dropping-particle" : "", "parse-names" : false, "suffix" : "" } ], "container-title" : "Pearson", "id" : "ITEM-1", "issue" : "9", "issued" : { "date-parts" : [ [ "2009" ] ] }, "publisher" : "Pearson Prentice Hall", "title" : "Options, Futures and Other Derivatives", "type" : "book", "volume" : "1542" }, "uris" : [ "http://www.mendeley.com/documents/?uuid=88c262f9-9716-45cd-ae31-2c10830148a9" ] } ], "mendeley" : { "formattedCitation" : "(Hull 2009)", "plainTextFormattedCitation" : "(Hull 2009)", "previouslyFormattedCitation" : "(Hull 2009)" }, "properties" : { "noteIndex" : 0 }, "schema" : "https://github.com/citation-style-language/schema/raw/master/csl-citation.json" }</w:instrText>
      </w:r>
      <w:r w:rsidR="001A115A">
        <w:rPr>
          <w:rFonts w:cs="Times New Roman"/>
          <w:szCs w:val="24"/>
          <w:lang w:val="en-US"/>
        </w:rPr>
        <w:fldChar w:fldCharType="separate"/>
      </w:r>
      <w:r w:rsidR="00587F48" w:rsidRPr="00587F48">
        <w:rPr>
          <w:rFonts w:cs="Times New Roman"/>
          <w:noProof/>
          <w:szCs w:val="24"/>
          <w:lang w:val="en-US"/>
        </w:rPr>
        <w:t>(Hull 2009)</w:t>
      </w:r>
      <w:r w:rsidR="001A115A">
        <w:rPr>
          <w:rFonts w:cs="Times New Roman"/>
          <w:szCs w:val="24"/>
          <w:lang w:val="en-US"/>
        </w:rPr>
        <w:fldChar w:fldCharType="end"/>
      </w:r>
    </w:p>
    <w:p w:rsidR="00E270C6" w:rsidRPr="00FF0C30" w:rsidRDefault="00E270C6" w:rsidP="00E270C6">
      <w:pPr>
        <w:rPr>
          <w:rFonts w:cs="Times New Roman"/>
          <w:szCs w:val="24"/>
          <w:lang w:val="en-US"/>
        </w:rPr>
      </w:pPr>
      <w:r w:rsidRPr="00FF0C30">
        <w:rPr>
          <w:rFonts w:cs="Times New Roman"/>
          <w:szCs w:val="24"/>
          <w:lang w:val="en-US"/>
        </w:rPr>
        <w:t>A financial option is a contract that gives the owner the right, but not the obligation, to buy or sell an underlying risky asset at a future date (maturity) and at a specified price (strike). Financial options can be traded on both exchanges and over the counter markets. Since the value of these instruments is driven by their underlying asset value</w:t>
      </w:r>
      <w:r>
        <w:rPr>
          <w:rFonts w:cs="Times New Roman"/>
          <w:szCs w:val="24"/>
          <w:lang w:val="en-US"/>
        </w:rPr>
        <w:t xml:space="preserve"> – </w:t>
      </w:r>
      <w:r w:rsidRPr="00FF0C30">
        <w:rPr>
          <w:rFonts w:cs="Times New Roman"/>
          <w:szCs w:val="24"/>
          <w:lang w:val="en-US"/>
        </w:rPr>
        <w:t>such as commodities, stocks, futures, foreign currencies, and indices</w:t>
      </w:r>
      <w:r>
        <w:rPr>
          <w:rFonts w:cs="Times New Roman"/>
          <w:szCs w:val="24"/>
          <w:lang w:val="en-US"/>
        </w:rPr>
        <w:t xml:space="preserve"> – </w:t>
      </w:r>
      <w:r w:rsidRPr="00FF0C30">
        <w:rPr>
          <w:rFonts w:cs="Times New Roman"/>
          <w:szCs w:val="24"/>
          <w:lang w:val="en-US"/>
        </w:rPr>
        <w:t>they are referred to as derivatives. An important feature of an underlying asset is that its current price is known at the present but liable to change in the future. The main applications of financial optio</w:t>
      </w:r>
      <w:r w:rsidR="001A115A">
        <w:rPr>
          <w:rFonts w:cs="Times New Roman"/>
          <w:szCs w:val="24"/>
          <w:lang w:val="en-US"/>
        </w:rPr>
        <w:t xml:space="preserve">ns are hedging and speculation. </w:t>
      </w:r>
      <w:r w:rsidRPr="00FF0C30">
        <w:rPr>
          <w:rFonts w:cs="Times New Roman"/>
          <w:szCs w:val="24"/>
          <w:lang w:val="en-US"/>
        </w:rPr>
        <w:t>Hedging is an act of mitigating the risk should the underlying asset yield an unfavorable outcome, whereas speculating is an act of betting on the future underlying prices, by taking a position in</w:t>
      </w:r>
      <w:r w:rsidR="001A115A">
        <w:rPr>
          <w:rFonts w:cs="Times New Roman"/>
          <w:szCs w:val="24"/>
          <w:lang w:val="en-US"/>
        </w:rPr>
        <w:t xml:space="preserve"> the market</w:t>
      </w:r>
      <w:r w:rsidRPr="00FF0C30">
        <w:rPr>
          <w:rFonts w:cs="Times New Roman"/>
          <w:szCs w:val="24"/>
          <w:lang w:val="en-US"/>
        </w:rPr>
        <w:t xml:space="preserve">.  </w:t>
      </w:r>
    </w:p>
    <w:p w:rsidR="00E270C6" w:rsidRPr="00FF0C30" w:rsidRDefault="00E270C6" w:rsidP="00E270C6">
      <w:pPr>
        <w:rPr>
          <w:rFonts w:cs="Times New Roman"/>
          <w:szCs w:val="24"/>
          <w:lang w:val="en-US"/>
        </w:rPr>
      </w:pPr>
      <w:r w:rsidRPr="00FF0C30">
        <w:rPr>
          <w:rFonts w:cs="Times New Roman"/>
          <w:szCs w:val="24"/>
          <w:lang w:val="en-US"/>
        </w:rPr>
        <w:lastRenderedPageBreak/>
        <w:t xml:space="preserve">In an option contract, two parties are involved: a party with a long position who has the right to purchase the underlying asset, and a party with a short position who has the right to sell/write the underlying asset. Financial options are commonly categorized in two manners. In the first classification, options are categorized as call or put options. A call option is an option to buy the underlying asset, whereas a put option is an option to sell the underlying asset. In the first classification, options are categorized as European and American options. The holder of a European option has the right to exercise the option only at the maturity, whereas the holder of an American option may exercise its right any time before or on the maturity date. </w:t>
      </w:r>
    </w:p>
    <w:p w:rsidR="00E270C6" w:rsidRDefault="00E270C6" w:rsidP="00E270C6">
      <w:pPr>
        <w:rPr>
          <w:rFonts w:cs="Times New Roman"/>
          <w:szCs w:val="24"/>
          <w:lang w:val="en-US"/>
        </w:rPr>
      </w:pPr>
      <w:r w:rsidRPr="00FF0C30">
        <w:rPr>
          <w:rFonts w:cs="Times New Roman"/>
          <w:szCs w:val="24"/>
          <w:lang w:val="en-US"/>
        </w:rPr>
        <w:t xml:space="preserve">The payoff of a call option, </w:t>
      </w:r>
      <w:r w:rsidRPr="00FF0C30">
        <w:rPr>
          <w:rFonts w:cs="Times New Roman"/>
          <w:i/>
          <w:szCs w:val="24"/>
          <w:lang w:val="en-US"/>
        </w:rPr>
        <w:t>c(S</w:t>
      </w:r>
      <w:r w:rsidRPr="00FF0C30">
        <w:rPr>
          <w:rFonts w:cs="Times New Roman"/>
          <w:i/>
          <w:szCs w:val="24"/>
          <w:vertAlign w:val="subscript"/>
          <w:lang w:val="en-US"/>
        </w:rPr>
        <w:t>t</w:t>
      </w:r>
      <w:r w:rsidRPr="00FF0C30">
        <w:rPr>
          <w:rFonts w:cs="Times New Roman"/>
          <w:i/>
          <w:szCs w:val="24"/>
          <w:lang w:val="en-US"/>
        </w:rPr>
        <w:t>; t),</w:t>
      </w:r>
      <w:r w:rsidRPr="00FF0C30">
        <w:rPr>
          <w:rFonts w:cs="Times New Roman"/>
          <w:szCs w:val="24"/>
          <w:lang w:val="en-US"/>
        </w:rPr>
        <w:t xml:space="preserve"> which gives an option holder the right but not an obligation to pur</w:t>
      </w:r>
      <w:r w:rsidR="0059417E">
        <w:rPr>
          <w:rFonts w:cs="Times New Roman"/>
          <w:szCs w:val="24"/>
          <w:lang w:val="en-US"/>
        </w:rPr>
        <w:t xml:space="preserve">chase the underlying asset, is </w:t>
      </w:r>
      <w:r w:rsidR="0059417E">
        <w:rPr>
          <w:rFonts w:cs="Times New Roman"/>
          <w:szCs w:val="24"/>
          <w:lang w:val="en-US"/>
        </w:rPr>
        <w:fldChar w:fldCharType="begin"/>
      </w:r>
      <w:r w:rsidR="0059417E">
        <w:rPr>
          <w:rFonts w:cs="Times New Roman"/>
          <w:szCs w:val="24"/>
          <w:lang w:val="en-US"/>
        </w:rPr>
        <w:instrText xml:space="preserve"> REF _Ref484009719 \h </w:instrText>
      </w:r>
      <w:r w:rsidR="0059417E">
        <w:rPr>
          <w:rFonts w:cs="Times New Roman"/>
          <w:szCs w:val="24"/>
          <w:lang w:val="en-US"/>
        </w:rPr>
      </w:r>
      <w:r w:rsidR="0059417E">
        <w:rPr>
          <w:rFonts w:cs="Times New Roman"/>
          <w:szCs w:val="24"/>
          <w:lang w:val="en-US"/>
        </w:rPr>
        <w:fldChar w:fldCharType="separate"/>
      </w:r>
      <w:r w:rsidR="008324C6" w:rsidRPr="008324C6">
        <w:rPr>
          <w:rFonts w:cs="Times New Roman"/>
          <w:szCs w:val="24"/>
          <w:lang w:val="en-US"/>
        </w:rPr>
        <w:t>(</w:t>
      </w:r>
      <w:r w:rsidR="008324C6" w:rsidRPr="008324C6">
        <w:rPr>
          <w:rFonts w:cs="Times New Roman"/>
          <w:noProof/>
          <w:szCs w:val="24"/>
          <w:lang w:val="en-US"/>
        </w:rPr>
        <w:t>1</w:t>
      </w:r>
      <w:r w:rsidR="008324C6" w:rsidRPr="008324C6">
        <w:rPr>
          <w:rFonts w:cs="Times New Roman"/>
          <w:szCs w:val="24"/>
          <w:lang w:val="en-US"/>
        </w:rPr>
        <w:t>.</w:t>
      </w:r>
      <w:r w:rsidR="008324C6" w:rsidRPr="008324C6">
        <w:rPr>
          <w:rFonts w:cs="Times New Roman"/>
          <w:noProof/>
          <w:szCs w:val="24"/>
          <w:lang w:val="en-US"/>
        </w:rPr>
        <w:t>4</w:t>
      </w:r>
      <w:r w:rsidR="0059417E">
        <w:rPr>
          <w:rFonts w:cs="Times New Roman"/>
          <w:szCs w:val="24"/>
          <w:lang w:val="en-US"/>
        </w:rPr>
        <w:fldChar w:fldCharType="end"/>
      </w:r>
      <w:r w:rsidR="0059417E">
        <w:rPr>
          <w:rFonts w:cs="Times New Roman"/>
          <w:szCs w:val="24"/>
          <w:lang w:val="en-US"/>
        </w:rPr>
        <w:t>)</w:t>
      </w:r>
    </w:p>
    <w:tbl>
      <w:tblPr>
        <w:tblStyle w:val="af6"/>
        <w:tblW w:w="0" w:type="auto"/>
        <w:tblLook w:val="04A0" w:firstRow="1" w:lastRow="0" w:firstColumn="1" w:lastColumn="0" w:noHBand="0" w:noVBand="1"/>
      </w:tblPr>
      <w:tblGrid>
        <w:gridCol w:w="8683"/>
        <w:gridCol w:w="672"/>
      </w:tblGrid>
      <w:tr w:rsidR="006501CF" w:rsidRPr="006501CF" w:rsidTr="006501CF">
        <w:tc>
          <w:tcPr>
            <w:tcW w:w="8897" w:type="dxa"/>
          </w:tcPr>
          <w:p w:rsidR="006501CF" w:rsidRPr="006501CF" w:rsidRDefault="006501CF" w:rsidP="00E270C6">
            <w:pPr>
              <w:rPr>
                <w:rFonts w:cs="Times New Roman"/>
                <w:szCs w:val="24"/>
                <w:lang w:val="en-US"/>
              </w:rPr>
            </w:pPr>
            <m:oMathPara>
              <m:oMath>
                <m:r>
                  <w:rPr>
                    <w:rFonts w:ascii="Cambria Math" w:hAnsi="Cambria Math" w:cs="Times New Roman"/>
                    <w:szCs w:val="24"/>
                    <w:lang w:val="en-US"/>
                  </w:rPr>
                  <m:t>c</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S</m:t>
                        </m:r>
                      </m:e>
                      <m:sub>
                        <m:r>
                          <w:rPr>
                            <w:rFonts w:ascii="Cambria Math" w:hAnsi="Cambria Math" w:cs="Times New Roman"/>
                            <w:szCs w:val="24"/>
                            <w:vertAlign w:val="subscript"/>
                            <w:lang w:val="en-US"/>
                          </w:rPr>
                          <m:t>t</m:t>
                        </m:r>
                      </m:sub>
                    </m:sSub>
                    <m:r>
                      <w:rPr>
                        <w:rFonts w:ascii="Cambria Math" w:hAnsi="Cambria Math" w:cs="Times New Roman"/>
                        <w:szCs w:val="24"/>
                        <w:lang w:val="en-US"/>
                      </w:rPr>
                      <m:t>; t</m:t>
                    </m:r>
                  </m:e>
                </m:d>
                <m:r>
                  <w:rPr>
                    <w:rFonts w:ascii="Cambria Math" w:hAnsi="Cambria Math" w:cs="Times New Roman"/>
                    <w:szCs w:val="24"/>
                    <w:lang w:val="en-US"/>
                  </w:rPr>
                  <m:t>=</m:t>
                </m:r>
                <m:func>
                  <m:funcPr>
                    <m:ctrlPr>
                      <w:rPr>
                        <w:rFonts w:ascii="Cambria Math" w:hAnsi="Cambria Math" w:cs="Times New Roman"/>
                        <w:szCs w:val="24"/>
                        <w:lang w:val="en-US"/>
                      </w:rPr>
                    </m:ctrlPr>
                  </m:funcPr>
                  <m:fName>
                    <m:r>
                      <m:rPr>
                        <m:sty m:val="p"/>
                      </m:rPr>
                      <w:rPr>
                        <w:rFonts w:ascii="Cambria Math" w:hAnsi="Cambria Math" w:cs="Times New Roman"/>
                        <w:szCs w:val="24"/>
                        <w:lang w:val="en-US"/>
                      </w:rPr>
                      <m:t>max</m:t>
                    </m:r>
                  </m:fName>
                  <m:e>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S</m:t>
                            </m:r>
                          </m:e>
                          <m:sub>
                            <m:r>
                              <w:rPr>
                                <w:rFonts w:ascii="Cambria Math" w:hAnsi="Cambria Math" w:cs="Times New Roman"/>
                                <w:szCs w:val="24"/>
                                <w:lang w:val="en-US"/>
                              </w:rPr>
                              <m:t>t</m:t>
                            </m:r>
                          </m:sub>
                        </m:sSub>
                        <m:r>
                          <w:rPr>
                            <w:rFonts w:ascii="Cambria Math" w:hAnsi="Cambria Math" w:cs="Times New Roman"/>
                            <w:szCs w:val="24"/>
                            <w:lang w:val="en-US"/>
                          </w:rPr>
                          <m:t>-K, 0</m:t>
                        </m:r>
                      </m:e>
                    </m:d>
                  </m:e>
                </m:func>
              </m:oMath>
            </m:oMathPara>
          </w:p>
        </w:tc>
        <w:tc>
          <w:tcPr>
            <w:tcW w:w="674" w:type="dxa"/>
          </w:tcPr>
          <w:p w:rsidR="006501CF" w:rsidRPr="0059417E" w:rsidRDefault="006501CF" w:rsidP="0059417E">
            <w:pPr>
              <w:pStyle w:val="ac"/>
            </w:pPr>
            <w:bookmarkStart w:id="16" w:name="_Ref484009719"/>
            <w:r w:rsidRPr="006501CF">
              <w:rPr>
                <w:rFonts w:cs="Times New Roman"/>
                <w:szCs w:val="24"/>
              </w:rPr>
              <w:t>(</w:t>
            </w:r>
            <w:r w:rsidR="008F1F91">
              <w:rPr>
                <w:rFonts w:cs="Times New Roman"/>
                <w:szCs w:val="24"/>
              </w:rPr>
              <w:fldChar w:fldCharType="begin"/>
            </w:r>
            <w:r w:rsidR="008F1F91">
              <w:rPr>
                <w:rFonts w:cs="Times New Roman"/>
                <w:szCs w:val="24"/>
              </w:rPr>
              <w:instrText xml:space="preserve"> STYLEREF 1 \s </w:instrText>
            </w:r>
            <w:r w:rsidR="008F1F91">
              <w:rPr>
                <w:rFonts w:cs="Times New Roman"/>
                <w:szCs w:val="24"/>
              </w:rPr>
              <w:fldChar w:fldCharType="separate"/>
            </w:r>
            <w:r w:rsidR="008324C6">
              <w:rPr>
                <w:rFonts w:cs="Times New Roman"/>
                <w:noProof/>
                <w:szCs w:val="24"/>
              </w:rPr>
              <w:t>1</w:t>
            </w:r>
            <w:r w:rsidR="008F1F91">
              <w:rPr>
                <w:rFonts w:cs="Times New Roman"/>
                <w:szCs w:val="24"/>
              </w:rPr>
              <w:fldChar w:fldCharType="end"/>
            </w:r>
            <w:r w:rsidR="008F1F91">
              <w:rPr>
                <w:rFonts w:cs="Times New Roman"/>
                <w:szCs w:val="24"/>
              </w:rPr>
              <w:t>.</w:t>
            </w:r>
            <w:r w:rsidR="008F1F91">
              <w:rPr>
                <w:rFonts w:cs="Times New Roman"/>
                <w:szCs w:val="24"/>
              </w:rPr>
              <w:fldChar w:fldCharType="begin"/>
            </w:r>
            <w:r w:rsidR="008F1F91">
              <w:rPr>
                <w:rFonts w:cs="Times New Roman"/>
                <w:szCs w:val="24"/>
              </w:rPr>
              <w:instrText xml:space="preserve"> SEQ Formula \* ARABIC \s 1 </w:instrText>
            </w:r>
            <w:r w:rsidR="008F1F91">
              <w:rPr>
                <w:rFonts w:cs="Times New Roman"/>
                <w:szCs w:val="24"/>
              </w:rPr>
              <w:fldChar w:fldCharType="separate"/>
            </w:r>
            <w:r w:rsidR="008324C6">
              <w:rPr>
                <w:rFonts w:cs="Times New Roman"/>
                <w:noProof/>
                <w:szCs w:val="24"/>
              </w:rPr>
              <w:t>4</w:t>
            </w:r>
            <w:r w:rsidR="008F1F91">
              <w:rPr>
                <w:rFonts w:cs="Times New Roman"/>
                <w:szCs w:val="24"/>
              </w:rPr>
              <w:fldChar w:fldCharType="end"/>
            </w:r>
            <w:bookmarkEnd w:id="16"/>
            <w:r w:rsidR="0059417E">
              <w:t>)</w:t>
            </w:r>
          </w:p>
        </w:tc>
      </w:tr>
    </w:tbl>
    <w:p w:rsidR="005E463F" w:rsidRDefault="005E463F" w:rsidP="00E270C6">
      <w:pPr>
        <w:rPr>
          <w:rFonts w:cs="Times New Roman"/>
          <w:szCs w:val="24"/>
          <w:lang w:val="en-US"/>
        </w:rPr>
      </w:pPr>
    </w:p>
    <w:p w:rsidR="00E270C6" w:rsidRPr="006501CF" w:rsidRDefault="00E270C6" w:rsidP="00E270C6">
      <w:pPr>
        <w:rPr>
          <w:rFonts w:cs="Times New Roman"/>
          <w:szCs w:val="24"/>
          <w:lang w:val="en-US"/>
        </w:rPr>
      </w:pPr>
      <w:r w:rsidRPr="006501CF">
        <w:rPr>
          <w:rFonts w:cs="Times New Roman"/>
          <w:szCs w:val="24"/>
          <w:lang w:val="en-US"/>
        </w:rPr>
        <w:t>where S</w:t>
      </w:r>
      <w:r w:rsidRPr="006501CF">
        <w:rPr>
          <w:rFonts w:cs="Times New Roman"/>
          <w:szCs w:val="24"/>
          <w:vertAlign w:val="subscript"/>
          <w:lang w:val="en-US"/>
        </w:rPr>
        <w:t>t</w:t>
      </w:r>
      <w:r w:rsidRPr="006501CF">
        <w:rPr>
          <w:rFonts w:cs="Times New Roman"/>
          <w:szCs w:val="24"/>
          <w:lang w:val="en-US"/>
        </w:rPr>
        <w:t xml:space="preserve"> is the underlying stock price at time t and K is the strike price. Similarly, the payoff of a put option, </w:t>
      </w:r>
      <w:r w:rsidRPr="006501CF">
        <w:rPr>
          <w:rFonts w:cs="Times New Roman"/>
          <w:i/>
          <w:szCs w:val="24"/>
          <w:lang w:val="en-US"/>
        </w:rPr>
        <w:t>p(S</w:t>
      </w:r>
      <w:r w:rsidRPr="006501CF">
        <w:rPr>
          <w:rFonts w:cs="Times New Roman"/>
          <w:i/>
          <w:szCs w:val="24"/>
          <w:vertAlign w:val="subscript"/>
          <w:lang w:val="en-US"/>
        </w:rPr>
        <w:t>t</w:t>
      </w:r>
      <w:r w:rsidRPr="006501CF">
        <w:rPr>
          <w:rFonts w:cs="Times New Roman"/>
          <w:i/>
          <w:szCs w:val="24"/>
          <w:lang w:val="en-US"/>
        </w:rPr>
        <w:t>; t),</w:t>
      </w:r>
      <w:r w:rsidRPr="006501CF">
        <w:rPr>
          <w:rFonts w:cs="Times New Roman"/>
          <w:szCs w:val="24"/>
          <w:lang w:val="en-US"/>
        </w:rPr>
        <w:t xml:space="preserve"> which gives an option holder the right but not an obligation to sell the underlying asset, is </w:t>
      </w:r>
      <w:r w:rsidR="0059417E">
        <w:rPr>
          <w:rFonts w:cs="Times New Roman"/>
          <w:szCs w:val="24"/>
          <w:lang w:val="en-US"/>
        </w:rPr>
        <w:fldChar w:fldCharType="begin"/>
      </w:r>
      <w:r w:rsidR="0059417E">
        <w:rPr>
          <w:rFonts w:cs="Times New Roman"/>
          <w:szCs w:val="24"/>
          <w:lang w:val="en-US"/>
        </w:rPr>
        <w:instrText xml:space="preserve"> REF _Ref484009750 \h </w:instrText>
      </w:r>
      <w:r w:rsidR="0059417E">
        <w:rPr>
          <w:rFonts w:cs="Times New Roman"/>
          <w:szCs w:val="24"/>
          <w:lang w:val="en-US"/>
        </w:rPr>
      </w:r>
      <w:r w:rsidR="0059417E">
        <w:rPr>
          <w:rFonts w:cs="Times New Roman"/>
          <w:szCs w:val="24"/>
          <w:lang w:val="en-US"/>
        </w:rPr>
        <w:fldChar w:fldCharType="separate"/>
      </w:r>
      <w:r w:rsidR="008324C6" w:rsidRPr="008324C6">
        <w:rPr>
          <w:rFonts w:cs="Times New Roman"/>
          <w:szCs w:val="24"/>
          <w:lang w:val="en-US"/>
        </w:rPr>
        <w:t>(</w:t>
      </w:r>
      <w:r w:rsidR="008324C6" w:rsidRPr="008324C6">
        <w:rPr>
          <w:rFonts w:cs="Times New Roman"/>
          <w:noProof/>
          <w:szCs w:val="24"/>
          <w:lang w:val="en-US"/>
        </w:rPr>
        <w:t>1</w:t>
      </w:r>
      <w:r w:rsidR="008324C6" w:rsidRPr="008324C6">
        <w:rPr>
          <w:rFonts w:cs="Times New Roman"/>
          <w:szCs w:val="24"/>
          <w:lang w:val="en-US"/>
        </w:rPr>
        <w:t>.</w:t>
      </w:r>
      <w:r w:rsidR="008324C6" w:rsidRPr="008324C6">
        <w:rPr>
          <w:rFonts w:cs="Times New Roman"/>
          <w:noProof/>
          <w:szCs w:val="24"/>
          <w:lang w:val="en-US"/>
        </w:rPr>
        <w:t>5</w:t>
      </w:r>
      <w:r w:rsidR="0059417E">
        <w:rPr>
          <w:rFonts w:cs="Times New Roman"/>
          <w:szCs w:val="24"/>
          <w:lang w:val="en-US"/>
        </w:rPr>
        <w:fldChar w:fldCharType="end"/>
      </w:r>
      <w:r w:rsidR="0059417E">
        <w:rPr>
          <w:rFonts w:cs="Times New Roman"/>
          <w:szCs w:val="24"/>
          <w:lang w:val="en-US"/>
        </w:rPr>
        <w:t>)</w:t>
      </w:r>
    </w:p>
    <w:tbl>
      <w:tblPr>
        <w:tblStyle w:val="af6"/>
        <w:tblW w:w="0" w:type="auto"/>
        <w:tblLook w:val="04A0" w:firstRow="1" w:lastRow="0" w:firstColumn="1" w:lastColumn="0" w:noHBand="0" w:noVBand="1"/>
      </w:tblPr>
      <w:tblGrid>
        <w:gridCol w:w="8683"/>
        <w:gridCol w:w="672"/>
      </w:tblGrid>
      <w:tr w:rsidR="006501CF" w:rsidTr="006501CF">
        <w:tc>
          <w:tcPr>
            <w:tcW w:w="8897" w:type="dxa"/>
          </w:tcPr>
          <w:p w:rsidR="006501CF" w:rsidRPr="006501CF" w:rsidRDefault="006501CF" w:rsidP="00E270C6">
            <w:pPr>
              <w:rPr>
                <w:rFonts w:cs="Times New Roman"/>
                <w:szCs w:val="24"/>
                <w:lang w:val="en-US"/>
              </w:rPr>
            </w:pPr>
            <m:oMathPara>
              <m:oMath>
                <m:r>
                  <w:rPr>
                    <w:rFonts w:ascii="Cambria Math" w:hAnsi="Cambria Math" w:cs="Times New Roman"/>
                    <w:szCs w:val="24"/>
                    <w:lang w:val="en-US"/>
                  </w:rPr>
                  <m:t>p</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S</m:t>
                        </m:r>
                      </m:e>
                      <m:sub>
                        <m:r>
                          <w:rPr>
                            <w:rFonts w:ascii="Cambria Math" w:hAnsi="Cambria Math" w:cs="Times New Roman"/>
                            <w:szCs w:val="24"/>
                            <w:vertAlign w:val="subscript"/>
                            <w:lang w:val="en-US"/>
                          </w:rPr>
                          <m:t>t</m:t>
                        </m:r>
                      </m:sub>
                    </m:sSub>
                    <m:r>
                      <w:rPr>
                        <w:rFonts w:ascii="Cambria Math" w:hAnsi="Cambria Math" w:cs="Times New Roman"/>
                        <w:szCs w:val="24"/>
                        <w:lang w:val="en-US"/>
                      </w:rPr>
                      <m:t>; t</m:t>
                    </m:r>
                  </m:e>
                </m:d>
                <m:r>
                  <w:rPr>
                    <w:rFonts w:ascii="Cambria Math" w:hAnsi="Cambria Math" w:cs="Times New Roman"/>
                    <w:szCs w:val="24"/>
                    <w:lang w:val="en-US"/>
                  </w:rPr>
                  <m:t>=</m:t>
                </m:r>
                <m:func>
                  <m:funcPr>
                    <m:ctrlPr>
                      <w:rPr>
                        <w:rFonts w:ascii="Cambria Math" w:hAnsi="Cambria Math" w:cs="Times New Roman"/>
                        <w:i/>
                        <w:szCs w:val="24"/>
                        <w:lang w:val="en-US"/>
                      </w:rPr>
                    </m:ctrlPr>
                  </m:funcPr>
                  <m:fName>
                    <m:r>
                      <m:rPr>
                        <m:sty m:val="p"/>
                      </m:rPr>
                      <w:rPr>
                        <w:rFonts w:ascii="Cambria Math" w:hAnsi="Cambria Math" w:cs="Times New Roman"/>
                        <w:szCs w:val="24"/>
                        <w:lang w:val="en-US"/>
                      </w:rPr>
                      <m:t>max</m:t>
                    </m:r>
                  </m:fName>
                  <m:e>
                    <m:d>
                      <m:dPr>
                        <m:ctrlPr>
                          <w:rPr>
                            <w:rFonts w:ascii="Cambria Math" w:hAnsi="Cambria Math" w:cs="Times New Roman"/>
                            <w:i/>
                            <w:szCs w:val="24"/>
                            <w:lang w:val="en-US"/>
                          </w:rPr>
                        </m:ctrlPr>
                      </m:dPr>
                      <m:e>
                        <m:r>
                          <w:rPr>
                            <w:rFonts w:ascii="Cambria Math" w:hAnsi="Cambria Math" w:cs="Times New Roman"/>
                            <w:szCs w:val="24"/>
                            <w:lang w:val="en-US"/>
                          </w:rPr>
                          <m:t>K-</m:t>
                        </m:r>
                        <m:sSub>
                          <m:sSubPr>
                            <m:ctrlPr>
                              <w:rPr>
                                <w:rFonts w:ascii="Cambria Math" w:hAnsi="Cambria Math" w:cs="Times New Roman"/>
                                <w:i/>
                                <w:szCs w:val="24"/>
                                <w:lang w:val="en-US"/>
                              </w:rPr>
                            </m:ctrlPr>
                          </m:sSubPr>
                          <m:e>
                            <m:r>
                              <w:rPr>
                                <w:rFonts w:ascii="Cambria Math" w:hAnsi="Cambria Math" w:cs="Times New Roman"/>
                                <w:szCs w:val="24"/>
                                <w:lang w:val="en-US"/>
                              </w:rPr>
                              <m:t>S</m:t>
                            </m:r>
                          </m:e>
                          <m:sub>
                            <m:r>
                              <w:rPr>
                                <w:rFonts w:ascii="Cambria Math" w:hAnsi="Cambria Math" w:cs="Times New Roman"/>
                                <w:szCs w:val="24"/>
                                <w:lang w:val="en-US"/>
                              </w:rPr>
                              <m:t>t</m:t>
                            </m:r>
                          </m:sub>
                        </m:sSub>
                        <m:r>
                          <w:rPr>
                            <w:rFonts w:ascii="Cambria Math" w:hAnsi="Cambria Math" w:cs="Times New Roman"/>
                            <w:szCs w:val="24"/>
                            <w:lang w:val="en-US"/>
                          </w:rPr>
                          <m:t>, 0</m:t>
                        </m:r>
                      </m:e>
                    </m:d>
                  </m:e>
                </m:func>
                <m:r>
                  <w:rPr>
                    <w:rFonts w:ascii="Cambria Math" w:hAnsi="Cambria Math" w:cs="Times New Roman"/>
                    <w:szCs w:val="24"/>
                    <w:lang w:val="en-US"/>
                  </w:rPr>
                  <m:t xml:space="preserve">, </m:t>
                </m:r>
              </m:oMath>
            </m:oMathPara>
          </w:p>
        </w:tc>
        <w:tc>
          <w:tcPr>
            <w:tcW w:w="674" w:type="dxa"/>
          </w:tcPr>
          <w:p w:rsidR="006501CF" w:rsidRDefault="006501CF" w:rsidP="0059417E">
            <w:pPr>
              <w:pStyle w:val="ac"/>
              <w:rPr>
                <w:rFonts w:cs="Times New Roman"/>
                <w:szCs w:val="24"/>
              </w:rPr>
            </w:pPr>
            <w:bookmarkStart w:id="17" w:name="_Ref484009750"/>
            <w:r w:rsidRPr="006501CF">
              <w:rPr>
                <w:rFonts w:cs="Times New Roman"/>
                <w:szCs w:val="24"/>
              </w:rPr>
              <w:t>(</w:t>
            </w:r>
            <w:r w:rsidR="008F1F91">
              <w:rPr>
                <w:rFonts w:cs="Times New Roman"/>
                <w:szCs w:val="24"/>
              </w:rPr>
              <w:fldChar w:fldCharType="begin"/>
            </w:r>
            <w:r w:rsidR="008F1F91">
              <w:rPr>
                <w:rFonts w:cs="Times New Roman"/>
                <w:szCs w:val="24"/>
              </w:rPr>
              <w:instrText xml:space="preserve"> STYLEREF 1 \s </w:instrText>
            </w:r>
            <w:r w:rsidR="008F1F91">
              <w:rPr>
                <w:rFonts w:cs="Times New Roman"/>
                <w:szCs w:val="24"/>
              </w:rPr>
              <w:fldChar w:fldCharType="separate"/>
            </w:r>
            <w:r w:rsidR="008324C6">
              <w:rPr>
                <w:rFonts w:cs="Times New Roman"/>
                <w:noProof/>
                <w:szCs w:val="24"/>
              </w:rPr>
              <w:t>1</w:t>
            </w:r>
            <w:r w:rsidR="008F1F91">
              <w:rPr>
                <w:rFonts w:cs="Times New Roman"/>
                <w:szCs w:val="24"/>
              </w:rPr>
              <w:fldChar w:fldCharType="end"/>
            </w:r>
            <w:r w:rsidR="008F1F91">
              <w:rPr>
                <w:rFonts w:cs="Times New Roman"/>
                <w:szCs w:val="24"/>
              </w:rPr>
              <w:t>.</w:t>
            </w:r>
            <w:r w:rsidR="008F1F91">
              <w:rPr>
                <w:rFonts w:cs="Times New Roman"/>
                <w:szCs w:val="24"/>
              </w:rPr>
              <w:fldChar w:fldCharType="begin"/>
            </w:r>
            <w:r w:rsidR="008F1F91">
              <w:rPr>
                <w:rFonts w:cs="Times New Roman"/>
                <w:szCs w:val="24"/>
              </w:rPr>
              <w:instrText xml:space="preserve"> SEQ Formula \* ARABIC \s 1 </w:instrText>
            </w:r>
            <w:r w:rsidR="008F1F91">
              <w:rPr>
                <w:rFonts w:cs="Times New Roman"/>
                <w:szCs w:val="24"/>
              </w:rPr>
              <w:fldChar w:fldCharType="separate"/>
            </w:r>
            <w:r w:rsidR="008324C6">
              <w:rPr>
                <w:rFonts w:cs="Times New Roman"/>
                <w:noProof/>
                <w:szCs w:val="24"/>
              </w:rPr>
              <w:t>5</w:t>
            </w:r>
            <w:r w:rsidR="008F1F91">
              <w:rPr>
                <w:rFonts w:cs="Times New Roman"/>
                <w:szCs w:val="24"/>
              </w:rPr>
              <w:fldChar w:fldCharType="end"/>
            </w:r>
            <w:bookmarkEnd w:id="17"/>
            <w:r w:rsidRPr="006501CF">
              <w:rPr>
                <w:rFonts w:cs="Times New Roman"/>
                <w:szCs w:val="24"/>
              </w:rPr>
              <w:t>)</w:t>
            </w:r>
          </w:p>
        </w:tc>
      </w:tr>
    </w:tbl>
    <w:p w:rsidR="005E463F" w:rsidRDefault="005E463F" w:rsidP="00CD3BB3">
      <w:pPr>
        <w:rPr>
          <w:rFonts w:cs="Times New Roman"/>
          <w:szCs w:val="24"/>
          <w:lang w:val="en-US"/>
        </w:rPr>
      </w:pPr>
    </w:p>
    <w:p w:rsidR="00E270C6" w:rsidRPr="00FF0C30" w:rsidRDefault="001A115A" w:rsidP="00CD3BB3">
      <w:pPr>
        <w:rPr>
          <w:rFonts w:cs="Times New Roman"/>
          <w:szCs w:val="24"/>
          <w:lang w:val="en-US"/>
        </w:rPr>
      </w:pPr>
      <w:r>
        <w:rPr>
          <w:rFonts w:cs="Times New Roman"/>
          <w:szCs w:val="24"/>
          <w:lang w:val="en-US"/>
        </w:rPr>
        <w:t xml:space="preserve">Myers </w:t>
      </w:r>
      <w:r w:rsidR="00E270C6" w:rsidRPr="00FF0C30">
        <w:rPr>
          <w:rFonts w:cs="Times New Roman"/>
          <w:szCs w:val="24"/>
          <w:lang w:val="en-US"/>
        </w:rPr>
        <w:t xml:space="preserve">recognized the analogy between financial options and project decisions, because of the similarities in their risk structure and payoffs. </w:t>
      </w:r>
      <w:r w:rsidR="00CD3BB3">
        <w:rPr>
          <w:rFonts w:cs="Times New Roman"/>
          <w:szCs w:val="24"/>
          <w:lang w:val="en-US"/>
        </w:rPr>
        <w:fldChar w:fldCharType="begin" w:fldLock="1"/>
      </w:r>
      <w:r w:rsidR="00587F48">
        <w:rPr>
          <w:rFonts w:cs="Times New Roman"/>
          <w:szCs w:val="24"/>
          <w:lang w:val="en-US"/>
        </w:rPr>
        <w:instrText>ADDIN CSL_CITATION { "citationItems" : [ { "id" : "ITEM-1", "itemData" : { "DOI" : "10.1016/0304-405X(77)90015-0", "ISBN" : "0304-405X", "ISSN" : "0304405X", "PMID" : "12637401", "abstract" : "Many corporate assets, particularly growth opportunities, can be viewed as call options. The value of such 'real options' depends on discretionary future investment by the firm. Issuing risky debt reduces the present market value of a firm holding real options by inducing a suboptimal investment strategy or by forcing the firm and its creditors to bear the costs of avoiding the suboptimal strategy. The paper predicts that corporate borrowing is inversely related to the proportion of market value accounted for by real options. It also rationalizes other aspects of corporate borrowing behavior, for example the practice of matching maturities of assets and debt liabilities. ?? 1977.", "author" : [ { "dropping-particle" : "", "family" : "Myers", "given" : "Stewart C.", "non-dropping-particle" : "", "parse-names" : false, "suffix" : "" } ], "container-title" : "Journal of Financial Economics", "id" : "ITEM-1", "issued" : { "date-parts" : [ [ "1977" ] ] }, "title" : "Determinants of corporate borrowing", "type" : "article-journal" }, "uris" : [ "http://www.mendeley.com/documents/?uuid=c7cc3996-cbf0-34fd-b063-a0cda45c8a56" ] } ], "mendeley" : { "formattedCitation" : "(Myers 1977)", "plainTextFormattedCitation" : "(Myers 1977)", "previouslyFormattedCitation" : "(Myers 1977)" }, "properties" : { "noteIndex" : 0 }, "schema" : "https://github.com/citation-style-language/schema/raw/master/csl-citation.json" }</w:instrText>
      </w:r>
      <w:r w:rsidR="00CD3BB3">
        <w:rPr>
          <w:rFonts w:cs="Times New Roman"/>
          <w:szCs w:val="24"/>
          <w:lang w:val="en-US"/>
        </w:rPr>
        <w:fldChar w:fldCharType="separate"/>
      </w:r>
      <w:r w:rsidR="00587F48" w:rsidRPr="00587F48">
        <w:rPr>
          <w:rFonts w:cs="Times New Roman"/>
          <w:noProof/>
          <w:szCs w:val="24"/>
          <w:lang w:val="en-US"/>
        </w:rPr>
        <w:t>(Myers 1977)</w:t>
      </w:r>
      <w:r w:rsidR="00CD3BB3">
        <w:rPr>
          <w:rFonts w:cs="Times New Roman"/>
          <w:szCs w:val="24"/>
          <w:lang w:val="en-US"/>
        </w:rPr>
        <w:fldChar w:fldCharType="end"/>
      </w:r>
      <w:r w:rsidR="00CD3BB3">
        <w:rPr>
          <w:rFonts w:cs="Times New Roman"/>
          <w:szCs w:val="24"/>
          <w:lang w:val="en-US"/>
        </w:rPr>
        <w:t xml:space="preserve"> </w:t>
      </w:r>
      <w:r w:rsidR="00E270C6" w:rsidRPr="00FF0C30">
        <w:rPr>
          <w:rFonts w:cs="Times New Roman"/>
          <w:szCs w:val="24"/>
          <w:lang w:val="en-US"/>
        </w:rPr>
        <w:t xml:space="preserve">The following </w:t>
      </w:r>
      <w:r w:rsidR="0075283F">
        <w:rPr>
          <w:rFonts w:cs="Times New Roman"/>
          <w:szCs w:val="24"/>
          <w:lang w:val="en-US"/>
        </w:rPr>
        <w:t xml:space="preserve">two </w:t>
      </w:r>
      <w:r w:rsidR="00E270C6" w:rsidRPr="00FF0C30">
        <w:rPr>
          <w:rFonts w:cs="Times New Roman"/>
          <w:szCs w:val="24"/>
          <w:lang w:val="en-US"/>
        </w:rPr>
        <w:t>section</w:t>
      </w:r>
      <w:r w:rsidR="00313E5A">
        <w:rPr>
          <w:rFonts w:cs="Times New Roman"/>
          <w:szCs w:val="24"/>
          <w:lang w:val="en-US"/>
        </w:rPr>
        <w:t xml:space="preserve">s </w:t>
      </w:r>
      <w:r w:rsidR="00CD3BB3">
        <w:rPr>
          <w:rFonts w:cs="Times New Roman"/>
          <w:szCs w:val="24"/>
          <w:lang w:val="en-US"/>
        </w:rPr>
        <w:t xml:space="preserve">describe how </w:t>
      </w:r>
      <w:r w:rsidR="00317C7C">
        <w:rPr>
          <w:rFonts w:cs="Times New Roman"/>
          <w:szCs w:val="24"/>
          <w:lang w:val="en-US"/>
        </w:rPr>
        <w:t>real options analysis</w:t>
      </w:r>
      <w:r w:rsidR="00CD3BB3">
        <w:rPr>
          <w:rFonts w:cs="Times New Roman"/>
          <w:szCs w:val="24"/>
          <w:lang w:val="en-US"/>
        </w:rPr>
        <w:t xml:space="preserve"> is linked to the ideas of financial options.</w:t>
      </w:r>
    </w:p>
    <w:p w:rsidR="00E270C6" w:rsidRPr="00FF0C30" w:rsidRDefault="00E270C6" w:rsidP="00E270C6">
      <w:pPr>
        <w:pStyle w:val="3"/>
      </w:pPr>
      <w:r w:rsidRPr="00FF0C30">
        <w:t>Defining real options</w:t>
      </w:r>
    </w:p>
    <w:p w:rsidR="00156AEB" w:rsidRDefault="00156AEB" w:rsidP="00156AEB">
      <w:pPr>
        <w:rPr>
          <w:rFonts w:cs="Times New Roman"/>
          <w:i/>
          <w:szCs w:val="24"/>
          <w:lang w:val="en-US"/>
        </w:rPr>
      </w:pPr>
      <w:r>
        <w:rPr>
          <w:rFonts w:cs="Times New Roman"/>
          <w:szCs w:val="24"/>
          <w:lang w:val="en-US"/>
        </w:rPr>
        <w:fldChar w:fldCharType="begin" w:fldLock="1"/>
      </w:r>
      <w:r w:rsidR="00587F48">
        <w:rPr>
          <w:rFonts w:cs="Times New Roman"/>
          <w:szCs w:val="24"/>
          <w:lang w:val="en-US"/>
        </w:rPr>
        <w:instrText>ADDIN CSL_CITATION { "citationItems" : [ { "id" : "ITEM-1", "itemData" : { "DOI" : "10.1016/0304-405X(77)90015-0", "ISBN" : "0304-405X", "ISSN" : "0304405X", "PMID" : "12637401", "abstract" : "Many corporate assets, particularly growth opportunities, can be viewed as call options. The value of such 'real options' depends on discretionary future investment by the firm. Issuing risky debt reduces the present market value of a firm holding real options by inducing a suboptimal investment strategy or by forcing the firm and its creditors to bear the costs of avoiding the suboptimal strategy. The paper predicts that corporate borrowing is inversely related to the proportion of market value accounted for by real options. It also rationalizes other aspects of corporate borrowing behavior, for example the practice of matching maturities of assets and debt liabilities. ?? 1977.", "author" : [ { "dropping-particle" : "", "family" : "Myers", "given" : "Stewart C.", "non-dropping-particle" : "", "parse-names" : false, "suffix" : "" } ], "container-title" : "Journal of Financial Economics", "id" : "ITEM-1", "issued" : { "date-parts" : [ [ "1977" ] ] }, "title" : "Determinants of corporate borrowing", "type" : "article-journal" }, "uris" : [ "http://www.mendeley.com/documents/?uuid=c7cc3996-cbf0-34fd-b063-a0cda45c8a56" ] } ], "mendeley" : { "formattedCitation" : "(Myers 1977)", "plainTextFormattedCitation" : "(Myers 1977)", "previouslyFormattedCitation" : "(Myers 1977)"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(Myers 1977)</w:t>
      </w:r>
      <w:r>
        <w:rPr>
          <w:rFonts w:cs="Times New Roman"/>
          <w:szCs w:val="24"/>
          <w:lang w:val="en-US"/>
        </w:rPr>
        <w:fldChar w:fldCharType="end"/>
      </w:r>
      <w:r w:rsidRPr="00FF0C30">
        <w:rPr>
          <w:rFonts w:cs="Times New Roman"/>
          <w:szCs w:val="24"/>
          <w:lang w:val="en-US"/>
        </w:rPr>
        <w:t xml:space="preserve"> suggested that option</w:t>
      </w:r>
      <w:r>
        <w:rPr>
          <w:rFonts w:cs="Times New Roman"/>
          <w:szCs w:val="24"/>
          <w:lang w:val="en-US"/>
        </w:rPr>
        <w:t>-</w:t>
      </w:r>
      <w:r w:rsidRPr="00FF0C30">
        <w:rPr>
          <w:rFonts w:cs="Times New Roman"/>
          <w:szCs w:val="24"/>
          <w:lang w:val="en-US"/>
        </w:rPr>
        <w:t>based valuation used in quantifying the flexibility in financial instruments can be applied to quantify the value of flexibility in real-world opportunities, and proposed the term “real options”. As the owner of an American call option on a financial underlying asset has the right, but not the obligation, to purchase the asset by paying the exercise price on or before the maturity date, the holder of a real option has the right, but not the obligation, to carry out managerial decisions in order to receive the present value of expected cash flows net of related investment costs until the opportunities associated with that decision disappear</w:t>
      </w:r>
      <w:r w:rsidR="008D3331">
        <w:rPr>
          <w:rFonts w:cs="Times New Roman"/>
          <w:szCs w:val="24"/>
          <w:lang w:val="en-US"/>
        </w:rPr>
        <w:t xml:space="preserve"> </w:t>
      </w:r>
      <w:r w:rsidR="008D3331">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"Trigeorgis", "given" : "Lenos", "non-dropping-particle" : "", "parse-names" : false, "suffix" : "" } ], "id" : "ITEM-1", "issued" : { "date-parts" : [ [ "1996" ] ] }, "publisher" : "MIT press", "title" : "Real Options: Managerial Flexibility and Strategy in Resource Allocation", "type" : "book" }, "uris" : [ "http://www.mendeley.com/documents/?uuid=f7468088-09d3-4d2b-b89f-56337db03219" ] } ], "mendeley" : { "formattedCitation" : "(Trigeorgis 1996)", "plainTextFormattedCitation" : "(Trigeorgis 1996)", "previouslyFormattedCitation" : "(Trigeorgis 1996)" }, "properties" : { "noteIndex" : 0 }, "schema" : "https://github.com/citation-style-language/schema/raw/master/csl-citation.json" }</w:instrText>
      </w:r>
      <w:r w:rsidR="008D3331">
        <w:rPr>
          <w:rFonts w:cs="Times New Roman"/>
          <w:szCs w:val="24"/>
          <w:lang w:val="en-US"/>
        </w:rPr>
        <w:fldChar w:fldCharType="separate"/>
      </w:r>
      <w:r w:rsidR="00587F48" w:rsidRPr="00587F48">
        <w:rPr>
          <w:rFonts w:cs="Times New Roman"/>
          <w:noProof/>
          <w:szCs w:val="24"/>
          <w:lang w:val="en-US"/>
        </w:rPr>
        <w:t>(Trigeorgis 1996)</w:t>
      </w:r>
      <w:r w:rsidR="008D3331">
        <w:rPr>
          <w:rFonts w:cs="Times New Roman"/>
          <w:szCs w:val="24"/>
          <w:lang w:val="en-US"/>
        </w:rPr>
        <w:fldChar w:fldCharType="end"/>
      </w:r>
      <w:r w:rsidRPr="00FF0C30">
        <w:rPr>
          <w:rFonts w:cs="Times New Roman"/>
          <w:szCs w:val="24"/>
          <w:lang w:val="en-US"/>
        </w:rPr>
        <w:t>.</w:t>
      </w:r>
    </w:p>
    <w:p w:rsidR="00705150" w:rsidRDefault="00CD3BB3" w:rsidP="00E270C6">
      <w:pPr>
        <w:rPr>
          <w:rFonts w:cs="Times New Roman"/>
          <w:szCs w:val="24"/>
          <w:lang w:val="en-US"/>
        </w:rPr>
      </w:pPr>
      <w:r w:rsidRPr="0075283F">
        <w:rPr>
          <w:rFonts w:cs="Times New Roman"/>
          <w:i/>
          <w:szCs w:val="24"/>
          <w:lang w:val="en-US"/>
        </w:rPr>
        <w:t>“</w:t>
      </w:r>
      <w:r w:rsidR="0075283F" w:rsidRPr="0075283F">
        <w:rPr>
          <w:rFonts w:cs="Times New Roman"/>
          <w:i/>
          <w:szCs w:val="24"/>
          <w:lang w:val="en-US"/>
        </w:rPr>
        <w:t>R</w:t>
      </w:r>
      <w:r w:rsidRPr="0075283F">
        <w:rPr>
          <w:rFonts w:cs="Times New Roman"/>
          <w:i/>
          <w:szCs w:val="24"/>
          <w:lang w:val="en-US"/>
        </w:rPr>
        <w:t>eal option</w:t>
      </w:r>
      <w:r w:rsidR="0075283F" w:rsidRPr="0075283F">
        <w:rPr>
          <w:rFonts w:cs="Times New Roman"/>
          <w:i/>
          <w:szCs w:val="24"/>
          <w:lang w:val="en-US"/>
        </w:rPr>
        <w:t>”</w:t>
      </w:r>
      <w:r w:rsidR="00E270C6" w:rsidRPr="00FF0C30">
        <w:rPr>
          <w:rFonts w:cs="Times New Roman"/>
          <w:szCs w:val="24"/>
          <w:lang w:val="en-US"/>
        </w:rPr>
        <w:t xml:space="preserve"> is </w:t>
      </w:r>
      <w:r w:rsidR="00156AEB">
        <w:rPr>
          <w:rFonts w:cs="Times New Roman"/>
          <w:szCs w:val="24"/>
          <w:lang w:val="en-US"/>
        </w:rPr>
        <w:t xml:space="preserve">thereby </w:t>
      </w:r>
      <w:r w:rsidR="00E270C6" w:rsidRPr="00FF0C30">
        <w:rPr>
          <w:rFonts w:cs="Times New Roman"/>
          <w:szCs w:val="24"/>
          <w:lang w:val="en-US"/>
        </w:rPr>
        <w:t xml:space="preserve">the right, without obligations, to adjust a project in response to the evolution of uncertainty. </w:t>
      </w:r>
    </w:p>
    <w:p w:rsidR="00705150" w:rsidRDefault="0075283F" w:rsidP="00E270C6">
      <w:pPr>
        <w:rPr>
          <w:rFonts w:cs="Times New Roman"/>
          <w:szCs w:val="24"/>
          <w:lang w:val="en-US"/>
        </w:rPr>
      </w:pPr>
      <w:r>
        <w:rPr>
          <w:rFonts w:cs="Times New Roman"/>
          <w:szCs w:val="24"/>
          <w:lang w:val="en-US"/>
        </w:rPr>
        <w:lastRenderedPageBreak/>
        <w:t xml:space="preserve">Real options are </w:t>
      </w:r>
      <w:r w:rsidR="00156AEB">
        <w:rPr>
          <w:rFonts w:cs="Times New Roman"/>
          <w:szCs w:val="24"/>
          <w:lang w:val="en-US"/>
        </w:rPr>
        <w:t xml:space="preserve">by definition </w:t>
      </w:r>
      <w:r>
        <w:rPr>
          <w:rFonts w:cs="Times New Roman"/>
          <w:szCs w:val="24"/>
          <w:lang w:val="en-US"/>
        </w:rPr>
        <w:t>directly linked to the managerial flexibilities built into the project</w:t>
      </w:r>
      <w:r w:rsidR="00E270C6" w:rsidRPr="00FF0C30">
        <w:rPr>
          <w:rFonts w:cs="Times New Roman"/>
          <w:szCs w:val="24"/>
          <w:lang w:val="en-US"/>
        </w:rPr>
        <w:t>, such as postponing the construction of the project, a change in the mann</w:t>
      </w:r>
      <w:r>
        <w:rPr>
          <w:rFonts w:cs="Times New Roman"/>
          <w:szCs w:val="24"/>
          <w:lang w:val="en-US"/>
        </w:rPr>
        <w:t>er the project operates, exiting for salvage value</w:t>
      </w:r>
      <w:r w:rsidR="00705150">
        <w:rPr>
          <w:rFonts w:cs="Times New Roman"/>
          <w:szCs w:val="24"/>
          <w:lang w:val="en-US"/>
        </w:rPr>
        <w:t xml:space="preserve"> and many others</w:t>
      </w:r>
      <w:r w:rsidR="00E270C6" w:rsidRPr="00FF0C30">
        <w:rPr>
          <w:rFonts w:cs="Times New Roman"/>
          <w:szCs w:val="24"/>
          <w:lang w:val="en-US"/>
        </w:rPr>
        <w:t xml:space="preserve">. </w:t>
      </w:r>
    </w:p>
    <w:p w:rsidR="00705150" w:rsidRPr="008D3331" w:rsidRDefault="00705150" w:rsidP="00705150">
      <w:pPr>
        <w:rPr>
          <w:rFonts w:cs="Times New Roman"/>
          <w:szCs w:val="24"/>
          <w:lang w:val="en-US"/>
        </w:rPr>
      </w:pPr>
      <w:r w:rsidRPr="00FF0C30">
        <w:rPr>
          <w:rFonts w:cs="Times New Roman"/>
          <w:szCs w:val="24"/>
          <w:lang w:val="en-US"/>
        </w:rPr>
        <w:t xml:space="preserve">Flexibility can be defined as the capacity of project managers to </w:t>
      </w:r>
      <w:r>
        <w:rPr>
          <w:rFonts w:cs="Times New Roman"/>
          <w:szCs w:val="24"/>
          <w:lang w:val="en-US"/>
        </w:rPr>
        <w:t>adopt the project to the changing environment when the uncertainty is resolved</w:t>
      </w:r>
      <w:r w:rsidRPr="00FF0C30">
        <w:rPr>
          <w:rFonts w:cs="Times New Roman"/>
          <w:szCs w:val="24"/>
          <w:lang w:val="en-US"/>
        </w:rPr>
        <w:t xml:space="preserve">. Without flexibility, there would be no feasible options to adjust the project, and </w:t>
      </w:r>
      <w:r>
        <w:rPr>
          <w:rFonts w:cs="Times New Roman"/>
          <w:szCs w:val="24"/>
          <w:lang w:val="en-US"/>
        </w:rPr>
        <w:t>real option</w:t>
      </w:r>
      <w:r w:rsidRPr="00FF0C30">
        <w:rPr>
          <w:rFonts w:cs="Times New Roman"/>
          <w:szCs w:val="24"/>
          <w:lang w:val="en-US"/>
        </w:rPr>
        <w:t xml:space="preserve"> theory could not be applicable. </w:t>
      </w:r>
      <w:r>
        <w:rPr>
          <w:rFonts w:cs="Times New Roman"/>
          <w:szCs w:val="24"/>
          <w:lang w:val="en-US"/>
        </w:rPr>
        <w:t>Same is true in case of deterministic environment: real options do only have value (and sense) in case future remains unknown and unpredictable</w:t>
      </w:r>
      <w:r w:rsidR="008D3331">
        <w:rPr>
          <w:rFonts w:cs="Times New Roman"/>
          <w:szCs w:val="24"/>
          <w:lang w:val="en-US"/>
        </w:rPr>
        <w:t xml:space="preserve"> </w:t>
      </w:r>
      <w:r>
        <w:rPr>
          <w:rFonts w:cs="Times New Roman"/>
          <w:szCs w:val="24"/>
        </w:rPr>
        <w:fldChar w:fldCharType="begin" w:fldLock="1"/>
      </w:r>
      <w:r w:rsidR="00666082">
        <w:rPr>
          <w:rFonts w:cs="Times New Roman"/>
          <w:szCs w:val="24"/>
          <w:lang w:val="en-US"/>
        </w:rPr>
        <w:instrText>ADDIN CSL_CITATION { "citationItems" : [ { "id" : "ITEM-1", "itemData" : { "abstract" : "\u0420\u0435\u0430\u043b\u044c\u043d\u044b\u0435 \u043e\u043f\u0446\u0438\u043e\u043d\u044b \u043f\u0440\u0435\u0434\u0441\u0442\u0430\u0432\u043b\u044f\u044e\u0442 \u0441\u043e\u0431\u043e\u0439 \u0432\u043e\u0437\u043c\u043e\u0436\u043d\u043e\u0441\u0442\u044c \u043f\u0440\u0438\u043d\u044f\u0442\u0438\u044f \u0433\u0438\u0431\u043a\u0438\u0445 \u0440\u0435\u0448\u0435\u043d\u0438\u0439 \u0432 \u0443\u0441\u043b\u043e\u0432\u0438\u044f\u0445 \u043f\u043e\u0441\u0442\u043e\u044f\u043d\u043d\u043e \u043c\u0435\u043d\u044f\u044e\u0449\u0435\u0439\u0441\u044f \u0441\u0440\u0435\u0434\u044b. \u0420\u0435\u0430\u043b\u044c\u043d\u044b\u0435 \u043e\u043f\u0446\u0438\u043e\u043d\u044b \u0448\u0438\u0440\u043e\u043a\u043e \u043f\u0440\u0438\u043c\u0435\u043d\u044f\u043b\u0438\u0441\u044c \u0447\u0435\u043b\u043e\u0432\u0435\u0447\u0435\u0441\u0442\u0432\u043e\u043c \u0437\u0430\u0434\u043e\u043b\u0433\u043e \u0434\u043e \u0442\u043e\u0433\u043e, \u043a\u0430\u043a \u044d\u0442\u043e \u043f\u043e\u043d\u044f\u0442\u0438\u0435 \u0431\u044b\u043b\u043e \u0444\u043e\u0440\u043c\u0430\u043b\u044c\u043d\u043e \u0432\u0432\u0435\u0434\u0435\u043d\u043e \u0432 \u043d\u0430\u0443\u0447\u043d\u044b\u0439 \u043e\u0431\u0438\u0445\u043e\u0434. \u041d\u0430\u0443\u0447\u043d\u044b\u0439 \u0430\u043d\u0430\u043b\u0438\u0437 \u043f\u043e\u0437\u0432\u043e\u043b\u0438\u043b, \u043e\u0434\u043d\u0430\u043a\u043e, \u043b\u0443\u0447\u0448\u0435 \u0438\u0441\u043f\u043e\u043b\u044c\u0437\u043e\u0432\u0430\u0442\u044c \u0441\u0443\u0449\u0435\u0441\u0442\u0432\u0443\u044e\u0449\u0438\u0435 \u043e\u043f\u0446\u0438\u0438 \u043e\u043d\u044b \u0438 \u043f\u0440\u043e\u0435\u043a\u0442\u0438\u0440\u043e\u0432\u0430\u0442\u044c \u043d\u043e\u0432\u044b\u0435 \u043e\u043f\u0446\u0438\u043e\u043d\u044b \u0432 \u043a\u0430\u0447\u0435\u0441\u0442\u0432\u0435 \u0441\u043f\u0435\u0446\u0438\u0430\u043b\u044c\u043d\u043e\u0439 \u0441\u0442\u0440\u0430\u0442\u0435\u0433\u0438\u0438 \u0438\u0441\u043f\u043e\u043b\u044c\u0437\u043e\u0432\u0430\u0430 \u043d\u0438\u044f \u0433\u0438\u0431\u043a\u043e\u0441\u0442\u0438. \u0412 \u043f\u0440\u0430\u043a\u0442\u0438\u043a\u0435 \u0443\u043f\u0440\u0430\u0432\u043b\u0435\u043d\u0438\u044f \u0440\u0435\u0430\u043b\u044c\u043d\u044b\u0435 \u043e\u043f\u0446\u0438\u043e\u043d\u044b \u043f\u043e\u0437\u0432\u043e\u043b\u044f\u044e\u0442 \u043c\u0435\u043d\u0435\u0434\u0436\u0435\u0440\u0443 \u043f\u0440\u0438\u0438 \u043c\u0435\u043d\u044f\u0442\u044c \u0437\u0430\u0440\u0430\u043d\u0435\u0435 \u0441\u043f\u0440\u043e\u0435\u043a\u0442\u0438\u0440\u043e\u0432\u0430\u043d\u043d\u0443\u044e \u0433\u0438\u0431\u043a\u043e\u0441\u0442\u044c \u0434\u043b\u044f \u0443\u043f\u0440\u0430\u0432\u043b\u0435\u043d\u0438\u044f \u043a\u043e\u043c\u043f\u0430\u043d\u0438\u0435\u0439 \u0432 \u0443\u0441\u043b\u043e\u0432\u0438\u044f\u0445 \u043d\u0435\u043e\u043f\u0440\u0435\u0434\u0435\u043b\u0435\u043d\u043d\u043e\u0439 \u0438 \u0437\u0430\u0447\u0430\u0441\u0442\u0443\u044e \u043d\u0435\u043f\u0440\u043e\u0433\u043d\u043e\u0437\u0438\u0440\u0443\u0435\u043c\u043e\u0439 \u0432\u043d\u0435\u0448\u043d\u0435\u0439 \u0438 \u0432\u043d\u0443\u0442\u0440\u0435\u043d\u043d\u0435\u0439 \u0441\u0440\u0435\u0434\u044b. \u041f\u0440\u0435\u0434\u0434 \u043b\u0430\u0433\u0430\u0435\u043c\u0430\u044f \u0441\u0442\u0430\u0442\u044c\u044f \u0438\u043c\u0435\u0435\u0442 \u0441\u0432\u043e\u0435\u0439 \u0446\u0435\u043b\u044c\u044e \u043e\u0437\u043d\u0430\u043a\u043e\u043c\u043b\u0435\u043d\u0438\u0435 \u0440\u0443\u0441\u0441\u043a\u043e\u044f\u0437\u044b\u0447\u043d\u043e\u0433\u043e \u0447\u0438\u0442\u0430\u0442\u0435\u043b\u044f \u0441 \u044d\u0442\u0438\u043c \u0447\u0440\u0435\u0437\u0432\u044b\u0447\u0430\u0439\u043d\u043e \u0432\u0430\u0436\u043d\u044b\u043c \u043f\u043e\u043d\u044f\u0442\u0438\u0435\u043c. \u0418\u0437\u043b\u043e\u0436\u0435\u043d\u0438\u0435 \u043f\u043e\u0441\u0442\u0440\u043e\u0435\u043d\u043e \u043d\u0430 \u043a\u043e\u043d\u043a\u0440\u0435\u0442\u043d\u044b\u0445 \u043f\u0440\u0438\u043c\u0435\u0440\u0430\u0445 \u0438\u0437 \u0440\u0430\u0437\u043b\u0438\u0447\u043d\u044b\u0445 \u0440\u0430\u0437\u0434\u0435\u043b\u043e\u0432 \u043c\u0435\u043d\u0435\u0434\u0436\u043c\u0435\u043d\u0442\u0430. \u0412 \u043f\u0440\u043e\u0434\u043e\u043b\u0436\u0435\u043d\u0438\u0438 \u044d\u0442\u043e\u0439 \u0441\u0442\u0430\u0442\u044c\u0438 \u0431\u0443\u0434\u0443\u0442 \u043f\u0440\u0435\u0434\u0441\u0442\u0430\u0432\u043b\u0435\u043d\u044b \u0440\u0435\u0437\u0443\u043b\u044c\u0442\u0430\u0442\u044b \u0430\u0432\u0442\u043e\u0440\u0430 \u043f\u043e \u043a\u043b\u0430\u0441\u0441\u0438\u0444\u0438\u043a\u0430\u0446\u0438\u0438 \u0440\u0435\u0430\u043b\u044c\u043d\u044b\u0445 \u043e\u043f\u0446\u0438\u043e\u043d\u043e\u0432 \u0441 \u0438\u043d\u0442\u0435\u043d\u0441\u0438\u0432\u043d\u044b\u043c \u043e\u0431\u0437\u043e\u0440\u043e\u043c \u043b\u0438\u0442\u0435\u0440\u0430\u0442\u0443\u0440\u044b \u0438 \u043f\u0440\u0438\u0432\u0435\u0434\u0435\u043d\u044b \u043f\u0440\u0438\u043b\u043e\u0436\u0435\u043d\u0438\u044f \u0440\u0435\u0430\u043b\u044c\u043d\u044b\u0445 \u043e\u043f\u0446\u0438\u043e\u043d\u043e\u0432 \u043a \u043e\u0446\u0435\u043d\u0438\u0432\u0430\u043d\u0438\u044e \u0442\u043e\u0440\u0433\u043e\u0432\u043e\u0439 \u043c\u0430\u0440\u043a\u0438 \u043a\u0430\u043a \u0430\u043a\u0442\u0438\u0432\u0430, \u043f\u0440\u0438\u043d\u044f\u0442\u0438\u044e \u0440\u0435\u0448\u0435\u043d\u0438\u0439 \u043e \u043a\u0430\u043f\u0438\u0442\u0430\u043b\u043e\u0432\u043b\u043e\u0436\u0435\u043d\u0438\u044f\u0445 \u0432 \u0438\u043d\u0444\u043e\u0440\u043c\u0430\u0446\u0438\u043e\u043d\u043d\u044b\u0435 \u0442\u0435\u0445\u043d\u043e\u043b\u043e\u0433\u0438\u0438 \u0438 \u043d\u043e\u0440\u043c\u0430\u0442\u0438\u0432\u043d\u044b\u043c \u043c\u0435\u0442\u043e\u0434\u0430\u043c \u043e\u0446\u0435\u043d\u043a\u0438 \u043a\u043e\u043c\u043f\u0430\u043d\u0438\u0439.", "author" : [ { "dropping-particle" : "", "family" : "\u0411\u0443\u0445\u0432\u0430\u043b\u043e\u0432", "given" : "\u0410 \u0412", "non-dropping-particle" : "", "parse-names" : false, "suffix" : "" } ], "container-title" : "\u0420\u043e\u0441\u0441\u0438\u0439\u0441\u043a\u0438\u0439 \u0436\u0443\u0440\u043d\u0430\u043b \u043c\u0435\u043d\u0435\u0434\u0436\u043c\u0435\u043d\u0442\u0430", "id" : "ITEM-1", "issue" : "1", "issued" : { "date-parts" : [ [ "2004" ] ] }, "page" : "3-32", "title" : "\u0420\u0435\u0430\u043b\u044c\u043d\u044b\u0435 \u043e\u043f\u0446\u0438\u043e\u043d\u044b \u0432 \u043c\u0435\u043d\u0435\u0434\u0436\u043c\u0435\u043d\u0442\u0435: \u0432\u0432\u0435\u0434\u0435\u043d\u0438\u0435 \u0432 \u043f\u0440\u043e\u0431\u043b\u0435\u043c\u0443", "type" : "article-journal" }, "uris" : [ "http://www.mendeley.com/documents/?uuid=5eea4523-5d66-3262-bbab-e2c5d482eb4c" ] } ], "mendeley" : { "formattedCitation" : "(\u0411\u0443\u0445\u0432\u0430\u043b\u043e\u0432 2004)", "plainTextFormattedCitation" : "(\u0411\u0443\u0445\u0432\u0430\u043b\u043e\u0432 2004)", "previouslyFormattedCitation" : "(\u0411\u0443\u0445\u0432\u0430\u043b\u043e\u0432 2004)" }, "properties" : { "noteIndex" : 0 }, "schema" : "https://github.com/citation-style-language/schema/raw/master/csl-citation.json" }</w:instrText>
      </w:r>
      <w:r>
        <w:rPr>
          <w:rFonts w:cs="Times New Roman"/>
          <w:szCs w:val="24"/>
        </w:rPr>
        <w:fldChar w:fldCharType="separate"/>
      </w:r>
      <w:r w:rsidR="00587F48" w:rsidRPr="00587F48">
        <w:rPr>
          <w:rFonts w:cs="Times New Roman"/>
          <w:noProof/>
          <w:szCs w:val="24"/>
          <w:lang w:val="en-US"/>
        </w:rPr>
        <w:t>(Бухвалов 2004)</w:t>
      </w:r>
      <w:r>
        <w:rPr>
          <w:rFonts w:cs="Times New Roman"/>
          <w:szCs w:val="24"/>
        </w:rPr>
        <w:fldChar w:fldCharType="end"/>
      </w:r>
      <w:r w:rsidR="008D3331">
        <w:rPr>
          <w:rFonts w:cs="Times New Roman"/>
          <w:szCs w:val="24"/>
          <w:lang w:val="en-US"/>
        </w:rPr>
        <w:t>.</w:t>
      </w:r>
    </w:p>
    <w:p w:rsidR="00156AEB" w:rsidRPr="00587F48" w:rsidRDefault="00705150" w:rsidP="00E270C6">
      <w:pPr>
        <w:rPr>
          <w:rFonts w:cs="Times New Roman"/>
          <w:szCs w:val="24"/>
          <w:lang w:val="en-US"/>
        </w:rPr>
      </w:pPr>
      <w:r>
        <w:rPr>
          <w:rFonts w:cs="Times New Roman"/>
          <w:szCs w:val="24"/>
          <w:lang w:val="en-US"/>
        </w:rPr>
        <w:t xml:space="preserve">Just like financial options, real options </w:t>
      </w:r>
      <w:r w:rsidR="00E270C6" w:rsidRPr="00FF0C30">
        <w:rPr>
          <w:rFonts w:cs="Times New Roman"/>
          <w:szCs w:val="24"/>
          <w:lang w:val="en-US"/>
        </w:rPr>
        <w:t>are not obligations; that is, even if an option is available, it shoul</w:t>
      </w:r>
      <w:r>
        <w:rPr>
          <w:rFonts w:cs="Times New Roman"/>
          <w:szCs w:val="24"/>
          <w:lang w:val="en-US"/>
        </w:rPr>
        <w:t>d not be exercised unless its execution adds value for the project.</w:t>
      </w:r>
      <w:r w:rsidR="00E270C6" w:rsidRPr="00FF0C30">
        <w:rPr>
          <w:rFonts w:cs="Times New Roman"/>
          <w:szCs w:val="24"/>
          <w:lang w:val="en-US"/>
        </w:rPr>
        <w:t xml:space="preserve"> Therefore, it is normal to have some </w:t>
      </w:r>
      <w:r>
        <w:rPr>
          <w:rFonts w:cs="Times New Roman"/>
          <w:szCs w:val="24"/>
          <w:lang w:val="en-US"/>
        </w:rPr>
        <w:t>real options</w:t>
      </w:r>
      <w:r w:rsidR="00E270C6" w:rsidRPr="00FF0C30">
        <w:rPr>
          <w:rFonts w:cs="Times New Roman"/>
          <w:szCs w:val="24"/>
          <w:lang w:val="en-US"/>
        </w:rPr>
        <w:t xml:space="preserve"> that are never used. </w:t>
      </w:r>
      <w:r>
        <w:rPr>
          <w:rFonts w:cs="Times New Roman"/>
          <w:szCs w:val="24"/>
          <w:lang w:val="en-US"/>
        </w:rPr>
        <w:t xml:space="preserve">Moreover, real options are not generally stated in project description in advance and thus do usually exist only in managers’ imagination. </w:t>
      </w:r>
      <w:r>
        <w:rPr>
          <w:rFonts w:cs="Times New Roman"/>
          <w:szCs w:val="24"/>
        </w:rPr>
        <w:fldChar w:fldCharType="begin" w:fldLock="1"/>
      </w:r>
      <w:r w:rsidR="00666082">
        <w:rPr>
          <w:rFonts w:cs="Times New Roman"/>
          <w:szCs w:val="24"/>
          <w:lang w:val="en-US"/>
        </w:rPr>
        <w:instrText>ADDIN CSL_CITATION { "citationItems" : [ { "id" : "ITEM-1", "itemData" : { "abstract" : "\u0425\u0420\u0415\u0421\u0422\u041e\u041c\u0410\u0422\u0418\u042f: \u0420\u0415\u0410\u041b\u042c\u041d\u042b\u0415 \u041e\u041f\u0426\u0418\u041e\u041d\u042b", "author" : [ { "dropping-particle" : "", "family" : "\u0411\u0443\u0445\u0432\u0430\u043b\u043e\u0432", "given" : "\u0410 \u0412", "non-dropping-particle" : "", "parse-names" : false, "suffix" : "" } ], "container-title" : "\u0420\u043e\u0441\u0441\u0438\u0439\u0441\u043a\u0438\u0439 \u0436\u0443\u0440\u043d\u0430\u043b \u043c\u0435\u043d\u0435\u0434\u0436\u043c\u0435\u043d\u0442\u0430 \u0422\u043e\u043c", "id" : "ITEM-1", "issue" : "3", "issued" : { "date-parts" : [ [ "2006" ] ] }, "page" : "77-84", "title" : "\u0420\u0435\u0430\u043b\u044c\u043d\u044b \u043b\u0438 \u0440\u0435\u0430\u043b\u044c\u043d\u044b\u0435 \u043e\u043f\u0446\u0438\u043e\u043d\u044b", "type" : "article-journal", "volume" : "4" }, "uris" : [ "http://www.mendeley.com/documents/?uuid=51a5178e-b261-324a-8df0-3e25a69b4e68" ] } ], "mendeley" : { "formattedCitation" : "(\u0411\u0443\u0445\u0432\u0430\u043b\u043e\u0432 2006)", "plainTextFormattedCitation" : "(\u0411\u0443\u0445\u0432\u0430\u043b\u043e\u0432 2006)", "previouslyFormattedCitation" : "(\u0411\u0443\u0445\u0432\u0430\u043b\u043e\u0432 2006)" }, "properties" : { "noteIndex" : 0 }, "schema" : "https://github.com/citation-style-language/schema/raw/master/csl-citation.json" }</w:instrText>
      </w:r>
      <w:r>
        <w:rPr>
          <w:rFonts w:cs="Times New Roman"/>
          <w:szCs w:val="24"/>
        </w:rPr>
        <w:fldChar w:fldCharType="separate"/>
      </w:r>
      <w:r w:rsidR="00587F48" w:rsidRPr="00587F48">
        <w:rPr>
          <w:rFonts w:cs="Times New Roman"/>
          <w:noProof/>
          <w:szCs w:val="24"/>
          <w:lang w:val="en-US"/>
        </w:rPr>
        <w:t>(Бухвалов 2006)</w:t>
      </w:r>
      <w:r>
        <w:rPr>
          <w:rFonts w:cs="Times New Roman"/>
          <w:szCs w:val="24"/>
        </w:rPr>
        <w:fldChar w:fldCharType="end"/>
      </w:r>
    </w:p>
    <w:p w:rsidR="00E270C6" w:rsidRPr="00FF0C30" w:rsidRDefault="00E270C6" w:rsidP="00E270C6">
      <w:pPr>
        <w:pStyle w:val="3"/>
      </w:pPr>
      <w:r w:rsidRPr="00FF0C30">
        <w:t xml:space="preserve">Real options </w:t>
      </w:r>
      <w:r w:rsidR="00FF7E51">
        <w:t>theory</w:t>
      </w:r>
    </w:p>
    <w:p w:rsidR="00705150" w:rsidRDefault="00705150" w:rsidP="00E270C6">
      <w:pPr>
        <w:rPr>
          <w:rFonts w:cs="Times New Roman"/>
          <w:szCs w:val="24"/>
          <w:lang w:val="en-US"/>
        </w:rPr>
      </w:pPr>
      <w:r>
        <w:rPr>
          <w:rFonts w:cs="Times New Roman"/>
          <w:szCs w:val="24"/>
          <w:lang w:val="en-US"/>
        </w:rPr>
        <w:t xml:space="preserve">Following logic of previous section, </w:t>
      </w:r>
      <w:r w:rsidRPr="00705150">
        <w:rPr>
          <w:rFonts w:cs="Times New Roman"/>
          <w:i/>
          <w:szCs w:val="24"/>
          <w:lang w:val="en-US"/>
        </w:rPr>
        <w:t>“real option</w:t>
      </w:r>
      <w:r w:rsidR="00E270C6" w:rsidRPr="00705150">
        <w:rPr>
          <w:rFonts w:cs="Times New Roman"/>
          <w:i/>
          <w:szCs w:val="24"/>
          <w:lang w:val="en-US"/>
        </w:rPr>
        <w:t xml:space="preserve"> theory</w:t>
      </w:r>
      <w:r w:rsidRPr="00705150">
        <w:rPr>
          <w:rFonts w:cs="Times New Roman"/>
          <w:i/>
          <w:szCs w:val="24"/>
          <w:lang w:val="en-US"/>
        </w:rPr>
        <w:t>”</w:t>
      </w:r>
      <w:r>
        <w:rPr>
          <w:rFonts w:cs="Times New Roman"/>
          <w:szCs w:val="24"/>
          <w:lang w:val="en-US"/>
        </w:rPr>
        <w:t xml:space="preserve"> can be determined as</w:t>
      </w:r>
      <w:r w:rsidR="00E270C6" w:rsidRPr="00FF0C30">
        <w:rPr>
          <w:rFonts w:cs="Times New Roman"/>
          <w:szCs w:val="24"/>
          <w:lang w:val="en-US"/>
        </w:rPr>
        <w:t xml:space="preserve"> an area of research focused on assessing the value of flexibility within projects under uncertainty. </w:t>
      </w:r>
    </w:p>
    <w:p w:rsidR="00E270C6" w:rsidRDefault="00156AEB" w:rsidP="00E270C6">
      <w:pPr>
        <w:rPr>
          <w:rFonts w:cs="Times New Roman"/>
          <w:szCs w:val="24"/>
          <w:lang w:val="en-US"/>
        </w:rPr>
      </w:pPr>
      <w:r w:rsidRPr="00156AEB">
        <w:rPr>
          <w:rFonts w:cs="Times New Roman"/>
          <w:szCs w:val="24"/>
          <w:lang w:val="en-US"/>
        </w:rPr>
        <w:t>Real options theory</w:t>
      </w:r>
      <w:r>
        <w:rPr>
          <w:rFonts w:cs="Times New Roman"/>
          <w:szCs w:val="24"/>
          <w:lang w:val="en-US"/>
        </w:rPr>
        <w:t xml:space="preserve"> is based on the ideas of financial option theory. </w:t>
      </w:r>
      <w:r>
        <w:rPr>
          <w:rFonts w:cs="Times New Roman"/>
          <w:szCs w:val="24"/>
          <w:lang w:val="en-US"/>
        </w:rPr>
        <w:fldChar w:fldCharType="begin"/>
      </w:r>
      <w:r>
        <w:rPr>
          <w:rFonts w:cs="Times New Roman"/>
          <w:szCs w:val="24"/>
          <w:lang w:val="en-US"/>
        </w:rPr>
        <w:instrText xml:space="preserve"> REF _Ref483593541 \h </w:instrText>
      </w:r>
      <w:r>
        <w:rPr>
          <w:rFonts w:cs="Times New Roman"/>
          <w:szCs w:val="24"/>
          <w:lang w:val="en-US"/>
        </w:rPr>
      </w:r>
      <w:r>
        <w:rPr>
          <w:rFonts w:cs="Times New Roman"/>
          <w:szCs w:val="24"/>
          <w:lang w:val="en-US"/>
        </w:rPr>
        <w:fldChar w:fldCharType="separate"/>
      </w:r>
      <w:r w:rsidR="008324C6" w:rsidRPr="008324C6">
        <w:rPr>
          <w:lang w:val="en-US"/>
        </w:rPr>
        <w:t xml:space="preserve">Figure </w:t>
      </w:r>
      <w:r w:rsidR="008324C6" w:rsidRPr="008324C6">
        <w:rPr>
          <w:noProof/>
          <w:lang w:val="en-US"/>
        </w:rPr>
        <w:t>2</w:t>
      </w:r>
      <w:r>
        <w:rPr>
          <w:rFonts w:cs="Times New Roman"/>
          <w:szCs w:val="24"/>
          <w:lang w:val="en-US"/>
        </w:rPr>
        <w:fldChar w:fldCharType="end"/>
      </w:r>
      <w:r>
        <w:rPr>
          <w:rFonts w:cs="Times New Roman"/>
          <w:szCs w:val="24"/>
          <w:lang w:val="en-US"/>
        </w:rPr>
        <w:t xml:space="preserve"> </w:t>
      </w:r>
      <w:r w:rsidR="00E270C6" w:rsidRPr="00FF0C30">
        <w:rPr>
          <w:rFonts w:cs="Times New Roman"/>
          <w:szCs w:val="24"/>
          <w:lang w:val="en-US"/>
        </w:rPr>
        <w:t>presents the analogy between a financial call option and a real option.</w:t>
      </w:r>
    </w:p>
    <w:tbl>
      <w:tblPr>
        <w:tblStyle w:val="41"/>
        <w:tblW w:w="0" w:type="auto"/>
        <w:tblLook w:val="04A0" w:firstRow="1" w:lastRow="0" w:firstColumn="1" w:lastColumn="0" w:noHBand="0" w:noVBand="1"/>
      </w:tblPr>
      <w:tblGrid>
        <w:gridCol w:w="3115"/>
        <w:gridCol w:w="2834"/>
        <w:gridCol w:w="3396"/>
      </w:tblGrid>
      <w:tr w:rsidR="000E7529" w:rsidRPr="000E7529" w:rsidTr="00192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0E7529" w:rsidRPr="000E7529" w:rsidRDefault="000E7529" w:rsidP="008D3331">
            <w:pPr>
              <w:jc w:val="left"/>
              <w:rPr>
                <w:rFonts w:cs="Times New Roman"/>
                <w:sz w:val="20"/>
                <w:szCs w:val="20"/>
                <w:lang w:val="en-US"/>
              </w:rPr>
            </w:pPr>
            <w:r w:rsidRPr="000E7529">
              <w:rPr>
                <w:rFonts w:cs="Times New Roman"/>
                <w:sz w:val="20"/>
                <w:szCs w:val="20"/>
                <w:lang w:val="en-US"/>
              </w:rPr>
              <w:t>Variable</w:t>
            </w:r>
          </w:p>
        </w:tc>
        <w:tc>
          <w:tcPr>
            <w:tcW w:w="2834" w:type="dxa"/>
          </w:tcPr>
          <w:p w:rsidR="000E7529" w:rsidRPr="000E7529" w:rsidRDefault="000E7529" w:rsidP="008D3331">
            <w:pPr>
              <w:jc w:val="left"/>
              <w:cnfStyle w:val="100000000000" w:firstRow="1"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sz w:val="20"/>
                <w:szCs w:val="20"/>
                <w:lang w:val="en-US"/>
              </w:rPr>
              <w:t>Financial option</w:t>
            </w:r>
          </w:p>
        </w:tc>
        <w:tc>
          <w:tcPr>
            <w:tcW w:w="3396" w:type="dxa"/>
          </w:tcPr>
          <w:p w:rsidR="000E7529" w:rsidRPr="000E7529" w:rsidRDefault="000E7529" w:rsidP="008D3331">
            <w:pPr>
              <w:jc w:val="left"/>
              <w:cnfStyle w:val="100000000000" w:firstRow="1"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sz w:val="20"/>
                <w:szCs w:val="20"/>
                <w:lang w:val="en-US"/>
              </w:rPr>
              <w:t>Real option</w:t>
            </w:r>
          </w:p>
        </w:tc>
      </w:tr>
      <w:tr w:rsidR="000E7529" w:rsidRPr="002356D7" w:rsidTr="00192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0E7529" w:rsidRPr="000E7529" w:rsidRDefault="000E7529" w:rsidP="00E270C6">
            <w:pPr>
              <w:rPr>
                <w:rFonts w:cs="Times New Roman"/>
                <w:sz w:val="20"/>
                <w:szCs w:val="20"/>
                <w:lang w:val="en-US"/>
              </w:rPr>
            </w:pPr>
            <w:r w:rsidRPr="000E7529">
              <w:rPr>
                <w:rFonts w:cs="Times New Roman"/>
                <w:sz w:val="20"/>
                <w:szCs w:val="20"/>
                <w:lang w:val="en-US"/>
              </w:rPr>
              <w:t>Underlying asset</w:t>
            </w:r>
          </w:p>
        </w:tc>
        <w:tc>
          <w:tcPr>
            <w:tcW w:w="2834" w:type="dxa"/>
          </w:tcPr>
          <w:p w:rsidR="000E7529" w:rsidRPr="000E7529" w:rsidRDefault="000E7529" w:rsidP="000E7529">
            <w:pP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0E7529">
              <w:rPr>
                <w:rFonts w:cs="Times New Roman"/>
                <w:sz w:val="20"/>
                <w:szCs w:val="20"/>
                <w:lang w:val="en-US"/>
              </w:rPr>
              <w:t>Current value of stock</w:t>
            </w:r>
          </w:p>
        </w:tc>
        <w:tc>
          <w:tcPr>
            <w:tcW w:w="3396" w:type="dxa"/>
          </w:tcPr>
          <w:p w:rsidR="000E7529" w:rsidRPr="000E7529" w:rsidRDefault="000E7529" w:rsidP="00E270C6">
            <w:pP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0E7529">
              <w:rPr>
                <w:rFonts w:cs="Times New Roman"/>
                <w:sz w:val="20"/>
                <w:szCs w:val="20"/>
                <w:lang w:val="en-US"/>
              </w:rPr>
              <w:t>PV of expected cash flows</w:t>
            </w:r>
          </w:p>
        </w:tc>
      </w:tr>
      <w:tr w:rsidR="000E7529" w:rsidRPr="000E7529" w:rsidTr="0019295E">
        <w:tc>
          <w:tcPr>
            <w:cnfStyle w:val="001000000000" w:firstRow="0" w:lastRow="0" w:firstColumn="1" w:lastColumn="0" w:oddVBand="0" w:evenVBand="0" w:oddHBand="0" w:evenHBand="0" w:firstRowFirstColumn="0" w:firstRowLastColumn="0" w:lastRowFirstColumn="0" w:lastRowLastColumn="0"/>
            <w:tcW w:w="3115" w:type="dxa"/>
          </w:tcPr>
          <w:p w:rsidR="000E7529" w:rsidRPr="000E7529" w:rsidRDefault="000E7529" w:rsidP="00E270C6">
            <w:pPr>
              <w:rPr>
                <w:rFonts w:cs="Times New Roman"/>
                <w:sz w:val="20"/>
                <w:szCs w:val="20"/>
                <w:lang w:val="en-US"/>
              </w:rPr>
            </w:pPr>
            <w:r w:rsidRPr="000E7529">
              <w:rPr>
                <w:rFonts w:cs="Times New Roman"/>
                <w:sz w:val="20"/>
                <w:szCs w:val="20"/>
                <w:lang w:val="en-US"/>
              </w:rPr>
              <w:t>Strike price</w:t>
            </w:r>
          </w:p>
        </w:tc>
        <w:tc>
          <w:tcPr>
            <w:tcW w:w="2834" w:type="dxa"/>
          </w:tcPr>
          <w:p w:rsidR="000E7529" w:rsidRPr="000E7529" w:rsidRDefault="000E7529" w:rsidP="00E270C6">
            <w:pP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sz w:val="20"/>
                <w:szCs w:val="20"/>
                <w:lang w:val="en-US"/>
              </w:rPr>
              <w:t>Stock price</w:t>
            </w:r>
          </w:p>
        </w:tc>
        <w:tc>
          <w:tcPr>
            <w:tcW w:w="3396" w:type="dxa"/>
          </w:tcPr>
          <w:p w:rsidR="000E7529" w:rsidRPr="000E7529" w:rsidRDefault="000E7529" w:rsidP="00E270C6">
            <w:pP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sz w:val="20"/>
                <w:szCs w:val="20"/>
                <w:lang w:val="en-US"/>
              </w:rPr>
              <w:t>Investment cost</w:t>
            </w:r>
          </w:p>
        </w:tc>
      </w:tr>
      <w:tr w:rsidR="000E7529" w:rsidRPr="000E7529" w:rsidTr="00192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0E7529" w:rsidRPr="000E7529" w:rsidRDefault="000E7529" w:rsidP="00E270C6">
            <w:pPr>
              <w:rPr>
                <w:rFonts w:cs="Times New Roman"/>
                <w:sz w:val="20"/>
                <w:szCs w:val="20"/>
                <w:lang w:val="en-US"/>
              </w:rPr>
            </w:pPr>
            <w:r w:rsidRPr="000E7529">
              <w:rPr>
                <w:rFonts w:cs="Times New Roman"/>
                <w:sz w:val="20"/>
                <w:szCs w:val="20"/>
                <w:lang w:val="en-US"/>
              </w:rPr>
              <w:t>Time to expiration</w:t>
            </w:r>
          </w:p>
        </w:tc>
        <w:tc>
          <w:tcPr>
            <w:tcW w:w="2834" w:type="dxa"/>
          </w:tcPr>
          <w:p w:rsidR="000E7529" w:rsidRPr="000E7529" w:rsidRDefault="000E7529" w:rsidP="00E270C6">
            <w:pP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0E7529">
              <w:rPr>
                <w:rFonts w:cs="Times New Roman"/>
                <w:sz w:val="20"/>
                <w:szCs w:val="20"/>
                <w:lang w:val="en-US"/>
              </w:rPr>
              <w:t>Stated in the contract</w:t>
            </w:r>
          </w:p>
        </w:tc>
        <w:tc>
          <w:tcPr>
            <w:tcW w:w="3396" w:type="dxa"/>
          </w:tcPr>
          <w:p w:rsidR="000E7529" w:rsidRPr="000E7529" w:rsidRDefault="000E7529" w:rsidP="00E270C6">
            <w:pP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0E7529">
              <w:rPr>
                <w:rFonts w:cs="Times New Roman"/>
                <w:sz w:val="20"/>
                <w:szCs w:val="20"/>
                <w:lang w:val="en-US"/>
              </w:rPr>
              <w:t>Until the opportunity disappears</w:t>
            </w:r>
          </w:p>
        </w:tc>
      </w:tr>
      <w:tr w:rsidR="000E7529" w:rsidRPr="000E7529" w:rsidTr="0019295E">
        <w:tc>
          <w:tcPr>
            <w:cnfStyle w:val="001000000000" w:firstRow="0" w:lastRow="0" w:firstColumn="1" w:lastColumn="0" w:oddVBand="0" w:evenVBand="0" w:oddHBand="0" w:evenHBand="0" w:firstRowFirstColumn="0" w:firstRowLastColumn="0" w:lastRowFirstColumn="0" w:lastRowLastColumn="0"/>
            <w:tcW w:w="3115" w:type="dxa"/>
          </w:tcPr>
          <w:p w:rsidR="000E7529" w:rsidRPr="000E7529" w:rsidRDefault="000E7529" w:rsidP="000E7529">
            <w:pPr>
              <w:rPr>
                <w:rFonts w:cs="Times New Roman"/>
                <w:sz w:val="20"/>
                <w:szCs w:val="20"/>
                <w:lang w:val="en-US"/>
              </w:rPr>
            </w:pPr>
            <w:r w:rsidRPr="000E7529">
              <w:rPr>
                <w:rFonts w:cs="Times New Roman"/>
                <w:sz w:val="20"/>
                <w:szCs w:val="20"/>
                <w:lang w:val="en-US"/>
              </w:rPr>
              <w:t>Risk-free  rate</w:t>
            </w:r>
          </w:p>
        </w:tc>
        <w:tc>
          <w:tcPr>
            <w:tcW w:w="2834" w:type="dxa"/>
          </w:tcPr>
          <w:p w:rsidR="000E7529" w:rsidRPr="000E7529" w:rsidRDefault="000E7529" w:rsidP="000E7529">
            <w:pP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sz w:val="20"/>
                <w:szCs w:val="20"/>
                <w:lang w:val="en-US"/>
              </w:rPr>
              <w:t>Risk-free interest rate</w:t>
            </w:r>
          </w:p>
        </w:tc>
        <w:tc>
          <w:tcPr>
            <w:tcW w:w="3396" w:type="dxa"/>
          </w:tcPr>
          <w:p w:rsidR="000E7529" w:rsidRPr="000E7529" w:rsidRDefault="000E7529" w:rsidP="000E7529">
            <w:pP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sz w:val="20"/>
                <w:szCs w:val="20"/>
                <w:lang w:val="en-US"/>
              </w:rPr>
              <w:t>Risk-free interest rate</w:t>
            </w:r>
          </w:p>
        </w:tc>
      </w:tr>
      <w:tr w:rsidR="000E7529" w:rsidRPr="002356D7" w:rsidTr="00192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0E7529" w:rsidRPr="000E7529" w:rsidRDefault="000E7529" w:rsidP="000E7529">
            <w:pPr>
              <w:rPr>
                <w:rFonts w:cs="Times New Roman"/>
                <w:sz w:val="20"/>
                <w:szCs w:val="20"/>
                <w:lang w:val="en-US"/>
              </w:rPr>
            </w:pPr>
            <w:r w:rsidRPr="000E7529">
              <w:rPr>
                <w:rFonts w:cs="Times New Roman"/>
                <w:sz w:val="20"/>
                <w:szCs w:val="20"/>
                <w:lang w:val="en-US"/>
              </w:rPr>
              <w:t>Volatility</w:t>
            </w:r>
          </w:p>
        </w:tc>
        <w:tc>
          <w:tcPr>
            <w:tcW w:w="2834" w:type="dxa"/>
          </w:tcPr>
          <w:p w:rsidR="000E7529" w:rsidRPr="000E7529" w:rsidRDefault="000E7529" w:rsidP="000E7529">
            <w:pP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0E7529">
              <w:rPr>
                <w:rFonts w:cs="Times New Roman"/>
                <w:sz w:val="20"/>
                <w:szCs w:val="20"/>
                <w:lang w:val="en-US"/>
              </w:rPr>
              <w:t>Variation of stock returns</w:t>
            </w:r>
          </w:p>
        </w:tc>
        <w:tc>
          <w:tcPr>
            <w:tcW w:w="3396" w:type="dxa"/>
          </w:tcPr>
          <w:p w:rsidR="000E7529" w:rsidRPr="000E7529" w:rsidRDefault="000E7529" w:rsidP="000E7529">
            <w:pP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0E7529">
              <w:rPr>
                <w:rFonts w:cs="Times New Roman"/>
                <w:sz w:val="20"/>
                <w:szCs w:val="20"/>
                <w:lang w:val="en-US"/>
              </w:rPr>
              <w:t>Variation of project cash flows</w:t>
            </w:r>
          </w:p>
        </w:tc>
      </w:tr>
      <w:tr w:rsidR="000E7529" w:rsidRPr="000E7529" w:rsidTr="0019295E">
        <w:tc>
          <w:tcPr>
            <w:cnfStyle w:val="001000000000" w:firstRow="0" w:lastRow="0" w:firstColumn="1" w:lastColumn="0" w:oddVBand="0" w:evenVBand="0" w:oddHBand="0" w:evenHBand="0" w:firstRowFirstColumn="0" w:firstRowLastColumn="0" w:lastRowFirstColumn="0" w:lastRowLastColumn="0"/>
            <w:tcW w:w="3115" w:type="dxa"/>
          </w:tcPr>
          <w:p w:rsidR="000E7529" w:rsidRPr="000E7529" w:rsidRDefault="000E7529" w:rsidP="000E7529">
            <w:pPr>
              <w:rPr>
                <w:rFonts w:cs="Times New Roman"/>
                <w:sz w:val="20"/>
                <w:szCs w:val="20"/>
                <w:lang w:val="en-US"/>
              </w:rPr>
            </w:pPr>
            <w:r w:rsidRPr="000E7529">
              <w:rPr>
                <w:rFonts w:cs="Times New Roman"/>
                <w:sz w:val="20"/>
                <w:szCs w:val="20"/>
                <w:lang w:val="en-US"/>
              </w:rPr>
              <w:t>Dividends</w:t>
            </w:r>
          </w:p>
        </w:tc>
        <w:tc>
          <w:tcPr>
            <w:tcW w:w="2834" w:type="dxa"/>
          </w:tcPr>
          <w:p w:rsidR="000E7529" w:rsidRPr="000E7529" w:rsidRDefault="000E7529" w:rsidP="000E7529">
            <w:pP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sz w:val="20"/>
                <w:szCs w:val="20"/>
                <w:lang w:val="en-US"/>
              </w:rPr>
              <w:t>Cash flows from stock</w:t>
            </w:r>
          </w:p>
        </w:tc>
        <w:tc>
          <w:tcPr>
            <w:tcW w:w="3396" w:type="dxa"/>
          </w:tcPr>
          <w:p w:rsidR="000E7529" w:rsidRPr="000E7529" w:rsidRDefault="000E7529" w:rsidP="000E7529">
            <w:pP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sz w:val="20"/>
                <w:szCs w:val="20"/>
                <w:lang w:val="en-US"/>
              </w:rPr>
              <w:t>Project cash flows</w:t>
            </w:r>
          </w:p>
        </w:tc>
      </w:tr>
    </w:tbl>
    <w:p w:rsidR="00E270C6" w:rsidRPr="00481A23" w:rsidRDefault="00E270C6" w:rsidP="00481A23">
      <w:pPr>
        <w:pStyle w:val="ac"/>
        <w:rPr>
          <w:rFonts w:cs="Times New Roman"/>
          <w:szCs w:val="24"/>
        </w:rPr>
      </w:pPr>
      <w:bookmarkStart w:id="18" w:name="_Ref483593541"/>
      <w:bookmarkStart w:id="19" w:name="_Toc484036516"/>
      <w:r w:rsidRPr="00481A23">
        <w:t xml:space="preserve">Figure </w:t>
      </w:r>
      <w:r w:rsidRPr="00481A23">
        <w:fldChar w:fldCharType="begin"/>
      </w:r>
      <w:r w:rsidRPr="00481A23">
        <w:instrText xml:space="preserve"> SEQ Figure \* ARABIC </w:instrText>
      </w:r>
      <w:r w:rsidRPr="00481A23">
        <w:fldChar w:fldCharType="separate"/>
      </w:r>
      <w:r w:rsidR="008324C6">
        <w:rPr>
          <w:noProof/>
        </w:rPr>
        <w:t>2</w:t>
      </w:r>
      <w:r w:rsidRPr="00481A23">
        <w:fldChar w:fldCharType="end"/>
      </w:r>
      <w:bookmarkEnd w:id="18"/>
      <w:r w:rsidR="00D5795B" w:rsidRPr="00481A23">
        <w:t>.</w:t>
      </w:r>
      <w:r w:rsidRPr="00481A23">
        <w:t xml:space="preserve"> Analogy between a call option and a real op</w:t>
      </w:r>
      <w:r w:rsidR="00156AEB" w:rsidRPr="00481A23">
        <w:t>tion on a project adopted from</w:t>
      </w:r>
      <w:r w:rsidR="00481A23" w:rsidRPr="00481A23">
        <w:t>. Source:</w:t>
      </w:r>
      <w:r w:rsidR="00156AEB" w:rsidRPr="00481A23">
        <w:t xml:space="preserve"> </w:t>
      </w:r>
      <w:r w:rsidR="00156AEB" w:rsidRPr="00481A23">
        <w:fldChar w:fldCharType="begin" w:fldLock="1"/>
      </w:r>
      <w:r w:rsidR="00587F48" w:rsidRPr="00481A23">
        <w:instrText>ADDIN CSL_CITATION { "citationItems" : [ { "id" : "ITEM-1", "itemData" : { "author" : [ { "dropping-particle" : "", "family" : "Trigeorgis", "given" : "Lenos", "non-dropping-particle" : "", "parse-names" : false, "suffix" : "" } ], "id" : "ITEM-1", "issued" : { "date-parts" : [ [ "1996" ] ] }, "publisher" : "MIT press", "title" : "Real Options: Managerial Flexibility and Strategy in Resource Allocation", "type" : "book" }, "uris" : [ "http://www.mendeley.com/documents/?uuid=f7468088-09d3-4d2b-b89f-56337db03219" ] } ], "mendeley" : { "formattedCitation" : "(Trigeorgis 1996)", "plainTextFormattedCitation" : "(Trigeorgis 1996)", "previouslyFormattedCitation" : "(Trigeorgis 1996)" }, "properties" : { "noteIndex" : 0 }, "schema" : "https://github.com/citation-style-language/schema/raw/master/csl-citation.json" }</w:instrText>
      </w:r>
      <w:r w:rsidR="00156AEB" w:rsidRPr="00481A23">
        <w:fldChar w:fldCharType="separate"/>
      </w:r>
      <w:r w:rsidR="00587F48" w:rsidRPr="00481A23">
        <w:rPr>
          <w:noProof/>
        </w:rPr>
        <w:t>(Trigeorgis 1996)</w:t>
      </w:r>
      <w:bookmarkEnd w:id="19"/>
      <w:r w:rsidR="00156AEB" w:rsidRPr="00481A23">
        <w:fldChar w:fldCharType="end"/>
      </w:r>
    </w:p>
    <w:p w:rsidR="00156AEB" w:rsidRPr="00FF0C30" w:rsidRDefault="00156AEB" w:rsidP="00156AEB">
      <w:pPr>
        <w:rPr>
          <w:rFonts w:cs="Times New Roman"/>
          <w:b/>
          <w:szCs w:val="24"/>
          <w:lang w:val="en-US"/>
        </w:rPr>
      </w:pPr>
      <w:r w:rsidRPr="00FF0C30">
        <w:rPr>
          <w:rFonts w:cs="Times New Roman"/>
          <w:szCs w:val="24"/>
          <w:lang w:val="en-US"/>
        </w:rPr>
        <w:t xml:space="preserve">Based on </w:t>
      </w:r>
      <w:r>
        <w:rPr>
          <w:rFonts w:cs="Times New Roman"/>
          <w:szCs w:val="24"/>
          <w:lang w:val="en-US"/>
        </w:rPr>
        <w:t>real option theory</w:t>
      </w:r>
      <w:r w:rsidRPr="00FF0C30">
        <w:rPr>
          <w:rFonts w:cs="Times New Roman"/>
          <w:szCs w:val="24"/>
          <w:lang w:val="en-US"/>
        </w:rPr>
        <w:t>, flexibility can be modelled</w:t>
      </w:r>
      <w:r>
        <w:rPr>
          <w:rFonts w:cs="Times New Roman"/>
          <w:szCs w:val="24"/>
          <w:lang w:val="en-US"/>
        </w:rPr>
        <w:t xml:space="preserve"> and quantified</w:t>
      </w:r>
      <w:r w:rsidRPr="00FF0C30">
        <w:rPr>
          <w:rFonts w:cs="Times New Roman"/>
          <w:szCs w:val="24"/>
          <w:lang w:val="en-US"/>
        </w:rPr>
        <w:t xml:space="preserve"> with </w:t>
      </w:r>
      <w:r>
        <w:rPr>
          <w:rFonts w:cs="Times New Roman"/>
          <w:szCs w:val="24"/>
          <w:lang w:val="en-US"/>
        </w:rPr>
        <w:t>real options</w:t>
      </w:r>
      <w:r w:rsidRPr="00FF0C30">
        <w:rPr>
          <w:rFonts w:cs="Times New Roman"/>
          <w:szCs w:val="24"/>
          <w:lang w:val="en-US"/>
        </w:rPr>
        <w:t>. If these options are detected and properly implemented, they can increase the</w:t>
      </w:r>
      <w:r>
        <w:rPr>
          <w:rFonts w:cs="Times New Roman"/>
          <w:szCs w:val="24"/>
          <w:lang w:val="en-US"/>
        </w:rPr>
        <w:t xml:space="preserve"> expected value of the project </w:t>
      </w:r>
      <w:r w:rsidRPr="00FF0C30">
        <w:rPr>
          <w:rFonts w:cs="Times New Roman"/>
          <w:szCs w:val="24"/>
          <w:lang w:val="en-US"/>
        </w:rPr>
        <w:t xml:space="preserve">and </w:t>
      </w:r>
      <w:r>
        <w:rPr>
          <w:rFonts w:cs="Times New Roman"/>
          <w:szCs w:val="24"/>
          <w:lang w:val="en-US"/>
        </w:rPr>
        <w:t>decrease</w:t>
      </w:r>
      <w:r w:rsidRPr="00FF0C30">
        <w:rPr>
          <w:rFonts w:cs="Times New Roman"/>
          <w:szCs w:val="24"/>
          <w:lang w:val="en-US"/>
        </w:rPr>
        <w:t xml:space="preserve"> </w:t>
      </w:r>
      <w:r>
        <w:rPr>
          <w:rFonts w:cs="Times New Roman"/>
          <w:szCs w:val="24"/>
          <w:lang w:val="en-US"/>
        </w:rPr>
        <w:t>associated</w:t>
      </w:r>
      <w:r w:rsidRPr="00FF0C30">
        <w:rPr>
          <w:rFonts w:cs="Times New Roman"/>
          <w:szCs w:val="24"/>
          <w:lang w:val="en-US"/>
        </w:rPr>
        <w:t xml:space="preserve"> risks.</w:t>
      </w:r>
      <w:r w:rsidRPr="00FF0C30">
        <w:rPr>
          <w:rFonts w:cs="Times New Roman"/>
          <w:b/>
          <w:szCs w:val="24"/>
          <w:lang w:val="en-US"/>
        </w:rPr>
        <w:t xml:space="preserve"> </w:t>
      </w:r>
    </w:p>
    <w:p w:rsidR="00156AEB" w:rsidRDefault="00156AEB" w:rsidP="00156AEB">
      <w:pPr>
        <w:rPr>
          <w:rFonts w:cs="Times New Roman"/>
          <w:szCs w:val="24"/>
          <w:lang w:val="en-US"/>
        </w:rPr>
      </w:pPr>
      <w:r>
        <w:rPr>
          <w:rFonts w:cs="Times New Roman"/>
          <w:szCs w:val="24"/>
          <w:lang w:val="en-US"/>
        </w:rPr>
        <w:t>I</w:t>
      </w:r>
      <w:r w:rsidRPr="00FF0C30">
        <w:rPr>
          <w:rFonts w:cs="Times New Roman"/>
          <w:szCs w:val="24"/>
          <w:lang w:val="en-US"/>
        </w:rPr>
        <w:t xml:space="preserve">ncrease </w:t>
      </w:r>
      <w:r>
        <w:rPr>
          <w:rFonts w:cs="Times New Roman"/>
          <w:szCs w:val="24"/>
          <w:lang w:val="en-US"/>
        </w:rPr>
        <w:t>in expected</w:t>
      </w:r>
      <w:r w:rsidRPr="00FF0C30">
        <w:rPr>
          <w:rFonts w:cs="Times New Roman"/>
          <w:szCs w:val="24"/>
          <w:lang w:val="en-US"/>
        </w:rPr>
        <w:t xml:space="preserve"> value of flexible projects </w:t>
      </w:r>
      <w:r>
        <w:rPr>
          <w:rFonts w:cs="Times New Roman"/>
          <w:szCs w:val="24"/>
          <w:lang w:val="en-US"/>
        </w:rPr>
        <w:t xml:space="preserve">is achieved </w:t>
      </w:r>
      <w:r w:rsidRPr="00FF0C30">
        <w:rPr>
          <w:rFonts w:cs="Times New Roman"/>
          <w:szCs w:val="24"/>
          <w:lang w:val="en-US"/>
        </w:rPr>
        <w:t>by managing uncertainties associated with the projects</w:t>
      </w:r>
      <w:r>
        <w:rPr>
          <w:rFonts w:cs="Times New Roman"/>
          <w:szCs w:val="24"/>
          <w:lang w:val="en-US"/>
        </w:rPr>
        <w:t xml:space="preserve"> – adjusting the project to the environment, i.e. expanding the capacity if sales turned out to be higher than forecasted and contracting if those are lower. Those actions do not only increase mean expected value, but also reduce its volatility, making inflows more certain.</w:t>
      </w:r>
    </w:p>
    <w:p w:rsidR="00E270C6" w:rsidRPr="00FF0C30" w:rsidRDefault="00E270C6" w:rsidP="00E270C6">
      <w:pPr>
        <w:rPr>
          <w:rFonts w:cs="Times New Roman"/>
          <w:szCs w:val="24"/>
          <w:lang w:val="en-US"/>
        </w:rPr>
      </w:pPr>
      <w:r w:rsidRPr="00FF0C30">
        <w:rPr>
          <w:rFonts w:cs="Times New Roman"/>
          <w:szCs w:val="24"/>
          <w:lang w:val="en-US"/>
        </w:rPr>
        <w:lastRenderedPageBreak/>
        <w:t>According to</w:t>
      </w:r>
      <w:r w:rsidR="00156AEB">
        <w:rPr>
          <w:rFonts w:cs="Times New Roman"/>
          <w:szCs w:val="24"/>
          <w:lang w:val="en-US"/>
        </w:rPr>
        <w:t xml:space="preserve"> </w:t>
      </w:r>
      <w:r w:rsidR="00156AEB">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"Trigeorgis", "given" : "Lenos", "non-dropping-particle" : "", "parse-names" : false, "suffix" : "" } ], "id" : "ITEM-1", "issued" : { "date-parts" : [ [ "1996" ] ] }, "publisher" : "MIT press", "title" : "Real Options: Managerial Flexibility and Strategy in Resource Allocation", "type" : "book" }, "uris" : [ "http://www.mendeley.com/documents/?uuid=f7468088-09d3-4d2b-b89f-56337db03219" ] } ], "mendeley" : { "formattedCitation" : "(Trigeorgis 1996)", "plainTextFormattedCitation" : "(Trigeorgis 1996)", "previouslyFormattedCitation" : "(Trigeorgis 1996)" }, "properties" : { "noteIndex" : 0 }, "schema" : "https://github.com/citation-style-language/schema/raw/master/csl-citation.json" }</w:instrText>
      </w:r>
      <w:r w:rsidR="00156AEB">
        <w:rPr>
          <w:rFonts w:cs="Times New Roman"/>
          <w:szCs w:val="24"/>
          <w:lang w:val="en-US"/>
        </w:rPr>
        <w:fldChar w:fldCharType="separate"/>
      </w:r>
      <w:r w:rsidR="00587F48" w:rsidRPr="00587F48">
        <w:rPr>
          <w:rFonts w:cs="Times New Roman"/>
          <w:noProof/>
          <w:szCs w:val="24"/>
          <w:lang w:val="en-US"/>
        </w:rPr>
        <w:t>(Trigeorgis 1996)</w:t>
      </w:r>
      <w:r w:rsidR="00156AEB">
        <w:rPr>
          <w:rFonts w:cs="Times New Roman"/>
          <w:szCs w:val="24"/>
          <w:lang w:val="en-US"/>
        </w:rPr>
        <w:fldChar w:fldCharType="end"/>
      </w:r>
      <w:r w:rsidRPr="00FF0C30">
        <w:rPr>
          <w:rFonts w:cs="Times New Roman"/>
          <w:szCs w:val="24"/>
          <w:lang w:val="en-US"/>
        </w:rPr>
        <w:t xml:space="preserve">, when incorporating flexibility to modify future actions in response to changing </w:t>
      </w:r>
      <w:r w:rsidR="0019295E">
        <w:rPr>
          <w:rFonts w:cs="Times New Roman"/>
          <w:szCs w:val="24"/>
          <w:lang w:val="en-US"/>
        </w:rPr>
        <w:t xml:space="preserve">environment, a positive asymmetry </w:t>
      </w:r>
      <w:r w:rsidRPr="00FF0C30">
        <w:rPr>
          <w:rFonts w:cs="Times New Roman"/>
          <w:szCs w:val="24"/>
          <w:lang w:val="en-US"/>
        </w:rPr>
        <w:t>is introduced to the probability distribution of NPV</w:t>
      </w:r>
      <w:r w:rsidR="00DE4251">
        <w:rPr>
          <w:rStyle w:val="af2"/>
          <w:rFonts w:cs="Times New Roman"/>
          <w:szCs w:val="24"/>
          <w:lang w:val="en-US"/>
        </w:rPr>
        <w:footnoteReference w:id="1"/>
      </w:r>
      <w:r w:rsidR="0019295E">
        <w:rPr>
          <w:rFonts w:cs="Times New Roman"/>
          <w:szCs w:val="24"/>
          <w:lang w:val="en-US"/>
        </w:rPr>
        <w:t xml:space="preserve">. Similar to financial </w:t>
      </w:r>
      <w:r w:rsidRPr="00FF0C30">
        <w:rPr>
          <w:rFonts w:cs="Times New Roman"/>
          <w:szCs w:val="24"/>
          <w:lang w:val="en-US"/>
        </w:rPr>
        <w:t xml:space="preserve">option theory, the upside potential of the value of the investment opportunity improves, but the downside loss becomes limited relative to initial expectations, leading to an overall increase in the real value of the investment opportunity. </w:t>
      </w:r>
    </w:p>
    <w:p w:rsidR="00E270C6" w:rsidRDefault="0019295E" w:rsidP="00E270C6">
      <w:pPr>
        <w:rPr>
          <w:rFonts w:cs="Times New Roman"/>
          <w:szCs w:val="24"/>
          <w:lang w:val="en-US"/>
        </w:rPr>
      </w:pPr>
      <w:r>
        <w:rPr>
          <w:rFonts w:cs="Times New Roman"/>
          <w:szCs w:val="24"/>
          <w:lang w:val="en-US"/>
        </w:rPr>
        <w:t>Trigeorgis</w:t>
      </w:r>
      <w:r w:rsidR="00E270C6" w:rsidRPr="00FF0C30">
        <w:rPr>
          <w:rFonts w:cs="Times New Roman"/>
          <w:szCs w:val="24"/>
          <w:lang w:val="en-US"/>
        </w:rPr>
        <w:t xml:space="preserve"> defines the “expanded NPV”, </w:t>
      </w:r>
      <w:r w:rsidR="00E270C6" w:rsidRPr="00FF0C30">
        <w:rPr>
          <w:rFonts w:cs="Times New Roman"/>
          <w:i/>
          <w:szCs w:val="24"/>
          <w:lang w:val="en-US"/>
        </w:rPr>
        <w:t>NPV*</w:t>
      </w:r>
      <w:r w:rsidR="0059417E">
        <w:rPr>
          <w:rFonts w:cs="Times New Roman"/>
          <w:szCs w:val="24"/>
          <w:lang w:val="en-US"/>
        </w:rPr>
        <w:t xml:space="preserve">, as: </w:t>
      </w:r>
      <w:r w:rsidR="0059417E">
        <w:rPr>
          <w:rFonts w:cs="Times New Roman"/>
          <w:szCs w:val="24"/>
          <w:lang w:val="en-US"/>
        </w:rPr>
        <w:fldChar w:fldCharType="begin"/>
      </w:r>
      <w:r w:rsidR="0059417E">
        <w:rPr>
          <w:rFonts w:cs="Times New Roman"/>
          <w:szCs w:val="24"/>
          <w:lang w:val="en-US"/>
        </w:rPr>
        <w:instrText xml:space="preserve"> REF _Ref484009798 \h </w:instrText>
      </w:r>
      <w:r w:rsidR="0059417E">
        <w:rPr>
          <w:rFonts w:cs="Times New Roman"/>
          <w:szCs w:val="24"/>
          <w:lang w:val="en-US"/>
        </w:rPr>
      </w:r>
      <w:r w:rsidR="0059417E">
        <w:rPr>
          <w:rFonts w:cs="Times New Roman"/>
          <w:szCs w:val="24"/>
          <w:lang w:val="en-US"/>
        </w:rPr>
        <w:fldChar w:fldCharType="separate"/>
      </w:r>
      <w:r w:rsidR="008324C6" w:rsidRPr="008324C6">
        <w:rPr>
          <w:rFonts w:cs="Times New Roman"/>
          <w:szCs w:val="24"/>
          <w:lang w:val="en-US"/>
        </w:rPr>
        <w:t>(</w:t>
      </w:r>
      <w:r w:rsidR="008324C6" w:rsidRPr="008324C6">
        <w:rPr>
          <w:rFonts w:cs="Times New Roman"/>
          <w:noProof/>
          <w:szCs w:val="24"/>
          <w:lang w:val="en-US"/>
        </w:rPr>
        <w:t>1</w:t>
      </w:r>
      <w:r w:rsidR="008324C6" w:rsidRPr="008324C6">
        <w:rPr>
          <w:rFonts w:cs="Times New Roman"/>
          <w:szCs w:val="24"/>
          <w:lang w:val="en-US"/>
        </w:rPr>
        <w:t>.</w:t>
      </w:r>
      <w:r w:rsidR="008324C6" w:rsidRPr="008324C6">
        <w:rPr>
          <w:rFonts w:cs="Times New Roman"/>
          <w:noProof/>
          <w:szCs w:val="24"/>
          <w:lang w:val="en-US"/>
        </w:rPr>
        <w:t>6</w:t>
      </w:r>
      <w:r w:rsidR="0059417E">
        <w:rPr>
          <w:rFonts w:cs="Times New Roman"/>
          <w:szCs w:val="24"/>
          <w:lang w:val="en-US"/>
        </w:rPr>
        <w:fldChar w:fldCharType="end"/>
      </w:r>
      <w:r w:rsidR="00E270C6" w:rsidRPr="00FF0C30">
        <w:rPr>
          <w:rFonts w:cs="Times New Roman"/>
          <w:szCs w:val="24"/>
          <w:lang w:val="en-US"/>
        </w:rPr>
        <w:t>)</w:t>
      </w:r>
    </w:p>
    <w:tbl>
      <w:tblPr>
        <w:tblStyle w:val="af6"/>
        <w:tblW w:w="0" w:type="auto"/>
        <w:tblLook w:val="04A0" w:firstRow="1" w:lastRow="0" w:firstColumn="1" w:lastColumn="0" w:noHBand="0" w:noVBand="1"/>
      </w:tblPr>
      <w:tblGrid>
        <w:gridCol w:w="8680"/>
        <w:gridCol w:w="675"/>
      </w:tblGrid>
      <w:tr w:rsidR="006501CF" w:rsidTr="006501CF">
        <w:tc>
          <w:tcPr>
            <w:tcW w:w="8894" w:type="dxa"/>
          </w:tcPr>
          <w:p w:rsidR="006501CF" w:rsidRDefault="006501CF" w:rsidP="00E270C6">
            <w:pPr>
              <w:rPr>
                <w:rFonts w:cs="Times New Roman"/>
                <w:szCs w:val="24"/>
                <w:lang w:val="en-US"/>
              </w:rPr>
            </w:pPr>
            <m:oMathPara>
              <m:oMath>
                <m:r>
                  <w:rPr>
                    <w:rFonts w:ascii="Cambria Math" w:hAnsi="Cambria Math" w:cs="Times New Roman"/>
                    <w:szCs w:val="24"/>
                    <w:lang w:val="en-US"/>
                  </w:rPr>
                  <m:t>NP</m:t>
                </m:r>
                <m:sSup>
                  <m:sSupPr>
                    <m:ctrlPr>
                      <w:rPr>
                        <w:rFonts w:ascii="Cambria Math" w:hAnsi="Cambria Math" w:cs="Times New Roman"/>
                        <w:i/>
                        <w:szCs w:val="24"/>
                        <w:lang w:val="en-US"/>
                      </w:rPr>
                    </m:ctrlPr>
                  </m:sSupPr>
                  <m:e>
                    <m:r>
                      <w:rPr>
                        <w:rFonts w:ascii="Cambria Math" w:hAnsi="Cambria Math" w:cs="Times New Roman"/>
                        <w:szCs w:val="24"/>
                        <w:lang w:val="en-US"/>
                      </w:rPr>
                      <m:t>V</m:t>
                    </m:r>
                  </m:e>
                  <m:sup>
                    <m:r>
                      <w:rPr>
                        <w:rFonts w:ascii="Cambria Math" w:hAnsi="Cambria Math" w:cs="Times New Roman"/>
                        <w:szCs w:val="24"/>
                        <w:lang w:val="en-US"/>
                      </w:rPr>
                      <m:t>*</m:t>
                    </m:r>
                  </m:sup>
                </m:sSup>
                <m:r>
                  <w:rPr>
                    <w:rFonts w:ascii="Cambria Math" w:hAnsi="Cambria Math" w:cs="Times New Roman"/>
                    <w:szCs w:val="24"/>
                    <w:lang w:val="en-US"/>
                  </w:rPr>
                  <m:t>=NPV+option premium,</m:t>
                </m:r>
              </m:oMath>
            </m:oMathPara>
          </w:p>
        </w:tc>
        <w:tc>
          <w:tcPr>
            <w:tcW w:w="677" w:type="dxa"/>
          </w:tcPr>
          <w:p w:rsidR="006501CF" w:rsidRPr="0059417E" w:rsidRDefault="006501CF" w:rsidP="0059417E">
            <w:pPr>
              <w:pStyle w:val="ac"/>
            </w:pPr>
            <w:bookmarkStart w:id="20" w:name="_Ref484009798"/>
            <w:bookmarkStart w:id="21" w:name="_Ref484017230"/>
            <w:r>
              <w:rPr>
                <w:rFonts w:cs="Times New Roman"/>
                <w:szCs w:val="24"/>
              </w:rPr>
              <w:t>(</w:t>
            </w:r>
            <w:r w:rsidR="008F1F91">
              <w:rPr>
                <w:rFonts w:cs="Times New Roman"/>
                <w:szCs w:val="24"/>
              </w:rPr>
              <w:fldChar w:fldCharType="begin"/>
            </w:r>
            <w:r w:rsidR="008F1F91">
              <w:rPr>
                <w:rFonts w:cs="Times New Roman"/>
                <w:szCs w:val="24"/>
              </w:rPr>
              <w:instrText xml:space="preserve"> STYLEREF 1 \s </w:instrText>
            </w:r>
            <w:r w:rsidR="008F1F91">
              <w:rPr>
                <w:rFonts w:cs="Times New Roman"/>
                <w:szCs w:val="24"/>
              </w:rPr>
              <w:fldChar w:fldCharType="separate"/>
            </w:r>
            <w:r w:rsidR="008324C6">
              <w:rPr>
                <w:rFonts w:cs="Times New Roman"/>
                <w:noProof/>
                <w:szCs w:val="24"/>
              </w:rPr>
              <w:t>1</w:t>
            </w:r>
            <w:r w:rsidR="008F1F91">
              <w:rPr>
                <w:rFonts w:cs="Times New Roman"/>
                <w:szCs w:val="24"/>
              </w:rPr>
              <w:fldChar w:fldCharType="end"/>
            </w:r>
            <w:r w:rsidR="008F1F91">
              <w:rPr>
                <w:rFonts w:cs="Times New Roman"/>
                <w:szCs w:val="24"/>
              </w:rPr>
              <w:t>.</w:t>
            </w:r>
            <w:r w:rsidR="008F1F91">
              <w:rPr>
                <w:rFonts w:cs="Times New Roman"/>
                <w:szCs w:val="24"/>
              </w:rPr>
              <w:fldChar w:fldCharType="begin"/>
            </w:r>
            <w:r w:rsidR="008F1F91">
              <w:rPr>
                <w:rFonts w:cs="Times New Roman"/>
                <w:szCs w:val="24"/>
              </w:rPr>
              <w:instrText xml:space="preserve"> SEQ Formula \* ARABIC \s 1 </w:instrText>
            </w:r>
            <w:r w:rsidR="008F1F91">
              <w:rPr>
                <w:rFonts w:cs="Times New Roman"/>
                <w:szCs w:val="24"/>
              </w:rPr>
              <w:fldChar w:fldCharType="separate"/>
            </w:r>
            <w:r w:rsidR="008324C6">
              <w:rPr>
                <w:rFonts w:cs="Times New Roman"/>
                <w:noProof/>
                <w:szCs w:val="24"/>
              </w:rPr>
              <w:t>6</w:t>
            </w:r>
            <w:r w:rsidR="008F1F91">
              <w:rPr>
                <w:rFonts w:cs="Times New Roman"/>
                <w:szCs w:val="24"/>
              </w:rPr>
              <w:fldChar w:fldCharType="end"/>
            </w:r>
            <w:bookmarkEnd w:id="20"/>
            <w:r>
              <w:rPr>
                <w:rFonts w:cs="Times New Roman"/>
                <w:szCs w:val="24"/>
              </w:rPr>
              <w:t>)</w:t>
            </w:r>
            <w:bookmarkEnd w:id="21"/>
          </w:p>
        </w:tc>
      </w:tr>
    </w:tbl>
    <w:p w:rsidR="00E270C6" w:rsidRPr="00FF0C30" w:rsidRDefault="00E270C6" w:rsidP="00E270C6">
      <w:pPr>
        <w:rPr>
          <w:rFonts w:cs="Times New Roman"/>
          <w:szCs w:val="24"/>
          <w:lang w:val="en-US"/>
        </w:rPr>
      </w:pPr>
      <w:r w:rsidRPr="00FF0C30">
        <w:rPr>
          <w:rFonts w:cs="Times New Roman"/>
          <w:szCs w:val="24"/>
          <w:lang w:val="en-US"/>
        </w:rPr>
        <w:t>Where:</w:t>
      </w:r>
    </w:p>
    <w:p w:rsidR="00E270C6" w:rsidRPr="00FF0C30" w:rsidRDefault="00E270C6" w:rsidP="00E270C6">
      <w:pPr>
        <w:ind w:left="1416"/>
        <w:rPr>
          <w:rFonts w:cs="Times New Roman"/>
          <w:szCs w:val="24"/>
          <w:lang w:val="en-US"/>
        </w:rPr>
      </w:pPr>
      <w:r w:rsidRPr="0019295E">
        <w:rPr>
          <w:rFonts w:cs="Times New Roman"/>
          <w:i/>
          <w:szCs w:val="24"/>
          <w:lang w:val="en-US"/>
        </w:rPr>
        <w:t>NPV</w:t>
      </w:r>
      <w:r w:rsidRPr="00FF0C30">
        <w:rPr>
          <w:rFonts w:cs="Times New Roman"/>
          <w:szCs w:val="24"/>
          <w:lang w:val="en-US"/>
        </w:rPr>
        <w:t xml:space="preserve"> is the traditional </w:t>
      </w:r>
      <w:r w:rsidR="0019295E">
        <w:rPr>
          <w:rFonts w:cs="Times New Roman"/>
          <w:szCs w:val="24"/>
          <w:lang w:val="en-US"/>
        </w:rPr>
        <w:t>(</w:t>
      </w:r>
      <w:r w:rsidRPr="00FF0C30">
        <w:rPr>
          <w:rFonts w:cs="Times New Roman"/>
          <w:szCs w:val="24"/>
          <w:lang w:val="en-US"/>
        </w:rPr>
        <w:t>or static</w:t>
      </w:r>
      <w:r w:rsidR="0019295E">
        <w:rPr>
          <w:rFonts w:cs="Times New Roman"/>
          <w:szCs w:val="24"/>
          <w:lang w:val="en-US"/>
        </w:rPr>
        <w:t>)</w:t>
      </w:r>
      <w:r w:rsidRPr="00FF0C30">
        <w:rPr>
          <w:rFonts w:cs="Times New Roman"/>
          <w:szCs w:val="24"/>
          <w:lang w:val="en-US"/>
        </w:rPr>
        <w:t xml:space="preserve"> net present value of the expected future cash flows under a passive management, </w:t>
      </w:r>
    </w:p>
    <w:p w:rsidR="00E270C6" w:rsidRPr="00FF0C30" w:rsidRDefault="00E270C6" w:rsidP="00E270C6">
      <w:pPr>
        <w:ind w:left="1416"/>
        <w:rPr>
          <w:rFonts w:cs="Times New Roman"/>
          <w:szCs w:val="24"/>
          <w:lang w:val="en-US"/>
        </w:rPr>
      </w:pPr>
      <w:r w:rsidRPr="0019295E">
        <w:rPr>
          <w:rFonts w:cs="Times New Roman"/>
          <w:i/>
          <w:szCs w:val="24"/>
          <w:lang w:val="en-US"/>
        </w:rPr>
        <w:t>“option premium”</w:t>
      </w:r>
      <w:r w:rsidRPr="00FF0C30">
        <w:rPr>
          <w:rFonts w:cs="Times New Roman"/>
          <w:szCs w:val="24"/>
          <w:lang w:val="en-US"/>
        </w:rPr>
        <w:t>, also called real-options value, is the value of managerial flexibility under an active management.</w:t>
      </w:r>
    </w:p>
    <w:p w:rsidR="00E270C6" w:rsidRPr="00FF0C30" w:rsidRDefault="00E270C6" w:rsidP="00E270C6">
      <w:pPr>
        <w:rPr>
          <w:rFonts w:cs="Times New Roman"/>
          <w:szCs w:val="24"/>
          <w:lang w:val="en-US"/>
        </w:rPr>
      </w:pPr>
      <w:r w:rsidRPr="00FF0C30">
        <w:rPr>
          <w:rFonts w:cs="Times New Roman"/>
          <w:szCs w:val="24"/>
          <w:lang w:val="en-US"/>
        </w:rPr>
        <w:t>However, some limitations may apply to the option analogy, including the non-tradability of the underlying asset of a real option, non-exclusiveness of ownership and competitive in</w:t>
      </w:r>
      <w:r w:rsidR="0019295E">
        <w:rPr>
          <w:rFonts w:cs="Times New Roman"/>
          <w:szCs w:val="24"/>
          <w:lang w:val="en-US"/>
        </w:rPr>
        <w:t xml:space="preserve">teractions, non-tradability </w:t>
      </w:r>
      <w:r w:rsidRPr="00FF0C30">
        <w:rPr>
          <w:rFonts w:cs="Times New Roman"/>
          <w:szCs w:val="24"/>
          <w:lang w:val="en-US"/>
        </w:rPr>
        <w:t xml:space="preserve">of a real option, and strategic interdependencies and option compoundness </w:t>
      </w:r>
      <w:r w:rsidR="0019295E" w:rsidRPr="00FF0C30">
        <w:rPr>
          <w:rFonts w:cs="Times New Roman"/>
          <w:szCs w:val="24"/>
          <w:lang w:val="en-US"/>
        </w:rPr>
        <w:t xml:space="preserve">across time </w:t>
      </w:r>
      <w:r w:rsidR="0019295E">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"Trigeorgis", "given" : "Lenos", "non-dropping-particle" : "", "parse-names" : false, "suffix" : "" } ], "id" : "ITEM-1", "issued" : { "date-parts" : [ [ "1996" ] ] }, "publisher" : "MIT press", "title" : "Real Options: Managerial Flexibility and Strategy in Resource Allocation", "type" : "book" }, "uris" : [ "http://www.mendeley.com/documents/?uuid=f7468088-09d3-4d2b-b89f-56337db03219" ] } ], "mendeley" : { "formattedCitation" : "(Trigeorgis 1996)", "plainTextFormattedCitation" : "(Trigeorgis 1996)", "previouslyFormattedCitation" : "(Trigeorgis 1996)" }, "properties" : { "noteIndex" : 0 }, "schema" : "https://github.com/citation-style-language/schema/raw/master/csl-citation.json" }</w:instrText>
      </w:r>
      <w:r w:rsidR="0019295E">
        <w:rPr>
          <w:rFonts w:cs="Times New Roman"/>
          <w:szCs w:val="24"/>
          <w:lang w:val="en-US"/>
        </w:rPr>
        <w:fldChar w:fldCharType="separate"/>
      </w:r>
      <w:r w:rsidR="00587F48" w:rsidRPr="00587F48">
        <w:rPr>
          <w:rFonts w:cs="Times New Roman"/>
          <w:noProof/>
          <w:szCs w:val="24"/>
          <w:lang w:val="en-US"/>
        </w:rPr>
        <w:t>(Trigeorgis 1996)</w:t>
      </w:r>
      <w:r w:rsidR="0019295E">
        <w:rPr>
          <w:rFonts w:cs="Times New Roman"/>
          <w:szCs w:val="24"/>
          <w:lang w:val="en-US"/>
        </w:rPr>
        <w:fldChar w:fldCharType="end"/>
      </w:r>
    </w:p>
    <w:p w:rsidR="00E270C6" w:rsidRPr="00FF0C30" w:rsidRDefault="00E270C6" w:rsidP="00E270C6">
      <w:pPr>
        <w:pStyle w:val="3"/>
      </w:pPr>
      <w:r w:rsidRPr="00FF0C30">
        <w:t>Types of real options</w:t>
      </w:r>
    </w:p>
    <w:p w:rsidR="0019295E" w:rsidRPr="00FF0C30" w:rsidRDefault="00E24386" w:rsidP="0019295E">
      <w:pPr>
        <w:rPr>
          <w:rFonts w:cs="Times New Roman"/>
          <w:szCs w:val="24"/>
          <w:lang w:val="en-US"/>
        </w:rPr>
      </w:pPr>
      <w:r>
        <w:rPr>
          <w:rFonts w:cs="Times New Roman"/>
          <w:szCs w:val="24"/>
          <w:lang w:val="en-US"/>
        </w:rPr>
        <w:t xml:space="preserve">Idea of real option is directly connected to the flexibilities which are available to the management of a specific project. </w:t>
      </w:r>
      <w:r w:rsidR="0019295E" w:rsidRPr="00FF0C30">
        <w:rPr>
          <w:rFonts w:cs="Times New Roman"/>
          <w:szCs w:val="24"/>
          <w:lang w:val="en-US"/>
        </w:rPr>
        <w:t xml:space="preserve">This section </w:t>
      </w:r>
      <w:r w:rsidR="0019295E">
        <w:rPr>
          <w:rFonts w:cs="Times New Roman"/>
          <w:szCs w:val="24"/>
          <w:lang w:val="en-US"/>
        </w:rPr>
        <w:t xml:space="preserve">describes </w:t>
      </w:r>
      <w:r w:rsidR="0019295E" w:rsidRPr="00FF0C30">
        <w:rPr>
          <w:rFonts w:cs="Times New Roman"/>
          <w:szCs w:val="24"/>
          <w:lang w:val="en-US"/>
        </w:rPr>
        <w:t xml:space="preserve">common real options </w:t>
      </w:r>
      <w:r w:rsidR="0019295E">
        <w:rPr>
          <w:rFonts w:cs="Times New Roman"/>
          <w:szCs w:val="24"/>
          <w:lang w:val="en-US"/>
        </w:rPr>
        <w:t xml:space="preserve">built into </w:t>
      </w:r>
      <w:r w:rsidR="0019295E" w:rsidRPr="00FF0C30">
        <w:rPr>
          <w:rFonts w:cs="Times New Roman"/>
          <w:szCs w:val="24"/>
          <w:lang w:val="en-US"/>
        </w:rPr>
        <w:t>long-term investment</w:t>
      </w:r>
      <w:r w:rsidR="0019295E">
        <w:rPr>
          <w:rFonts w:cs="Times New Roman"/>
          <w:szCs w:val="24"/>
          <w:lang w:val="en-US"/>
        </w:rPr>
        <w:t xml:space="preserve"> </w:t>
      </w:r>
      <w:r>
        <w:rPr>
          <w:rFonts w:cs="Times New Roman"/>
          <w:szCs w:val="24"/>
          <w:lang w:val="en-US"/>
        </w:rPr>
        <w:t>according to</w:t>
      </w:r>
      <w:r w:rsidR="0019295E" w:rsidRPr="00FF0C30">
        <w:rPr>
          <w:rFonts w:cs="Times New Roman"/>
          <w:szCs w:val="24"/>
          <w:lang w:val="en-US"/>
        </w:rPr>
        <w:t xml:space="preserve"> </w:t>
      </w:r>
      <w:r w:rsidR="0019295E">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"Kobari", "given" : "Laleh", "non-dropping-particle" : "", "parse-names" : false, "suffix" : "" } ], "id" : "ITEM-1", "issued" : { "date-parts" : [ [ "2014" ] ] }, "number-of-pages" : "150", "publisher" : "University of Toronto", "title" : "Evaluation of Oil Sands Projects and Their Expansion Rate Using Real Options", "type" : "thesis" }, "uris" : [ "http://www.mendeley.com/documents/?uuid=983d648b-05bc-3ec4-886d-50a34ef214ed" ] } ], "mendeley" : { "formattedCitation" : "(Kobari 2014)", "plainTextFormattedCitation" : "(Kobari 2014)", "previouslyFormattedCitation" : "(Kobari 2014)" }, "properties" : { "noteIndex" : 0 }, "schema" : "https://github.com/citation-style-language/schema/raw/master/csl-citation.json" }</w:instrText>
      </w:r>
      <w:r w:rsidR="0019295E">
        <w:rPr>
          <w:rFonts w:cs="Times New Roman"/>
          <w:szCs w:val="24"/>
          <w:lang w:val="en-US"/>
        </w:rPr>
        <w:fldChar w:fldCharType="separate"/>
      </w:r>
      <w:r w:rsidR="00587F48" w:rsidRPr="00587F48">
        <w:rPr>
          <w:rFonts w:cs="Times New Roman"/>
          <w:noProof/>
          <w:szCs w:val="24"/>
          <w:lang w:val="en-US"/>
        </w:rPr>
        <w:t>(Kobari 2014)</w:t>
      </w:r>
      <w:r w:rsidR="0019295E">
        <w:rPr>
          <w:rFonts w:cs="Times New Roman"/>
          <w:szCs w:val="24"/>
          <w:lang w:val="en-US"/>
        </w:rPr>
        <w:fldChar w:fldCharType="end"/>
      </w:r>
      <w:r w:rsidR="0019295E">
        <w:rPr>
          <w:rFonts w:cs="Times New Roman"/>
          <w:szCs w:val="24"/>
          <w:lang w:val="en-US"/>
        </w:rPr>
        <w:t xml:space="preserve"> </w:t>
      </w:r>
    </w:p>
    <w:p w:rsidR="00E270C6" w:rsidRPr="00662E04" w:rsidRDefault="00E270C6" w:rsidP="00E270C6">
      <w:pPr>
        <w:pStyle w:val="5"/>
        <w:rPr>
          <w:lang w:val="en-US"/>
        </w:rPr>
      </w:pPr>
      <w:r w:rsidRPr="00662E04">
        <w:rPr>
          <w:lang w:val="en-US"/>
        </w:rPr>
        <w:t>1. Option to defer the investment</w:t>
      </w:r>
    </w:p>
    <w:p w:rsidR="00307256" w:rsidRDefault="00307256" w:rsidP="00307256">
      <w:pPr>
        <w:rPr>
          <w:rFonts w:cs="Times New Roman"/>
          <w:szCs w:val="24"/>
          <w:lang w:val="en-US"/>
        </w:rPr>
      </w:pPr>
      <w:r>
        <w:rPr>
          <w:rFonts w:cs="Times New Roman"/>
          <w:szCs w:val="24"/>
          <w:lang w:val="en-US"/>
        </w:rPr>
        <w:t xml:space="preserve">According to </w:t>
      </w: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"Cesena", "given" : "Eduardo Alejandro Martinez", "non-dropping-particle" : "", "parse-names" : false, "suffix" : "" } ], "id" : "ITEM-1", "issued" : { "date-parts" : [ [ "2012" ] ] }, "title" : "Real Options Theory Applied to Renewable Energy Generation Projects Planning", "type" : "article-journal" }, "uris" : [ "http://www.mendeley.com/documents/?uuid=f9bb843b-aa6c-3046-9588-8e25b61538bd" ] } ], "mendeley" : { "formattedCitation" : "(Cesena 2012)", "plainTextFormattedCitation" : "(Cesena 2012)", "previouslyFormattedCitation" : "(Cesena 2012)"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(Cesena 2012)</w:t>
      </w:r>
      <w:r>
        <w:rPr>
          <w:rFonts w:cs="Times New Roman"/>
          <w:szCs w:val="24"/>
          <w:lang w:val="en-US"/>
        </w:rPr>
        <w:fldChar w:fldCharType="end"/>
      </w:r>
      <w:r>
        <w:rPr>
          <w:rFonts w:cs="Times New Roman"/>
          <w:szCs w:val="24"/>
          <w:lang w:val="en-US"/>
        </w:rPr>
        <w:t xml:space="preserve"> t</w:t>
      </w:r>
      <w:r w:rsidRPr="00307256">
        <w:rPr>
          <w:rFonts w:cs="Times New Roman"/>
          <w:szCs w:val="24"/>
          <w:lang w:val="en-US"/>
        </w:rPr>
        <w:t xml:space="preserve">his are the most common </w:t>
      </w:r>
      <w:r w:rsidR="00824EA1">
        <w:rPr>
          <w:rFonts w:cs="Times New Roman"/>
          <w:szCs w:val="24"/>
          <w:lang w:val="en-US"/>
        </w:rPr>
        <w:t>real options</w:t>
      </w:r>
      <w:r w:rsidRPr="00307256">
        <w:rPr>
          <w:rFonts w:cs="Times New Roman"/>
          <w:szCs w:val="24"/>
          <w:lang w:val="en-US"/>
        </w:rPr>
        <w:t xml:space="preserve"> found in the literature. They concern</w:t>
      </w:r>
      <w:r>
        <w:rPr>
          <w:rFonts w:cs="Times New Roman"/>
          <w:szCs w:val="24"/>
          <w:lang w:val="en-US"/>
        </w:rPr>
        <w:t xml:space="preserve"> </w:t>
      </w:r>
      <w:r w:rsidRPr="00307256">
        <w:rPr>
          <w:rFonts w:cs="Times New Roman"/>
          <w:szCs w:val="24"/>
          <w:lang w:val="en-US"/>
        </w:rPr>
        <w:t>the alternative to delay investment decisions with the objective of gathering</w:t>
      </w:r>
      <w:r>
        <w:rPr>
          <w:rFonts w:cs="Times New Roman"/>
          <w:szCs w:val="24"/>
          <w:lang w:val="en-US"/>
        </w:rPr>
        <w:t xml:space="preserve"> </w:t>
      </w:r>
      <w:r w:rsidRPr="00307256">
        <w:rPr>
          <w:rFonts w:cs="Times New Roman"/>
          <w:szCs w:val="24"/>
          <w:lang w:val="en-US"/>
        </w:rPr>
        <w:t>additional information to better assess the projects.</w:t>
      </w:r>
    </w:p>
    <w:p w:rsidR="0059417E" w:rsidRDefault="00824EA1" w:rsidP="0059417E">
      <w:pPr>
        <w:rPr>
          <w:rFonts w:cs="Times New Roman"/>
          <w:szCs w:val="24"/>
          <w:lang w:val="en-US"/>
        </w:rPr>
      </w:pPr>
      <w:r>
        <w:rPr>
          <w:rFonts w:cs="Times New Roman"/>
          <w:szCs w:val="24"/>
          <w:lang w:val="en-US"/>
        </w:rPr>
        <w:t xml:space="preserve">This option exists when investor have an opportunity to wait and see how the uncertainties connected with the project will resolve. It can be movement of currency exchange rates, prices of goods, etc. Than if market conditions are favorable the management will continue and participate in the project. Otherwise, they will reject the project and save on </w:t>
      </w:r>
      <w:r w:rsidR="00E270C6" w:rsidRPr="00FF0C30">
        <w:rPr>
          <w:rFonts w:cs="Times New Roman"/>
          <w:szCs w:val="24"/>
          <w:lang w:val="en-US"/>
        </w:rPr>
        <w:t xml:space="preserve">the planned </w:t>
      </w:r>
      <w:r>
        <w:rPr>
          <w:rFonts w:cs="Times New Roman"/>
          <w:szCs w:val="24"/>
          <w:lang w:val="en-US"/>
        </w:rPr>
        <w:t>costs</w:t>
      </w:r>
      <w:r w:rsidR="00E270C6" w:rsidRPr="00FF0C30">
        <w:rPr>
          <w:rFonts w:cs="Times New Roman"/>
          <w:szCs w:val="24"/>
          <w:lang w:val="en-US"/>
        </w:rPr>
        <w:t>. This option will e</w:t>
      </w:r>
      <w:r w:rsidR="0059417E">
        <w:rPr>
          <w:rFonts w:cs="Times New Roman"/>
          <w:szCs w:val="24"/>
          <w:lang w:val="en-US"/>
        </w:rPr>
        <w:t xml:space="preserve">ntitle management to receive </w:t>
      </w:r>
      <w:r w:rsidR="0059417E">
        <w:rPr>
          <w:rFonts w:cs="Times New Roman"/>
          <w:szCs w:val="24"/>
          <w:lang w:val="en-US"/>
        </w:rPr>
        <w:fldChar w:fldCharType="begin"/>
      </w:r>
      <w:r w:rsidR="0059417E">
        <w:rPr>
          <w:rFonts w:cs="Times New Roman"/>
          <w:szCs w:val="24"/>
          <w:lang w:val="en-US"/>
        </w:rPr>
        <w:instrText xml:space="preserve"> REF _Ref484009860 \h </w:instrText>
      </w:r>
      <w:r w:rsidR="0059417E">
        <w:rPr>
          <w:rFonts w:cs="Times New Roman"/>
          <w:szCs w:val="24"/>
          <w:lang w:val="en-US"/>
        </w:rPr>
      </w:r>
      <w:r w:rsidR="0059417E">
        <w:rPr>
          <w:rFonts w:cs="Times New Roman"/>
          <w:szCs w:val="24"/>
          <w:lang w:val="en-US"/>
        </w:rPr>
        <w:fldChar w:fldCharType="separate"/>
      </w:r>
      <w:r w:rsidR="008324C6">
        <w:rPr>
          <w:rFonts w:cs="Times New Roman"/>
          <w:szCs w:val="24"/>
        </w:rPr>
        <w:t>(</w:t>
      </w:r>
      <w:r w:rsidR="008324C6">
        <w:rPr>
          <w:rFonts w:cs="Times New Roman"/>
          <w:noProof/>
          <w:szCs w:val="24"/>
        </w:rPr>
        <w:t>1</w:t>
      </w:r>
      <w:r w:rsidR="008324C6">
        <w:rPr>
          <w:rFonts w:cs="Times New Roman"/>
          <w:szCs w:val="24"/>
        </w:rPr>
        <w:t>.</w:t>
      </w:r>
      <w:r w:rsidR="008324C6">
        <w:rPr>
          <w:rFonts w:cs="Times New Roman"/>
          <w:noProof/>
          <w:szCs w:val="24"/>
        </w:rPr>
        <w:t>7</w:t>
      </w:r>
      <w:r w:rsidR="0059417E">
        <w:rPr>
          <w:rFonts w:cs="Times New Roman"/>
          <w:szCs w:val="24"/>
          <w:lang w:val="en-US"/>
        </w:rPr>
        <w:fldChar w:fldCharType="end"/>
      </w:r>
      <w:r w:rsidR="00E270C6" w:rsidRPr="00FF0C30">
        <w:rPr>
          <w:rFonts w:cs="Times New Roman"/>
          <w:szCs w:val="24"/>
          <w:lang w:val="en-US"/>
        </w:rPr>
        <w:t>)</w:t>
      </w:r>
    </w:p>
    <w:tbl>
      <w:tblPr>
        <w:tblStyle w:val="af6"/>
        <w:tblW w:w="0" w:type="auto"/>
        <w:tblLook w:val="04A0" w:firstRow="1" w:lastRow="0" w:firstColumn="1" w:lastColumn="0" w:noHBand="0" w:noVBand="1"/>
      </w:tblPr>
      <w:tblGrid>
        <w:gridCol w:w="8683"/>
        <w:gridCol w:w="672"/>
      </w:tblGrid>
      <w:tr w:rsidR="0059417E" w:rsidTr="0059417E">
        <w:tc>
          <w:tcPr>
            <w:tcW w:w="8897" w:type="dxa"/>
          </w:tcPr>
          <w:p w:rsidR="0059417E" w:rsidRDefault="0059417E" w:rsidP="0059417E">
            <w:pPr>
              <w:rPr>
                <w:rFonts w:cs="Times New Roman"/>
                <w:szCs w:val="24"/>
                <w:lang w:val="en-US"/>
              </w:rPr>
            </w:pPr>
            <m:oMathPara>
              <m:oMath>
                <m:func>
                  <m:funcPr>
                    <m:ctrlPr>
                      <w:rPr>
                        <w:rFonts w:ascii="Cambria Math" w:hAnsi="Cambria Math" w:cs="Times New Roman"/>
                        <w:szCs w:val="24"/>
                        <w:lang w:val="en-US"/>
                      </w:rPr>
                    </m:ctrlPr>
                  </m:funcPr>
                  <m:fName>
                    <m:r>
                      <m:rPr>
                        <m:sty m:val="p"/>
                      </m:rPr>
                      <w:rPr>
                        <w:rFonts w:ascii="Cambria Math" w:hAnsi="Cambria Math" w:cs="Times New Roman"/>
                        <w:szCs w:val="24"/>
                        <w:lang w:val="en-US"/>
                      </w:rPr>
                      <m:t>max</m:t>
                    </m:r>
                  </m:fName>
                  <m:e>
                    <m:d>
                      <m:dPr>
                        <m:ctrlPr>
                          <w:rPr>
                            <w:rFonts w:ascii="Cambria Math" w:hAnsi="Cambria Math" w:cs="Times New Roman"/>
                            <w:i/>
                            <w:szCs w:val="24"/>
                            <w:lang w:val="en-US"/>
                          </w:rPr>
                        </m:ctrlPr>
                      </m:dPr>
                      <m:e>
                        <m:r>
                          <w:rPr>
                            <w:rFonts w:ascii="Cambria Math" w:hAnsi="Cambria Math" w:cs="Times New Roman"/>
                            <w:szCs w:val="24"/>
                            <w:lang w:val="en-US"/>
                          </w:rPr>
                          <m:t>V-I, 0</m:t>
                        </m:r>
                      </m:e>
                    </m:d>
                  </m:e>
                </m:func>
                <m:r>
                  <w:rPr>
                    <w:rFonts w:ascii="Cambria Math" w:hAnsi="Cambria Math" w:cs="Times New Roman"/>
                    <w:szCs w:val="24"/>
                    <w:lang w:val="en-US"/>
                  </w:rPr>
                  <m:t xml:space="preserve">, </m:t>
                </m:r>
              </m:oMath>
            </m:oMathPara>
          </w:p>
        </w:tc>
        <w:tc>
          <w:tcPr>
            <w:tcW w:w="674" w:type="dxa"/>
          </w:tcPr>
          <w:p w:rsidR="0059417E" w:rsidRDefault="0059417E" w:rsidP="0059417E">
            <w:pPr>
              <w:pStyle w:val="ac"/>
              <w:rPr>
                <w:rFonts w:cs="Times New Roman"/>
                <w:szCs w:val="24"/>
              </w:rPr>
            </w:pPr>
            <w:bookmarkStart w:id="22" w:name="_Ref484009860"/>
            <w:r>
              <w:rPr>
                <w:rFonts w:cs="Times New Roman"/>
                <w:szCs w:val="24"/>
              </w:rPr>
              <w:t>(</w:t>
            </w:r>
            <w:r w:rsidR="008F1F91">
              <w:rPr>
                <w:rFonts w:cs="Times New Roman"/>
                <w:szCs w:val="24"/>
              </w:rPr>
              <w:fldChar w:fldCharType="begin"/>
            </w:r>
            <w:r w:rsidR="008F1F91">
              <w:rPr>
                <w:rFonts w:cs="Times New Roman"/>
                <w:szCs w:val="24"/>
              </w:rPr>
              <w:instrText xml:space="preserve"> STYLEREF 1 \s </w:instrText>
            </w:r>
            <w:r w:rsidR="008F1F91">
              <w:rPr>
                <w:rFonts w:cs="Times New Roman"/>
                <w:szCs w:val="24"/>
              </w:rPr>
              <w:fldChar w:fldCharType="separate"/>
            </w:r>
            <w:r w:rsidR="008324C6">
              <w:rPr>
                <w:rFonts w:cs="Times New Roman"/>
                <w:noProof/>
                <w:szCs w:val="24"/>
              </w:rPr>
              <w:t>1</w:t>
            </w:r>
            <w:r w:rsidR="008F1F91">
              <w:rPr>
                <w:rFonts w:cs="Times New Roman"/>
                <w:szCs w:val="24"/>
              </w:rPr>
              <w:fldChar w:fldCharType="end"/>
            </w:r>
            <w:r w:rsidR="008F1F91">
              <w:rPr>
                <w:rFonts w:cs="Times New Roman"/>
                <w:szCs w:val="24"/>
              </w:rPr>
              <w:t>.</w:t>
            </w:r>
            <w:r w:rsidR="008F1F91">
              <w:rPr>
                <w:rFonts w:cs="Times New Roman"/>
                <w:szCs w:val="24"/>
              </w:rPr>
              <w:fldChar w:fldCharType="begin"/>
            </w:r>
            <w:r w:rsidR="008F1F91">
              <w:rPr>
                <w:rFonts w:cs="Times New Roman"/>
                <w:szCs w:val="24"/>
              </w:rPr>
              <w:instrText xml:space="preserve"> SEQ Formula \* ARABIC \s 1 </w:instrText>
            </w:r>
            <w:r w:rsidR="008F1F91">
              <w:rPr>
                <w:rFonts w:cs="Times New Roman"/>
                <w:szCs w:val="24"/>
              </w:rPr>
              <w:fldChar w:fldCharType="separate"/>
            </w:r>
            <w:r w:rsidR="008324C6">
              <w:rPr>
                <w:rFonts w:cs="Times New Roman"/>
                <w:noProof/>
                <w:szCs w:val="24"/>
              </w:rPr>
              <w:t>7</w:t>
            </w:r>
            <w:r w:rsidR="008F1F91">
              <w:rPr>
                <w:rFonts w:cs="Times New Roman"/>
                <w:szCs w:val="24"/>
              </w:rPr>
              <w:fldChar w:fldCharType="end"/>
            </w:r>
            <w:bookmarkEnd w:id="22"/>
            <w:r>
              <w:rPr>
                <w:rFonts w:cs="Times New Roman"/>
                <w:szCs w:val="24"/>
              </w:rPr>
              <w:t>)</w:t>
            </w:r>
          </w:p>
        </w:tc>
      </w:tr>
    </w:tbl>
    <w:p w:rsidR="005E463F" w:rsidRDefault="005E463F" w:rsidP="00E270C6">
      <w:pPr>
        <w:rPr>
          <w:rFonts w:cs="Times New Roman"/>
          <w:szCs w:val="24"/>
          <w:lang w:val="en-US"/>
        </w:rPr>
      </w:pPr>
    </w:p>
    <w:p w:rsidR="0019295E" w:rsidRDefault="00E270C6" w:rsidP="00E270C6">
      <w:pPr>
        <w:rPr>
          <w:rFonts w:cs="Times New Roman"/>
          <w:szCs w:val="24"/>
          <w:lang w:val="en-US"/>
        </w:rPr>
      </w:pPr>
      <w:r w:rsidRPr="00FF0C30">
        <w:rPr>
          <w:rFonts w:cs="Times New Roman"/>
          <w:szCs w:val="24"/>
          <w:lang w:val="en-US"/>
        </w:rPr>
        <w:t xml:space="preserve">Therefore, the option to defer or invest is analogous to an American call option on the gross present value of the completed project's expected operating cash flows, </w:t>
      </w:r>
      <w:r w:rsidRPr="00FF0C30">
        <w:rPr>
          <w:rFonts w:cs="Times New Roman"/>
          <w:i/>
          <w:szCs w:val="24"/>
          <w:lang w:val="en-US"/>
        </w:rPr>
        <w:t>V</w:t>
      </w:r>
      <w:r w:rsidRPr="00FF0C30">
        <w:rPr>
          <w:rFonts w:cs="Times New Roman"/>
          <w:szCs w:val="24"/>
          <w:lang w:val="en-US"/>
        </w:rPr>
        <w:t xml:space="preserve">, with a strike price of the required </w:t>
      </w:r>
      <w:r w:rsidR="00824EA1">
        <w:rPr>
          <w:rFonts w:cs="Times New Roman"/>
          <w:szCs w:val="24"/>
          <w:lang w:val="en-US"/>
        </w:rPr>
        <w:t>investment</w:t>
      </w:r>
      <w:r w:rsidRPr="00FF0C30">
        <w:rPr>
          <w:rFonts w:cs="Times New Roman"/>
          <w:szCs w:val="24"/>
          <w:lang w:val="en-US"/>
        </w:rPr>
        <w:t xml:space="preserve">, </w:t>
      </w:r>
      <w:r w:rsidRPr="00FF0C30">
        <w:rPr>
          <w:rFonts w:cs="Times New Roman"/>
          <w:i/>
          <w:szCs w:val="24"/>
          <w:lang w:val="en-US"/>
        </w:rPr>
        <w:t>I</w:t>
      </w:r>
      <w:r w:rsidR="00824EA1">
        <w:rPr>
          <w:rFonts w:cs="Times New Roman"/>
          <w:i/>
          <w:szCs w:val="24"/>
          <w:vertAlign w:val="subscript"/>
          <w:lang w:val="en-US"/>
        </w:rPr>
        <w:t>.</w:t>
      </w:r>
    </w:p>
    <w:p w:rsidR="00E270C6" w:rsidRPr="00FF0C30" w:rsidRDefault="00E270C6" w:rsidP="00E270C6">
      <w:pPr>
        <w:rPr>
          <w:rFonts w:cs="Times New Roman"/>
          <w:szCs w:val="24"/>
          <w:lang w:val="en-US"/>
        </w:rPr>
      </w:pPr>
      <w:r w:rsidRPr="00FF0C30">
        <w:rPr>
          <w:rFonts w:cs="Times New Roman"/>
          <w:szCs w:val="24"/>
          <w:lang w:val="en-US"/>
        </w:rPr>
        <w:t xml:space="preserve">The option to wait is particularly valuable in such resource extraction industries, as well as in farming, paper products, and real estate development, due to high uncertainties and long investment horizons. </w:t>
      </w:r>
    </w:p>
    <w:p w:rsidR="00E270C6" w:rsidRPr="00662E04" w:rsidRDefault="00E270C6" w:rsidP="00E270C6">
      <w:pPr>
        <w:pStyle w:val="5"/>
        <w:rPr>
          <w:lang w:val="en-US"/>
        </w:rPr>
      </w:pPr>
      <w:r w:rsidRPr="00662E04">
        <w:rPr>
          <w:lang w:val="en-US"/>
        </w:rPr>
        <w:t xml:space="preserve">2. Option to stage investment </w:t>
      </w:r>
    </w:p>
    <w:p w:rsidR="00824EA1" w:rsidRDefault="0019295E" w:rsidP="00824EA1">
      <w:pPr>
        <w:rPr>
          <w:rFonts w:cs="Times New Roman"/>
          <w:szCs w:val="24"/>
          <w:lang w:val="en-US"/>
        </w:rPr>
      </w:pPr>
      <w:r>
        <w:rPr>
          <w:rFonts w:cs="Times New Roman"/>
          <w:szCs w:val="24"/>
          <w:lang w:val="en-US"/>
        </w:rPr>
        <w:t xml:space="preserve">According to </w:t>
      </w: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"Kobari", "given" : "Laleh", "non-dropping-particle" : "", "parse-names" : false, "suffix" : "" } ], "id" : "ITEM-1", "issued" : { "date-parts" : [ [ "2014" ] ] }, "number-of-pages" : "150", "publisher" : "University of Toronto", "title" : "Evaluation of Oil Sands Projects and Their Expansion Rate Using Real Options", "type" : "thesis" }, "uris" : [ "http://www.mendeley.com/documents/?uuid=983d648b-05bc-3ec4-886d-50a34ef214ed" ] } ], "mendeley" : { "formattedCitation" : "(Kobari 2014)", "plainTextFormattedCitation" : "(Kobari 2014)", "previouslyFormattedCitation" : "(Kobari 2014)"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(Kobari 2014)</w:t>
      </w:r>
      <w:r>
        <w:rPr>
          <w:rFonts w:cs="Times New Roman"/>
          <w:szCs w:val="24"/>
          <w:lang w:val="en-US"/>
        </w:rPr>
        <w:fldChar w:fldCharType="end"/>
      </w:r>
      <w:r>
        <w:rPr>
          <w:rFonts w:cs="Times New Roman"/>
          <w:szCs w:val="24"/>
          <w:lang w:val="en-US"/>
        </w:rPr>
        <w:t>, i</w:t>
      </w:r>
      <w:r w:rsidR="00E270C6" w:rsidRPr="00FF0C30">
        <w:rPr>
          <w:rFonts w:cs="Times New Roman"/>
          <w:szCs w:val="24"/>
          <w:lang w:val="en-US"/>
        </w:rPr>
        <w:t xml:space="preserve">n most real-life projects, the required investment is not </w:t>
      </w:r>
      <w:r>
        <w:rPr>
          <w:rFonts w:cs="Times New Roman"/>
          <w:szCs w:val="24"/>
          <w:lang w:val="en-US"/>
        </w:rPr>
        <w:t>performed at one stage. S</w:t>
      </w:r>
      <w:r w:rsidR="00E270C6" w:rsidRPr="00FF0C30">
        <w:rPr>
          <w:rFonts w:cs="Times New Roman"/>
          <w:szCs w:val="24"/>
          <w:lang w:val="en-US"/>
        </w:rPr>
        <w:t xml:space="preserve">taging capital investment as a series of </w:t>
      </w:r>
      <w:r>
        <w:rPr>
          <w:rFonts w:cs="Times New Roman"/>
          <w:szCs w:val="24"/>
          <w:lang w:val="en-US"/>
        </w:rPr>
        <w:t>outlays</w:t>
      </w:r>
      <w:r w:rsidR="00E270C6" w:rsidRPr="00FF0C30">
        <w:rPr>
          <w:rFonts w:cs="Times New Roman"/>
          <w:szCs w:val="24"/>
          <w:lang w:val="en-US"/>
        </w:rPr>
        <w:t xml:space="preserve"> over time creates valuable options to continue with the project or abandon it at any given stage. </w:t>
      </w:r>
      <w:r w:rsidR="00824EA1">
        <w:rPr>
          <w:rFonts w:cs="Times New Roman"/>
          <w:szCs w:val="24"/>
          <w:lang w:val="en-US"/>
        </w:rPr>
        <w:t>E</w:t>
      </w:r>
      <w:r w:rsidR="00824EA1" w:rsidRPr="00824EA1">
        <w:rPr>
          <w:rFonts w:cs="Times New Roman"/>
          <w:szCs w:val="24"/>
          <w:lang w:val="en-US"/>
        </w:rPr>
        <w:t>ach</w:t>
      </w:r>
      <w:r w:rsidR="00824EA1">
        <w:rPr>
          <w:rFonts w:cs="Times New Roman"/>
          <w:szCs w:val="24"/>
          <w:lang w:val="en-US"/>
        </w:rPr>
        <w:t xml:space="preserve"> </w:t>
      </w:r>
      <w:r w:rsidR="00824EA1" w:rsidRPr="00824EA1">
        <w:rPr>
          <w:rFonts w:cs="Times New Roman"/>
          <w:szCs w:val="24"/>
          <w:lang w:val="en-US"/>
        </w:rPr>
        <w:t>stage involving a small investment and t</w:t>
      </w:r>
      <w:r w:rsidR="00824EA1">
        <w:rPr>
          <w:rFonts w:cs="Times New Roman"/>
          <w:szCs w:val="24"/>
          <w:lang w:val="en-US"/>
        </w:rPr>
        <w:t>he reassessment of the project.</w:t>
      </w:r>
    </w:p>
    <w:p w:rsidR="00824EA1" w:rsidRDefault="00824EA1" w:rsidP="00E270C6">
      <w:pPr>
        <w:rPr>
          <w:rFonts w:cs="Times New Roman"/>
          <w:szCs w:val="24"/>
          <w:lang w:val="en-US"/>
        </w:rPr>
      </w:pPr>
      <w:r w:rsidRPr="00824EA1">
        <w:rPr>
          <w:rFonts w:cs="Times New Roman"/>
          <w:szCs w:val="24"/>
          <w:lang w:val="en-US"/>
        </w:rPr>
        <w:t>This</w:t>
      </w:r>
      <w:r>
        <w:rPr>
          <w:rFonts w:cs="Times New Roman"/>
          <w:szCs w:val="24"/>
          <w:lang w:val="en-US"/>
        </w:rPr>
        <w:t xml:space="preserve"> </w:t>
      </w:r>
      <w:r w:rsidRPr="00824EA1">
        <w:rPr>
          <w:rFonts w:cs="Times New Roman"/>
          <w:szCs w:val="24"/>
          <w:lang w:val="en-US"/>
        </w:rPr>
        <w:t xml:space="preserve">provides an </w:t>
      </w:r>
      <w:r>
        <w:rPr>
          <w:rFonts w:cs="Times New Roman"/>
          <w:szCs w:val="24"/>
          <w:lang w:val="en-US"/>
        </w:rPr>
        <w:t xml:space="preserve">opportunity similar to </w:t>
      </w:r>
      <w:r w:rsidRPr="00824EA1">
        <w:rPr>
          <w:rFonts w:cs="Times New Roman"/>
          <w:szCs w:val="24"/>
          <w:lang w:val="en-US"/>
        </w:rPr>
        <w:t>option to abandon the project if necessary before the whole capital</w:t>
      </w:r>
      <w:r>
        <w:rPr>
          <w:rFonts w:cs="Times New Roman"/>
          <w:szCs w:val="24"/>
          <w:lang w:val="en-US"/>
        </w:rPr>
        <w:t xml:space="preserve"> </w:t>
      </w:r>
      <w:r w:rsidRPr="00824EA1">
        <w:rPr>
          <w:rFonts w:cs="Times New Roman"/>
          <w:szCs w:val="24"/>
          <w:lang w:val="en-US"/>
        </w:rPr>
        <w:t>needed to build it has been compromised.</w:t>
      </w:r>
      <w:r>
        <w:rPr>
          <w:rFonts w:cs="Times New Roman"/>
          <w:szCs w:val="24"/>
          <w:lang w:val="en-US"/>
        </w:rPr>
        <w:t xml:space="preserve"> </w:t>
      </w:r>
      <w:r w:rsidR="00E270C6" w:rsidRPr="00FF0C30">
        <w:rPr>
          <w:rFonts w:cs="Times New Roman"/>
          <w:szCs w:val="24"/>
          <w:lang w:val="en-US"/>
        </w:rPr>
        <w:t xml:space="preserve">These sequential options can be valued as compound options. </w:t>
      </w:r>
    </w:p>
    <w:p w:rsidR="00E270C6" w:rsidRPr="00FF0C30" w:rsidRDefault="00E270C6" w:rsidP="00E270C6">
      <w:pPr>
        <w:rPr>
          <w:rFonts w:cs="Times New Roman"/>
          <w:szCs w:val="24"/>
          <w:lang w:val="en-US"/>
        </w:rPr>
      </w:pPr>
      <w:r w:rsidRPr="00FF0C30">
        <w:rPr>
          <w:rFonts w:cs="Times New Roman"/>
          <w:szCs w:val="24"/>
          <w:lang w:val="en-US"/>
        </w:rPr>
        <w:t xml:space="preserve">The option to stage investment is valuable in R&amp;D-intensive industries (particularly in biotechnology and pharmaceuticals), in highly uncertain, long development capital-intensive industries (such as energy-generating plants or large-scale construction acquisition or market entry strategies), in high-tech startups, and in venture capital. </w:t>
      </w:r>
    </w:p>
    <w:p w:rsidR="00E270C6" w:rsidRPr="00662E04" w:rsidRDefault="00E270C6" w:rsidP="00E270C6">
      <w:pPr>
        <w:pStyle w:val="5"/>
        <w:rPr>
          <w:lang w:val="en-US"/>
        </w:rPr>
      </w:pPr>
      <w:r w:rsidRPr="00662E04">
        <w:rPr>
          <w:lang w:val="en-US"/>
        </w:rPr>
        <w:t xml:space="preserve">3. Option to expand (or grow) the investment </w:t>
      </w:r>
    </w:p>
    <w:p w:rsidR="00CF22BA" w:rsidRDefault="00E270C6" w:rsidP="00E270C6">
      <w:pPr>
        <w:rPr>
          <w:rFonts w:cs="Times New Roman"/>
          <w:szCs w:val="24"/>
          <w:lang w:val="en-US"/>
        </w:rPr>
      </w:pPr>
      <w:r w:rsidRPr="00FF0C30">
        <w:rPr>
          <w:rFonts w:cs="Times New Roman"/>
          <w:szCs w:val="24"/>
          <w:lang w:val="en-US"/>
        </w:rPr>
        <w:t xml:space="preserve">If </w:t>
      </w:r>
      <w:r w:rsidR="00CF22BA">
        <w:rPr>
          <w:rFonts w:cs="Times New Roman"/>
          <w:szCs w:val="24"/>
          <w:lang w:val="en-US"/>
        </w:rPr>
        <w:t>market or any other external conditions</w:t>
      </w:r>
      <w:r w:rsidRPr="00FF0C30">
        <w:rPr>
          <w:rFonts w:cs="Times New Roman"/>
          <w:szCs w:val="24"/>
          <w:lang w:val="en-US"/>
        </w:rPr>
        <w:t xml:space="preserve"> turn out to be more favorable than expected, management has the option to expand the scale of production, by </w:t>
      </w:r>
      <w:r w:rsidRPr="00FF0C30">
        <w:rPr>
          <w:rFonts w:cs="Times New Roman"/>
          <w:i/>
          <w:szCs w:val="24"/>
          <w:lang w:val="en-US"/>
        </w:rPr>
        <w:t>e</w:t>
      </w:r>
      <w:r w:rsidRPr="00FF0C30">
        <w:rPr>
          <w:rFonts w:cs="Times New Roman"/>
          <w:szCs w:val="24"/>
          <w:lang w:val="en-US"/>
        </w:rPr>
        <w:t xml:space="preserve">%, by incurring a follow-up cost of </w:t>
      </w:r>
      <w:r w:rsidRPr="00FF0C30">
        <w:rPr>
          <w:rFonts w:cs="Times New Roman"/>
          <w:i/>
          <w:szCs w:val="24"/>
          <w:lang w:val="en-US"/>
        </w:rPr>
        <w:t>I</w:t>
      </w:r>
      <w:r w:rsidRPr="00FF0C30">
        <w:rPr>
          <w:rFonts w:cs="Times New Roman"/>
          <w:i/>
          <w:szCs w:val="24"/>
          <w:vertAlign w:val="subscript"/>
          <w:lang w:val="en-US"/>
        </w:rPr>
        <w:t>E</w:t>
      </w:r>
      <w:r w:rsidRPr="00FF0C30">
        <w:rPr>
          <w:rFonts w:cs="Times New Roman"/>
          <w:szCs w:val="24"/>
          <w:lang w:val="en-US"/>
        </w:rPr>
        <w:t xml:space="preserve">. </w:t>
      </w:r>
      <w:r w:rsidR="00CF22BA">
        <w:rPr>
          <w:rFonts w:cs="Times New Roman"/>
          <w:szCs w:val="24"/>
          <w:lang w:val="en-US"/>
        </w:rPr>
        <w:t>Increase in capacity may require non-proportionally lower increase in investment due to some infrastructural investments made earlier.</w:t>
      </w:r>
    </w:p>
    <w:p w:rsidR="00E270C6" w:rsidRDefault="00E270C6" w:rsidP="00E270C6">
      <w:pPr>
        <w:rPr>
          <w:rFonts w:cs="Times New Roman"/>
          <w:szCs w:val="24"/>
          <w:lang w:val="en-US"/>
        </w:rPr>
      </w:pPr>
      <w:r w:rsidRPr="00FF0C30">
        <w:rPr>
          <w:rFonts w:cs="Times New Roman"/>
          <w:szCs w:val="24"/>
          <w:lang w:val="en-US"/>
        </w:rPr>
        <w:t>This</w:t>
      </w:r>
      <w:r w:rsidR="00CF22BA">
        <w:rPr>
          <w:rFonts w:cs="Times New Roman"/>
          <w:szCs w:val="24"/>
          <w:lang w:val="en-US"/>
        </w:rPr>
        <w:t xml:space="preserve"> flexibility</w:t>
      </w:r>
      <w:r w:rsidRPr="00FF0C30">
        <w:rPr>
          <w:rFonts w:cs="Times New Roman"/>
          <w:szCs w:val="24"/>
          <w:lang w:val="en-US"/>
        </w:rPr>
        <w:t xml:space="preserve"> is similar to a call option to acquire an add</w:t>
      </w:r>
      <w:r w:rsidRPr="00926E3C">
        <w:rPr>
          <w:rFonts w:cs="Times New Roman"/>
          <w:szCs w:val="24"/>
          <w:lang w:val="en-US"/>
        </w:rPr>
        <w:t xml:space="preserve">itional </w:t>
      </w:r>
      <w:r w:rsidR="00926E3C" w:rsidRPr="00926E3C">
        <w:rPr>
          <w:rFonts w:cs="Times New Roman"/>
          <w:szCs w:val="24"/>
          <w:lang w:val="en-US"/>
        </w:rPr>
        <w:t>share</w:t>
      </w:r>
      <w:r w:rsidR="00926E3C" w:rsidRPr="00926E3C">
        <w:rPr>
          <w:rFonts w:cs="Times New Roman"/>
          <w:i/>
          <w:szCs w:val="24"/>
          <w:lang w:val="en-US"/>
        </w:rPr>
        <w:t xml:space="preserve"> ω</w:t>
      </w:r>
      <w:r w:rsidR="00926E3C" w:rsidRPr="00926E3C">
        <w:rPr>
          <w:rFonts w:cs="Times New Roman"/>
          <w:i/>
          <w:szCs w:val="24"/>
          <w:vertAlign w:val="subscript"/>
          <w:lang w:val="en-US"/>
        </w:rPr>
        <w:t>e</w:t>
      </w:r>
      <w:r w:rsidRPr="00926E3C">
        <w:rPr>
          <w:rFonts w:cs="Times New Roman"/>
          <w:szCs w:val="24"/>
          <w:lang w:val="en-US"/>
        </w:rPr>
        <w:t xml:space="preserve"> of the</w:t>
      </w:r>
      <w:r w:rsidRPr="00FF0C30">
        <w:rPr>
          <w:rFonts w:cs="Times New Roman"/>
          <w:szCs w:val="24"/>
          <w:lang w:val="en-US"/>
        </w:rPr>
        <w:t xml:space="preserve"> base-scale project with a strike price of </w:t>
      </w:r>
      <w:r w:rsidRPr="00FF0C30">
        <w:rPr>
          <w:rFonts w:cs="Times New Roman"/>
          <w:i/>
          <w:szCs w:val="24"/>
          <w:lang w:val="en-US"/>
        </w:rPr>
        <w:t>I</w:t>
      </w:r>
      <w:r w:rsidRPr="00FF0C30">
        <w:rPr>
          <w:rFonts w:cs="Times New Roman"/>
          <w:i/>
          <w:szCs w:val="24"/>
          <w:vertAlign w:val="subscript"/>
          <w:lang w:val="en-US"/>
        </w:rPr>
        <w:t>E</w:t>
      </w:r>
      <w:r w:rsidRPr="00FF0C30">
        <w:rPr>
          <w:rFonts w:cs="Times New Roman"/>
          <w:szCs w:val="24"/>
          <w:lang w:val="en-US"/>
        </w:rPr>
        <w:t>. Therefore, an investment opportunity with the option to expand can be viewed as a base-scale project plus a call option on future investment. This option will en</w:t>
      </w:r>
      <w:r w:rsidR="0019295E">
        <w:rPr>
          <w:rFonts w:cs="Times New Roman"/>
          <w:szCs w:val="24"/>
          <w:lang w:val="en-US"/>
        </w:rPr>
        <w:t>title managemen</w:t>
      </w:r>
      <w:r w:rsidR="00926E3C">
        <w:rPr>
          <w:rFonts w:cs="Times New Roman"/>
          <w:szCs w:val="24"/>
          <w:lang w:val="en-US"/>
        </w:rPr>
        <w:t xml:space="preserve">t to receive </w:t>
      </w:r>
      <w:r w:rsidR="00926E3C">
        <w:rPr>
          <w:rFonts w:cs="Times New Roman"/>
          <w:szCs w:val="24"/>
          <w:lang w:val="en-US"/>
        </w:rPr>
        <w:fldChar w:fldCharType="begin"/>
      </w:r>
      <w:r w:rsidR="00926E3C">
        <w:rPr>
          <w:rFonts w:cs="Times New Roman"/>
          <w:szCs w:val="24"/>
          <w:lang w:val="en-US"/>
        </w:rPr>
        <w:instrText xml:space="preserve"> REF _Ref484010404 \h </w:instrText>
      </w:r>
      <w:r w:rsidR="00926E3C">
        <w:rPr>
          <w:rFonts w:cs="Times New Roman"/>
          <w:szCs w:val="24"/>
          <w:lang w:val="en-US"/>
        </w:rPr>
      </w:r>
      <w:r w:rsidR="00926E3C">
        <w:rPr>
          <w:rFonts w:cs="Times New Roman"/>
          <w:szCs w:val="24"/>
          <w:lang w:val="en-US"/>
        </w:rPr>
        <w:fldChar w:fldCharType="separate"/>
      </w:r>
      <w:r w:rsidR="008324C6" w:rsidRPr="00926E3C">
        <w:rPr>
          <w:rFonts w:cs="Times New Roman"/>
          <w:i/>
          <w:sz w:val="20"/>
          <w:szCs w:val="24"/>
          <w:lang w:val="en-US"/>
        </w:rPr>
        <w:t>(</w:t>
      </w:r>
      <w:r w:rsidR="008324C6">
        <w:rPr>
          <w:rFonts w:cs="Times New Roman"/>
          <w:i/>
          <w:noProof/>
          <w:sz w:val="20"/>
          <w:szCs w:val="24"/>
          <w:lang w:val="en-US"/>
        </w:rPr>
        <w:t>1</w:t>
      </w:r>
      <w:r w:rsidR="008324C6">
        <w:rPr>
          <w:rFonts w:cs="Times New Roman"/>
          <w:i/>
          <w:sz w:val="20"/>
          <w:szCs w:val="24"/>
          <w:lang w:val="en-US"/>
        </w:rPr>
        <w:t>.</w:t>
      </w:r>
      <w:r w:rsidR="008324C6">
        <w:rPr>
          <w:rFonts w:cs="Times New Roman"/>
          <w:i/>
          <w:noProof/>
          <w:sz w:val="20"/>
          <w:szCs w:val="24"/>
          <w:lang w:val="en-US"/>
        </w:rPr>
        <w:t>8</w:t>
      </w:r>
      <w:r w:rsidR="00926E3C">
        <w:rPr>
          <w:rFonts w:cs="Times New Roman"/>
          <w:szCs w:val="24"/>
          <w:lang w:val="en-US"/>
        </w:rPr>
        <w:fldChar w:fldCharType="end"/>
      </w:r>
      <w:r w:rsidRPr="00FF0C30">
        <w:rPr>
          <w:rFonts w:cs="Times New Roman"/>
          <w:szCs w:val="24"/>
          <w:lang w:val="en-US"/>
        </w:rPr>
        <w:t>)</w:t>
      </w:r>
    </w:p>
    <w:tbl>
      <w:tblPr>
        <w:tblStyle w:val="af6"/>
        <w:tblW w:w="0" w:type="auto"/>
        <w:tblLook w:val="04A0" w:firstRow="1" w:lastRow="0" w:firstColumn="1" w:lastColumn="0" w:noHBand="0" w:noVBand="1"/>
      </w:tblPr>
      <w:tblGrid>
        <w:gridCol w:w="8642"/>
        <w:gridCol w:w="703"/>
      </w:tblGrid>
      <w:tr w:rsidR="00926E3C" w:rsidTr="00926E3C">
        <w:tc>
          <w:tcPr>
            <w:tcW w:w="8642" w:type="dxa"/>
          </w:tcPr>
          <w:p w:rsidR="00926E3C" w:rsidRPr="00926E3C" w:rsidRDefault="00926E3C" w:rsidP="00926E3C">
            <w:pPr>
              <w:rPr>
                <w:rFonts w:cs="Times New Roman"/>
                <w:szCs w:val="24"/>
                <w:lang w:val="en-US"/>
              </w:rPr>
            </w:pPr>
            <m:oMathPara>
              <m:oMath>
                <m:r>
                  <w:rPr>
                    <w:rFonts w:ascii="Cambria Math" w:hAnsi="Cambria Math" w:cs="Times New Roman"/>
                    <w:szCs w:val="24"/>
                    <w:lang w:val="en-US"/>
                  </w:rPr>
                  <m:t>V+</m:t>
                </m:r>
                <m:func>
                  <m:funcPr>
                    <m:ctrlPr>
                      <w:rPr>
                        <w:rFonts w:ascii="Cambria Math" w:hAnsi="Cambria Math" w:cs="Times New Roman"/>
                        <w:szCs w:val="24"/>
                        <w:lang w:val="en-US"/>
                      </w:rPr>
                    </m:ctrlPr>
                  </m:funcPr>
                  <m:fName>
                    <m:r>
                      <m:rPr>
                        <m:sty m:val="p"/>
                      </m:rPr>
                      <w:rPr>
                        <w:rFonts w:ascii="Cambria Math" w:hAnsi="Cambria Math" w:cs="Times New Roman"/>
                        <w:szCs w:val="24"/>
                        <w:lang w:val="en-US"/>
                      </w:rPr>
                      <m:t>max</m:t>
                    </m:r>
                  </m:fName>
                  <m:e>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ω</m:t>
                            </m:r>
                          </m:e>
                          <m:sub>
                            <m:r>
                              <w:rPr>
                                <w:rFonts w:ascii="Cambria Math" w:hAnsi="Cambria Math" w:cs="Times New Roman"/>
                                <w:szCs w:val="24"/>
                                <w:lang w:val="en-US"/>
                              </w:rPr>
                              <m:t>e</m:t>
                            </m:r>
                          </m:sub>
                        </m:sSub>
                        <m:r>
                          <w:rPr>
                            <w:rFonts w:ascii="Cambria Math" w:hAnsi="Cambria Math" w:cs="Times New Roman"/>
                            <w:szCs w:val="24"/>
                            <w:lang w:val="en-US"/>
                          </w:rPr>
                          <m:t>*V-</m:t>
                        </m:r>
                        <m:sSub>
                          <m:sSubPr>
                            <m:ctrlPr>
                              <w:rPr>
                                <w:rFonts w:ascii="Cambria Math" w:hAnsi="Cambria Math" w:cs="Times New Roman"/>
                                <w:i/>
                                <w:szCs w:val="24"/>
                                <w:lang w:val="en-US"/>
                              </w:rPr>
                            </m:ctrlPr>
                          </m:sSubPr>
                          <m:e>
                            <m:r>
                              <w:rPr>
                                <w:rFonts w:ascii="Cambria Math" w:hAnsi="Cambria Math" w:cs="Times New Roman"/>
                                <w:szCs w:val="24"/>
                                <w:lang w:val="en-US"/>
                              </w:rPr>
                              <m:t>I</m:t>
                            </m:r>
                          </m:e>
                          <m:sub>
                            <m:r>
                              <w:rPr>
                                <w:rFonts w:ascii="Cambria Math" w:hAnsi="Cambria Math" w:cs="Times New Roman"/>
                                <w:szCs w:val="24"/>
                                <w:lang w:val="en-US"/>
                              </w:rPr>
                              <m:t>E</m:t>
                            </m:r>
                          </m:sub>
                        </m:sSub>
                        <m:r>
                          <w:rPr>
                            <w:rFonts w:ascii="Cambria Math" w:hAnsi="Cambria Math" w:cs="Times New Roman"/>
                            <w:szCs w:val="24"/>
                            <w:lang w:val="en-US"/>
                          </w:rPr>
                          <m:t>, 0</m:t>
                        </m:r>
                      </m:e>
                    </m:d>
                  </m:e>
                </m:func>
              </m:oMath>
            </m:oMathPara>
          </w:p>
        </w:tc>
        <w:tc>
          <w:tcPr>
            <w:tcW w:w="703" w:type="dxa"/>
          </w:tcPr>
          <w:p w:rsidR="00926E3C" w:rsidRPr="00926E3C" w:rsidRDefault="00926E3C" w:rsidP="00926E3C">
            <w:pPr>
              <w:keepNext/>
              <w:jc w:val="right"/>
              <w:rPr>
                <w:rFonts w:cs="Times New Roman"/>
                <w:i/>
                <w:sz w:val="20"/>
                <w:szCs w:val="24"/>
                <w:lang w:val="en-US"/>
              </w:rPr>
            </w:pPr>
            <w:bookmarkStart w:id="23" w:name="_Ref484010404"/>
            <w:r w:rsidRPr="00926E3C">
              <w:rPr>
                <w:rFonts w:cs="Times New Roman"/>
                <w:i/>
                <w:sz w:val="20"/>
                <w:szCs w:val="24"/>
                <w:lang w:val="en-US"/>
              </w:rPr>
              <w:t>(</w:t>
            </w:r>
            <w:r w:rsidR="008F1F91">
              <w:rPr>
                <w:rFonts w:cs="Times New Roman"/>
                <w:i/>
                <w:sz w:val="20"/>
                <w:szCs w:val="24"/>
                <w:lang w:val="en-US"/>
              </w:rPr>
              <w:fldChar w:fldCharType="begin"/>
            </w:r>
            <w:r w:rsidR="008F1F91">
              <w:rPr>
                <w:rFonts w:cs="Times New Roman"/>
                <w:i/>
                <w:sz w:val="20"/>
                <w:szCs w:val="24"/>
                <w:lang w:val="en-US"/>
              </w:rPr>
              <w:instrText xml:space="preserve"> STYLEREF 1 \s </w:instrText>
            </w:r>
            <w:r w:rsidR="008F1F91">
              <w:rPr>
                <w:rFonts w:cs="Times New Roman"/>
                <w:i/>
                <w:sz w:val="20"/>
                <w:szCs w:val="24"/>
                <w:lang w:val="en-US"/>
              </w:rPr>
              <w:fldChar w:fldCharType="separate"/>
            </w:r>
            <w:r w:rsidR="008324C6">
              <w:rPr>
                <w:rFonts w:cs="Times New Roman"/>
                <w:i/>
                <w:noProof/>
                <w:sz w:val="20"/>
                <w:szCs w:val="24"/>
                <w:lang w:val="en-US"/>
              </w:rPr>
              <w:t>1</w:t>
            </w:r>
            <w:r w:rsidR="008F1F91">
              <w:rPr>
                <w:rFonts w:cs="Times New Roman"/>
                <w:i/>
                <w:sz w:val="20"/>
                <w:szCs w:val="24"/>
                <w:lang w:val="en-US"/>
              </w:rPr>
              <w:fldChar w:fldCharType="end"/>
            </w:r>
            <w:r w:rsidR="008F1F91">
              <w:rPr>
                <w:rFonts w:cs="Times New Roman"/>
                <w:i/>
                <w:sz w:val="20"/>
                <w:szCs w:val="24"/>
                <w:lang w:val="en-US"/>
              </w:rPr>
              <w:t>.</w:t>
            </w:r>
            <w:r w:rsidR="008F1F91">
              <w:rPr>
                <w:rFonts w:cs="Times New Roman"/>
                <w:i/>
                <w:sz w:val="20"/>
                <w:szCs w:val="24"/>
                <w:lang w:val="en-US"/>
              </w:rPr>
              <w:fldChar w:fldCharType="begin"/>
            </w:r>
            <w:r w:rsidR="008F1F91">
              <w:rPr>
                <w:rFonts w:cs="Times New Roman"/>
                <w:i/>
                <w:sz w:val="20"/>
                <w:szCs w:val="24"/>
                <w:lang w:val="en-US"/>
              </w:rPr>
              <w:instrText xml:space="preserve"> SEQ Formula \* ARABIC \s 1 </w:instrText>
            </w:r>
            <w:r w:rsidR="008F1F91">
              <w:rPr>
                <w:rFonts w:cs="Times New Roman"/>
                <w:i/>
                <w:sz w:val="20"/>
                <w:szCs w:val="24"/>
                <w:lang w:val="en-US"/>
              </w:rPr>
              <w:fldChar w:fldCharType="separate"/>
            </w:r>
            <w:r w:rsidR="008324C6">
              <w:rPr>
                <w:rFonts w:cs="Times New Roman"/>
                <w:i/>
                <w:noProof/>
                <w:sz w:val="20"/>
                <w:szCs w:val="24"/>
                <w:lang w:val="en-US"/>
              </w:rPr>
              <w:t>8</w:t>
            </w:r>
            <w:r w:rsidR="008F1F91">
              <w:rPr>
                <w:rFonts w:cs="Times New Roman"/>
                <w:i/>
                <w:sz w:val="20"/>
                <w:szCs w:val="24"/>
                <w:lang w:val="en-US"/>
              </w:rPr>
              <w:fldChar w:fldCharType="end"/>
            </w:r>
            <w:bookmarkEnd w:id="23"/>
            <w:r w:rsidRPr="00926E3C">
              <w:rPr>
                <w:rFonts w:cs="Times New Roman"/>
                <w:i/>
                <w:sz w:val="20"/>
                <w:szCs w:val="24"/>
                <w:lang w:val="en-US"/>
              </w:rPr>
              <w:t>)</w:t>
            </w:r>
          </w:p>
        </w:tc>
      </w:tr>
    </w:tbl>
    <w:p w:rsidR="005E463F" w:rsidRDefault="005E463F" w:rsidP="00E270C6">
      <w:pPr>
        <w:rPr>
          <w:lang w:val="en-US"/>
        </w:rPr>
      </w:pPr>
    </w:p>
    <w:p w:rsidR="0019295E" w:rsidRDefault="00E270C6" w:rsidP="00E270C6">
      <w:pPr>
        <w:rPr>
          <w:lang w:val="en-US"/>
        </w:rPr>
      </w:pPr>
      <w:r w:rsidRPr="00FF0C30">
        <w:rPr>
          <w:lang w:val="en-US"/>
        </w:rPr>
        <w:lastRenderedPageBreak/>
        <w:t xml:space="preserve">When having an initial design choice, management may deliberately choose a more expensive technology with a built-in flexibility to expand production when desirable. The option to expand may also have strategic importance, particularly if it enables the firm to capitalize on new or future growth opportunities. </w:t>
      </w:r>
    </w:p>
    <w:p w:rsidR="00E270C6" w:rsidRPr="00FF0C30" w:rsidRDefault="00E270C6" w:rsidP="00E270C6">
      <w:pPr>
        <w:rPr>
          <w:lang w:val="en-US"/>
        </w:rPr>
      </w:pPr>
      <w:r w:rsidRPr="00FF0C30">
        <w:rPr>
          <w:lang w:val="en-US"/>
        </w:rPr>
        <w:t xml:space="preserve">For example, when the firm buys a piece of undeveloped land, or when it builds a flexible plant in a new geographic location to position itself to take advantage of a developing potentially large market, it essentially acquires an expansion option. This option will be exercised only if future developments turn out to be favorable. Although this type of investment project often seems unprofitable based on passive NPV, it is worth undertaking based on </w:t>
      </w:r>
      <w:r w:rsidR="00317C7C">
        <w:rPr>
          <w:lang w:val="en-US"/>
        </w:rPr>
        <w:t>real options analysis</w:t>
      </w:r>
      <w:r w:rsidRPr="00FF0C30">
        <w:rPr>
          <w:lang w:val="en-US"/>
        </w:rPr>
        <w:t xml:space="preserve">. </w:t>
      </w:r>
    </w:p>
    <w:p w:rsidR="00E270C6" w:rsidRPr="00662E04" w:rsidRDefault="00E270C6" w:rsidP="00E270C6">
      <w:pPr>
        <w:pStyle w:val="5"/>
        <w:rPr>
          <w:lang w:val="en-US"/>
        </w:rPr>
      </w:pPr>
      <w:r w:rsidRPr="00662E04">
        <w:rPr>
          <w:lang w:val="en-US"/>
        </w:rPr>
        <w:t xml:space="preserve">4. Option to contract </w:t>
      </w:r>
    </w:p>
    <w:p w:rsidR="00E270C6" w:rsidRPr="00FF0C30" w:rsidRDefault="00CF22BA" w:rsidP="00E270C6">
      <w:pPr>
        <w:rPr>
          <w:rFonts w:cs="Times New Roman"/>
          <w:szCs w:val="24"/>
          <w:lang w:val="en-US"/>
        </w:rPr>
      </w:pPr>
      <w:r>
        <w:rPr>
          <w:rFonts w:cs="Times New Roman"/>
          <w:szCs w:val="24"/>
          <w:lang w:val="en-US"/>
        </w:rPr>
        <w:t>In unfavorable conditions</w:t>
      </w:r>
      <w:r w:rsidR="00E270C6" w:rsidRPr="00FF0C30">
        <w:rPr>
          <w:rFonts w:cs="Times New Roman"/>
          <w:szCs w:val="24"/>
          <w:lang w:val="en-US"/>
        </w:rPr>
        <w:t xml:space="preserve"> management can </w:t>
      </w:r>
      <w:r>
        <w:rPr>
          <w:rFonts w:cs="Times New Roman"/>
          <w:szCs w:val="24"/>
          <w:lang w:val="en-US"/>
        </w:rPr>
        <w:t xml:space="preserve">choose to </w:t>
      </w:r>
      <w:r w:rsidR="00E270C6" w:rsidRPr="00FF0C30">
        <w:rPr>
          <w:rFonts w:cs="Times New Roman"/>
          <w:szCs w:val="24"/>
          <w:lang w:val="en-US"/>
        </w:rPr>
        <w:t xml:space="preserve">operate at a rate below the maximum capacity of the plant or reduce the scale of operations by </w:t>
      </w:r>
      <w:r w:rsidR="00926E3C">
        <w:rPr>
          <w:rFonts w:cs="Times New Roman"/>
          <w:szCs w:val="24"/>
          <w:lang w:val="en-US"/>
        </w:rPr>
        <w:t xml:space="preserve">share </w:t>
      </w:r>
      <w:r w:rsidR="00926E3C" w:rsidRPr="00926E3C">
        <w:rPr>
          <w:rFonts w:cs="Times New Roman"/>
          <w:i/>
          <w:szCs w:val="24"/>
          <w:lang w:val="en-US"/>
        </w:rPr>
        <w:t>ω</w:t>
      </w:r>
      <w:r w:rsidR="00E270C6" w:rsidRPr="00926E3C">
        <w:rPr>
          <w:rFonts w:cs="Times New Roman"/>
          <w:i/>
          <w:szCs w:val="24"/>
          <w:vertAlign w:val="subscript"/>
          <w:lang w:val="en-US"/>
        </w:rPr>
        <w:t>c</w:t>
      </w:r>
      <w:r w:rsidR="00E270C6" w:rsidRPr="00FF0C30">
        <w:rPr>
          <w:rFonts w:cs="Times New Roman"/>
          <w:szCs w:val="24"/>
          <w:lang w:val="en-US"/>
        </w:rPr>
        <w:t xml:space="preserve">, thereby saving part of the planned investment </w:t>
      </w:r>
      <w:r w:rsidR="0019295E">
        <w:rPr>
          <w:rFonts w:cs="Times New Roman"/>
          <w:szCs w:val="24"/>
          <w:lang w:val="en-US"/>
        </w:rPr>
        <w:t>costs</w:t>
      </w:r>
      <w:r w:rsidR="00E270C6" w:rsidRPr="00FF0C30">
        <w:rPr>
          <w:rFonts w:cs="Times New Roman"/>
          <w:szCs w:val="24"/>
          <w:lang w:val="en-US"/>
        </w:rPr>
        <w:t xml:space="preserve">, </w:t>
      </w:r>
      <w:r w:rsidR="00E270C6" w:rsidRPr="00FF0C30">
        <w:rPr>
          <w:rFonts w:cs="Times New Roman"/>
          <w:i/>
          <w:szCs w:val="24"/>
          <w:lang w:val="en-US"/>
        </w:rPr>
        <w:t>I</w:t>
      </w:r>
      <w:r w:rsidR="00E270C6" w:rsidRPr="00FF0C30">
        <w:rPr>
          <w:rFonts w:cs="Times New Roman"/>
          <w:i/>
          <w:szCs w:val="24"/>
          <w:vertAlign w:val="subscript"/>
          <w:lang w:val="en-US"/>
        </w:rPr>
        <w:t>C</w:t>
      </w:r>
      <w:r w:rsidR="00E270C6" w:rsidRPr="00FF0C30">
        <w:rPr>
          <w:rFonts w:cs="Times New Roman"/>
          <w:szCs w:val="24"/>
          <w:lang w:val="en-US"/>
        </w:rPr>
        <w:t xml:space="preserve">. The flexibility to mitigate loss is analogous to a put option on </w:t>
      </w:r>
      <w:r w:rsidR="00926E3C" w:rsidRPr="00926E3C">
        <w:rPr>
          <w:rFonts w:cs="Times New Roman"/>
          <w:i/>
          <w:szCs w:val="24"/>
          <w:lang w:val="en-US"/>
        </w:rPr>
        <w:t>ω</w:t>
      </w:r>
      <w:r w:rsidR="00926E3C" w:rsidRPr="00926E3C">
        <w:rPr>
          <w:rFonts w:cs="Times New Roman"/>
          <w:i/>
          <w:szCs w:val="24"/>
          <w:vertAlign w:val="subscript"/>
          <w:lang w:val="en-US"/>
        </w:rPr>
        <w:t>c</w:t>
      </w:r>
      <w:r w:rsidR="00E270C6" w:rsidRPr="00FF0C30">
        <w:rPr>
          <w:rFonts w:cs="Times New Roman"/>
          <w:szCs w:val="24"/>
          <w:lang w:val="en-US"/>
        </w:rPr>
        <w:t xml:space="preserve"> of the base-scale project with a strike price of the potential cost savings, </w:t>
      </w:r>
      <w:r w:rsidR="00E270C6" w:rsidRPr="00FF0C30">
        <w:rPr>
          <w:rFonts w:cs="Times New Roman"/>
          <w:i/>
          <w:szCs w:val="24"/>
          <w:lang w:val="en-US"/>
        </w:rPr>
        <w:t>I</w:t>
      </w:r>
      <w:r w:rsidR="00E270C6" w:rsidRPr="00FF0C30">
        <w:rPr>
          <w:rFonts w:cs="Times New Roman"/>
          <w:i/>
          <w:szCs w:val="24"/>
          <w:vertAlign w:val="subscript"/>
          <w:lang w:val="en-US"/>
        </w:rPr>
        <w:t>C</w:t>
      </w:r>
      <w:r w:rsidR="00E270C6" w:rsidRPr="00FF0C30">
        <w:rPr>
          <w:rFonts w:cs="Times New Roman"/>
          <w:szCs w:val="24"/>
          <w:lang w:val="en-US"/>
        </w:rPr>
        <w:t>. This option will e</w:t>
      </w:r>
      <w:r w:rsidR="00926E3C">
        <w:rPr>
          <w:rFonts w:cs="Times New Roman"/>
          <w:szCs w:val="24"/>
          <w:lang w:val="en-US"/>
        </w:rPr>
        <w:t xml:space="preserve">ntitle management to receive </w:t>
      </w:r>
      <w:r w:rsidR="00926E3C">
        <w:rPr>
          <w:rFonts w:cs="Times New Roman"/>
          <w:szCs w:val="24"/>
          <w:lang w:val="en-US"/>
        </w:rPr>
        <w:fldChar w:fldCharType="begin"/>
      </w:r>
      <w:r w:rsidR="00926E3C">
        <w:rPr>
          <w:rFonts w:cs="Times New Roman"/>
          <w:szCs w:val="24"/>
          <w:lang w:val="en-US"/>
        </w:rPr>
        <w:instrText xml:space="preserve"> REF _Ref484010518 \h </w:instrText>
      </w:r>
      <w:r w:rsidR="00926E3C">
        <w:rPr>
          <w:rFonts w:cs="Times New Roman"/>
          <w:szCs w:val="24"/>
          <w:lang w:val="en-US"/>
        </w:rPr>
      </w:r>
      <w:r w:rsidR="00926E3C">
        <w:rPr>
          <w:rFonts w:cs="Times New Roman"/>
          <w:szCs w:val="24"/>
          <w:lang w:val="en-US"/>
        </w:rPr>
        <w:fldChar w:fldCharType="separate"/>
      </w:r>
      <w:r w:rsidR="008324C6">
        <w:rPr>
          <w:rFonts w:eastAsiaTheme="minorEastAsia" w:cs="Times New Roman"/>
          <w:szCs w:val="24"/>
        </w:rPr>
        <w:t>(</w:t>
      </w:r>
      <w:r w:rsidR="008324C6">
        <w:rPr>
          <w:rFonts w:eastAsiaTheme="minorEastAsia" w:cs="Times New Roman"/>
          <w:noProof/>
          <w:szCs w:val="24"/>
        </w:rPr>
        <w:t>1</w:t>
      </w:r>
      <w:r w:rsidR="008324C6">
        <w:rPr>
          <w:rFonts w:eastAsiaTheme="minorEastAsia" w:cs="Times New Roman"/>
          <w:szCs w:val="24"/>
        </w:rPr>
        <w:t>.</w:t>
      </w:r>
      <w:r w:rsidR="008324C6">
        <w:rPr>
          <w:rFonts w:eastAsiaTheme="minorEastAsia" w:cs="Times New Roman"/>
          <w:noProof/>
          <w:szCs w:val="24"/>
        </w:rPr>
        <w:t>9</w:t>
      </w:r>
      <w:r w:rsidR="00926E3C">
        <w:rPr>
          <w:rFonts w:cs="Times New Roman"/>
          <w:szCs w:val="24"/>
          <w:lang w:val="en-US"/>
        </w:rPr>
        <w:fldChar w:fldCharType="end"/>
      </w:r>
      <w:r w:rsidR="00E270C6" w:rsidRPr="00FF0C30">
        <w:rPr>
          <w:rFonts w:cs="Times New Roman"/>
          <w:szCs w:val="24"/>
          <w:lang w:val="en-US"/>
        </w:rPr>
        <w:t>)</w:t>
      </w:r>
    </w:p>
    <w:tbl>
      <w:tblPr>
        <w:tblStyle w:val="af6"/>
        <w:tblW w:w="0" w:type="auto"/>
        <w:tblLook w:val="04A0" w:firstRow="1" w:lastRow="0" w:firstColumn="1" w:lastColumn="0" w:noHBand="0" w:noVBand="1"/>
      </w:tblPr>
      <w:tblGrid>
        <w:gridCol w:w="8737"/>
        <w:gridCol w:w="608"/>
      </w:tblGrid>
      <w:tr w:rsidR="00926E3C" w:rsidTr="00926E3C">
        <w:tc>
          <w:tcPr>
            <w:tcW w:w="8737" w:type="dxa"/>
          </w:tcPr>
          <w:p w:rsidR="00926E3C" w:rsidRDefault="00926E3C" w:rsidP="00926E3C">
            <w:pPr>
              <w:rPr>
                <w:rFonts w:eastAsiaTheme="minorEastAsia" w:cs="Times New Roman"/>
                <w:szCs w:val="24"/>
                <w:lang w:val="en-US"/>
              </w:rPr>
            </w:pPr>
            <m:oMathPara>
              <m:oMath>
                <m:func>
                  <m:funcPr>
                    <m:ctrlPr>
                      <w:rPr>
                        <w:rFonts w:ascii="Cambria Math" w:hAnsi="Cambria Math" w:cs="Times New Roman"/>
                        <w:szCs w:val="24"/>
                        <w:lang w:val="en-US"/>
                      </w:rPr>
                    </m:ctrlPr>
                  </m:funcPr>
                  <m:fName>
                    <m:r>
                      <m:rPr>
                        <m:sty m:val="p"/>
                      </m:rPr>
                      <w:rPr>
                        <w:rFonts w:ascii="Cambria Math" w:hAnsi="Cambria Math" w:cs="Times New Roman"/>
                        <w:szCs w:val="24"/>
                        <w:lang w:val="en-US"/>
                      </w:rPr>
                      <m:t>max</m:t>
                    </m:r>
                  </m:fName>
                  <m:e>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I</m:t>
                            </m:r>
                          </m:e>
                          <m:sub>
                            <m:r>
                              <w:rPr>
                                <w:rFonts w:ascii="Cambria Math" w:hAnsi="Cambria Math" w:cs="Times New Roman"/>
                                <w:szCs w:val="24"/>
                                <w:lang w:val="en-US"/>
                              </w:rPr>
                              <m:t>C</m:t>
                            </m:r>
                          </m:sub>
                        </m:sSub>
                        <m:r>
                          <w:rPr>
                            <w:rFonts w:ascii="Cambria Math" w:hAnsi="Cambria Math" w:cs="Times New Roman"/>
                            <w:szCs w:val="24"/>
                            <w:lang w:val="en-US"/>
                          </w:rPr>
                          <m:t>-</m:t>
                        </m:r>
                        <m:r>
                          <w:rPr>
                            <w:rFonts w:ascii="Cambria Math" w:hAnsi="Cambria Math" w:cs="Times New Roman"/>
                            <w:szCs w:val="24"/>
                            <w:lang w:val="en-US"/>
                          </w:rPr>
                          <m:t>ω</m:t>
                        </m:r>
                        <m:r>
                          <w:rPr>
                            <w:rFonts w:ascii="Cambria Math" w:hAnsi="Cambria Math" w:cs="Times New Roman"/>
                            <w:szCs w:val="24"/>
                            <w:vertAlign w:val="subscript"/>
                            <w:lang w:val="en-US"/>
                          </w:rPr>
                          <m:t>c</m:t>
                        </m:r>
                        <m:r>
                          <w:rPr>
                            <w:rFonts w:ascii="Cambria Math" w:hAnsi="Cambria Math" w:cs="Cambria Math"/>
                            <w:szCs w:val="24"/>
                            <w:vertAlign w:val="subscript"/>
                            <w:lang w:val="en-US"/>
                          </w:rPr>
                          <m:t>*</m:t>
                        </m:r>
                        <m:r>
                          <w:rPr>
                            <w:rFonts w:ascii="Cambria Math" w:hAnsi="Cambria Math" w:cs="Times New Roman"/>
                            <w:szCs w:val="24"/>
                            <w:lang w:val="en-US"/>
                          </w:rPr>
                          <m:t>V, 0</m:t>
                        </m:r>
                      </m:e>
                    </m:d>
                  </m:e>
                </m:func>
              </m:oMath>
            </m:oMathPara>
          </w:p>
        </w:tc>
        <w:tc>
          <w:tcPr>
            <w:tcW w:w="608" w:type="dxa"/>
          </w:tcPr>
          <w:p w:rsidR="00926E3C" w:rsidRDefault="00926E3C" w:rsidP="00926E3C">
            <w:pPr>
              <w:pStyle w:val="ac"/>
              <w:jc w:val="right"/>
              <w:rPr>
                <w:rFonts w:eastAsiaTheme="minorEastAsia" w:cs="Times New Roman"/>
                <w:szCs w:val="24"/>
              </w:rPr>
            </w:pPr>
            <w:bookmarkStart w:id="24" w:name="_Ref484010518"/>
            <w:r>
              <w:rPr>
                <w:rFonts w:eastAsiaTheme="minorEastAsia" w:cs="Times New Roman"/>
                <w:szCs w:val="24"/>
              </w:rPr>
              <w:t>(</w:t>
            </w:r>
            <w:r w:rsidR="008F1F91">
              <w:rPr>
                <w:rFonts w:eastAsiaTheme="minorEastAsia" w:cs="Times New Roman"/>
                <w:szCs w:val="24"/>
              </w:rPr>
              <w:fldChar w:fldCharType="begin"/>
            </w:r>
            <w:r w:rsidR="008F1F91">
              <w:rPr>
                <w:rFonts w:eastAsiaTheme="minorEastAsia" w:cs="Times New Roman"/>
                <w:szCs w:val="24"/>
              </w:rPr>
              <w:instrText xml:space="preserve"> STYLEREF 1 \s </w:instrText>
            </w:r>
            <w:r w:rsidR="008F1F91">
              <w:rPr>
                <w:rFonts w:eastAsiaTheme="minorEastAsia" w:cs="Times New Roman"/>
                <w:szCs w:val="24"/>
              </w:rPr>
              <w:fldChar w:fldCharType="separate"/>
            </w:r>
            <w:r w:rsidR="008324C6">
              <w:rPr>
                <w:rFonts w:eastAsiaTheme="minorEastAsia" w:cs="Times New Roman"/>
                <w:noProof/>
                <w:szCs w:val="24"/>
              </w:rPr>
              <w:t>1</w:t>
            </w:r>
            <w:r w:rsidR="008F1F91">
              <w:rPr>
                <w:rFonts w:eastAsiaTheme="minorEastAsia" w:cs="Times New Roman"/>
                <w:szCs w:val="24"/>
              </w:rPr>
              <w:fldChar w:fldCharType="end"/>
            </w:r>
            <w:r w:rsidR="008F1F91">
              <w:rPr>
                <w:rFonts w:eastAsiaTheme="minorEastAsia" w:cs="Times New Roman"/>
                <w:szCs w:val="24"/>
              </w:rPr>
              <w:t>.</w:t>
            </w:r>
            <w:r w:rsidR="008F1F91">
              <w:rPr>
                <w:rFonts w:eastAsiaTheme="minorEastAsia" w:cs="Times New Roman"/>
                <w:szCs w:val="24"/>
              </w:rPr>
              <w:fldChar w:fldCharType="begin"/>
            </w:r>
            <w:r w:rsidR="008F1F91">
              <w:rPr>
                <w:rFonts w:eastAsiaTheme="minorEastAsia" w:cs="Times New Roman"/>
                <w:szCs w:val="24"/>
              </w:rPr>
              <w:instrText xml:space="preserve"> SEQ Formula \* ARABIC \s 1 </w:instrText>
            </w:r>
            <w:r w:rsidR="008F1F91">
              <w:rPr>
                <w:rFonts w:eastAsiaTheme="minorEastAsia" w:cs="Times New Roman"/>
                <w:szCs w:val="24"/>
              </w:rPr>
              <w:fldChar w:fldCharType="separate"/>
            </w:r>
            <w:r w:rsidR="008324C6">
              <w:rPr>
                <w:rFonts w:eastAsiaTheme="minorEastAsia" w:cs="Times New Roman"/>
                <w:noProof/>
                <w:szCs w:val="24"/>
              </w:rPr>
              <w:t>9</w:t>
            </w:r>
            <w:r w:rsidR="008F1F91">
              <w:rPr>
                <w:rFonts w:eastAsiaTheme="minorEastAsia" w:cs="Times New Roman"/>
                <w:szCs w:val="24"/>
              </w:rPr>
              <w:fldChar w:fldCharType="end"/>
            </w:r>
            <w:bookmarkEnd w:id="24"/>
            <w:r>
              <w:rPr>
                <w:rFonts w:eastAsiaTheme="minorEastAsia" w:cs="Times New Roman"/>
                <w:szCs w:val="24"/>
              </w:rPr>
              <w:t>)</w:t>
            </w:r>
          </w:p>
        </w:tc>
      </w:tr>
    </w:tbl>
    <w:p w:rsidR="005E463F" w:rsidRDefault="005E463F" w:rsidP="00E270C6">
      <w:pPr>
        <w:rPr>
          <w:lang w:val="en-US"/>
        </w:rPr>
      </w:pPr>
    </w:p>
    <w:p w:rsidR="00E270C6" w:rsidRPr="00FF0C30" w:rsidRDefault="00E270C6" w:rsidP="00E270C6">
      <w:pPr>
        <w:rPr>
          <w:rFonts w:cs="Times New Roman"/>
          <w:lang w:val="en-US"/>
        </w:rPr>
      </w:pPr>
      <w:r w:rsidRPr="00FF0C30">
        <w:rPr>
          <w:lang w:val="en-US"/>
        </w:rPr>
        <w:t>Similar to the option to expand, the option to contract is valuable in the case of new product introductions in uncertain markets. The option to contract may also be important in choosing among technologies or alternative plants with a different construction-to-maintenance cost mix, where it may be preferable to build a plant with lower initial construction costs and higher maintenance expenditures in order to acquire the flexibility to contract operations by cutting down on maintenance when conditions turn out to be unfavorable.</w:t>
      </w:r>
      <w:r w:rsidRPr="00FF0C30">
        <w:rPr>
          <w:rFonts w:cs="Times New Roman"/>
          <w:lang w:val="en-US"/>
        </w:rPr>
        <w:t xml:space="preserve"> </w:t>
      </w:r>
    </w:p>
    <w:p w:rsidR="00E270C6" w:rsidRPr="00662E04" w:rsidRDefault="00E270C6" w:rsidP="00E270C6">
      <w:pPr>
        <w:pStyle w:val="5"/>
        <w:rPr>
          <w:lang w:val="en-US"/>
        </w:rPr>
      </w:pPr>
      <w:r w:rsidRPr="00662E04">
        <w:rPr>
          <w:lang w:val="en-US"/>
        </w:rPr>
        <w:t xml:space="preserve">5. Option to temporarily shut down (and re-start) operations </w:t>
      </w:r>
    </w:p>
    <w:p w:rsidR="00E270C6" w:rsidRDefault="00E270C6" w:rsidP="00E270C6">
      <w:pPr>
        <w:rPr>
          <w:rFonts w:cs="Times New Roman"/>
          <w:szCs w:val="24"/>
          <w:lang w:val="en-US"/>
        </w:rPr>
      </w:pPr>
      <w:r w:rsidRPr="00FF0C30">
        <w:rPr>
          <w:rFonts w:cs="Times New Roman"/>
          <w:szCs w:val="24"/>
          <w:lang w:val="en-US"/>
        </w:rPr>
        <w:t xml:space="preserve">In the real-world, the </w:t>
      </w:r>
      <w:r w:rsidR="0019295E">
        <w:rPr>
          <w:rFonts w:cs="Times New Roman"/>
          <w:szCs w:val="24"/>
          <w:lang w:val="en-US"/>
        </w:rPr>
        <w:t>project</w:t>
      </w:r>
      <w:r w:rsidRPr="00FF0C30">
        <w:rPr>
          <w:rFonts w:cs="Times New Roman"/>
          <w:szCs w:val="24"/>
          <w:lang w:val="en-US"/>
        </w:rPr>
        <w:t xml:space="preserve"> does not have to operate and extract the </w:t>
      </w:r>
      <w:r w:rsidR="0019295E">
        <w:rPr>
          <w:rFonts w:cs="Times New Roman"/>
          <w:szCs w:val="24"/>
          <w:lang w:val="en-US"/>
        </w:rPr>
        <w:t>oil</w:t>
      </w:r>
      <w:r w:rsidRPr="00FF0C30">
        <w:rPr>
          <w:rFonts w:cs="Times New Roman"/>
          <w:szCs w:val="24"/>
          <w:lang w:val="en-US"/>
        </w:rPr>
        <w:t xml:space="preserve"> in each and every period of the project life. </w:t>
      </w:r>
      <w:r w:rsidR="00CF22BA">
        <w:rPr>
          <w:rFonts w:cs="Times New Roman"/>
          <w:szCs w:val="24"/>
          <w:lang w:val="en-US"/>
        </w:rPr>
        <w:t>I</w:t>
      </w:r>
      <w:r w:rsidRPr="00FF0C30">
        <w:rPr>
          <w:rFonts w:cs="Times New Roman"/>
          <w:szCs w:val="24"/>
          <w:lang w:val="en-US"/>
        </w:rPr>
        <w:t xml:space="preserve">f </w:t>
      </w:r>
      <w:r w:rsidR="00CF22BA">
        <w:rPr>
          <w:rFonts w:cs="Times New Roman"/>
          <w:szCs w:val="24"/>
          <w:lang w:val="en-US"/>
        </w:rPr>
        <w:t>uncertainty resolved into conditions which are</w:t>
      </w:r>
      <w:r w:rsidRPr="00FF0C30">
        <w:rPr>
          <w:rFonts w:cs="Times New Roman"/>
          <w:szCs w:val="24"/>
          <w:lang w:val="en-US"/>
        </w:rPr>
        <w:t xml:space="preserve"> not sufficient to </w:t>
      </w:r>
      <w:r w:rsidR="0019295E">
        <w:rPr>
          <w:rFonts w:cs="Times New Roman"/>
          <w:szCs w:val="24"/>
          <w:lang w:val="en-US"/>
        </w:rPr>
        <w:t>cover variable operating costs</w:t>
      </w:r>
      <w:r w:rsidRPr="00FF0C30">
        <w:rPr>
          <w:rFonts w:cs="Times New Roman"/>
          <w:szCs w:val="24"/>
          <w:lang w:val="en-US"/>
        </w:rPr>
        <w:t xml:space="preserve">, it might be better to temporarily </w:t>
      </w:r>
      <w:r w:rsidR="0019295E">
        <w:rPr>
          <w:rFonts w:cs="Times New Roman"/>
          <w:szCs w:val="24"/>
          <w:lang w:val="en-US"/>
        </w:rPr>
        <w:t>stop</w:t>
      </w:r>
      <w:r w:rsidRPr="00FF0C30">
        <w:rPr>
          <w:rFonts w:cs="Times New Roman"/>
          <w:szCs w:val="24"/>
          <w:lang w:val="en-US"/>
        </w:rPr>
        <w:t xml:space="preserve"> the operation. Operations can </w:t>
      </w:r>
      <w:r w:rsidR="00CF22BA">
        <w:rPr>
          <w:rFonts w:cs="Times New Roman"/>
          <w:szCs w:val="24"/>
          <w:lang w:val="en-US"/>
        </w:rPr>
        <w:t xml:space="preserve">once </w:t>
      </w:r>
      <w:r w:rsidRPr="00FF0C30">
        <w:rPr>
          <w:rFonts w:cs="Times New Roman"/>
          <w:szCs w:val="24"/>
          <w:lang w:val="en-US"/>
        </w:rPr>
        <w:t xml:space="preserve">start up again, if </w:t>
      </w:r>
      <w:r w:rsidR="00CF22BA">
        <w:rPr>
          <w:rFonts w:cs="Times New Roman"/>
          <w:szCs w:val="24"/>
          <w:lang w:val="en-US"/>
        </w:rPr>
        <w:t>uncertainty will lead to positive changes</w:t>
      </w:r>
      <w:r w:rsidRPr="00FF0C30">
        <w:rPr>
          <w:rFonts w:cs="Times New Roman"/>
          <w:szCs w:val="24"/>
          <w:lang w:val="en-US"/>
        </w:rPr>
        <w:t>. Therefore, operation in each specific period (</w:t>
      </w:r>
      <w:r w:rsidR="0019295E">
        <w:rPr>
          <w:rFonts w:cs="Times New Roman"/>
          <w:szCs w:val="24"/>
          <w:lang w:val="en-US"/>
        </w:rPr>
        <w:t>i.e.</w:t>
      </w:r>
      <w:r w:rsidRPr="00FF0C30">
        <w:rPr>
          <w:rFonts w:cs="Times New Roman"/>
          <w:szCs w:val="24"/>
          <w:lang w:val="en-US"/>
        </w:rPr>
        <w:t xml:space="preserve"> year) can be seen as a call option to acquire the revenues of the period, </w:t>
      </w:r>
      <w:r w:rsidRPr="00FF0C30">
        <w:rPr>
          <w:rFonts w:cs="Times New Roman"/>
          <w:i/>
          <w:szCs w:val="24"/>
          <w:lang w:val="en-US"/>
        </w:rPr>
        <w:t>R</w:t>
      </w:r>
      <w:r w:rsidRPr="00FF0C30">
        <w:rPr>
          <w:rFonts w:cs="Times New Roman"/>
          <w:szCs w:val="24"/>
          <w:lang w:val="en-US"/>
        </w:rPr>
        <w:t xml:space="preserve">, by paying the variable costs of operating, </w:t>
      </w:r>
      <w:r w:rsidRPr="00FF0C30">
        <w:rPr>
          <w:rFonts w:cs="Times New Roman"/>
          <w:i/>
          <w:szCs w:val="24"/>
          <w:lang w:val="en-US"/>
        </w:rPr>
        <w:t>I</w:t>
      </w:r>
      <w:r w:rsidRPr="00FF0C30">
        <w:rPr>
          <w:rFonts w:cs="Times New Roman"/>
          <w:i/>
          <w:szCs w:val="24"/>
          <w:vertAlign w:val="subscript"/>
          <w:lang w:val="en-US"/>
        </w:rPr>
        <w:t>V</w:t>
      </w:r>
      <w:r w:rsidRPr="00FF0C30">
        <w:rPr>
          <w:rFonts w:cs="Times New Roman"/>
          <w:szCs w:val="24"/>
          <w:vertAlign w:val="subscript"/>
          <w:lang w:val="en-US"/>
        </w:rPr>
        <w:t>,</w:t>
      </w:r>
      <w:r w:rsidRPr="00FF0C30">
        <w:rPr>
          <w:rFonts w:cs="Times New Roman"/>
          <w:szCs w:val="24"/>
          <w:lang w:val="en-US"/>
        </w:rPr>
        <w:t xml:space="preserve"> as the strike price. This option will e</w:t>
      </w:r>
      <w:r w:rsidR="005E463F">
        <w:rPr>
          <w:rFonts w:cs="Times New Roman"/>
          <w:szCs w:val="24"/>
          <w:lang w:val="en-US"/>
        </w:rPr>
        <w:t xml:space="preserve">ntitle management to receive </w:t>
      </w:r>
      <w:r w:rsidR="005E463F">
        <w:rPr>
          <w:rFonts w:cs="Times New Roman"/>
          <w:szCs w:val="24"/>
          <w:lang w:val="en-US"/>
        </w:rPr>
        <w:fldChar w:fldCharType="begin"/>
      </w:r>
      <w:r w:rsidR="005E463F">
        <w:rPr>
          <w:rFonts w:cs="Times New Roman"/>
          <w:szCs w:val="24"/>
          <w:lang w:val="en-US"/>
        </w:rPr>
        <w:instrText xml:space="preserve"> REF _Ref484010608 \h </w:instrText>
      </w:r>
      <w:r w:rsidR="005E463F">
        <w:rPr>
          <w:rFonts w:cs="Times New Roman"/>
          <w:szCs w:val="24"/>
          <w:lang w:val="en-US"/>
        </w:rPr>
      </w:r>
      <w:r w:rsidR="005E463F">
        <w:rPr>
          <w:rFonts w:cs="Times New Roman"/>
          <w:szCs w:val="24"/>
          <w:lang w:val="en-US"/>
        </w:rPr>
        <w:fldChar w:fldCharType="separate"/>
      </w:r>
      <w:r w:rsidR="008324C6">
        <w:rPr>
          <w:rFonts w:cs="Times New Roman"/>
          <w:szCs w:val="24"/>
        </w:rPr>
        <w:t>(</w:t>
      </w:r>
      <w:r w:rsidR="008324C6">
        <w:rPr>
          <w:rFonts w:cs="Times New Roman"/>
          <w:noProof/>
          <w:szCs w:val="24"/>
        </w:rPr>
        <w:t>1</w:t>
      </w:r>
      <w:r w:rsidR="008324C6">
        <w:rPr>
          <w:rFonts w:cs="Times New Roman"/>
          <w:szCs w:val="24"/>
        </w:rPr>
        <w:t>.</w:t>
      </w:r>
      <w:r w:rsidR="008324C6">
        <w:rPr>
          <w:rFonts w:cs="Times New Roman"/>
          <w:noProof/>
          <w:szCs w:val="24"/>
        </w:rPr>
        <w:t>10</w:t>
      </w:r>
      <w:r w:rsidR="005E463F">
        <w:rPr>
          <w:rFonts w:cs="Times New Roman"/>
          <w:szCs w:val="24"/>
          <w:lang w:val="en-US"/>
        </w:rPr>
        <w:fldChar w:fldCharType="end"/>
      </w:r>
      <w:r w:rsidRPr="00FF0C30">
        <w:rPr>
          <w:rFonts w:cs="Times New Roman"/>
          <w:szCs w:val="24"/>
          <w:lang w:val="en-US"/>
        </w:rPr>
        <w:t>)</w:t>
      </w:r>
    </w:p>
    <w:tbl>
      <w:tblPr>
        <w:tblStyle w:val="af6"/>
        <w:tblW w:w="0" w:type="auto"/>
        <w:tblLook w:val="04A0" w:firstRow="1" w:lastRow="0" w:firstColumn="1" w:lastColumn="0" w:noHBand="0" w:noVBand="1"/>
      </w:tblPr>
      <w:tblGrid>
        <w:gridCol w:w="8655"/>
        <w:gridCol w:w="700"/>
      </w:tblGrid>
      <w:tr w:rsidR="005E463F" w:rsidTr="005E463F">
        <w:tc>
          <w:tcPr>
            <w:tcW w:w="9072" w:type="dxa"/>
          </w:tcPr>
          <w:p w:rsidR="005E463F" w:rsidRDefault="005E463F" w:rsidP="005E463F">
            <w:pPr>
              <w:rPr>
                <w:rFonts w:cs="Times New Roman"/>
                <w:szCs w:val="24"/>
                <w:lang w:val="en-US"/>
              </w:rPr>
            </w:pPr>
            <m:oMathPara>
              <m:oMath>
                <m:func>
                  <m:funcPr>
                    <m:ctrlPr>
                      <w:rPr>
                        <w:rFonts w:ascii="Cambria Math" w:hAnsi="Cambria Math" w:cs="F16"/>
                        <w:szCs w:val="24"/>
                        <w:lang w:val="en-US"/>
                      </w:rPr>
                    </m:ctrlPr>
                  </m:funcPr>
                  <m:fName>
                    <m:r>
                      <m:rPr>
                        <m:sty m:val="p"/>
                      </m:rPr>
                      <w:rPr>
                        <w:rFonts w:ascii="Cambria Math" w:hAnsi="Cambria Math" w:cs="F16"/>
                        <w:szCs w:val="24"/>
                        <w:lang w:val="en-US"/>
                      </w:rPr>
                      <m:t>max</m:t>
                    </m:r>
                  </m:fName>
                  <m:e>
                    <m:d>
                      <m:dPr>
                        <m:ctrlPr>
                          <w:rPr>
                            <w:rFonts w:ascii="Cambria Math" w:hAnsi="Cambria Math" w:cs="F16"/>
                            <w:i/>
                            <w:szCs w:val="24"/>
                            <w:lang w:val="en-US"/>
                          </w:rPr>
                        </m:ctrlPr>
                      </m:dPr>
                      <m:e>
                        <m:r>
                          <w:rPr>
                            <w:rFonts w:ascii="Cambria Math" w:hAnsi="Cambria Math" w:cs="F16"/>
                            <w:szCs w:val="24"/>
                            <w:lang w:val="en-US"/>
                          </w:rPr>
                          <m:t>R-</m:t>
                        </m:r>
                        <m:sSub>
                          <m:sSubPr>
                            <m:ctrlPr>
                              <w:rPr>
                                <w:rFonts w:ascii="Cambria Math" w:hAnsi="Cambria Math" w:cs="F16"/>
                                <w:i/>
                                <w:szCs w:val="24"/>
                                <w:lang w:val="en-US"/>
                              </w:rPr>
                            </m:ctrlPr>
                          </m:sSubPr>
                          <m:e>
                            <m:r>
                              <w:rPr>
                                <w:rFonts w:ascii="Cambria Math" w:hAnsi="Cambria Math" w:cs="F16"/>
                                <w:szCs w:val="24"/>
                                <w:lang w:val="en-US"/>
                              </w:rPr>
                              <m:t>I</m:t>
                            </m:r>
                          </m:e>
                          <m:sub>
                            <m:r>
                              <w:rPr>
                                <w:rFonts w:ascii="Cambria Math" w:hAnsi="Cambria Math" w:cs="F16"/>
                                <w:szCs w:val="24"/>
                                <w:lang w:val="en-US"/>
                              </w:rPr>
                              <m:t>V</m:t>
                            </m:r>
                          </m:sub>
                        </m:sSub>
                        <m:r>
                          <w:rPr>
                            <w:rFonts w:ascii="Cambria Math" w:hAnsi="Cambria Math" w:cs="F16"/>
                            <w:szCs w:val="24"/>
                            <w:lang w:val="en-US"/>
                          </w:rPr>
                          <m:t>, 0</m:t>
                        </m:r>
                      </m:e>
                    </m:d>
                  </m:e>
                </m:func>
              </m:oMath>
            </m:oMathPara>
          </w:p>
        </w:tc>
        <w:tc>
          <w:tcPr>
            <w:tcW w:w="273" w:type="dxa"/>
          </w:tcPr>
          <w:p w:rsidR="005E463F" w:rsidRDefault="005E463F" w:rsidP="005E463F">
            <w:pPr>
              <w:pStyle w:val="ac"/>
              <w:jc w:val="right"/>
              <w:rPr>
                <w:rFonts w:cs="Times New Roman"/>
                <w:szCs w:val="24"/>
              </w:rPr>
            </w:pPr>
            <w:bookmarkStart w:id="25" w:name="_Ref484010608"/>
            <w:r>
              <w:rPr>
                <w:rFonts w:cs="Times New Roman"/>
                <w:szCs w:val="24"/>
              </w:rPr>
              <w:t>(</w:t>
            </w:r>
            <w:r w:rsidR="008F1F91">
              <w:rPr>
                <w:rFonts w:cs="Times New Roman"/>
                <w:szCs w:val="24"/>
              </w:rPr>
              <w:fldChar w:fldCharType="begin"/>
            </w:r>
            <w:r w:rsidR="008F1F91">
              <w:rPr>
                <w:rFonts w:cs="Times New Roman"/>
                <w:szCs w:val="24"/>
              </w:rPr>
              <w:instrText xml:space="preserve"> STYLEREF 1 \s </w:instrText>
            </w:r>
            <w:r w:rsidR="008F1F91">
              <w:rPr>
                <w:rFonts w:cs="Times New Roman"/>
                <w:szCs w:val="24"/>
              </w:rPr>
              <w:fldChar w:fldCharType="separate"/>
            </w:r>
            <w:r w:rsidR="008324C6">
              <w:rPr>
                <w:rFonts w:cs="Times New Roman"/>
                <w:noProof/>
                <w:szCs w:val="24"/>
              </w:rPr>
              <w:t>1</w:t>
            </w:r>
            <w:r w:rsidR="008F1F91">
              <w:rPr>
                <w:rFonts w:cs="Times New Roman"/>
                <w:szCs w:val="24"/>
              </w:rPr>
              <w:fldChar w:fldCharType="end"/>
            </w:r>
            <w:r w:rsidR="008F1F91">
              <w:rPr>
                <w:rFonts w:cs="Times New Roman"/>
                <w:szCs w:val="24"/>
              </w:rPr>
              <w:t>.</w:t>
            </w:r>
            <w:r w:rsidR="008F1F91">
              <w:rPr>
                <w:rFonts w:cs="Times New Roman"/>
                <w:szCs w:val="24"/>
              </w:rPr>
              <w:fldChar w:fldCharType="begin"/>
            </w:r>
            <w:r w:rsidR="008F1F91">
              <w:rPr>
                <w:rFonts w:cs="Times New Roman"/>
                <w:szCs w:val="24"/>
              </w:rPr>
              <w:instrText xml:space="preserve"> SEQ Formula \* ARABIC \s 1 </w:instrText>
            </w:r>
            <w:r w:rsidR="008F1F91">
              <w:rPr>
                <w:rFonts w:cs="Times New Roman"/>
                <w:szCs w:val="24"/>
              </w:rPr>
              <w:fldChar w:fldCharType="separate"/>
            </w:r>
            <w:r w:rsidR="008324C6">
              <w:rPr>
                <w:rFonts w:cs="Times New Roman"/>
                <w:noProof/>
                <w:szCs w:val="24"/>
              </w:rPr>
              <w:t>10</w:t>
            </w:r>
            <w:r w:rsidR="008F1F91">
              <w:rPr>
                <w:rFonts w:cs="Times New Roman"/>
                <w:szCs w:val="24"/>
              </w:rPr>
              <w:fldChar w:fldCharType="end"/>
            </w:r>
            <w:bookmarkEnd w:id="25"/>
            <w:r>
              <w:rPr>
                <w:rFonts w:cs="Times New Roman"/>
                <w:szCs w:val="24"/>
              </w:rPr>
              <w:t xml:space="preserve">) </w:t>
            </w:r>
          </w:p>
        </w:tc>
      </w:tr>
    </w:tbl>
    <w:p w:rsidR="005E463F" w:rsidRDefault="005E463F" w:rsidP="00E270C6">
      <w:pPr>
        <w:rPr>
          <w:lang w:val="en-US"/>
        </w:rPr>
      </w:pPr>
    </w:p>
    <w:p w:rsidR="00E270C6" w:rsidRPr="00FF0C30" w:rsidRDefault="00E270C6" w:rsidP="00E270C6">
      <w:pPr>
        <w:rPr>
          <w:lang w:val="en-US"/>
        </w:rPr>
      </w:pPr>
      <w:r w:rsidRPr="00FF0C30">
        <w:rPr>
          <w:lang w:val="en-US"/>
        </w:rPr>
        <w:lastRenderedPageBreak/>
        <w:t>It should be noted that there</w:t>
      </w:r>
      <w:r w:rsidR="0019295E">
        <w:rPr>
          <w:lang w:val="en-US"/>
        </w:rPr>
        <w:t xml:space="preserve"> might be some switching costs </w:t>
      </w:r>
      <w:r w:rsidRPr="00FF0C30">
        <w:rPr>
          <w:lang w:val="en-US"/>
        </w:rPr>
        <w:t>betwe</w:t>
      </w:r>
      <w:r w:rsidR="0019295E">
        <w:rPr>
          <w:lang w:val="en-US"/>
        </w:rPr>
        <w:t>en the operating and idle modes</w:t>
      </w:r>
      <w:r w:rsidRPr="00FF0C30">
        <w:rPr>
          <w:lang w:val="en-US"/>
        </w:rPr>
        <w:t xml:space="preserve">. When switching costs are substantial, delays in switching may </w:t>
      </w:r>
      <w:r w:rsidR="0019295E">
        <w:rPr>
          <w:lang w:val="en-US"/>
        </w:rPr>
        <w:t>arise</w:t>
      </w:r>
      <w:r w:rsidRPr="00FF0C30">
        <w:rPr>
          <w:lang w:val="en-US"/>
        </w:rPr>
        <w:t xml:space="preserve">. Options to </w:t>
      </w:r>
      <w:r w:rsidR="0019295E">
        <w:rPr>
          <w:lang w:val="en-US"/>
        </w:rPr>
        <w:t>expand, contract, or shut down</w:t>
      </w:r>
      <w:r w:rsidRPr="00FF0C30">
        <w:rPr>
          <w:lang w:val="en-US"/>
        </w:rPr>
        <w:t xml:space="preserve"> are typically found in natural resource industries, such as mine operations, facilities planning and construction, fashion apparel, consumer goods, and commercial real estate. </w:t>
      </w:r>
    </w:p>
    <w:p w:rsidR="00E270C6" w:rsidRPr="00662E04" w:rsidRDefault="00E270C6" w:rsidP="00E270C6">
      <w:pPr>
        <w:pStyle w:val="5"/>
        <w:rPr>
          <w:lang w:val="en-US"/>
        </w:rPr>
      </w:pPr>
      <w:r w:rsidRPr="00662E04">
        <w:rPr>
          <w:lang w:val="en-US"/>
        </w:rPr>
        <w:t xml:space="preserve">6. Option to abandon for salvage value </w:t>
      </w:r>
    </w:p>
    <w:p w:rsidR="00E270C6" w:rsidRDefault="00CF22BA" w:rsidP="00E270C6">
      <w:pPr>
        <w:rPr>
          <w:rFonts w:cs="Times New Roman"/>
          <w:szCs w:val="24"/>
          <w:lang w:val="en-US"/>
        </w:rPr>
      </w:pPr>
      <w:r>
        <w:rPr>
          <w:rFonts w:cs="Times New Roman"/>
          <w:szCs w:val="24"/>
          <w:lang w:val="en-US"/>
        </w:rPr>
        <w:t>If environmental factors lead to significant decrease of inflows compared to initial forecast after the investment was made</w:t>
      </w:r>
      <w:r w:rsidR="00E270C6" w:rsidRPr="00FF0C30">
        <w:rPr>
          <w:rFonts w:cs="Times New Roman"/>
          <w:szCs w:val="24"/>
          <w:lang w:val="en-US"/>
        </w:rPr>
        <w:t>, management does not have to continue incurring fixed costs. Management has the option to permanently abandon the project in exchange for its salvage value. This option can be valued as an American put option on the current project value with a strike price of the salvage or best alternative use value</w:t>
      </w:r>
      <w:r w:rsidR="0019295E">
        <w:rPr>
          <w:rFonts w:cs="Times New Roman"/>
          <w:szCs w:val="24"/>
          <w:lang w:val="en-US"/>
        </w:rPr>
        <w:t xml:space="preserve"> </w:t>
      </w:r>
      <w:r w:rsidR="0019295E" w:rsidRPr="0019295E">
        <w:rPr>
          <w:rFonts w:cs="Times New Roman"/>
          <w:i/>
          <w:szCs w:val="24"/>
          <w:lang w:val="en-US"/>
        </w:rPr>
        <w:t>A</w:t>
      </w:r>
      <w:r w:rsidR="00E270C6" w:rsidRPr="00FF0C30">
        <w:rPr>
          <w:rFonts w:cs="Times New Roman"/>
          <w:szCs w:val="24"/>
          <w:lang w:val="en-US"/>
        </w:rPr>
        <w:t>. This option will entitle management to receive</w:t>
      </w:r>
      <w:r w:rsidR="005E463F">
        <w:rPr>
          <w:rFonts w:cs="Times New Roman"/>
          <w:szCs w:val="24"/>
          <w:lang w:val="en-US"/>
        </w:rPr>
        <w:t xml:space="preserve"> </w:t>
      </w:r>
      <w:r w:rsidR="005E463F" w:rsidRPr="005E463F">
        <w:fldChar w:fldCharType="begin"/>
      </w:r>
      <w:r w:rsidR="005E463F" w:rsidRPr="005E463F">
        <w:rPr>
          <w:lang w:val="en-US"/>
        </w:rPr>
        <w:instrText xml:space="preserve"> REF _Ref484010699 \h </w:instrText>
      </w:r>
      <w:r w:rsidR="005E463F" w:rsidRPr="005E463F">
        <w:rPr>
          <w:lang w:val="en-US"/>
        </w:rPr>
        <w:instrText xml:space="preserve"> \* MERGEFORMAT </w:instrText>
      </w:r>
      <w:r w:rsidR="005E463F" w:rsidRPr="005E463F">
        <w:fldChar w:fldCharType="separate"/>
      </w:r>
      <w:r w:rsidR="008324C6" w:rsidRPr="008324C6">
        <w:rPr>
          <w:lang w:val="en-US"/>
        </w:rPr>
        <w:t>(1.11</w:t>
      </w:r>
      <w:r w:rsidR="005E463F" w:rsidRPr="005E463F">
        <w:fldChar w:fldCharType="end"/>
      </w:r>
      <w:r w:rsidR="00E270C6" w:rsidRPr="005E463F">
        <w:rPr>
          <w:lang w:val="en-US"/>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7"/>
        <w:gridCol w:w="708"/>
      </w:tblGrid>
      <w:tr w:rsidR="005E463F" w:rsidTr="005E463F">
        <w:tc>
          <w:tcPr>
            <w:tcW w:w="8637" w:type="dxa"/>
          </w:tcPr>
          <w:p w:rsidR="005E463F" w:rsidRDefault="005E463F" w:rsidP="005E463F">
            <w:pPr>
              <w:keepNext/>
              <w:rPr>
                <w:rFonts w:cs="Times New Roman"/>
                <w:szCs w:val="24"/>
                <w:lang w:val="en-US"/>
              </w:rPr>
            </w:pPr>
            <m:oMathPara>
              <m:oMath>
                <m:r>
                  <w:rPr>
                    <w:rFonts w:ascii="Cambria Math" w:hAnsi="Cambria Math" w:cs="F16"/>
                    <w:szCs w:val="24"/>
                    <w:lang w:val="en-US"/>
                  </w:rPr>
                  <m:t>V+</m:t>
                </m:r>
                <m:func>
                  <m:funcPr>
                    <m:ctrlPr>
                      <w:rPr>
                        <w:rFonts w:ascii="Cambria Math" w:hAnsi="Cambria Math" w:cs="F16"/>
                        <w:i/>
                        <w:szCs w:val="24"/>
                        <w:lang w:val="en-US"/>
                      </w:rPr>
                    </m:ctrlPr>
                  </m:funcPr>
                  <m:fName>
                    <m:r>
                      <m:rPr>
                        <m:sty m:val="p"/>
                      </m:rPr>
                      <w:rPr>
                        <w:rFonts w:ascii="Cambria Math" w:hAnsi="Cambria Math" w:cs="F16"/>
                        <w:szCs w:val="24"/>
                        <w:lang w:val="en-US"/>
                      </w:rPr>
                      <m:t>max</m:t>
                    </m:r>
                  </m:fName>
                  <m:e>
                    <m:d>
                      <m:dPr>
                        <m:ctrlPr>
                          <w:rPr>
                            <w:rFonts w:ascii="Cambria Math" w:hAnsi="Cambria Math" w:cs="F16"/>
                            <w:i/>
                            <w:szCs w:val="24"/>
                            <w:lang w:val="en-US"/>
                          </w:rPr>
                        </m:ctrlPr>
                      </m:dPr>
                      <m:e>
                        <m:r>
                          <w:rPr>
                            <w:rFonts w:ascii="Cambria Math" w:hAnsi="Cambria Math" w:cs="F16"/>
                            <w:szCs w:val="24"/>
                            <w:lang w:val="en-US"/>
                          </w:rPr>
                          <m:t>A-V, 0</m:t>
                        </m:r>
                      </m:e>
                    </m:d>
                  </m:e>
                </m:func>
                <m:r>
                  <w:rPr>
                    <w:rFonts w:ascii="Cambria Math" w:hAnsi="Cambria Math" w:cs="F16"/>
                    <w:szCs w:val="24"/>
                    <w:lang w:val="en-US"/>
                  </w:rPr>
                  <m:t>=</m:t>
                </m:r>
                <m:func>
                  <m:funcPr>
                    <m:ctrlPr>
                      <w:rPr>
                        <w:rFonts w:ascii="Cambria Math" w:hAnsi="Cambria Math" w:cs="F16"/>
                        <w:szCs w:val="24"/>
                        <w:lang w:val="en-US"/>
                      </w:rPr>
                    </m:ctrlPr>
                  </m:funcPr>
                  <m:fName>
                    <m:r>
                      <m:rPr>
                        <m:sty m:val="p"/>
                      </m:rPr>
                      <w:rPr>
                        <w:rFonts w:ascii="Cambria Math" w:hAnsi="Cambria Math" w:cs="F16"/>
                        <w:szCs w:val="24"/>
                        <w:lang w:val="en-US"/>
                      </w:rPr>
                      <m:t>max</m:t>
                    </m:r>
                  </m:fName>
                  <m:e>
                    <m:d>
                      <m:dPr>
                        <m:ctrlPr>
                          <w:rPr>
                            <w:rFonts w:ascii="Cambria Math" w:hAnsi="Cambria Math" w:cs="F16"/>
                            <w:i/>
                            <w:szCs w:val="24"/>
                            <w:lang w:val="en-US"/>
                          </w:rPr>
                        </m:ctrlPr>
                      </m:dPr>
                      <m:e>
                        <m:r>
                          <w:rPr>
                            <w:rFonts w:ascii="Cambria Math" w:hAnsi="Cambria Math" w:cs="F16"/>
                            <w:szCs w:val="24"/>
                            <w:lang w:val="en-US"/>
                          </w:rPr>
                          <m:t>V,A</m:t>
                        </m:r>
                      </m:e>
                    </m:d>
                  </m:e>
                </m:func>
              </m:oMath>
            </m:oMathPara>
          </w:p>
        </w:tc>
        <w:tc>
          <w:tcPr>
            <w:tcW w:w="708" w:type="dxa"/>
          </w:tcPr>
          <w:p w:rsidR="005E463F" w:rsidRPr="005E463F" w:rsidRDefault="005E463F" w:rsidP="00E270C6">
            <w:pPr>
              <w:rPr>
                <w:rFonts w:cs="Times New Roman"/>
                <w:i/>
                <w:szCs w:val="24"/>
                <w:lang w:val="en-US"/>
              </w:rPr>
            </w:pPr>
            <w:bookmarkStart w:id="26" w:name="_Ref484010699"/>
            <w:r>
              <w:rPr>
                <w:rFonts w:cs="Times New Roman"/>
                <w:i/>
                <w:sz w:val="20"/>
                <w:szCs w:val="24"/>
                <w:lang w:val="en-US"/>
              </w:rPr>
              <w:t>(</w:t>
            </w:r>
            <w:r w:rsidR="008F1F91">
              <w:rPr>
                <w:rFonts w:cs="Times New Roman"/>
                <w:i/>
                <w:sz w:val="20"/>
                <w:szCs w:val="24"/>
                <w:lang w:val="en-US"/>
              </w:rPr>
              <w:fldChar w:fldCharType="begin"/>
            </w:r>
            <w:r w:rsidR="008F1F91">
              <w:rPr>
                <w:rFonts w:cs="Times New Roman"/>
                <w:i/>
                <w:sz w:val="20"/>
                <w:szCs w:val="24"/>
                <w:lang w:val="en-US"/>
              </w:rPr>
              <w:instrText xml:space="preserve"> STYLEREF 1 \s </w:instrText>
            </w:r>
            <w:r w:rsidR="008F1F91">
              <w:rPr>
                <w:rFonts w:cs="Times New Roman"/>
                <w:i/>
                <w:sz w:val="20"/>
                <w:szCs w:val="24"/>
                <w:lang w:val="en-US"/>
              </w:rPr>
              <w:fldChar w:fldCharType="separate"/>
            </w:r>
            <w:r w:rsidR="008324C6">
              <w:rPr>
                <w:rFonts w:cs="Times New Roman"/>
                <w:i/>
                <w:noProof/>
                <w:sz w:val="20"/>
                <w:szCs w:val="24"/>
                <w:lang w:val="en-US"/>
              </w:rPr>
              <w:t>1</w:t>
            </w:r>
            <w:r w:rsidR="008F1F91">
              <w:rPr>
                <w:rFonts w:cs="Times New Roman"/>
                <w:i/>
                <w:sz w:val="20"/>
                <w:szCs w:val="24"/>
                <w:lang w:val="en-US"/>
              </w:rPr>
              <w:fldChar w:fldCharType="end"/>
            </w:r>
            <w:r w:rsidR="008F1F91">
              <w:rPr>
                <w:rFonts w:cs="Times New Roman"/>
                <w:i/>
                <w:sz w:val="20"/>
                <w:szCs w:val="24"/>
                <w:lang w:val="en-US"/>
              </w:rPr>
              <w:t>.</w:t>
            </w:r>
            <w:r w:rsidR="008F1F91">
              <w:rPr>
                <w:rFonts w:cs="Times New Roman"/>
                <w:i/>
                <w:sz w:val="20"/>
                <w:szCs w:val="24"/>
                <w:lang w:val="en-US"/>
              </w:rPr>
              <w:fldChar w:fldCharType="begin"/>
            </w:r>
            <w:r w:rsidR="008F1F91">
              <w:rPr>
                <w:rFonts w:cs="Times New Roman"/>
                <w:i/>
                <w:sz w:val="20"/>
                <w:szCs w:val="24"/>
                <w:lang w:val="en-US"/>
              </w:rPr>
              <w:instrText xml:space="preserve"> SEQ Formula \* ARABIC \s 1 </w:instrText>
            </w:r>
            <w:r w:rsidR="008F1F91">
              <w:rPr>
                <w:rFonts w:cs="Times New Roman"/>
                <w:i/>
                <w:sz w:val="20"/>
                <w:szCs w:val="24"/>
                <w:lang w:val="en-US"/>
              </w:rPr>
              <w:fldChar w:fldCharType="separate"/>
            </w:r>
            <w:r w:rsidR="008324C6">
              <w:rPr>
                <w:rFonts w:cs="Times New Roman"/>
                <w:i/>
                <w:noProof/>
                <w:sz w:val="20"/>
                <w:szCs w:val="24"/>
                <w:lang w:val="en-US"/>
              </w:rPr>
              <w:t>11</w:t>
            </w:r>
            <w:r w:rsidR="008F1F91">
              <w:rPr>
                <w:rFonts w:cs="Times New Roman"/>
                <w:i/>
                <w:sz w:val="20"/>
                <w:szCs w:val="24"/>
                <w:lang w:val="en-US"/>
              </w:rPr>
              <w:fldChar w:fldCharType="end"/>
            </w:r>
            <w:bookmarkEnd w:id="26"/>
            <w:r>
              <w:rPr>
                <w:rFonts w:cs="Times New Roman"/>
                <w:i/>
                <w:sz w:val="20"/>
                <w:szCs w:val="24"/>
                <w:lang w:val="en-US"/>
              </w:rPr>
              <w:t>)</w:t>
            </w:r>
          </w:p>
        </w:tc>
      </w:tr>
    </w:tbl>
    <w:p w:rsidR="005E463F" w:rsidRDefault="005E463F" w:rsidP="00E270C6">
      <w:pPr>
        <w:rPr>
          <w:rFonts w:cs="Times New Roman"/>
          <w:szCs w:val="24"/>
          <w:lang w:val="en-US"/>
        </w:rPr>
      </w:pPr>
    </w:p>
    <w:p w:rsidR="00E270C6" w:rsidRPr="00FF0C30" w:rsidRDefault="00E270C6" w:rsidP="00E270C6">
      <w:pPr>
        <w:rPr>
          <w:lang w:val="en-US"/>
        </w:rPr>
      </w:pPr>
      <w:r w:rsidRPr="00FF0C30">
        <w:rPr>
          <w:lang w:val="en-US"/>
        </w:rPr>
        <w:t>Commonly, more general-purpose capital assets would have a higher salvage value and thus</w:t>
      </w:r>
      <w:r w:rsidR="0019295E">
        <w:rPr>
          <w:lang w:val="en-US"/>
        </w:rPr>
        <w:t xml:space="preserve"> will have higher value of option to abandon</w:t>
      </w:r>
      <w:r w:rsidRPr="00FF0C30">
        <w:rPr>
          <w:lang w:val="en-US"/>
        </w:rPr>
        <w:t>, compared to special purpose assets. Valuable abandonment options are generally found in capital-intensive industries (such as in airlines and railroads), in financial services, and in new product introductions.</w:t>
      </w:r>
    </w:p>
    <w:p w:rsidR="00E270C6" w:rsidRPr="00662E04" w:rsidRDefault="00E270C6" w:rsidP="00E270C6">
      <w:pPr>
        <w:pStyle w:val="5"/>
        <w:rPr>
          <w:lang w:val="en-US"/>
        </w:rPr>
      </w:pPr>
      <w:r w:rsidRPr="00662E04">
        <w:rPr>
          <w:lang w:val="en-US"/>
        </w:rPr>
        <w:t xml:space="preserve">7. Option to switch inputs or outputs </w:t>
      </w:r>
    </w:p>
    <w:p w:rsidR="0019295E" w:rsidRDefault="00CF22BA" w:rsidP="00E270C6">
      <w:pPr>
        <w:rPr>
          <w:lang w:val="en-US"/>
        </w:rPr>
      </w:pPr>
      <w:r>
        <w:rPr>
          <w:lang w:val="en-US"/>
        </w:rPr>
        <w:t xml:space="preserve">Option to switch inputs (or outputs) allow management </w:t>
      </w:r>
      <w:r w:rsidR="00E270C6" w:rsidRPr="00FF0C30">
        <w:rPr>
          <w:lang w:val="en-US"/>
        </w:rPr>
        <w:t>to switch from the current input to the cheapest future input, or from the current output to the most profitable future product mix, as the relative prices of the inputs and/or outputs fluctuate over time. Therefore, the firm should be willing to pay a certain premium for such a flexible technology over a rigid alternative with no or less flexibility.</w:t>
      </w:r>
      <w:r w:rsidR="0019295E">
        <w:rPr>
          <w:lang w:val="en-US"/>
        </w:rPr>
        <w:t xml:space="preserve"> </w:t>
      </w:r>
      <w:r w:rsidR="00E270C6" w:rsidRPr="00FF0C30">
        <w:rPr>
          <w:lang w:val="en-US"/>
        </w:rPr>
        <w:t xml:space="preserve">A firm which can develop more uses for its assets in this way may have a significant </w:t>
      </w:r>
      <w:r w:rsidR="0019295E">
        <w:rPr>
          <w:lang w:val="en-US"/>
        </w:rPr>
        <w:t>competitive</w:t>
      </w:r>
      <w:r w:rsidR="00E270C6" w:rsidRPr="00FF0C30">
        <w:rPr>
          <w:lang w:val="en-US"/>
        </w:rPr>
        <w:t xml:space="preserve"> advantage. </w:t>
      </w:r>
    </w:p>
    <w:p w:rsidR="0019295E" w:rsidRDefault="00E270C6" w:rsidP="00E270C6">
      <w:pPr>
        <w:rPr>
          <w:lang w:val="en-US"/>
        </w:rPr>
      </w:pPr>
      <w:r w:rsidRPr="0019295E">
        <w:rPr>
          <w:i/>
          <w:lang w:val="en-US"/>
        </w:rPr>
        <w:t>Process</w:t>
      </w:r>
      <w:r w:rsidRPr="00FF0C30">
        <w:rPr>
          <w:lang w:val="en-US"/>
        </w:rPr>
        <w:t xml:space="preserve"> flexibility can be achieved either by technology, </w:t>
      </w:r>
      <w:r w:rsidR="0019295E">
        <w:rPr>
          <w:lang w:val="en-US"/>
        </w:rPr>
        <w:t>as in the example</w:t>
      </w:r>
      <w:r w:rsidRPr="00FF0C30">
        <w:rPr>
          <w:lang w:val="en-US"/>
        </w:rPr>
        <w:t>, or by maintaining relationships with a variety of suppliers. Subcontracting policies may provide even more flexibility to contract the scale of future operations at a low cost, when faced with unfavorable conditions.</w:t>
      </w:r>
    </w:p>
    <w:p w:rsidR="0019295E" w:rsidRDefault="00E270C6" w:rsidP="00E270C6">
      <w:pPr>
        <w:rPr>
          <w:lang w:val="en-US"/>
        </w:rPr>
      </w:pPr>
      <w:r w:rsidRPr="00FF0C30">
        <w:rPr>
          <w:lang w:val="en-US"/>
        </w:rPr>
        <w:t xml:space="preserve">Another example would be a multinational company that may locate its production facilities in various countries in order to acquire the flexibility to shift production to the lowest-cost producing facilities as the relative costs, other local market conditions, or exchange rates change over time. </w:t>
      </w:r>
    </w:p>
    <w:p w:rsidR="0019295E" w:rsidRDefault="00E270C6" w:rsidP="00E270C6">
      <w:pPr>
        <w:rPr>
          <w:lang w:val="en-US"/>
        </w:rPr>
      </w:pPr>
      <w:r w:rsidRPr="0019295E">
        <w:rPr>
          <w:lang w:val="en-US"/>
        </w:rPr>
        <w:t>Process</w:t>
      </w:r>
      <w:r w:rsidRPr="00FF0C30">
        <w:rPr>
          <w:lang w:val="en-US"/>
        </w:rPr>
        <w:t xml:space="preserve"> flexibility is also valuable in feedstock-dependent facilities such as oil and minerals, electric power, chemicals, crop switching, and supplier relationships. </w:t>
      </w:r>
    </w:p>
    <w:p w:rsidR="0019295E" w:rsidRDefault="00E270C6" w:rsidP="00E270C6">
      <w:pPr>
        <w:rPr>
          <w:lang w:val="en-US"/>
        </w:rPr>
      </w:pPr>
      <w:r w:rsidRPr="0019295E">
        <w:rPr>
          <w:i/>
          <w:lang w:val="en-US"/>
        </w:rPr>
        <w:lastRenderedPageBreak/>
        <w:t>Product</w:t>
      </w:r>
      <w:r w:rsidRPr="00FF0C30">
        <w:rPr>
          <w:lang w:val="en-US"/>
        </w:rPr>
        <w:t xml:space="preserve"> flexibility, which enables the firm to switch among alternative outputs, is more valuable to industries in which product differentiation and diversity are important and/or product demand is volatile. </w:t>
      </w:r>
    </w:p>
    <w:p w:rsidR="0019295E" w:rsidRDefault="00E270C6" w:rsidP="00E270C6">
      <w:pPr>
        <w:rPr>
          <w:lang w:val="en-US"/>
        </w:rPr>
      </w:pPr>
      <w:r w:rsidRPr="00FF0C30">
        <w:rPr>
          <w:lang w:val="en-US"/>
        </w:rPr>
        <w:t xml:space="preserve">Examples of such industries are automobiles, consumer electronics, toys, or pharmaceuticals. In such cases, it may be worthwhile to install a more </w:t>
      </w:r>
      <w:r w:rsidR="0019295E">
        <w:rPr>
          <w:lang w:val="en-US"/>
        </w:rPr>
        <w:t>expensive</w:t>
      </w:r>
      <w:r w:rsidRPr="00FF0C30">
        <w:rPr>
          <w:lang w:val="en-US"/>
        </w:rPr>
        <w:t xml:space="preserve"> flexible capacity to acquire the ability to alter product mix or production scale in response to changing market demands. </w:t>
      </w:r>
    </w:p>
    <w:p w:rsidR="00E270C6" w:rsidRPr="00FF0C30" w:rsidRDefault="00E270C6" w:rsidP="00E270C6">
      <w:pPr>
        <w:rPr>
          <w:lang w:val="en-US"/>
        </w:rPr>
      </w:pPr>
      <w:r w:rsidRPr="00FF0C30">
        <w:rPr>
          <w:lang w:val="en-US"/>
        </w:rPr>
        <w:t xml:space="preserve">The lower the correlation between the alternative outputs, the higher the value of the option to switch. </w:t>
      </w:r>
    </w:p>
    <w:p w:rsidR="00E270C6" w:rsidRPr="00662E04" w:rsidRDefault="00E270C6" w:rsidP="00E270C6">
      <w:pPr>
        <w:pStyle w:val="5"/>
        <w:rPr>
          <w:lang w:val="en-US"/>
        </w:rPr>
      </w:pPr>
      <w:r w:rsidRPr="00662E04">
        <w:rPr>
          <w:lang w:val="en-US"/>
        </w:rPr>
        <w:t>8. Corporate growth options</w:t>
      </w:r>
    </w:p>
    <w:p w:rsidR="0019295E" w:rsidRDefault="0019295E" w:rsidP="00CF22BA">
      <w:pPr>
        <w:rPr>
          <w:lang w:val="en-US"/>
        </w:rPr>
      </w:pP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"Kobari", "given" : "Laleh", "non-dropping-particle" : "", "parse-names" : false, "suffix" : "" } ], "id" : "ITEM-1", "issued" : { "date-parts" : [ [ "2014" ] ] }, "number-of-pages" : "150", "publisher" : "University of Toronto", "title" : "Evaluation of Oil Sands Projects and Their Expansion Rate Using Real Options", "type" : "thesis" }, "uris" : [ "http://www.mendeley.com/documents/?uuid=983d648b-05bc-3ec4-886d-50a34ef214ed" ] } ], "mendeley" : { "formattedCitation" : "(Kobari 2014)", "plainTextFormattedCitation" : "(Kobari 2014)", "previouslyFormattedCitation" : "(Kobari 2014)"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(Kobari 2014)</w:t>
      </w:r>
      <w:r>
        <w:rPr>
          <w:rFonts w:cs="Times New Roman"/>
          <w:szCs w:val="24"/>
          <w:lang w:val="en-US"/>
        </w:rPr>
        <w:fldChar w:fldCharType="end"/>
      </w:r>
      <w:r>
        <w:rPr>
          <w:rFonts w:cs="Times New Roman"/>
          <w:szCs w:val="24"/>
          <w:lang w:val="en-US"/>
        </w:rPr>
        <w:t xml:space="preserve"> refers to corporate growth options as to a special case </w:t>
      </w:r>
      <w:r w:rsidR="00E270C6" w:rsidRPr="00FF0C30">
        <w:rPr>
          <w:lang w:val="en-US"/>
        </w:rPr>
        <w:t>of the op</w:t>
      </w:r>
      <w:r>
        <w:rPr>
          <w:lang w:val="en-US"/>
        </w:rPr>
        <w:t>tion to expand, explained above</w:t>
      </w:r>
      <w:r w:rsidR="00E270C6" w:rsidRPr="00FF0C30">
        <w:rPr>
          <w:lang w:val="en-US"/>
        </w:rPr>
        <w:t xml:space="preserve">. </w:t>
      </w:r>
    </w:p>
    <w:p w:rsidR="00E270C6" w:rsidRPr="00FF0C30" w:rsidRDefault="00E270C6" w:rsidP="00E270C6">
      <w:pPr>
        <w:rPr>
          <w:rFonts w:cs="Times New Roman"/>
          <w:lang w:val="en-US"/>
        </w:rPr>
      </w:pPr>
      <w:r w:rsidRPr="00FF0C30">
        <w:rPr>
          <w:lang w:val="en-US"/>
        </w:rPr>
        <w:t>In a broader context, many early investment projects</w:t>
      </w:r>
      <w:r>
        <w:rPr>
          <w:lang w:val="en-US"/>
        </w:rPr>
        <w:t xml:space="preserve"> – </w:t>
      </w:r>
      <w:r w:rsidRPr="00FF0C30">
        <w:rPr>
          <w:lang w:val="en-US"/>
        </w:rPr>
        <w:t xml:space="preserve">such as R&amp;D projects, a lease on undeveloped land or a </w:t>
      </w:r>
      <w:r w:rsidR="0019295E">
        <w:rPr>
          <w:lang w:val="en-US"/>
        </w:rPr>
        <w:t>site</w:t>
      </w:r>
      <w:r w:rsidRPr="00FF0C30">
        <w:rPr>
          <w:lang w:val="en-US"/>
        </w:rPr>
        <w:t xml:space="preserve"> with potential oil reserves, a strategic acquisition, or an information technology network</w:t>
      </w:r>
      <w:r>
        <w:rPr>
          <w:lang w:val="en-US"/>
        </w:rPr>
        <w:t xml:space="preserve"> – </w:t>
      </w:r>
      <w:r w:rsidRPr="00FF0C30">
        <w:rPr>
          <w:lang w:val="en-US"/>
        </w:rPr>
        <w:t xml:space="preserve">can be viewed as </w:t>
      </w:r>
      <w:r w:rsidR="0019295E">
        <w:rPr>
          <w:lang w:val="en-US"/>
        </w:rPr>
        <w:t>purchase of corporate growth option</w:t>
      </w:r>
      <w:r w:rsidRPr="00FF0C30">
        <w:rPr>
          <w:lang w:val="en-US"/>
        </w:rPr>
        <w:t xml:space="preserve">. In this case, the value of the project may </w:t>
      </w:r>
      <w:r w:rsidR="0019295E">
        <w:rPr>
          <w:lang w:val="en-US"/>
        </w:rPr>
        <w:t>depend not on</w:t>
      </w:r>
      <w:r w:rsidRPr="00FF0C30">
        <w:rPr>
          <w:lang w:val="en-US"/>
        </w:rPr>
        <w:t xml:space="preserve"> directly measurable cash flows, but rather </w:t>
      </w:r>
      <w:r w:rsidR="0019295E">
        <w:rPr>
          <w:lang w:val="en-US"/>
        </w:rPr>
        <w:t>on</w:t>
      </w:r>
      <w:r w:rsidRPr="00FF0C30">
        <w:rPr>
          <w:lang w:val="en-US"/>
        </w:rPr>
        <w:t xml:space="preserve"> unlocking future growth opportunities</w:t>
      </w:r>
      <w:r>
        <w:rPr>
          <w:lang w:val="en-US"/>
        </w:rPr>
        <w:t xml:space="preserve"> – </w:t>
      </w:r>
      <w:r w:rsidRPr="00FF0C30">
        <w:rPr>
          <w:lang w:val="en-US"/>
        </w:rPr>
        <w:t xml:space="preserve">such as a new-generation product or process, related </w:t>
      </w:r>
      <w:r w:rsidR="0019295E">
        <w:rPr>
          <w:lang w:val="en-US"/>
        </w:rPr>
        <w:t>oil or mineral</w:t>
      </w:r>
      <w:r w:rsidRPr="00FF0C30">
        <w:rPr>
          <w:lang w:val="en-US"/>
        </w:rPr>
        <w:t xml:space="preserve"> reserves, access to a </w:t>
      </w:r>
      <w:r w:rsidRPr="00FF0C30">
        <w:rPr>
          <w:rFonts w:cs="Times New Roman"/>
          <w:lang w:val="en-US"/>
        </w:rPr>
        <w:t xml:space="preserve">new or expanding market, strengthening of the firm's core capabilities, or strategic positioning. </w:t>
      </w:r>
    </w:p>
    <w:p w:rsidR="00E270C6" w:rsidRPr="00FF0C30" w:rsidRDefault="00E270C6" w:rsidP="00E270C6">
      <w:pPr>
        <w:rPr>
          <w:rFonts w:cs="Times New Roman"/>
          <w:lang w:val="en-US"/>
        </w:rPr>
      </w:pPr>
      <w:r w:rsidRPr="00FF0C30">
        <w:rPr>
          <w:rFonts w:cs="Times New Roman"/>
          <w:lang w:val="en-US"/>
        </w:rPr>
        <w:t xml:space="preserve">For example, an opportunity to invest in a first-generation high-tech product is analogous to an option on options, or an inter-project compound option. Even though the initial investment may have a negative passive NPV, the infrastructure, experience, and potential by-products generated during the development of the first-generation product may result in development of lower-cost or improved-quality future generations of that product, and encourage the generation of new applications in other areas. Unless the firm makes the initial investment, subsequent generations or other applications would not even be feasible. The infrastructure and experience gained can be proprietary and can place the firm at a competitive advantage, which may even reinforce itself if learning cost curve effects are present. </w:t>
      </w:r>
    </w:p>
    <w:p w:rsidR="00E270C6" w:rsidRDefault="00E270C6" w:rsidP="00E270C6">
      <w:pPr>
        <w:rPr>
          <w:rFonts w:cs="Times New Roman"/>
          <w:lang w:val="en-US"/>
        </w:rPr>
      </w:pPr>
      <w:r w:rsidRPr="00FF0C30">
        <w:rPr>
          <w:rFonts w:cs="Times New Roman"/>
          <w:lang w:val="en-US"/>
        </w:rPr>
        <w:t>Growth options exists in all infrastructure-based or strategic industries, especially in high tech, R&amp;D, and industries with multiple product generations or applications</w:t>
      </w:r>
      <w:r>
        <w:rPr>
          <w:rFonts w:cs="Times New Roman"/>
          <w:lang w:val="en-US"/>
        </w:rPr>
        <w:t xml:space="preserve"> – </w:t>
      </w:r>
      <w:r w:rsidRPr="00FF0C30">
        <w:rPr>
          <w:rFonts w:cs="Times New Roman"/>
          <w:lang w:val="en-US"/>
        </w:rPr>
        <w:t>such as semiconductors, computers, pharmaceuticals</w:t>
      </w:r>
      <w:r>
        <w:rPr>
          <w:rFonts w:cs="Times New Roman"/>
          <w:lang w:val="en-US"/>
        </w:rPr>
        <w:t xml:space="preserve"> – </w:t>
      </w:r>
      <w:r w:rsidRPr="00FF0C30">
        <w:rPr>
          <w:rFonts w:cs="Times New Roman"/>
          <w:lang w:val="en-US"/>
        </w:rPr>
        <w:t xml:space="preserve">in multinational operations, and in strategic acquisitions. In a more general context, such operating and strategic adaptability represented by such a set of corporate real options can be achieved at various stages during the value chain, such as switching the factor </w:t>
      </w:r>
      <w:r w:rsidRPr="00FF0C30">
        <w:rPr>
          <w:rFonts w:cs="Times New Roman"/>
          <w:lang w:val="en-US"/>
        </w:rPr>
        <w:lastRenderedPageBreak/>
        <w:t>input mix among various suppliers and subcontracting practices, rapid product design and modularity in design, or shifting production among various products or countries rapidly and cost efficiently in a flexible system or multinational network.</w:t>
      </w:r>
    </w:p>
    <w:p w:rsidR="00E270C6" w:rsidRPr="00FF0C30" w:rsidRDefault="00E270C6" w:rsidP="00E270C6">
      <w:pPr>
        <w:pStyle w:val="3"/>
      </w:pPr>
      <w:r w:rsidRPr="00FF0C30">
        <w:t>Valuation of real options</w:t>
      </w:r>
    </w:p>
    <w:p w:rsidR="00E270C6" w:rsidRPr="00FF0C30" w:rsidRDefault="0019295E" w:rsidP="00E270C6">
      <w:pPr>
        <w:rPr>
          <w:rFonts w:cs="Times New Roman"/>
          <w:szCs w:val="24"/>
          <w:lang w:val="en-US"/>
        </w:rPr>
      </w:pPr>
      <w:r>
        <w:rPr>
          <w:lang w:val="en-US"/>
        </w:rPr>
        <w:t xml:space="preserve">According to </w:t>
      </w:r>
      <w:r>
        <w:rPr>
          <w:lang w:val="en-US"/>
        </w:rPr>
        <w:fldChar w:fldCharType="begin" w:fldLock="1"/>
      </w:r>
      <w:r w:rsidR="00587F48">
        <w:rPr>
          <w:lang w:val="en-US"/>
        </w:rPr>
        <w:instrText>ADDIN CSL_CITATION { "citationItems" : [ { "id" : "ITEM-1", "itemData" : { "author" : [ { "dropping-particle" : "", "family" : "Cesena", "given" : "Eduardo Alejandro Martinez", "non-dropping-particle" : "", "parse-names" : false, "suffix" : "" } ], "id" : "ITEM-1", "issued" : { "date-parts" : [ [ "2012" ] ] }, "title" : "Real Options Theory Applied to Renewable Energy Generation Projects Planning", "type" : "article-journal" }, "uris" : [ "http://www.mendeley.com/documents/?uuid=f9bb843b-aa6c-3046-9588-8e25b61538bd" ] } ], "mendeley" : { "formattedCitation" : "(Cesena 2012)", "plainTextFormattedCitation" : "(Cesena 2012)", "previouslyFormattedCitation" : "(Cesena 2012)" }, "properties" : { "noteIndex" : 0 }, "schema" : "https://github.com/citation-style-language/schema/raw/master/csl-citation.json" }</w:instrText>
      </w:r>
      <w:r>
        <w:rPr>
          <w:lang w:val="en-US"/>
        </w:rPr>
        <w:fldChar w:fldCharType="separate"/>
      </w:r>
      <w:r w:rsidR="00587F48" w:rsidRPr="00587F48">
        <w:rPr>
          <w:noProof/>
          <w:lang w:val="en-US"/>
        </w:rPr>
        <w:t>(Cesena 2012)</w:t>
      </w:r>
      <w:r>
        <w:rPr>
          <w:lang w:val="en-US"/>
        </w:rPr>
        <w:fldChar w:fldCharType="end"/>
      </w:r>
      <w:r>
        <w:rPr>
          <w:lang w:val="en-US"/>
        </w:rPr>
        <w:t xml:space="preserve"> t</w:t>
      </w:r>
      <w:r w:rsidR="00E270C6" w:rsidRPr="00FF0C30">
        <w:rPr>
          <w:lang w:val="en-US"/>
        </w:rPr>
        <w:t xml:space="preserve">he main existing approaches used for the assessment of financial options and </w:t>
      </w:r>
      <w:r>
        <w:rPr>
          <w:lang w:val="en-US"/>
        </w:rPr>
        <w:t>real options are based on trees</w:t>
      </w:r>
      <w:r w:rsidR="00E270C6" w:rsidRPr="00FF0C30">
        <w:rPr>
          <w:lang w:val="en-US"/>
        </w:rPr>
        <w:t xml:space="preserve">, and partial differential equations (e.g. the Black Scholes formula). </w:t>
      </w:r>
      <w:r>
        <w:rPr>
          <w:lang w:val="en-US"/>
        </w:rPr>
        <w:t xml:space="preserve">All of them </w:t>
      </w:r>
      <w:r w:rsidR="00E270C6" w:rsidRPr="00FF0C30">
        <w:rPr>
          <w:lang w:val="en-US"/>
        </w:rPr>
        <w:t xml:space="preserve">has advantages and drawbacks, and can be used to properly address certain types of options and projects. This section provides a description of </w:t>
      </w:r>
      <w:r>
        <w:rPr>
          <w:lang w:val="en-US"/>
        </w:rPr>
        <w:t>real options valuation approaches.</w:t>
      </w:r>
    </w:p>
    <w:p w:rsidR="00E270C6" w:rsidRPr="00FF0C30" w:rsidRDefault="00E270C6" w:rsidP="00E270C6">
      <w:pPr>
        <w:pStyle w:val="4"/>
      </w:pPr>
      <w:r w:rsidRPr="00FF0C30">
        <w:t xml:space="preserve">Partial differential equations: The Black Scholes formula </w:t>
      </w:r>
    </w:p>
    <w:p w:rsidR="00E270C6" w:rsidRPr="0019295E" w:rsidRDefault="00E270C6" w:rsidP="0019295E">
      <w:pPr>
        <w:rPr>
          <w:rFonts w:cs="Times New Roman"/>
          <w:lang w:val="en-US"/>
        </w:rPr>
      </w:pPr>
      <w:r w:rsidRPr="0019295E">
        <w:rPr>
          <w:rFonts w:cs="Times New Roman"/>
          <w:lang w:val="en-US"/>
        </w:rPr>
        <w:t xml:space="preserve">Partial differential equations are sets of equations derived for the modelling and assessment of specific </w:t>
      </w:r>
      <w:r w:rsidR="0019295E">
        <w:rPr>
          <w:rFonts w:cs="Times New Roman"/>
          <w:lang w:val="en-US"/>
        </w:rPr>
        <w:t>real options</w:t>
      </w:r>
      <w:r w:rsidRPr="0019295E">
        <w:rPr>
          <w:rFonts w:cs="Times New Roman"/>
          <w:lang w:val="en-US"/>
        </w:rPr>
        <w:t xml:space="preserve"> under particular assumptions. These equations can be formulated using dynamic programming and contingent claims analysis. The most widely used partial differential equation found in </w:t>
      </w:r>
      <w:r w:rsidR="0019295E">
        <w:rPr>
          <w:rFonts w:cs="Times New Roman"/>
          <w:lang w:val="en-US"/>
        </w:rPr>
        <w:t>real options</w:t>
      </w:r>
      <w:r w:rsidRPr="0019295E">
        <w:rPr>
          <w:rFonts w:cs="Times New Roman"/>
          <w:lang w:val="en-US"/>
        </w:rPr>
        <w:t xml:space="preserve"> literature is the Black Scholes formula. </w:t>
      </w:r>
      <w:r w:rsidR="0019295E">
        <w:rPr>
          <w:lang w:val="en-US"/>
        </w:rPr>
        <w:fldChar w:fldCharType="begin" w:fldLock="1"/>
      </w:r>
      <w:r w:rsidR="00587F48">
        <w:rPr>
          <w:lang w:val="en-US"/>
        </w:rPr>
        <w:instrText>ADDIN CSL_CITATION { "citationItems" : [ { "id" : "ITEM-1", "itemData" : { "author" : [ { "dropping-particle" : "", "family" : "Cesena", "given" : "Eduardo Alejandro Martinez", "non-dropping-particle" : "", "parse-names" : false, "suffix" : "" } ], "id" : "ITEM-1", "issued" : { "date-parts" : [ [ "2012" ] ] }, "title" : "Real Options Theory Applied to Renewable Energy Generation Projects Planning", "type" : "article-journal" }, "uris" : [ "http://www.mendeley.com/documents/?uuid=f9bb843b-aa6c-3046-9588-8e25b61538bd" ] } ], "mendeley" : { "formattedCitation" : "(Cesena 2012)", "plainTextFormattedCitation" : "(Cesena 2012)", "previouslyFormattedCitation" : "(Cesena 2012)" }, "properties" : { "noteIndex" : 0 }, "schema" : "https://github.com/citation-style-language/schema/raw/master/csl-citation.json" }</w:instrText>
      </w:r>
      <w:r w:rsidR="0019295E">
        <w:rPr>
          <w:lang w:val="en-US"/>
        </w:rPr>
        <w:fldChar w:fldCharType="separate"/>
      </w:r>
      <w:r w:rsidR="00587F48" w:rsidRPr="00587F48">
        <w:rPr>
          <w:noProof/>
          <w:lang w:val="en-US"/>
        </w:rPr>
        <w:t>(Cesena 2012)</w:t>
      </w:r>
      <w:r w:rsidR="0019295E">
        <w:rPr>
          <w:lang w:val="en-US"/>
        </w:rPr>
        <w:fldChar w:fldCharType="end"/>
      </w:r>
    </w:p>
    <w:p w:rsidR="00E270C6" w:rsidRPr="0019295E" w:rsidRDefault="00E270C6" w:rsidP="0019295E">
      <w:pPr>
        <w:rPr>
          <w:rFonts w:cs="Times New Roman"/>
          <w:lang w:val="en-US"/>
        </w:rPr>
      </w:pPr>
      <w:r w:rsidRPr="0019295E">
        <w:rPr>
          <w:rFonts w:cs="Times New Roman"/>
          <w:lang w:val="en-US"/>
        </w:rPr>
        <w:t xml:space="preserve">The Black Scholes </w:t>
      </w:r>
      <w:r w:rsidR="0019295E">
        <w:rPr>
          <w:rFonts w:cs="Times New Roman"/>
          <w:lang w:val="en-US"/>
        </w:rPr>
        <w:fldChar w:fldCharType="begin" w:fldLock="1"/>
      </w:r>
      <w:r w:rsidR="00587F48">
        <w:rPr>
          <w:rFonts w:cs="Times New Roman"/>
          <w:lang w:val="en-US"/>
        </w:rPr>
        <w:instrText>ADDIN CSL_CITATION { "citationItems" : [ { "id" : "ITEM-1", "itemData" : { "DOI" : "10.1086/260062", "ISBN" : "00223808", "ISSN" : "0022-3808", "PMID" : "1831029", "abstract" : "If options are correctly priced in the market, it should not be possible to make sure profits by creating portfolios of long and short positions in options and their underlying stocks. Using this principle, a theoretical valuation formula for options is derived. Since almost all corporate liabilities can be viewed as combinations of options, the formula and the analysis that led to it are also applicable to corporate liabilities such as common stock, corporate bonds, and warrants. In particular, the formula can be used to derive the discount that should be applied to a corporate bond because of the possibility of default. An option is a security giving the right to buy or sell an asset, subject to certain conditions, within a specified period of time. An \"American option\" is one that can be exercised at any time up to the date the option expires. A \"European option\" is one that can be exercised only on a specified future date. The price that is paid for the asset when the option is exercised is called the \"exercise price\" or \"striking price.\" The last day on which the option may be exercised is called the \"expiration date\" or \"maturity date.\". [ABSTRACT FROM AUTHOR]", "author" : [ { "dropping-particle" : "", "family" : "Black", "given" : "Fischer", "non-dropping-particle" : "", "parse-names" : false, "suffix" : "" }, { "dropping-particle" : "", "family" : "Scholes", "given" : "Myron", "non-dropping-particle" : "", "parse-names" : false, "suffix" : "" } ], "container-title" : "Journal of Political Economy", "id" : "ITEM-1", "issue" : "3", "issued" : { "date-parts" : [ [ "1973" ] ] }, "page" : "637-654", "title" : "The Pricing of Options and Corporate Liabilities", "type" : "article-journal", "volume" : "81" }, "uris" : [ "http://www.mendeley.com/documents/?uuid=b31c0e7f-a64b-433f-b445-2cbad1e5f000" ] } ], "mendeley" : { "formattedCitation" : "(Black and Scholes 1973)", "plainTextFormattedCitation" : "(Black and Scholes 1973)", "previouslyFormattedCitation" : "(Black and Scholes 1973)" }, "properties" : { "noteIndex" : 0 }, "schema" : "https://github.com/citation-style-language/schema/raw/master/csl-citation.json" }</w:instrText>
      </w:r>
      <w:r w:rsidR="0019295E">
        <w:rPr>
          <w:rFonts w:cs="Times New Roman"/>
          <w:lang w:val="en-US"/>
        </w:rPr>
        <w:fldChar w:fldCharType="separate"/>
      </w:r>
      <w:r w:rsidR="00587F48" w:rsidRPr="00587F48">
        <w:rPr>
          <w:rFonts w:cs="Times New Roman"/>
          <w:noProof/>
          <w:lang w:val="en-US"/>
        </w:rPr>
        <w:t>(Black and Scholes 1973)</w:t>
      </w:r>
      <w:r w:rsidR="0019295E">
        <w:rPr>
          <w:rFonts w:cs="Times New Roman"/>
          <w:lang w:val="en-US"/>
        </w:rPr>
        <w:fldChar w:fldCharType="end"/>
      </w:r>
      <w:r w:rsidR="0019295E">
        <w:rPr>
          <w:rFonts w:cs="Times New Roman"/>
          <w:lang w:val="en-US"/>
        </w:rPr>
        <w:t xml:space="preserve"> </w:t>
      </w:r>
      <w:r w:rsidRPr="0019295E">
        <w:rPr>
          <w:rFonts w:cs="Times New Roman"/>
          <w:lang w:val="en-US"/>
        </w:rPr>
        <w:t>formula was the first equation that allowed a straightforward calculation of the value of a financial option. The formula</w:t>
      </w:r>
      <w:r w:rsidR="0019295E">
        <w:rPr>
          <w:rFonts w:cs="Times New Roman"/>
          <w:lang w:val="en-US"/>
        </w:rPr>
        <w:t xml:space="preserve"> offers the following approach for estimation the call option premium </w:t>
      </w:r>
      <w:r w:rsidRPr="0019295E">
        <w:rPr>
          <w:rFonts w:cs="Times New Roman"/>
          <w:lang w:val="en-US"/>
        </w:rPr>
        <w:t>C</w:t>
      </w:r>
      <w:r w:rsidRPr="0019295E">
        <w:rPr>
          <w:rFonts w:cs="Times New Roman"/>
          <w:sz w:val="16"/>
          <w:szCs w:val="16"/>
          <w:lang w:val="en-US"/>
        </w:rPr>
        <w:t xml:space="preserve"> </w:t>
      </w:r>
      <w:r w:rsidR="009F2A67">
        <w:rPr>
          <w:rFonts w:cs="Times New Roman"/>
          <w:lang w:val="en-US"/>
        </w:rPr>
        <w:fldChar w:fldCharType="begin"/>
      </w:r>
      <w:r w:rsidR="009F2A67">
        <w:rPr>
          <w:rFonts w:cs="Times New Roman"/>
          <w:sz w:val="16"/>
          <w:szCs w:val="16"/>
          <w:lang w:val="en-US"/>
        </w:rPr>
        <w:instrText xml:space="preserve"> REF _Ref484011424 \h </w:instrText>
      </w:r>
      <w:r w:rsidR="009F2A67">
        <w:rPr>
          <w:rFonts w:cs="Times New Roman"/>
          <w:lang w:val="en-US"/>
        </w:rPr>
      </w:r>
      <w:r w:rsidR="009F2A67">
        <w:rPr>
          <w:rFonts w:cs="Times New Roman"/>
          <w:lang w:val="en-US"/>
        </w:rPr>
        <w:fldChar w:fldCharType="separate"/>
      </w:r>
      <w:r w:rsidR="008324C6" w:rsidRPr="008324C6">
        <w:rPr>
          <w:rFonts w:cs="Times New Roman"/>
          <w:szCs w:val="24"/>
          <w:lang w:val="en-US"/>
        </w:rPr>
        <w:t>(</w:t>
      </w:r>
      <w:r w:rsidR="008324C6" w:rsidRPr="008324C6">
        <w:rPr>
          <w:rFonts w:cs="Times New Roman"/>
          <w:noProof/>
          <w:szCs w:val="24"/>
          <w:lang w:val="en-US"/>
        </w:rPr>
        <w:t>1</w:t>
      </w:r>
      <w:r w:rsidR="008324C6" w:rsidRPr="008324C6">
        <w:rPr>
          <w:rFonts w:cs="Times New Roman"/>
          <w:szCs w:val="24"/>
          <w:lang w:val="en-US"/>
        </w:rPr>
        <w:t>.</w:t>
      </w:r>
      <w:r w:rsidR="008324C6" w:rsidRPr="008324C6">
        <w:rPr>
          <w:rFonts w:cs="Times New Roman"/>
          <w:noProof/>
          <w:szCs w:val="24"/>
          <w:lang w:val="en-US"/>
        </w:rPr>
        <w:t>12</w:t>
      </w:r>
      <w:r w:rsidR="009F2A67">
        <w:rPr>
          <w:rFonts w:cs="Times New Roman"/>
          <w:lang w:val="en-US"/>
        </w:rPr>
        <w:fldChar w:fldCharType="end"/>
      </w:r>
      <w:r w:rsidR="009F2A67">
        <w:rPr>
          <w:rFonts w:cs="Times New Roman"/>
          <w:lang w:val="en-US"/>
        </w:rPr>
        <w:t>)</w:t>
      </w:r>
    </w:p>
    <w:tbl>
      <w:tblPr>
        <w:tblStyle w:val="af6"/>
        <w:tblW w:w="0" w:type="auto"/>
        <w:tblLook w:val="04A0" w:firstRow="1" w:lastRow="0" w:firstColumn="1" w:lastColumn="0" w:noHBand="0" w:noVBand="1"/>
      </w:tblPr>
      <w:tblGrid>
        <w:gridCol w:w="8655"/>
        <w:gridCol w:w="700"/>
      </w:tblGrid>
      <w:tr w:rsidR="009F2A67" w:rsidTr="009F2A67">
        <w:tc>
          <w:tcPr>
            <w:tcW w:w="9067" w:type="dxa"/>
          </w:tcPr>
          <w:p w:rsidR="009F2A67" w:rsidRPr="00FF0C30" w:rsidRDefault="009F2A67" w:rsidP="009F2A67">
            <w:pPr>
              <w:ind w:left="1416"/>
              <w:rPr>
                <w:rFonts w:ascii="CMR12" w:eastAsiaTheme="minorEastAsia" w:hAnsi="CMR12" w:cs="CMR12"/>
                <w:szCs w:val="24"/>
                <w:lang w:val="en-US"/>
              </w:rPr>
            </w:pPr>
            <m:oMathPara>
              <m:oMathParaPr>
                <m:jc m:val="left"/>
              </m:oMathParaPr>
              <m:oMath>
                <m:r>
                  <w:rPr>
                    <w:rFonts w:ascii="Cambria Math" w:hAnsi="Cambria Math" w:cs="CMR12"/>
                    <w:szCs w:val="24"/>
                    <w:lang w:val="en-US"/>
                  </w:rPr>
                  <m:t>C</m:t>
                </m:r>
                <m:d>
                  <m:dPr>
                    <m:ctrlPr>
                      <w:rPr>
                        <w:rFonts w:ascii="Cambria Math" w:hAnsi="Cambria Math" w:cs="CMR12"/>
                        <w:i/>
                        <w:szCs w:val="24"/>
                        <w:lang w:val="en-US"/>
                      </w:rPr>
                    </m:ctrlPr>
                  </m:dPr>
                  <m:e>
                    <m:sSub>
                      <m:sSubPr>
                        <m:ctrlPr>
                          <w:rPr>
                            <w:rFonts w:ascii="Cambria Math" w:hAnsi="Cambria Math" w:cs="CMR12"/>
                            <w:i/>
                            <w:szCs w:val="24"/>
                            <w:lang w:val="en-US"/>
                          </w:rPr>
                        </m:ctrlPr>
                      </m:sSubPr>
                      <m:e>
                        <m:r>
                          <w:rPr>
                            <w:rFonts w:ascii="Cambria Math" w:hAnsi="Cambria Math" w:cs="CMR12"/>
                            <w:szCs w:val="24"/>
                            <w:lang w:val="en-US"/>
                          </w:rPr>
                          <m:t>S</m:t>
                        </m:r>
                      </m:e>
                      <m:sub>
                        <m:r>
                          <w:rPr>
                            <w:rFonts w:ascii="Cambria Math" w:hAnsi="Cambria Math" w:cs="CMR12"/>
                            <w:szCs w:val="24"/>
                            <w:lang w:val="en-US"/>
                          </w:rPr>
                          <m:t>t</m:t>
                        </m:r>
                      </m:sub>
                    </m:sSub>
                    <m:r>
                      <w:rPr>
                        <w:rFonts w:ascii="Cambria Math" w:hAnsi="Cambria Math" w:cs="CMR12"/>
                        <w:szCs w:val="24"/>
                        <w:lang w:val="en-US"/>
                      </w:rPr>
                      <m:t xml:space="preserve">, t </m:t>
                    </m:r>
                  </m:e>
                </m:d>
                <m:r>
                  <w:rPr>
                    <w:rFonts w:ascii="Cambria Math" w:hAnsi="Cambria Math" w:cs="CMR12"/>
                    <w:szCs w:val="24"/>
                    <w:lang w:val="en-US"/>
                  </w:rPr>
                  <m:t>=N</m:t>
                </m:r>
                <m:d>
                  <m:dPr>
                    <m:ctrlPr>
                      <w:rPr>
                        <w:rFonts w:ascii="Cambria Math" w:hAnsi="Cambria Math" w:cs="CMR12"/>
                        <w:i/>
                        <w:szCs w:val="24"/>
                        <w:lang w:val="en-US"/>
                      </w:rPr>
                    </m:ctrlPr>
                  </m:dPr>
                  <m:e>
                    <m:sSub>
                      <m:sSubPr>
                        <m:ctrlPr>
                          <w:rPr>
                            <w:rFonts w:ascii="Cambria Math" w:hAnsi="Cambria Math" w:cs="CMR12"/>
                            <w:i/>
                            <w:szCs w:val="24"/>
                            <w:lang w:val="en-US"/>
                          </w:rPr>
                        </m:ctrlPr>
                      </m:sSubPr>
                      <m:e>
                        <m:r>
                          <w:rPr>
                            <w:rFonts w:ascii="Cambria Math" w:hAnsi="Cambria Math" w:cs="CMR12"/>
                            <w:szCs w:val="24"/>
                            <w:lang w:val="en-US"/>
                          </w:rPr>
                          <m:t>d</m:t>
                        </m:r>
                      </m:e>
                      <m:sub>
                        <m:r>
                          <w:rPr>
                            <w:rFonts w:ascii="Cambria Math" w:hAnsi="Cambria Math" w:cs="CMR12"/>
                            <w:szCs w:val="24"/>
                            <w:lang w:val="en-US"/>
                          </w:rPr>
                          <m:t>1</m:t>
                        </m:r>
                      </m:sub>
                    </m:sSub>
                  </m:e>
                </m:d>
                <m:sSub>
                  <m:sSubPr>
                    <m:ctrlPr>
                      <w:rPr>
                        <w:rFonts w:ascii="Cambria Math" w:hAnsi="Cambria Math" w:cs="CMR12"/>
                        <w:i/>
                        <w:szCs w:val="24"/>
                        <w:lang w:val="en-US"/>
                      </w:rPr>
                    </m:ctrlPr>
                  </m:sSubPr>
                  <m:e>
                    <m:r>
                      <w:rPr>
                        <w:rFonts w:ascii="Cambria Math" w:hAnsi="Cambria Math" w:cs="CMR12"/>
                        <w:szCs w:val="24"/>
                        <w:lang w:val="en-US"/>
                      </w:rPr>
                      <m:t>S</m:t>
                    </m:r>
                  </m:e>
                  <m:sub>
                    <m:r>
                      <w:rPr>
                        <w:rFonts w:ascii="Cambria Math" w:hAnsi="Cambria Math" w:cs="CMR12"/>
                        <w:szCs w:val="24"/>
                        <w:lang w:val="en-US"/>
                      </w:rPr>
                      <m:t>t</m:t>
                    </m:r>
                  </m:sub>
                </m:sSub>
                <m:r>
                  <w:rPr>
                    <w:rFonts w:ascii="Cambria Math" w:hAnsi="Cambria Math" w:cs="CMR12"/>
                    <w:szCs w:val="24"/>
                    <w:lang w:val="en-US"/>
                  </w:rPr>
                  <m:t>-N</m:t>
                </m:r>
                <m:d>
                  <m:dPr>
                    <m:ctrlPr>
                      <w:rPr>
                        <w:rFonts w:ascii="Cambria Math" w:hAnsi="Cambria Math" w:cs="CMR12"/>
                        <w:i/>
                        <w:szCs w:val="24"/>
                        <w:lang w:val="en-US"/>
                      </w:rPr>
                    </m:ctrlPr>
                  </m:dPr>
                  <m:e>
                    <m:sSub>
                      <m:sSubPr>
                        <m:ctrlPr>
                          <w:rPr>
                            <w:rFonts w:ascii="Cambria Math" w:hAnsi="Cambria Math" w:cs="CMR12"/>
                            <w:i/>
                            <w:szCs w:val="24"/>
                            <w:lang w:val="en-US"/>
                          </w:rPr>
                        </m:ctrlPr>
                      </m:sSubPr>
                      <m:e>
                        <m:r>
                          <w:rPr>
                            <w:rFonts w:ascii="Cambria Math" w:hAnsi="Cambria Math" w:cs="CMR12"/>
                            <w:szCs w:val="24"/>
                            <w:lang w:val="en-US"/>
                          </w:rPr>
                          <m:t>d</m:t>
                        </m:r>
                      </m:e>
                      <m:sub>
                        <m:r>
                          <w:rPr>
                            <w:rFonts w:ascii="Cambria Math" w:hAnsi="Cambria Math" w:cs="CMR12"/>
                            <w:szCs w:val="24"/>
                            <w:lang w:val="en-US"/>
                          </w:rPr>
                          <m:t>2</m:t>
                        </m:r>
                      </m:sub>
                    </m:sSub>
                  </m:e>
                </m:d>
                <m:r>
                  <w:rPr>
                    <w:rFonts w:ascii="Cambria Math" w:hAnsi="Cambria Math" w:cs="CMR12"/>
                    <w:szCs w:val="24"/>
                    <w:lang w:val="en-US"/>
                  </w:rPr>
                  <m:t>K</m:t>
                </m:r>
                <m:sSup>
                  <m:sSupPr>
                    <m:ctrlPr>
                      <w:rPr>
                        <w:rFonts w:ascii="Cambria Math" w:hAnsi="Cambria Math" w:cs="CMR12"/>
                        <w:i/>
                        <w:szCs w:val="24"/>
                        <w:lang w:val="en-US"/>
                      </w:rPr>
                    </m:ctrlPr>
                  </m:sSupPr>
                  <m:e>
                    <m:r>
                      <w:rPr>
                        <w:rFonts w:ascii="Cambria Math" w:hAnsi="Cambria Math" w:cs="CMR12"/>
                        <w:szCs w:val="24"/>
                        <w:lang w:val="en-US"/>
                      </w:rPr>
                      <m:t>e</m:t>
                    </m:r>
                  </m:e>
                  <m:sup>
                    <m:r>
                      <w:rPr>
                        <w:rFonts w:ascii="Cambria Math" w:hAnsi="Cambria Math" w:cs="CMR12"/>
                        <w:szCs w:val="24"/>
                        <w:lang w:val="en-US"/>
                      </w:rPr>
                      <m:t>-r</m:t>
                    </m:r>
                    <m:d>
                      <m:dPr>
                        <m:ctrlPr>
                          <w:rPr>
                            <w:rFonts w:ascii="Cambria Math" w:hAnsi="Cambria Math" w:cs="CMR12"/>
                            <w:i/>
                            <w:szCs w:val="24"/>
                            <w:lang w:val="en-US"/>
                          </w:rPr>
                        </m:ctrlPr>
                      </m:dPr>
                      <m:e>
                        <m:r>
                          <w:rPr>
                            <w:rFonts w:ascii="Cambria Math" w:hAnsi="Cambria Math" w:cs="CMR12"/>
                            <w:szCs w:val="24"/>
                            <w:lang w:val="en-US"/>
                          </w:rPr>
                          <m:t>T-t</m:t>
                        </m:r>
                      </m:e>
                    </m:d>
                  </m:sup>
                </m:sSup>
              </m:oMath>
            </m:oMathPara>
          </w:p>
          <w:p w:rsidR="009F2A67" w:rsidRPr="00FF0C30" w:rsidRDefault="009F2A67" w:rsidP="009F2A67">
            <w:pPr>
              <w:ind w:left="1416"/>
              <w:rPr>
                <w:rFonts w:ascii="CMR12" w:hAnsi="CMR12" w:cs="CMR12"/>
                <w:szCs w:val="24"/>
                <w:lang w:val="en-US"/>
              </w:rPr>
            </w:pPr>
            <m:oMathPara>
              <m:oMathParaPr>
                <m:jc m:val="left"/>
              </m:oMathParaPr>
              <m:oMath>
                <m:sSub>
                  <m:sSubPr>
                    <m:ctrlPr>
                      <w:rPr>
                        <w:rFonts w:ascii="Cambria Math" w:hAnsi="Cambria Math" w:cs="CMR12"/>
                        <w:i/>
                        <w:szCs w:val="24"/>
                        <w:lang w:val="en-US"/>
                      </w:rPr>
                    </m:ctrlPr>
                  </m:sSubPr>
                  <m:e>
                    <m:r>
                      <w:rPr>
                        <w:rFonts w:ascii="Cambria Math" w:hAnsi="Cambria Math" w:cs="CMR12"/>
                        <w:szCs w:val="24"/>
                        <w:lang w:val="en-US"/>
                      </w:rPr>
                      <m:t>d</m:t>
                    </m:r>
                  </m:e>
                  <m:sub>
                    <m:r>
                      <w:rPr>
                        <w:rFonts w:ascii="Cambria Math" w:hAnsi="Cambria Math" w:cs="CMR12"/>
                        <w:szCs w:val="24"/>
                        <w:lang w:val="en-US"/>
                      </w:rPr>
                      <m:t>1</m:t>
                    </m:r>
                  </m:sub>
                </m:sSub>
                <m:r>
                  <w:rPr>
                    <w:rFonts w:ascii="Cambria Math" w:hAnsi="Cambria Math" w:cs="CMR12"/>
                    <w:szCs w:val="24"/>
                    <w:lang w:val="en-US"/>
                  </w:rPr>
                  <m:t>=</m:t>
                </m:r>
                <m:f>
                  <m:fPr>
                    <m:ctrlPr>
                      <w:rPr>
                        <w:rFonts w:ascii="Cambria Math" w:hAnsi="Cambria Math" w:cs="CMR12"/>
                        <w:i/>
                        <w:szCs w:val="24"/>
                        <w:lang w:val="en-US"/>
                      </w:rPr>
                    </m:ctrlPr>
                  </m:fPr>
                  <m:num>
                    <m:r>
                      <w:rPr>
                        <w:rFonts w:ascii="Cambria Math" w:hAnsi="Cambria Math" w:cs="CMR12"/>
                        <w:szCs w:val="24"/>
                        <w:lang w:val="en-US"/>
                      </w:rPr>
                      <m:t>1</m:t>
                    </m:r>
                  </m:num>
                  <m:den>
                    <m:d>
                      <m:dPr>
                        <m:ctrlPr>
                          <w:rPr>
                            <w:rFonts w:ascii="Cambria Math" w:hAnsi="Cambria Math" w:cs="CMR12"/>
                            <w:i/>
                            <w:szCs w:val="24"/>
                            <w:lang w:val="en-US"/>
                          </w:rPr>
                        </m:ctrlPr>
                      </m:dPr>
                      <m:e>
                        <m:r>
                          <w:rPr>
                            <w:rFonts w:ascii="Cambria Math" w:hAnsi="Cambria Math" w:cs="CMR12"/>
                            <w:szCs w:val="24"/>
                            <w:lang w:val="en-US"/>
                          </w:rPr>
                          <m:t xml:space="preserve">σ </m:t>
                        </m:r>
                        <m:rad>
                          <m:radPr>
                            <m:degHide m:val="1"/>
                            <m:ctrlPr>
                              <w:rPr>
                                <w:rFonts w:ascii="Cambria Math" w:hAnsi="Cambria Math" w:cs="CMR12"/>
                                <w:i/>
                                <w:szCs w:val="24"/>
                                <w:lang w:val="en-US"/>
                              </w:rPr>
                            </m:ctrlPr>
                          </m:radPr>
                          <m:deg/>
                          <m:e>
                            <m:r>
                              <w:rPr>
                                <w:rFonts w:ascii="Cambria Math" w:hAnsi="Cambria Math" w:cs="CMR12"/>
                                <w:szCs w:val="24"/>
                                <w:lang w:val="en-US"/>
                              </w:rPr>
                              <m:t>T-t</m:t>
                            </m:r>
                          </m:e>
                        </m:rad>
                        <m:r>
                          <w:rPr>
                            <w:rFonts w:ascii="Cambria Math" w:hAnsi="Cambria Math" w:cs="CMR12"/>
                            <w:szCs w:val="24"/>
                            <w:lang w:val="en-US"/>
                          </w:rPr>
                          <m:t xml:space="preserve"> </m:t>
                        </m:r>
                      </m:e>
                    </m:d>
                  </m:den>
                </m:f>
                <m:d>
                  <m:dPr>
                    <m:begChr m:val="["/>
                    <m:endChr m:val="]"/>
                    <m:ctrlPr>
                      <w:rPr>
                        <w:rFonts w:ascii="Cambria Math" w:hAnsi="Cambria Math" w:cs="CMR12"/>
                        <w:i/>
                        <w:szCs w:val="24"/>
                        <w:lang w:val="en-US"/>
                      </w:rPr>
                    </m:ctrlPr>
                  </m:dPr>
                  <m:e>
                    <m:func>
                      <m:funcPr>
                        <m:ctrlPr>
                          <w:rPr>
                            <w:rFonts w:ascii="Cambria Math" w:hAnsi="Cambria Math" w:cs="CMR12"/>
                            <w:i/>
                            <w:szCs w:val="24"/>
                            <w:lang w:val="en-US"/>
                          </w:rPr>
                        </m:ctrlPr>
                      </m:funcPr>
                      <m:fName>
                        <m:r>
                          <m:rPr>
                            <m:sty m:val="p"/>
                          </m:rPr>
                          <w:rPr>
                            <w:rFonts w:ascii="Cambria Math" w:hAnsi="Cambria Math" w:cs="CMR12"/>
                            <w:szCs w:val="24"/>
                            <w:lang w:val="en-US"/>
                          </w:rPr>
                          <m:t>ln</m:t>
                        </m:r>
                      </m:fName>
                      <m:e>
                        <m:d>
                          <m:dPr>
                            <m:ctrlPr>
                              <w:rPr>
                                <w:rFonts w:ascii="Cambria Math" w:hAnsi="Cambria Math" w:cs="CMR12"/>
                                <w:i/>
                                <w:szCs w:val="24"/>
                                <w:lang w:val="en-US"/>
                              </w:rPr>
                            </m:ctrlPr>
                          </m:dPr>
                          <m:e>
                            <m:f>
                              <m:fPr>
                                <m:ctrlPr>
                                  <w:rPr>
                                    <w:rFonts w:ascii="Cambria Math" w:hAnsi="Cambria Math" w:cs="CMR12"/>
                                    <w:i/>
                                    <w:szCs w:val="24"/>
                                    <w:lang w:val="en-US"/>
                                  </w:rPr>
                                </m:ctrlPr>
                              </m:fPr>
                              <m:num>
                                <m:sSub>
                                  <m:sSubPr>
                                    <m:ctrlPr>
                                      <w:rPr>
                                        <w:rFonts w:ascii="Cambria Math" w:hAnsi="Cambria Math" w:cs="CMR12"/>
                                        <w:i/>
                                        <w:szCs w:val="24"/>
                                        <w:lang w:val="en-US"/>
                                      </w:rPr>
                                    </m:ctrlPr>
                                  </m:sSubPr>
                                  <m:e>
                                    <m:r>
                                      <w:rPr>
                                        <w:rFonts w:ascii="Cambria Math" w:hAnsi="Cambria Math" w:cs="CMR12"/>
                                        <w:szCs w:val="24"/>
                                        <w:lang w:val="en-US"/>
                                      </w:rPr>
                                      <m:t>S</m:t>
                                    </m:r>
                                  </m:e>
                                  <m:sub>
                                    <m:r>
                                      <w:rPr>
                                        <w:rFonts w:ascii="Cambria Math" w:hAnsi="Cambria Math" w:cs="CMR12"/>
                                        <w:szCs w:val="24"/>
                                        <w:lang w:val="en-US"/>
                                      </w:rPr>
                                      <m:t>t</m:t>
                                    </m:r>
                                  </m:sub>
                                </m:sSub>
                              </m:num>
                              <m:den>
                                <m:r>
                                  <w:rPr>
                                    <w:rFonts w:ascii="Cambria Math" w:hAnsi="Cambria Math" w:cs="CMR12"/>
                                    <w:szCs w:val="24"/>
                                    <w:lang w:val="en-US"/>
                                  </w:rPr>
                                  <m:t>K</m:t>
                                </m:r>
                              </m:den>
                            </m:f>
                          </m:e>
                        </m:d>
                      </m:e>
                    </m:func>
                    <m:r>
                      <w:rPr>
                        <w:rFonts w:ascii="Cambria Math" w:hAnsi="Cambria Math" w:cs="CMR12"/>
                        <w:szCs w:val="24"/>
                        <w:lang w:val="en-US"/>
                      </w:rPr>
                      <m:t>+</m:t>
                    </m:r>
                    <m:d>
                      <m:dPr>
                        <m:ctrlPr>
                          <w:rPr>
                            <w:rFonts w:ascii="Cambria Math" w:hAnsi="Cambria Math" w:cs="CMR12"/>
                            <w:i/>
                            <w:szCs w:val="24"/>
                            <w:lang w:val="en-US"/>
                          </w:rPr>
                        </m:ctrlPr>
                      </m:dPr>
                      <m:e>
                        <m:r>
                          <w:rPr>
                            <w:rFonts w:ascii="Cambria Math" w:hAnsi="Cambria Math" w:cs="CMR12"/>
                            <w:szCs w:val="24"/>
                            <w:lang w:val="en-US"/>
                          </w:rPr>
                          <m:t>r+</m:t>
                        </m:r>
                        <m:f>
                          <m:fPr>
                            <m:ctrlPr>
                              <w:rPr>
                                <w:rFonts w:ascii="Cambria Math" w:hAnsi="Cambria Math" w:cs="CMR12"/>
                                <w:i/>
                                <w:szCs w:val="24"/>
                                <w:lang w:val="en-US"/>
                              </w:rPr>
                            </m:ctrlPr>
                          </m:fPr>
                          <m:num>
                            <m:sSup>
                              <m:sSupPr>
                                <m:ctrlPr>
                                  <w:rPr>
                                    <w:rFonts w:ascii="Cambria Math" w:hAnsi="Cambria Math" w:cs="CMR12"/>
                                    <w:i/>
                                    <w:szCs w:val="24"/>
                                    <w:lang w:val="en-US"/>
                                  </w:rPr>
                                </m:ctrlPr>
                              </m:sSupPr>
                              <m:e>
                                <m:r>
                                  <w:rPr>
                                    <w:rFonts w:ascii="Cambria Math" w:hAnsi="Cambria Math" w:cs="CMR12"/>
                                    <w:szCs w:val="24"/>
                                    <w:lang w:val="en-US"/>
                                  </w:rPr>
                                  <m:t>σ</m:t>
                                </m:r>
                              </m:e>
                              <m:sup>
                                <m:r>
                                  <w:rPr>
                                    <w:rFonts w:ascii="Cambria Math" w:hAnsi="Cambria Math" w:cs="CMR12"/>
                                    <w:szCs w:val="24"/>
                                    <w:lang w:val="en-US"/>
                                  </w:rPr>
                                  <m:t>2</m:t>
                                </m:r>
                              </m:sup>
                            </m:sSup>
                          </m:num>
                          <m:den>
                            <m:r>
                              <w:rPr>
                                <w:rFonts w:ascii="Cambria Math" w:hAnsi="Cambria Math" w:cs="CMR12"/>
                                <w:szCs w:val="24"/>
                                <w:lang w:val="en-US"/>
                              </w:rPr>
                              <m:t>2</m:t>
                            </m:r>
                          </m:den>
                        </m:f>
                      </m:e>
                    </m:d>
                    <m:d>
                      <m:dPr>
                        <m:ctrlPr>
                          <w:rPr>
                            <w:rFonts w:ascii="Cambria Math" w:hAnsi="Cambria Math" w:cs="CMR12"/>
                            <w:i/>
                            <w:szCs w:val="24"/>
                            <w:lang w:val="en-US"/>
                          </w:rPr>
                        </m:ctrlPr>
                      </m:dPr>
                      <m:e>
                        <m:r>
                          <w:rPr>
                            <w:rFonts w:ascii="Cambria Math" w:hAnsi="Cambria Math" w:cs="CMR12"/>
                            <w:szCs w:val="24"/>
                            <w:lang w:val="en-US"/>
                          </w:rPr>
                          <m:t>T-t</m:t>
                        </m:r>
                      </m:e>
                    </m:d>
                  </m:e>
                </m:d>
              </m:oMath>
            </m:oMathPara>
          </w:p>
          <w:p w:rsidR="009F2A67" w:rsidRPr="00FF0C30" w:rsidRDefault="009F2A67" w:rsidP="009F2A67">
            <w:pPr>
              <w:ind w:left="1416"/>
              <w:rPr>
                <w:rFonts w:ascii="CMR12" w:hAnsi="CMR12" w:cs="CMR12"/>
                <w:szCs w:val="24"/>
                <w:lang w:val="en-US"/>
              </w:rPr>
            </w:pPr>
            <m:oMathPara>
              <m:oMathParaPr>
                <m:jc m:val="left"/>
              </m:oMathParaPr>
              <m:oMath>
                <m:sSub>
                  <m:sSubPr>
                    <m:ctrlPr>
                      <w:rPr>
                        <w:rFonts w:ascii="Cambria Math" w:hAnsi="Cambria Math" w:cs="CMR12"/>
                        <w:i/>
                        <w:szCs w:val="24"/>
                        <w:lang w:val="en-US"/>
                      </w:rPr>
                    </m:ctrlPr>
                  </m:sSubPr>
                  <m:e>
                    <m:r>
                      <w:rPr>
                        <w:rFonts w:ascii="Cambria Math" w:hAnsi="Cambria Math" w:cs="CMR12"/>
                        <w:szCs w:val="24"/>
                        <w:lang w:val="en-US"/>
                      </w:rPr>
                      <m:t>d</m:t>
                    </m:r>
                  </m:e>
                  <m:sub>
                    <m:r>
                      <w:rPr>
                        <w:rFonts w:ascii="Cambria Math" w:hAnsi="Cambria Math" w:cs="CMR12"/>
                        <w:szCs w:val="24"/>
                        <w:lang w:val="en-US"/>
                      </w:rPr>
                      <m:t>2</m:t>
                    </m:r>
                  </m:sub>
                </m:sSub>
                <m:r>
                  <w:rPr>
                    <w:rFonts w:ascii="Cambria Math" w:hAnsi="Cambria Math" w:cs="CMR12"/>
                    <w:szCs w:val="24"/>
                    <w:lang w:val="en-US"/>
                  </w:rPr>
                  <m:t>=</m:t>
                </m:r>
                <m:sSub>
                  <m:sSubPr>
                    <m:ctrlPr>
                      <w:rPr>
                        <w:rFonts w:ascii="Cambria Math" w:hAnsi="Cambria Math" w:cs="CMR12"/>
                        <w:i/>
                        <w:szCs w:val="24"/>
                        <w:lang w:val="en-US"/>
                      </w:rPr>
                    </m:ctrlPr>
                  </m:sSubPr>
                  <m:e>
                    <m:r>
                      <w:rPr>
                        <w:rFonts w:ascii="Cambria Math" w:hAnsi="Cambria Math" w:cs="CMR12"/>
                        <w:szCs w:val="24"/>
                        <w:lang w:val="en-US"/>
                      </w:rPr>
                      <m:t>d</m:t>
                    </m:r>
                  </m:e>
                  <m:sub>
                    <m:r>
                      <w:rPr>
                        <w:rFonts w:ascii="Cambria Math" w:hAnsi="Cambria Math" w:cs="CMR12"/>
                        <w:szCs w:val="24"/>
                        <w:lang w:val="en-US"/>
                      </w:rPr>
                      <m:t>1</m:t>
                    </m:r>
                  </m:sub>
                </m:sSub>
                <m:r>
                  <w:rPr>
                    <w:rFonts w:ascii="Cambria Math" w:hAnsi="Cambria Math" w:cs="CMR12"/>
                    <w:szCs w:val="24"/>
                    <w:lang w:val="en-US"/>
                  </w:rPr>
                  <m:t xml:space="preserve">- </m:t>
                </m:r>
                <m:r>
                  <w:rPr>
                    <w:rFonts w:ascii="Cambria Math" w:hAnsi="Cambria Math" w:cs="CMR12"/>
                    <w:szCs w:val="24"/>
                    <w:lang w:val="en-US"/>
                  </w:rPr>
                  <m:t xml:space="preserve">σ </m:t>
                </m:r>
                <m:rad>
                  <m:radPr>
                    <m:degHide m:val="1"/>
                    <m:ctrlPr>
                      <w:rPr>
                        <w:rFonts w:ascii="Cambria Math" w:hAnsi="Cambria Math" w:cs="CMR12"/>
                        <w:i/>
                        <w:szCs w:val="24"/>
                        <w:lang w:val="en-US"/>
                      </w:rPr>
                    </m:ctrlPr>
                  </m:radPr>
                  <m:deg/>
                  <m:e>
                    <m:r>
                      <w:rPr>
                        <w:rFonts w:ascii="Cambria Math" w:hAnsi="Cambria Math" w:cs="CMR12"/>
                        <w:szCs w:val="24"/>
                        <w:lang w:val="en-US"/>
                      </w:rPr>
                      <m:t>T-t</m:t>
                    </m:r>
                  </m:e>
                </m:rad>
                <m:r>
                  <w:rPr>
                    <w:rFonts w:ascii="Cambria Math" w:hAnsi="Cambria Math" w:cs="CMR12"/>
                    <w:szCs w:val="24"/>
                    <w:lang w:val="en-US"/>
                  </w:rPr>
                  <m:t xml:space="preserve"> </m:t>
                </m:r>
              </m:oMath>
            </m:oMathPara>
          </w:p>
          <w:p w:rsidR="009F2A67" w:rsidRDefault="009F2A67" w:rsidP="00E270C6">
            <w:pPr>
              <w:rPr>
                <w:rFonts w:cs="Times New Roman"/>
                <w:i/>
                <w:szCs w:val="24"/>
                <w:lang w:val="en-US"/>
              </w:rPr>
            </w:pPr>
          </w:p>
        </w:tc>
        <w:tc>
          <w:tcPr>
            <w:tcW w:w="278" w:type="dxa"/>
          </w:tcPr>
          <w:p w:rsidR="009F2A67" w:rsidRPr="009F2A67" w:rsidRDefault="009F2A67" w:rsidP="009F2A67">
            <w:pPr>
              <w:pStyle w:val="ac"/>
              <w:rPr>
                <w:rFonts w:cs="Times New Roman"/>
                <w:szCs w:val="24"/>
              </w:rPr>
            </w:pPr>
            <w:bookmarkStart w:id="27" w:name="_Ref484011424"/>
            <w:r>
              <w:rPr>
                <w:rFonts w:cs="Times New Roman"/>
                <w:szCs w:val="24"/>
              </w:rPr>
              <w:t>(</w:t>
            </w:r>
            <w:r w:rsidR="008F1F91">
              <w:rPr>
                <w:rFonts w:cs="Times New Roman"/>
                <w:szCs w:val="24"/>
              </w:rPr>
              <w:fldChar w:fldCharType="begin"/>
            </w:r>
            <w:r w:rsidR="008F1F91">
              <w:rPr>
                <w:rFonts w:cs="Times New Roman"/>
                <w:szCs w:val="24"/>
              </w:rPr>
              <w:instrText xml:space="preserve"> STYLEREF 1 \s </w:instrText>
            </w:r>
            <w:r w:rsidR="008F1F91">
              <w:rPr>
                <w:rFonts w:cs="Times New Roman"/>
                <w:szCs w:val="24"/>
              </w:rPr>
              <w:fldChar w:fldCharType="separate"/>
            </w:r>
            <w:r w:rsidR="008324C6">
              <w:rPr>
                <w:rFonts w:cs="Times New Roman"/>
                <w:noProof/>
                <w:szCs w:val="24"/>
              </w:rPr>
              <w:t>1</w:t>
            </w:r>
            <w:r w:rsidR="008F1F91">
              <w:rPr>
                <w:rFonts w:cs="Times New Roman"/>
                <w:szCs w:val="24"/>
              </w:rPr>
              <w:fldChar w:fldCharType="end"/>
            </w:r>
            <w:r w:rsidR="008F1F91">
              <w:rPr>
                <w:rFonts w:cs="Times New Roman"/>
                <w:szCs w:val="24"/>
              </w:rPr>
              <w:t>.</w:t>
            </w:r>
            <w:r w:rsidR="008F1F91">
              <w:rPr>
                <w:rFonts w:cs="Times New Roman"/>
                <w:szCs w:val="24"/>
              </w:rPr>
              <w:fldChar w:fldCharType="begin"/>
            </w:r>
            <w:r w:rsidR="008F1F91">
              <w:rPr>
                <w:rFonts w:cs="Times New Roman"/>
                <w:szCs w:val="24"/>
              </w:rPr>
              <w:instrText xml:space="preserve"> SEQ Formula \* ARABIC \s 1 </w:instrText>
            </w:r>
            <w:r w:rsidR="008F1F91">
              <w:rPr>
                <w:rFonts w:cs="Times New Roman"/>
                <w:szCs w:val="24"/>
              </w:rPr>
              <w:fldChar w:fldCharType="separate"/>
            </w:r>
            <w:r w:rsidR="008324C6">
              <w:rPr>
                <w:rFonts w:cs="Times New Roman"/>
                <w:noProof/>
                <w:szCs w:val="24"/>
              </w:rPr>
              <w:t>12</w:t>
            </w:r>
            <w:r w:rsidR="008F1F91">
              <w:rPr>
                <w:rFonts w:cs="Times New Roman"/>
                <w:szCs w:val="24"/>
              </w:rPr>
              <w:fldChar w:fldCharType="end"/>
            </w:r>
            <w:bookmarkEnd w:id="27"/>
            <w:r>
              <w:rPr>
                <w:rFonts w:cs="Times New Roman"/>
                <w:szCs w:val="24"/>
              </w:rPr>
              <w:t>)</w:t>
            </w:r>
          </w:p>
          <w:p w:rsidR="009F2A67" w:rsidRDefault="009F2A67" w:rsidP="009F2A67">
            <w:pPr>
              <w:keepNext/>
              <w:rPr>
                <w:rFonts w:cs="Times New Roman"/>
                <w:i/>
                <w:szCs w:val="24"/>
                <w:lang w:val="en-US"/>
              </w:rPr>
            </w:pPr>
          </w:p>
        </w:tc>
      </w:tr>
    </w:tbl>
    <w:p w:rsidR="00E270C6" w:rsidRPr="007342BD" w:rsidRDefault="00E270C6" w:rsidP="00E270C6">
      <w:pPr>
        <w:rPr>
          <w:rFonts w:cs="Times New Roman"/>
          <w:i/>
          <w:szCs w:val="24"/>
          <w:lang w:val="en-US"/>
        </w:rPr>
      </w:pPr>
      <w:r w:rsidRPr="007342BD">
        <w:rPr>
          <w:rFonts w:cs="Times New Roman"/>
          <w:i/>
          <w:szCs w:val="24"/>
          <w:lang w:val="en-US"/>
        </w:rPr>
        <w:t>where:</w:t>
      </w:r>
    </w:p>
    <w:p w:rsidR="009F2A67" w:rsidRPr="009F2A67" w:rsidRDefault="009F2A67" w:rsidP="009F2A67">
      <w:pPr>
        <w:pStyle w:val="a4"/>
        <w:ind w:left="1416"/>
        <w:rPr>
          <w:lang w:val="en-US"/>
        </w:rPr>
      </w:pPr>
      <m:oMath>
        <m:r>
          <w:rPr>
            <w:rFonts w:ascii="Cambria Math" w:hAnsi="Cambria Math" w:cs="CMR12"/>
            <w:szCs w:val="24"/>
            <w:lang w:val="en-US"/>
          </w:rPr>
          <m:t>N</m:t>
        </m:r>
        <m:d>
          <m:dPr>
            <m:ctrlPr>
              <w:rPr>
                <w:rFonts w:ascii="Cambria Math" w:hAnsi="Cambria Math" w:cs="CMR12"/>
                <w:i/>
                <w:szCs w:val="24"/>
                <w:lang w:val="en-US"/>
              </w:rPr>
            </m:ctrlPr>
          </m:dPr>
          <m:e>
            <m:r>
              <w:rPr>
                <w:rFonts w:ascii="Cambria Math" w:hAnsi="Cambria Math" w:cs="CMR12"/>
                <w:szCs w:val="24"/>
                <w:lang w:val="en-US"/>
              </w:rPr>
              <m:t>∙</m:t>
            </m:r>
          </m:e>
        </m:d>
      </m:oMath>
      <w:r w:rsidRPr="009F2A67">
        <w:rPr>
          <w:lang w:val="en-US"/>
        </w:rPr>
        <w:t xml:space="preserve"> is the cumulative distribution function of the standard normal distribution</w:t>
      </w:r>
    </w:p>
    <w:p w:rsidR="009F2A67" w:rsidRPr="009F2A67" w:rsidRDefault="009F2A67" w:rsidP="009F2A67">
      <w:pPr>
        <w:pStyle w:val="a4"/>
        <w:ind w:left="1416"/>
        <w:rPr>
          <w:lang w:val="en-US"/>
        </w:rPr>
      </w:pPr>
      <m:oMath>
        <m:r>
          <w:rPr>
            <w:rFonts w:ascii="Cambria Math" w:hAnsi="Cambria Math" w:cs="CMR12"/>
            <w:szCs w:val="24"/>
            <w:lang w:val="en-US"/>
          </w:rPr>
          <m:t>T-t</m:t>
        </m:r>
      </m:oMath>
      <w:r w:rsidRPr="009F2A67">
        <w:rPr>
          <w:lang w:val="en-US"/>
        </w:rPr>
        <w:t xml:space="preserve"> is the time to maturity (expressed in years)</w:t>
      </w:r>
    </w:p>
    <w:p w:rsidR="009F2A67" w:rsidRPr="009F2A67" w:rsidRDefault="009F2A67" w:rsidP="009F2A67">
      <w:pPr>
        <w:pStyle w:val="a4"/>
        <w:ind w:left="1416"/>
        <w:rPr>
          <w:lang w:val="en-US"/>
        </w:rPr>
      </w:pPr>
      <m:oMath>
        <m:sSub>
          <m:sSubPr>
            <m:ctrlPr>
              <w:rPr>
                <w:rFonts w:ascii="Cambria Math" w:hAnsi="Cambria Math" w:cs="CMR12"/>
                <w:i/>
                <w:szCs w:val="24"/>
                <w:lang w:val="en-US"/>
              </w:rPr>
            </m:ctrlPr>
          </m:sSubPr>
          <m:e>
            <m:r>
              <w:rPr>
                <w:rFonts w:ascii="Cambria Math" w:hAnsi="Cambria Math" w:cs="CMR12"/>
                <w:szCs w:val="24"/>
                <w:lang w:val="en-US"/>
              </w:rPr>
              <m:t>S</m:t>
            </m:r>
          </m:e>
          <m:sub>
            <m:r>
              <w:rPr>
                <w:rFonts w:ascii="Cambria Math" w:hAnsi="Cambria Math" w:cs="CMR12"/>
                <w:szCs w:val="24"/>
                <w:lang w:val="en-US"/>
              </w:rPr>
              <m:t>t</m:t>
            </m:r>
          </m:sub>
        </m:sSub>
      </m:oMath>
      <w:r w:rsidRPr="009F2A67">
        <w:rPr>
          <w:lang w:val="en-US"/>
        </w:rPr>
        <w:t xml:space="preserve"> is the spot price of the underlying asset</w:t>
      </w:r>
    </w:p>
    <w:p w:rsidR="009F2A67" w:rsidRPr="009F2A67" w:rsidRDefault="009F2A67" w:rsidP="009F2A67">
      <w:pPr>
        <w:pStyle w:val="a4"/>
        <w:ind w:left="1416"/>
        <w:rPr>
          <w:lang w:val="en-US"/>
        </w:rPr>
      </w:pPr>
      <w:r w:rsidRPr="009F2A67">
        <w:rPr>
          <w:i/>
          <w:lang w:val="en-US"/>
        </w:rPr>
        <w:t>K</w:t>
      </w:r>
      <w:r w:rsidRPr="009F2A67">
        <w:rPr>
          <w:lang w:val="en-US"/>
        </w:rPr>
        <w:t xml:space="preserve"> is the strike price</w:t>
      </w:r>
    </w:p>
    <w:p w:rsidR="009F2A67" w:rsidRPr="009F2A67" w:rsidRDefault="009F2A67" w:rsidP="009F2A67">
      <w:pPr>
        <w:pStyle w:val="a4"/>
        <w:ind w:left="1416"/>
        <w:rPr>
          <w:lang w:val="en-US"/>
        </w:rPr>
      </w:pPr>
      <w:r w:rsidRPr="009F2A67">
        <w:rPr>
          <w:i/>
          <w:lang w:val="en-US"/>
        </w:rPr>
        <w:t>r</w:t>
      </w:r>
      <w:r w:rsidRPr="009F2A67">
        <w:rPr>
          <w:lang w:val="en-US"/>
        </w:rPr>
        <w:t xml:space="preserve"> is the risk free rate (annual rate, expressed in terms of continuous compounding)</w:t>
      </w:r>
    </w:p>
    <w:p w:rsidR="009F2A67" w:rsidRDefault="009F2A67" w:rsidP="009F2A67">
      <w:pPr>
        <w:ind w:left="708" w:firstLine="708"/>
        <w:rPr>
          <w:lang w:val="en-US"/>
        </w:rPr>
      </w:pPr>
      <m:oMath>
        <m:r>
          <w:rPr>
            <w:rFonts w:ascii="Cambria Math" w:hAnsi="Cambria Math" w:cs="CMR12"/>
            <w:szCs w:val="24"/>
            <w:lang w:val="en-US"/>
          </w:rPr>
          <m:t>σ</m:t>
        </m:r>
      </m:oMath>
      <w:r w:rsidRPr="009F2A67">
        <w:rPr>
          <w:lang w:val="en-US"/>
        </w:rPr>
        <w:t xml:space="preserve"> is the volatility of returns of the underlying asset</w:t>
      </w:r>
    </w:p>
    <w:p w:rsidR="0019295E" w:rsidRDefault="0019295E" w:rsidP="009F2A67">
      <w:pPr>
        <w:rPr>
          <w:rFonts w:cs="Times New Roman"/>
          <w:szCs w:val="24"/>
          <w:lang w:val="en-US"/>
        </w:rPr>
      </w:pPr>
      <w:r>
        <w:rPr>
          <w:rFonts w:cs="Times New Roman"/>
          <w:szCs w:val="24"/>
          <w:lang w:val="en-US"/>
        </w:rPr>
        <w:t xml:space="preserve">Correct estimation with </w:t>
      </w:r>
      <w:r w:rsidR="00E270C6" w:rsidRPr="00FF0C30">
        <w:rPr>
          <w:rFonts w:cs="Times New Roman"/>
          <w:szCs w:val="24"/>
          <w:lang w:val="en-US"/>
        </w:rPr>
        <w:t xml:space="preserve">Black Scholes equation </w:t>
      </w:r>
      <w:r>
        <w:rPr>
          <w:rFonts w:cs="Times New Roman"/>
          <w:szCs w:val="24"/>
          <w:lang w:val="en-US"/>
        </w:rPr>
        <w:t xml:space="preserve">requires understanding of underlying premises. The equation </w:t>
      </w:r>
      <w:r w:rsidR="00E270C6" w:rsidRPr="00FF0C30">
        <w:rPr>
          <w:rFonts w:cs="Times New Roman"/>
          <w:szCs w:val="24"/>
          <w:lang w:val="en-US"/>
        </w:rPr>
        <w:t xml:space="preserve">is based on two </w:t>
      </w:r>
      <w:r>
        <w:rPr>
          <w:rFonts w:cs="Times New Roman"/>
          <w:szCs w:val="24"/>
          <w:lang w:val="en-US"/>
        </w:rPr>
        <w:t xml:space="preserve">main assumptions, which are more-in-detail described below, following </w:t>
      </w: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"Cesena", "given" : "Eduardo Alejandro Martinez", "non-dropping-particle" : "", "parse-names" : false, "suffix" : "" } ], "id" : "ITEM-1", "issued" : { "date-parts" : [ [ "2012" ] ] }, "title" : "Real Options Theory Applied to Renewable Energy Generation Projects Planning", "type" : "article-journal" }, "uris" : [ "http://www.mendeley.com/documents/?uuid=f9bb843b-aa6c-3046-9588-8e25b61538bd" ] } ], "mendeley" : { "formattedCitation" : "(Cesena 2012)", "plainTextFormattedCitation" : "(Cesena 2012)", "previouslyFormattedCitation" : "(Cesena 2012)"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(Cesena 2012)</w:t>
      </w:r>
      <w:r>
        <w:rPr>
          <w:rFonts w:cs="Times New Roman"/>
          <w:szCs w:val="24"/>
          <w:lang w:val="en-US"/>
        </w:rPr>
        <w:fldChar w:fldCharType="end"/>
      </w:r>
      <w:r w:rsidR="00E270C6" w:rsidRPr="00FF0C30">
        <w:rPr>
          <w:rFonts w:cs="Times New Roman"/>
          <w:szCs w:val="24"/>
          <w:lang w:val="en-US"/>
        </w:rPr>
        <w:t xml:space="preserve">: </w:t>
      </w:r>
    </w:p>
    <w:p w:rsidR="0019295E" w:rsidRDefault="0019295E" w:rsidP="00B7274B">
      <w:pPr>
        <w:pStyle w:val="a3"/>
        <w:numPr>
          <w:ilvl w:val="0"/>
          <w:numId w:val="8"/>
        </w:numPr>
        <w:rPr>
          <w:rFonts w:cs="Times New Roman"/>
          <w:szCs w:val="24"/>
          <w:lang w:val="en-US"/>
        </w:rPr>
      </w:pPr>
      <w:r>
        <w:rPr>
          <w:rFonts w:cs="Times New Roman"/>
          <w:szCs w:val="24"/>
          <w:lang w:val="en-US"/>
        </w:rPr>
        <w:lastRenderedPageBreak/>
        <w:t>T</w:t>
      </w:r>
      <w:r w:rsidR="00E270C6" w:rsidRPr="0019295E">
        <w:rPr>
          <w:rFonts w:cs="Times New Roman"/>
          <w:szCs w:val="24"/>
          <w:lang w:val="en-US"/>
        </w:rPr>
        <w:t xml:space="preserve">he financial option is traded in a market with no arbitrage opportunities, which allows the use </w:t>
      </w:r>
      <w:r w:rsidRPr="0019295E">
        <w:rPr>
          <w:rFonts w:cs="Times New Roman"/>
          <w:szCs w:val="24"/>
          <w:lang w:val="en-US"/>
        </w:rPr>
        <w:t>of the risk free interest rate</w:t>
      </w:r>
      <w:r>
        <w:rPr>
          <w:rFonts w:cs="Times New Roman"/>
          <w:szCs w:val="24"/>
          <w:lang w:val="en-US"/>
        </w:rPr>
        <w:t>.</w:t>
      </w:r>
    </w:p>
    <w:p w:rsidR="0019295E" w:rsidRPr="0019295E" w:rsidRDefault="0019295E" w:rsidP="00B7274B">
      <w:pPr>
        <w:pStyle w:val="a3"/>
        <w:numPr>
          <w:ilvl w:val="0"/>
          <w:numId w:val="8"/>
        </w:numPr>
        <w:rPr>
          <w:rFonts w:cs="Times New Roman"/>
          <w:szCs w:val="24"/>
          <w:lang w:val="en-US"/>
        </w:rPr>
      </w:pPr>
      <w:r w:rsidRPr="0019295E">
        <w:rPr>
          <w:rFonts w:cs="Times New Roman"/>
          <w:szCs w:val="24"/>
          <w:lang w:val="en-US"/>
        </w:rPr>
        <w:t>T</w:t>
      </w:r>
      <w:r w:rsidR="00E270C6" w:rsidRPr="0019295E">
        <w:rPr>
          <w:rFonts w:cs="Times New Roman"/>
          <w:szCs w:val="24"/>
          <w:lang w:val="en-US"/>
        </w:rPr>
        <w:t xml:space="preserve">he price of the product that is addressed by the financial option is uncertain and it follows a geometric Brownian motion. </w:t>
      </w:r>
    </w:p>
    <w:p w:rsidR="0019295E" w:rsidRDefault="0019295E" w:rsidP="0019295E">
      <w:pPr>
        <w:pStyle w:val="5"/>
        <w:rPr>
          <w:rFonts w:ascii="CMR12" w:hAnsi="CMR12" w:cs="CMR12"/>
          <w:lang w:val="en-US"/>
        </w:rPr>
      </w:pPr>
      <w:r>
        <w:rPr>
          <w:lang w:val="en-US"/>
        </w:rPr>
        <w:t>N</w:t>
      </w:r>
      <w:r w:rsidRPr="0019295E">
        <w:rPr>
          <w:lang w:val="en-US"/>
        </w:rPr>
        <w:t>o arbitrage opportunities</w:t>
      </w:r>
    </w:p>
    <w:p w:rsidR="00E270C6" w:rsidRPr="00FF0C30" w:rsidRDefault="00E270C6" w:rsidP="00E270C6">
      <w:pPr>
        <w:rPr>
          <w:rFonts w:ascii="CMR12" w:hAnsi="CMR12" w:cs="CMR12"/>
          <w:szCs w:val="24"/>
          <w:lang w:val="en-US"/>
        </w:rPr>
      </w:pPr>
      <w:r w:rsidRPr="00FF0C30">
        <w:rPr>
          <w:rFonts w:ascii="CMR12" w:hAnsi="CMR12" w:cs="CMR12"/>
          <w:szCs w:val="24"/>
          <w:lang w:val="en-US"/>
        </w:rPr>
        <w:t xml:space="preserve">It is said that there is arbitrage when an investor can use a set of transactions to guarantee obtaining a risk free profit. In practice, it can be reasonable to assume no arbitrage for stock prices, as arbitrage opportunities do not last long due to the forces of supply and demand. That is, investors would start securing products at low prices, increasing the demand of the product and causing a price increase; and would sell it in another market at higher prices, increasing the supply and causing a price decrease. This would balance the price of the product in both markets. </w:t>
      </w:r>
    </w:p>
    <w:p w:rsidR="00E270C6" w:rsidRPr="00FF0C30" w:rsidRDefault="00E270C6" w:rsidP="00E270C6">
      <w:pPr>
        <w:rPr>
          <w:rFonts w:cs="Times New Roman"/>
          <w:szCs w:val="24"/>
          <w:lang w:val="en-US"/>
        </w:rPr>
      </w:pPr>
      <w:r w:rsidRPr="00FF0C30">
        <w:rPr>
          <w:rFonts w:ascii="CMR12" w:hAnsi="CMR12" w:cs="CMR12"/>
          <w:szCs w:val="24"/>
          <w:lang w:val="en-US"/>
        </w:rPr>
        <w:t xml:space="preserve">The no arbitrage assumption facilitates the assessment of financial options. Under no arbitrage conditions, uncertainty affects equally the product price and any financial options associated with it. As a result, a portfolio of products and financial options can be made in such a way that their value becomes certain, which allows the use of the risk free interest rate. Once such a portfolio is found, the value of the options must be such that the risk free value of the portfolio becomes zero. </w:t>
      </w:r>
    </w:p>
    <w:p w:rsidR="00E270C6" w:rsidRPr="009E7598" w:rsidRDefault="00E270C6" w:rsidP="00E270C6">
      <w:pPr>
        <w:pStyle w:val="5"/>
        <w:rPr>
          <w:lang w:val="en-US"/>
        </w:rPr>
      </w:pPr>
      <w:r w:rsidRPr="009E7598">
        <w:rPr>
          <w:lang w:val="en-US"/>
        </w:rPr>
        <w:t xml:space="preserve">Geometric Brownian motion </w:t>
      </w:r>
    </w:p>
    <w:p w:rsidR="00E270C6" w:rsidRPr="00FF0C30" w:rsidRDefault="0019295E" w:rsidP="00E270C6">
      <w:pPr>
        <w:rPr>
          <w:rFonts w:cs="Times New Roman"/>
          <w:szCs w:val="24"/>
          <w:lang w:val="en-US"/>
        </w:rPr>
      </w:pPr>
      <w:r>
        <w:rPr>
          <w:rFonts w:cs="Times New Roman"/>
          <w:szCs w:val="24"/>
          <w:lang w:val="en-US"/>
        </w:rPr>
        <w:t>N</w:t>
      </w:r>
      <w:r w:rsidR="00E270C6" w:rsidRPr="00FF0C30">
        <w:rPr>
          <w:rFonts w:cs="Times New Roman"/>
          <w:szCs w:val="24"/>
          <w:lang w:val="en-US"/>
        </w:rPr>
        <w:t xml:space="preserve">o arbitrage cost of a financial option can be easily determined for a small amount of scenarios for the price of the product. However, in practice, the evolution of the price of a product has to be modelled with more complex processes, such as the geometric Brownian motion. </w:t>
      </w:r>
      <w:r w:rsidR="009F2A67">
        <w:rPr>
          <w:rFonts w:cs="Times New Roman"/>
          <w:szCs w:val="24"/>
          <w:lang w:val="en-US"/>
        </w:rPr>
        <w:fldChar w:fldCharType="begin" w:fldLock="1"/>
      </w:r>
      <w:r w:rsidR="0063490B">
        <w:rPr>
          <w:rFonts w:cs="Times New Roman"/>
          <w:szCs w:val="24"/>
          <w:lang w:val="en-US"/>
        </w:rPr>
        <w:instrText>ADDIN CSL_CITATION { "citationItems" : [ { "id" : "ITEM-1", "itemData" : { "author" : [ { "dropping-particle" : "", "family" : "Cesena", "given" : "Eduardo Alejandro Martinez", "non-dropping-particle" : "", "parse-names" : false, "suffix" : "" } ], "id" : "ITEM-1", "issued" : { "date-parts" : [ [ "2012" ] ] }, "title" : "Real Options Theory Applied to Renewable Energy Generation Projects Planning", "type" : "article-journal" }, "uris" : [ "http://www.mendeley.com/documents/?uuid=f9bb843b-aa6c-3046-9588-8e25b61538bd" ] } ], "mendeley" : { "formattedCitation" : "(Cesena 2012)", "plainTextFormattedCitation" : "(Cesena 2012)", "previouslyFormattedCitation" : "(Cesena 2012)" }, "properties" : { "noteIndex" : 0 }, "schema" : "https://github.com/citation-style-language/schema/raw/master/csl-citation.json" }</w:instrText>
      </w:r>
      <w:r w:rsidR="009F2A67">
        <w:rPr>
          <w:rFonts w:cs="Times New Roman"/>
          <w:szCs w:val="24"/>
          <w:lang w:val="en-US"/>
        </w:rPr>
        <w:fldChar w:fldCharType="separate"/>
      </w:r>
      <w:r w:rsidR="009F2A67" w:rsidRPr="009F2A67">
        <w:rPr>
          <w:rFonts w:cs="Times New Roman"/>
          <w:noProof/>
          <w:szCs w:val="24"/>
          <w:lang w:val="en-US"/>
        </w:rPr>
        <w:t>(Cesena 2012)</w:t>
      </w:r>
      <w:r w:rsidR="009F2A67">
        <w:rPr>
          <w:rFonts w:cs="Times New Roman"/>
          <w:szCs w:val="24"/>
          <w:lang w:val="en-US"/>
        </w:rPr>
        <w:fldChar w:fldCharType="end"/>
      </w:r>
    </w:p>
    <w:p w:rsidR="00E270C6" w:rsidRPr="00FF0C30" w:rsidRDefault="00E270C6" w:rsidP="00E270C6">
      <w:pPr>
        <w:rPr>
          <w:rFonts w:cs="Times New Roman"/>
          <w:szCs w:val="24"/>
          <w:lang w:val="en-US"/>
        </w:rPr>
      </w:pPr>
      <w:r w:rsidRPr="00FF0C30">
        <w:rPr>
          <w:rFonts w:cs="Times New Roman"/>
          <w:szCs w:val="24"/>
          <w:lang w:val="en-US"/>
        </w:rPr>
        <w:t>The model assumes that:</w:t>
      </w:r>
    </w:p>
    <w:p w:rsidR="00E270C6" w:rsidRPr="007342BD" w:rsidRDefault="00E270C6" w:rsidP="00B7274B">
      <w:pPr>
        <w:pStyle w:val="a3"/>
        <w:numPr>
          <w:ilvl w:val="0"/>
          <w:numId w:val="4"/>
        </w:numPr>
        <w:rPr>
          <w:rFonts w:cs="Times New Roman"/>
          <w:szCs w:val="24"/>
          <w:lang w:val="en-US"/>
        </w:rPr>
      </w:pPr>
      <w:r w:rsidRPr="007342BD">
        <w:rPr>
          <w:rFonts w:cs="Times New Roman"/>
          <w:szCs w:val="24"/>
          <w:lang w:val="en-US"/>
        </w:rPr>
        <w:t xml:space="preserve">the future changes of the variable are independent of its previous values, </w:t>
      </w:r>
    </w:p>
    <w:p w:rsidR="00E270C6" w:rsidRPr="007342BD" w:rsidRDefault="00E270C6" w:rsidP="00B7274B">
      <w:pPr>
        <w:pStyle w:val="a3"/>
        <w:numPr>
          <w:ilvl w:val="0"/>
          <w:numId w:val="4"/>
        </w:numPr>
        <w:rPr>
          <w:rFonts w:cs="Times New Roman"/>
          <w:szCs w:val="24"/>
          <w:lang w:val="en-US"/>
        </w:rPr>
      </w:pPr>
      <w:r w:rsidRPr="007342BD">
        <w:rPr>
          <w:rFonts w:cs="Times New Roman"/>
          <w:szCs w:val="24"/>
          <w:lang w:val="en-US"/>
        </w:rPr>
        <w:t xml:space="preserve">the probability of occurrence of any given percentage change of the variable is independent of its current value, and </w:t>
      </w:r>
    </w:p>
    <w:p w:rsidR="00E270C6" w:rsidRPr="007342BD" w:rsidRDefault="00E270C6" w:rsidP="00B7274B">
      <w:pPr>
        <w:pStyle w:val="a3"/>
        <w:numPr>
          <w:ilvl w:val="0"/>
          <w:numId w:val="4"/>
        </w:numPr>
        <w:rPr>
          <w:rFonts w:cs="Times New Roman"/>
          <w:szCs w:val="24"/>
          <w:lang w:val="en-US"/>
        </w:rPr>
      </w:pPr>
      <w:r w:rsidRPr="007342BD">
        <w:rPr>
          <w:rFonts w:cs="Times New Roman"/>
          <w:szCs w:val="24"/>
          <w:lang w:val="en-US"/>
        </w:rPr>
        <w:t xml:space="preserve">the variable is always positive. </w:t>
      </w:r>
    </w:p>
    <w:p w:rsidR="00E270C6" w:rsidRPr="00FF0C30" w:rsidRDefault="00E270C6" w:rsidP="0019295E">
      <w:pPr>
        <w:rPr>
          <w:rFonts w:cs="Times New Roman"/>
          <w:szCs w:val="24"/>
          <w:lang w:val="en-US"/>
        </w:rPr>
      </w:pPr>
      <w:r w:rsidRPr="00FF0C30">
        <w:rPr>
          <w:rFonts w:cs="Times New Roman"/>
          <w:szCs w:val="24"/>
          <w:lang w:val="en-US"/>
        </w:rPr>
        <w:t xml:space="preserve">These assumptions can be included in the model by making the random variable </w:t>
      </w:r>
      <w:r w:rsidRPr="00FF0C30">
        <w:rPr>
          <w:rFonts w:cs="Times New Roman"/>
          <w:i/>
          <w:szCs w:val="24"/>
          <w:lang w:val="en-US"/>
        </w:rPr>
        <w:t>π</w:t>
      </w:r>
      <w:r w:rsidRPr="00FF0C30">
        <w:rPr>
          <w:rFonts w:cs="Times New Roman"/>
          <w:i/>
          <w:szCs w:val="24"/>
          <w:vertAlign w:val="subscript"/>
          <w:lang w:val="en-US"/>
        </w:rPr>
        <w:t>t+t2 </w:t>
      </w:r>
      <w:r w:rsidRPr="00FF0C30">
        <w:rPr>
          <w:rFonts w:cs="Times New Roman"/>
          <w:szCs w:val="24"/>
          <w:lang w:val="en-US"/>
        </w:rPr>
        <w:t>/</w:t>
      </w:r>
      <w:r w:rsidRPr="00FF0C30">
        <w:rPr>
          <w:rFonts w:cs="Times New Roman"/>
          <w:i/>
          <w:szCs w:val="24"/>
          <w:lang w:val="en-US"/>
        </w:rPr>
        <w:t> π</w:t>
      </w:r>
      <w:r w:rsidRPr="00FF0C30">
        <w:rPr>
          <w:rFonts w:cs="Times New Roman"/>
          <w:i/>
          <w:szCs w:val="24"/>
          <w:vertAlign w:val="subscript"/>
          <w:lang w:val="en-US"/>
        </w:rPr>
        <w:t>t</w:t>
      </w:r>
      <w:r w:rsidRPr="00FF0C30">
        <w:rPr>
          <w:rFonts w:cs="Times New Roman"/>
          <w:szCs w:val="24"/>
          <w:lang w:val="en-US"/>
        </w:rPr>
        <w:t xml:space="preserve"> independent </w:t>
      </w:r>
      <w:r w:rsidR="009F2A67">
        <w:rPr>
          <w:rFonts w:cs="Times New Roman"/>
          <w:szCs w:val="24"/>
          <w:lang w:val="en-US"/>
        </w:rPr>
        <w:t>of previous prices and making ln</w:t>
      </w:r>
      <w:r w:rsidRPr="00FF0C30">
        <w:rPr>
          <w:rFonts w:cs="Times New Roman"/>
          <w:szCs w:val="24"/>
          <w:lang w:val="en-US"/>
        </w:rPr>
        <w:t> (</w:t>
      </w:r>
      <w:r w:rsidRPr="00FF0C30">
        <w:rPr>
          <w:rFonts w:cs="Times New Roman"/>
          <w:i/>
          <w:szCs w:val="24"/>
          <w:lang w:val="en-US"/>
        </w:rPr>
        <w:t>π</w:t>
      </w:r>
      <w:r w:rsidRPr="00FF0C30">
        <w:rPr>
          <w:rFonts w:cs="Times New Roman"/>
          <w:i/>
          <w:szCs w:val="24"/>
          <w:vertAlign w:val="subscript"/>
          <w:lang w:val="en-US"/>
        </w:rPr>
        <w:t>t+t2 </w:t>
      </w:r>
      <w:r w:rsidRPr="00FF0C30">
        <w:rPr>
          <w:rFonts w:cs="Times New Roman"/>
          <w:szCs w:val="24"/>
          <w:lang w:val="en-US"/>
        </w:rPr>
        <w:t>/ </w:t>
      </w:r>
      <w:r w:rsidRPr="00FF0C30">
        <w:rPr>
          <w:rFonts w:cs="Times New Roman"/>
          <w:i/>
          <w:szCs w:val="24"/>
          <w:lang w:val="en-US"/>
        </w:rPr>
        <w:t>π</w:t>
      </w:r>
      <w:r w:rsidRPr="00FF0C30">
        <w:rPr>
          <w:rFonts w:cs="Times New Roman"/>
          <w:i/>
          <w:szCs w:val="24"/>
          <w:vertAlign w:val="subscript"/>
          <w:lang w:val="en-US"/>
        </w:rPr>
        <w:t>t</w:t>
      </w:r>
      <w:r w:rsidRPr="00FF0C30">
        <w:rPr>
          <w:rFonts w:cs="Times New Roman"/>
          <w:szCs w:val="24"/>
          <w:lang w:val="en-US"/>
        </w:rPr>
        <w:t>) follow a normal distribution. Accordingly, a geometric Brownian mot</w:t>
      </w:r>
      <w:r w:rsidR="009F2A67">
        <w:rPr>
          <w:rFonts w:cs="Times New Roman"/>
          <w:szCs w:val="24"/>
          <w:lang w:val="en-US"/>
        </w:rPr>
        <w:t xml:space="preserve">ion process can be modelled as </w:t>
      </w:r>
      <w:r w:rsidR="009F2A67">
        <w:rPr>
          <w:rFonts w:cs="Times New Roman"/>
          <w:szCs w:val="24"/>
          <w:lang w:val="en-US"/>
        </w:rPr>
        <w:fldChar w:fldCharType="begin"/>
      </w:r>
      <w:r w:rsidR="009F2A67">
        <w:rPr>
          <w:rFonts w:cs="Times New Roman"/>
          <w:szCs w:val="24"/>
          <w:lang w:val="en-US"/>
        </w:rPr>
        <w:instrText xml:space="preserve"> REF _Ref484011633 \h </w:instrText>
      </w:r>
      <w:r w:rsidR="009F2A67">
        <w:rPr>
          <w:rFonts w:cs="Times New Roman"/>
          <w:szCs w:val="24"/>
          <w:lang w:val="en-US"/>
        </w:rPr>
      </w:r>
      <w:r w:rsidR="009F2A67">
        <w:rPr>
          <w:rFonts w:cs="Times New Roman"/>
          <w:szCs w:val="24"/>
          <w:lang w:val="en-US"/>
        </w:rPr>
        <w:fldChar w:fldCharType="separate"/>
      </w:r>
      <w:r w:rsidR="008324C6" w:rsidRPr="008324C6">
        <w:rPr>
          <w:rFonts w:eastAsiaTheme="minorEastAsia" w:cs="Times New Roman"/>
          <w:szCs w:val="24"/>
          <w:lang w:val="en-US"/>
        </w:rPr>
        <w:t>(</w:t>
      </w:r>
      <w:r w:rsidR="008324C6" w:rsidRPr="008324C6">
        <w:rPr>
          <w:rFonts w:eastAsiaTheme="minorEastAsia" w:cs="Times New Roman"/>
          <w:noProof/>
          <w:szCs w:val="24"/>
          <w:lang w:val="en-US"/>
        </w:rPr>
        <w:t>1</w:t>
      </w:r>
      <w:r w:rsidR="008324C6" w:rsidRPr="008324C6">
        <w:rPr>
          <w:rFonts w:eastAsiaTheme="minorEastAsia" w:cs="Times New Roman"/>
          <w:szCs w:val="24"/>
          <w:lang w:val="en-US"/>
        </w:rPr>
        <w:t>.</w:t>
      </w:r>
      <w:r w:rsidR="008324C6" w:rsidRPr="008324C6">
        <w:rPr>
          <w:rFonts w:eastAsiaTheme="minorEastAsia" w:cs="Times New Roman"/>
          <w:noProof/>
          <w:szCs w:val="24"/>
          <w:lang w:val="en-US"/>
        </w:rPr>
        <w:t>13</w:t>
      </w:r>
      <w:r w:rsidR="009F2A67">
        <w:rPr>
          <w:rFonts w:cs="Times New Roman"/>
          <w:szCs w:val="24"/>
          <w:lang w:val="en-US"/>
        </w:rPr>
        <w:fldChar w:fldCharType="end"/>
      </w:r>
      <w:r w:rsidR="0019295E">
        <w:rPr>
          <w:rFonts w:cs="Times New Roman"/>
          <w:szCs w:val="24"/>
          <w:lang w:val="en-US"/>
        </w:rPr>
        <w:t xml:space="preserve">): </w:t>
      </w:r>
    </w:p>
    <w:tbl>
      <w:tblPr>
        <w:tblStyle w:val="af6"/>
        <w:tblW w:w="0" w:type="auto"/>
        <w:tblLook w:val="04A0" w:firstRow="1" w:lastRow="0" w:firstColumn="1" w:lastColumn="0" w:noHBand="0" w:noVBand="1"/>
      </w:tblPr>
      <w:tblGrid>
        <w:gridCol w:w="8655"/>
        <w:gridCol w:w="700"/>
      </w:tblGrid>
      <w:tr w:rsidR="009F2A67" w:rsidTr="009F2A67">
        <w:tc>
          <w:tcPr>
            <w:tcW w:w="9072" w:type="dxa"/>
          </w:tcPr>
          <w:p w:rsidR="009F2A67" w:rsidRDefault="009F2A67" w:rsidP="009F2A67">
            <w:pPr>
              <w:rPr>
                <w:rFonts w:eastAsiaTheme="minorEastAsia" w:cs="Times New Roman"/>
                <w:szCs w:val="24"/>
                <w:lang w:val="en-US"/>
              </w:rPr>
            </w:pPr>
            <m:oMathPara>
              <m:oMath>
                <m:sSub>
                  <m:sSubPr>
                    <m:ctrlPr>
                      <w:rPr>
                        <w:rFonts w:ascii="Cambria Math" w:hAnsi="Cambria Math" w:cs="CMR12"/>
                        <w:i/>
                        <w:szCs w:val="24"/>
                        <w:lang w:val="en-US"/>
                      </w:rPr>
                    </m:ctrlPr>
                  </m:sSubPr>
                  <m:e>
                    <m:r>
                      <w:rPr>
                        <w:rFonts w:ascii="Cambria Math" w:hAnsi="Cambria Math" w:cs="CMR12"/>
                        <w:szCs w:val="24"/>
                        <w:lang w:val="en-US"/>
                      </w:rPr>
                      <m:t>π</m:t>
                    </m:r>
                  </m:e>
                  <m:sub>
                    <m:r>
                      <w:rPr>
                        <w:rFonts w:ascii="Cambria Math" w:hAnsi="Cambria Math" w:cs="CMR12"/>
                        <w:szCs w:val="24"/>
                        <w:lang w:val="en-US"/>
                      </w:rPr>
                      <m:t>t+Δt</m:t>
                    </m:r>
                  </m:sub>
                </m:sSub>
                <m:r>
                  <w:rPr>
                    <w:rFonts w:ascii="Cambria Math" w:hAnsi="Cambria Math" w:cs="CMR12"/>
                    <w:szCs w:val="24"/>
                    <w:lang w:val="en-US"/>
                  </w:rPr>
                  <m:t xml:space="preserve">= </m:t>
                </m:r>
                <m:sSub>
                  <m:sSubPr>
                    <m:ctrlPr>
                      <w:rPr>
                        <w:rFonts w:ascii="Cambria Math" w:hAnsi="Cambria Math" w:cs="CMR12"/>
                        <w:i/>
                        <w:szCs w:val="24"/>
                        <w:lang w:val="en-US"/>
                      </w:rPr>
                    </m:ctrlPr>
                  </m:sSubPr>
                  <m:e>
                    <m:r>
                      <w:rPr>
                        <w:rFonts w:ascii="Cambria Math" w:hAnsi="Cambria Math" w:cs="CMR12"/>
                        <w:szCs w:val="24"/>
                        <w:lang w:val="en-US"/>
                      </w:rPr>
                      <m:t>π</m:t>
                    </m:r>
                  </m:e>
                  <m:sub>
                    <m:r>
                      <w:rPr>
                        <w:rFonts w:ascii="Cambria Math" w:hAnsi="Cambria Math" w:cs="CMR12"/>
                        <w:szCs w:val="24"/>
                        <w:lang w:val="en-US"/>
                      </w:rPr>
                      <m:t>t</m:t>
                    </m:r>
                  </m:sub>
                </m:sSub>
                <m:sSup>
                  <m:sSupPr>
                    <m:ctrlPr>
                      <w:rPr>
                        <w:rFonts w:ascii="Cambria Math" w:hAnsi="Cambria Math" w:cs="CMR12"/>
                        <w:i/>
                        <w:szCs w:val="24"/>
                        <w:lang w:val="en-US"/>
                      </w:rPr>
                    </m:ctrlPr>
                  </m:sSupPr>
                  <m:e>
                    <m:r>
                      <w:rPr>
                        <w:rFonts w:ascii="Cambria Math" w:hAnsi="Cambria Math" w:cs="CMR12"/>
                        <w:szCs w:val="24"/>
                        <w:lang w:val="en-US"/>
                      </w:rPr>
                      <m:t>*e</m:t>
                    </m:r>
                  </m:e>
                  <m:sup>
                    <m:r>
                      <w:rPr>
                        <w:rFonts w:ascii="Cambria Math" w:hAnsi="Cambria Math" w:cs="CMR12"/>
                        <w:szCs w:val="24"/>
                        <w:lang w:val="en-US"/>
                      </w:rPr>
                      <m:t>-0.5</m:t>
                    </m:r>
                    <m:sSup>
                      <m:sSupPr>
                        <m:ctrlPr>
                          <w:rPr>
                            <w:rFonts w:ascii="Cambria Math" w:hAnsi="Cambria Math" w:cs="CMR12"/>
                            <w:i/>
                            <w:szCs w:val="24"/>
                            <w:lang w:val="en-US"/>
                          </w:rPr>
                        </m:ctrlPr>
                      </m:sSupPr>
                      <m:e>
                        <m:r>
                          <w:rPr>
                            <w:rFonts w:ascii="Cambria Math" w:hAnsi="Cambria Math" w:cs="CMR12"/>
                            <w:szCs w:val="24"/>
                            <w:lang w:val="en-US"/>
                          </w:rPr>
                          <m:t>σ</m:t>
                        </m:r>
                      </m:e>
                      <m:sup>
                        <m:r>
                          <w:rPr>
                            <w:rFonts w:ascii="Cambria Math" w:hAnsi="Cambria Math" w:cs="CMR12"/>
                            <w:szCs w:val="24"/>
                            <w:lang w:val="en-US"/>
                          </w:rPr>
                          <m:t>2</m:t>
                        </m:r>
                      </m:sup>
                    </m:sSup>
                    <m:r>
                      <w:rPr>
                        <w:rFonts w:ascii="Cambria Math" w:hAnsi="Cambria Math" w:cs="CMR12"/>
                        <w:szCs w:val="24"/>
                        <w:lang w:val="en-US"/>
                      </w:rPr>
                      <m:t>Δt+N</m:t>
                    </m:r>
                    <m:d>
                      <m:dPr>
                        <m:ctrlPr>
                          <w:rPr>
                            <w:rFonts w:ascii="Cambria Math" w:hAnsi="Cambria Math" w:cs="CMR12"/>
                            <w:i/>
                            <w:szCs w:val="24"/>
                            <w:lang w:val="en-US"/>
                          </w:rPr>
                        </m:ctrlPr>
                      </m:dPr>
                      <m:e>
                        <m:r>
                          <w:rPr>
                            <w:rFonts w:ascii="Cambria Math" w:hAnsi="Cambria Math" w:cs="CMR12"/>
                            <w:szCs w:val="24"/>
                            <w:lang w:val="en-US"/>
                          </w:rPr>
                          <m:t>0.σ</m:t>
                        </m:r>
                        <m:rad>
                          <m:radPr>
                            <m:degHide m:val="1"/>
                            <m:ctrlPr>
                              <w:rPr>
                                <w:rFonts w:ascii="Cambria Math" w:hAnsi="Cambria Math" w:cs="CMR12"/>
                                <w:i/>
                                <w:szCs w:val="24"/>
                                <w:lang w:val="en-US"/>
                              </w:rPr>
                            </m:ctrlPr>
                          </m:radPr>
                          <m:deg/>
                          <m:e>
                            <m:r>
                              <w:rPr>
                                <w:rFonts w:ascii="Cambria Math" w:hAnsi="Cambria Math" w:cs="CMR12"/>
                                <w:szCs w:val="24"/>
                                <w:lang w:val="en-US"/>
                              </w:rPr>
                              <m:t>∆t</m:t>
                            </m:r>
                          </m:e>
                        </m:rad>
                      </m:e>
                    </m:d>
                  </m:sup>
                </m:sSup>
                <m:r>
                  <w:rPr>
                    <w:rFonts w:ascii="Cambria Math" w:hAnsi="Cambria Math" w:cs="CMR12"/>
                    <w:szCs w:val="24"/>
                    <w:lang w:val="en-US"/>
                  </w:rPr>
                  <m:t xml:space="preserve">,  </m:t>
                </m:r>
              </m:oMath>
            </m:oMathPara>
          </w:p>
        </w:tc>
        <w:tc>
          <w:tcPr>
            <w:tcW w:w="273" w:type="dxa"/>
          </w:tcPr>
          <w:p w:rsidR="009F2A67" w:rsidRDefault="009F2A67" w:rsidP="009F2A67">
            <w:pPr>
              <w:pStyle w:val="ac"/>
              <w:jc w:val="right"/>
              <w:rPr>
                <w:rFonts w:eastAsiaTheme="minorEastAsia" w:cs="Times New Roman"/>
                <w:szCs w:val="24"/>
              </w:rPr>
            </w:pPr>
            <w:bookmarkStart w:id="28" w:name="_Ref484011633"/>
            <w:r>
              <w:rPr>
                <w:rFonts w:eastAsiaTheme="minorEastAsia" w:cs="Times New Roman"/>
                <w:szCs w:val="24"/>
              </w:rPr>
              <w:t>(</w:t>
            </w:r>
            <w:r w:rsidR="008F1F91">
              <w:rPr>
                <w:rFonts w:eastAsiaTheme="minorEastAsia" w:cs="Times New Roman"/>
                <w:szCs w:val="24"/>
              </w:rPr>
              <w:fldChar w:fldCharType="begin"/>
            </w:r>
            <w:r w:rsidR="008F1F91">
              <w:rPr>
                <w:rFonts w:eastAsiaTheme="minorEastAsia" w:cs="Times New Roman"/>
                <w:szCs w:val="24"/>
              </w:rPr>
              <w:instrText xml:space="preserve"> STYLEREF 1 \s </w:instrText>
            </w:r>
            <w:r w:rsidR="008F1F91">
              <w:rPr>
                <w:rFonts w:eastAsiaTheme="minorEastAsia" w:cs="Times New Roman"/>
                <w:szCs w:val="24"/>
              </w:rPr>
              <w:fldChar w:fldCharType="separate"/>
            </w:r>
            <w:r w:rsidR="008324C6">
              <w:rPr>
                <w:rFonts w:eastAsiaTheme="minorEastAsia" w:cs="Times New Roman"/>
                <w:noProof/>
                <w:szCs w:val="24"/>
              </w:rPr>
              <w:t>1</w:t>
            </w:r>
            <w:r w:rsidR="008F1F91">
              <w:rPr>
                <w:rFonts w:eastAsiaTheme="minorEastAsia" w:cs="Times New Roman"/>
                <w:szCs w:val="24"/>
              </w:rPr>
              <w:fldChar w:fldCharType="end"/>
            </w:r>
            <w:r w:rsidR="008F1F91">
              <w:rPr>
                <w:rFonts w:eastAsiaTheme="minorEastAsia" w:cs="Times New Roman"/>
                <w:szCs w:val="24"/>
              </w:rPr>
              <w:t>.</w:t>
            </w:r>
            <w:r w:rsidR="008F1F91">
              <w:rPr>
                <w:rFonts w:eastAsiaTheme="minorEastAsia" w:cs="Times New Roman"/>
                <w:szCs w:val="24"/>
              </w:rPr>
              <w:fldChar w:fldCharType="begin"/>
            </w:r>
            <w:r w:rsidR="008F1F91">
              <w:rPr>
                <w:rFonts w:eastAsiaTheme="minorEastAsia" w:cs="Times New Roman"/>
                <w:szCs w:val="24"/>
              </w:rPr>
              <w:instrText xml:space="preserve"> SEQ Formula \* ARABIC \s 1 </w:instrText>
            </w:r>
            <w:r w:rsidR="008F1F91">
              <w:rPr>
                <w:rFonts w:eastAsiaTheme="minorEastAsia" w:cs="Times New Roman"/>
                <w:szCs w:val="24"/>
              </w:rPr>
              <w:fldChar w:fldCharType="separate"/>
            </w:r>
            <w:r w:rsidR="008324C6">
              <w:rPr>
                <w:rFonts w:eastAsiaTheme="minorEastAsia" w:cs="Times New Roman"/>
                <w:noProof/>
                <w:szCs w:val="24"/>
              </w:rPr>
              <w:t>13</w:t>
            </w:r>
            <w:r w:rsidR="008F1F91">
              <w:rPr>
                <w:rFonts w:eastAsiaTheme="minorEastAsia" w:cs="Times New Roman"/>
                <w:szCs w:val="24"/>
              </w:rPr>
              <w:fldChar w:fldCharType="end"/>
            </w:r>
            <w:bookmarkEnd w:id="28"/>
            <w:r>
              <w:rPr>
                <w:rFonts w:eastAsiaTheme="minorEastAsia" w:cs="Times New Roman"/>
                <w:szCs w:val="24"/>
              </w:rPr>
              <w:t>)</w:t>
            </w:r>
          </w:p>
        </w:tc>
      </w:tr>
    </w:tbl>
    <w:p w:rsidR="00E270C6" w:rsidRPr="00587F48" w:rsidRDefault="00E270C6" w:rsidP="0019295E">
      <w:pPr>
        <w:pStyle w:val="a4"/>
        <w:rPr>
          <w:i/>
          <w:lang w:val="en-US"/>
        </w:rPr>
      </w:pPr>
      <w:r w:rsidRPr="0019295E">
        <w:rPr>
          <w:i/>
          <w:lang w:val="en-US"/>
        </w:rPr>
        <w:t xml:space="preserve">where: </w:t>
      </w:r>
    </w:p>
    <w:p w:rsidR="00E270C6" w:rsidRPr="0019295E" w:rsidRDefault="00E270C6" w:rsidP="0019295E">
      <w:pPr>
        <w:pStyle w:val="a4"/>
        <w:ind w:left="1416"/>
        <w:rPr>
          <w:lang w:val="en-US"/>
        </w:rPr>
      </w:pPr>
      <w:r w:rsidRPr="0019295E">
        <w:rPr>
          <w:i/>
          <w:lang w:val="en-US"/>
        </w:rPr>
        <w:t>π</w:t>
      </w:r>
      <w:r w:rsidRPr="0019295E">
        <w:rPr>
          <w:lang w:val="en-US"/>
        </w:rPr>
        <w:t xml:space="preserve"> is the price of the </w:t>
      </w:r>
      <w:r w:rsidR="009F2A67">
        <w:rPr>
          <w:lang w:val="en-US"/>
        </w:rPr>
        <w:t>asset</w:t>
      </w:r>
      <w:r w:rsidRPr="0019295E">
        <w:rPr>
          <w:lang w:val="en-US"/>
        </w:rPr>
        <w:t xml:space="preserve">, </w:t>
      </w:r>
    </w:p>
    <w:p w:rsidR="009F2A67" w:rsidRPr="009F2A67" w:rsidRDefault="009F2A67" w:rsidP="009F2A67">
      <w:pPr>
        <w:pStyle w:val="a4"/>
        <w:ind w:left="1416"/>
        <w:rPr>
          <w:lang w:val="en-US"/>
        </w:rPr>
      </w:pPr>
      <m:oMath>
        <m:r>
          <w:rPr>
            <w:rFonts w:ascii="Cambria Math" w:hAnsi="Cambria Math" w:cs="CMR12"/>
            <w:szCs w:val="24"/>
            <w:lang w:val="en-US"/>
          </w:rPr>
          <m:t>N</m:t>
        </m:r>
        <m:d>
          <m:dPr>
            <m:ctrlPr>
              <w:rPr>
                <w:rFonts w:ascii="Cambria Math" w:hAnsi="Cambria Math" w:cs="CMR12"/>
                <w:i/>
                <w:szCs w:val="24"/>
                <w:lang w:val="en-US"/>
              </w:rPr>
            </m:ctrlPr>
          </m:dPr>
          <m:e>
            <m:r>
              <w:rPr>
                <w:rFonts w:ascii="Cambria Math" w:hAnsi="Cambria Math" w:cs="CMR12"/>
                <w:szCs w:val="24"/>
                <w:lang w:val="en-US"/>
              </w:rPr>
              <m:t>∙</m:t>
            </m:r>
          </m:e>
        </m:d>
      </m:oMath>
      <w:r w:rsidRPr="009F2A67">
        <w:rPr>
          <w:lang w:val="en-US"/>
        </w:rPr>
        <w:t xml:space="preserve"> is the cumulative distribution function of the standard normal distribution</w:t>
      </w:r>
      <w:r w:rsidR="00D63E7E">
        <w:rPr>
          <w:lang w:val="en-US"/>
        </w:rPr>
        <w:t>,</w:t>
      </w:r>
    </w:p>
    <w:p w:rsidR="00E270C6" w:rsidRPr="0019295E" w:rsidRDefault="00E270C6" w:rsidP="0019295E">
      <w:pPr>
        <w:pStyle w:val="a4"/>
        <w:ind w:left="1416"/>
        <w:rPr>
          <w:lang w:val="en-US"/>
        </w:rPr>
      </w:pPr>
      <w:r w:rsidRPr="0019295E">
        <w:rPr>
          <w:i/>
          <w:lang w:val="en-US"/>
        </w:rPr>
        <w:t>σ</w:t>
      </w:r>
      <w:r w:rsidRPr="0019295E">
        <w:rPr>
          <w:lang w:val="en-US"/>
        </w:rPr>
        <w:t xml:space="preserve"> is</w:t>
      </w:r>
      <w:bookmarkStart w:id="29" w:name="_GoBack"/>
      <w:bookmarkEnd w:id="29"/>
      <w:r w:rsidRPr="0019295E">
        <w:rPr>
          <w:lang w:val="en-US"/>
        </w:rPr>
        <w:t xml:space="preserve"> the standard deviation, </w:t>
      </w:r>
    </w:p>
    <w:p w:rsidR="00E270C6" w:rsidRPr="0019295E" w:rsidRDefault="00E270C6" w:rsidP="00E270C6">
      <w:pPr>
        <w:ind w:left="1416"/>
        <w:rPr>
          <w:rFonts w:cs="Times New Roman"/>
          <w:szCs w:val="24"/>
          <w:lang w:val="en-US"/>
        </w:rPr>
      </w:pPr>
      <w:r w:rsidRPr="0019295E">
        <w:rPr>
          <w:rFonts w:cs="Times New Roman"/>
          <w:szCs w:val="24"/>
          <w:lang w:val="en-US"/>
        </w:rPr>
        <w:lastRenderedPageBreak/>
        <w:t>Δ</w:t>
      </w:r>
      <w:r w:rsidRPr="0019295E">
        <w:rPr>
          <w:rFonts w:cs="Times New Roman"/>
          <w:i/>
          <w:szCs w:val="24"/>
          <w:lang w:val="en-US"/>
        </w:rPr>
        <w:t>t</w:t>
      </w:r>
      <w:r w:rsidRPr="0019295E">
        <w:rPr>
          <w:rFonts w:cs="Times New Roman"/>
          <w:szCs w:val="24"/>
          <w:lang w:val="en-US"/>
        </w:rPr>
        <w:t xml:space="preserve"> is a time step. </w:t>
      </w:r>
    </w:p>
    <w:p w:rsidR="00E270C6" w:rsidRPr="00FF0C30" w:rsidRDefault="00E270C6" w:rsidP="00E270C6">
      <w:pPr>
        <w:pStyle w:val="4"/>
      </w:pPr>
      <w:r w:rsidRPr="00FF0C30">
        <w:t>The tree model</w:t>
      </w:r>
    </w:p>
    <w:p w:rsidR="00E270C6" w:rsidRPr="00FF0C30" w:rsidRDefault="00E270C6" w:rsidP="00E270C6">
      <w:pPr>
        <w:rPr>
          <w:rFonts w:cs="Times New Roman"/>
          <w:szCs w:val="24"/>
          <w:lang w:val="en-US"/>
        </w:rPr>
      </w:pPr>
      <w:r w:rsidRPr="00FF0C30">
        <w:rPr>
          <w:rFonts w:ascii="CMR12" w:hAnsi="CMR12" w:cs="CMR12"/>
          <w:szCs w:val="24"/>
          <w:lang w:val="en-US"/>
        </w:rPr>
        <w:t>The trees allow modelling of different types of uncertainty sources and options in discrete scenarios. These scenarios can provide information about the performance of the option</w:t>
      </w:r>
      <w:r w:rsidR="0019295E">
        <w:rPr>
          <w:rFonts w:ascii="CMR12" w:hAnsi="CMR12" w:cs="CMR12"/>
          <w:szCs w:val="24"/>
          <w:lang w:val="en-US"/>
        </w:rPr>
        <w:t xml:space="preserve"> in different conditions</w:t>
      </w:r>
      <w:r w:rsidRPr="00FF0C30">
        <w:rPr>
          <w:rFonts w:ascii="CMR12" w:hAnsi="CMR12" w:cs="CMR12"/>
          <w:szCs w:val="24"/>
          <w:lang w:val="en-US"/>
        </w:rPr>
        <w:t>. The downside of these methods is that their accuracy depends on the amount of scenarios considered throughout the tree; too few scenarios reduce the accuracy of the approach, whereas considering too many scenarios can be computationally expensive.</w:t>
      </w:r>
      <w:r w:rsidRPr="00FF0C30">
        <w:rPr>
          <w:rFonts w:cs="Times New Roman"/>
          <w:szCs w:val="24"/>
          <w:lang w:val="en-US"/>
        </w:rPr>
        <w:t xml:space="preserve"> </w:t>
      </w:r>
    </w:p>
    <w:p w:rsidR="00E270C6" w:rsidRDefault="0019295E" w:rsidP="00E270C6">
      <w:pPr>
        <w:rPr>
          <w:lang w:val="en-US"/>
        </w:rPr>
      </w:pPr>
      <w:r>
        <w:rPr>
          <w:rFonts w:ascii="CMR12" w:hAnsi="CMR12" w:cs="CMR12"/>
          <w:lang w:val="en-US"/>
        </w:rPr>
        <w:t>Under assumption of Black Scholes following equations describe a tree for option estimation</w:t>
      </w:r>
      <w:r w:rsidR="00E270C6" w:rsidRPr="00FF0C30">
        <w:rPr>
          <w:rFonts w:ascii="CMR12" w:hAnsi="CMR12" w:cs="CMR12"/>
          <w:lang w:val="en-US"/>
        </w:rPr>
        <w:t xml:space="preserve"> </w:t>
      </w:r>
      <w:r>
        <w:rPr>
          <w:rFonts w:ascii="CMR12" w:hAnsi="CMR12" w:cs="CMR12"/>
          <w:lang w:val="en-US"/>
        </w:rPr>
        <w:fldChar w:fldCharType="begin" w:fldLock="1"/>
      </w:r>
      <w:r w:rsidR="00587F48">
        <w:rPr>
          <w:rFonts w:ascii="CMR12" w:hAnsi="CMR12" w:cs="CMR12"/>
          <w:lang w:val="en-US"/>
        </w:rPr>
        <w:instrText>ADDIN CSL_CITATION { "citationItems" : [ { "id" : "ITEM-1", "itemData" : { "author" : [ { "dropping-particle" : "", "family" : "Hull", "given" : "John C.", "non-dropping-particle" : "", "parse-names" : false, "suffix" : "" } ], "container-title" : "Pearson", "id" : "ITEM-1", "issue" : "9", "issued" : { "date-parts" : [ [ "2009" ] ] }, "publisher" : "Pearson Prentice Hall", "title" : "Options, Futures and Other Derivatives", "type" : "book", "volume" : "1542" }, "uris" : [ "http://www.mendeley.com/documents/?uuid=88c262f9-9716-45cd-ae31-2c10830148a9" ] } ], "mendeley" : { "formattedCitation" : "(Hull 2009)", "plainTextFormattedCitation" : "(Hull 2009)", "previouslyFormattedCitation" : "(Hull 2009)" }, "properties" : { "noteIndex" : 0 }, "schema" : "https://github.com/citation-style-language/schema/raw/master/csl-citation.json" }</w:instrText>
      </w:r>
      <w:r>
        <w:rPr>
          <w:rFonts w:ascii="CMR12" w:hAnsi="CMR12" w:cs="CMR12"/>
          <w:lang w:val="en-US"/>
        </w:rPr>
        <w:fldChar w:fldCharType="separate"/>
      </w:r>
      <w:r w:rsidR="00587F48" w:rsidRPr="00587F48">
        <w:rPr>
          <w:rFonts w:ascii="CMR12" w:hAnsi="CMR12" w:cs="CMR12"/>
          <w:noProof/>
          <w:lang w:val="en-US"/>
        </w:rPr>
        <w:t>(Hull 2009)</w:t>
      </w:r>
      <w:r>
        <w:rPr>
          <w:rFonts w:ascii="CMR12" w:hAnsi="CMR12" w:cs="CMR12"/>
          <w:lang w:val="en-US"/>
        </w:rPr>
        <w:fldChar w:fldCharType="end"/>
      </w:r>
      <w:r w:rsidR="00481A23">
        <w:rPr>
          <w:rFonts w:ascii="CMR12" w:hAnsi="CMR12" w:cs="CMR12"/>
          <w:lang w:val="en-US"/>
        </w:rPr>
        <w:t xml:space="preserve"> </w:t>
      </w:r>
      <w:r w:rsidR="00481A23">
        <w:rPr>
          <w:rFonts w:ascii="CMR12" w:hAnsi="CMR12" w:cs="CMR12"/>
          <w:lang w:val="en-US"/>
        </w:rPr>
        <w:fldChar w:fldCharType="begin"/>
      </w:r>
      <w:r w:rsidR="00481A23">
        <w:rPr>
          <w:rFonts w:ascii="CMR12" w:hAnsi="CMR12" w:cs="CMR12"/>
          <w:lang w:val="en-US"/>
        </w:rPr>
        <w:instrText xml:space="preserve"> REF _Ref484011831 \h </w:instrText>
      </w:r>
      <w:r w:rsidR="00481A23">
        <w:rPr>
          <w:rFonts w:ascii="CMR12" w:hAnsi="CMR12" w:cs="CMR12"/>
          <w:lang w:val="en-US"/>
        </w:rPr>
      </w:r>
      <w:r w:rsidR="00481A23">
        <w:rPr>
          <w:rFonts w:ascii="CMR12" w:hAnsi="CMR12" w:cs="CMR12"/>
          <w:lang w:val="en-US"/>
        </w:rPr>
        <w:fldChar w:fldCharType="separate"/>
      </w:r>
      <w:r w:rsidR="008324C6" w:rsidRPr="008324C6">
        <w:rPr>
          <w:lang w:val="en-US"/>
        </w:rPr>
        <w:t>(</w:t>
      </w:r>
      <w:r w:rsidR="008324C6" w:rsidRPr="008324C6">
        <w:rPr>
          <w:noProof/>
          <w:lang w:val="en-US"/>
        </w:rPr>
        <w:t>1</w:t>
      </w:r>
      <w:r w:rsidR="008324C6" w:rsidRPr="008324C6">
        <w:rPr>
          <w:lang w:val="en-US"/>
        </w:rPr>
        <w:t>.</w:t>
      </w:r>
      <w:r w:rsidR="008324C6" w:rsidRPr="008324C6">
        <w:rPr>
          <w:noProof/>
          <w:lang w:val="en-US"/>
        </w:rPr>
        <w:t>14</w:t>
      </w:r>
      <w:r w:rsidR="00481A23">
        <w:rPr>
          <w:rFonts w:ascii="CMR12" w:hAnsi="CMR12" w:cs="CMR12"/>
          <w:lang w:val="en-US"/>
        </w:rPr>
        <w:fldChar w:fldCharType="end"/>
      </w:r>
      <w:r w:rsidR="00E270C6" w:rsidRPr="00FF0C30">
        <w:rPr>
          <w:rFonts w:ascii="CMR12" w:hAnsi="CMR12" w:cs="CMR12"/>
          <w:lang w:val="en-US"/>
        </w:rPr>
        <w:t>)</w:t>
      </w:r>
      <w:r w:rsidR="00E270C6" w:rsidRPr="00FF0C30">
        <w:rPr>
          <w:lang w:val="en-US"/>
        </w:rPr>
        <w:t xml:space="preserve"> </w:t>
      </w:r>
    </w:p>
    <w:tbl>
      <w:tblPr>
        <w:tblStyle w:val="af6"/>
        <w:tblW w:w="0" w:type="auto"/>
        <w:tblLook w:val="04A0" w:firstRow="1" w:lastRow="0" w:firstColumn="1" w:lastColumn="0" w:noHBand="0" w:noVBand="1"/>
      </w:tblPr>
      <w:tblGrid>
        <w:gridCol w:w="8655"/>
        <w:gridCol w:w="700"/>
      </w:tblGrid>
      <w:tr w:rsidR="009F2A67" w:rsidTr="00481A23">
        <w:tc>
          <w:tcPr>
            <w:tcW w:w="9072" w:type="dxa"/>
          </w:tcPr>
          <w:p w:rsidR="009F2A67" w:rsidRPr="009F2A67" w:rsidRDefault="009F2A67" w:rsidP="009F2A67">
            <w:pPr>
              <w:rPr>
                <w:rFonts w:eastAsiaTheme="minorEastAsia" w:cs="Times New Roman"/>
                <w:szCs w:val="24"/>
                <w:lang w:val="en-US"/>
              </w:rPr>
            </w:pPr>
            <m:oMathPara>
              <m:oMathParaPr>
                <m:jc m:val="center"/>
              </m:oMathParaPr>
              <m:oMath>
                <m:r>
                  <w:rPr>
                    <w:rFonts w:ascii="Cambria Math" w:hAnsi="Cambria Math" w:cs="Times New Roman"/>
                    <w:szCs w:val="24"/>
                    <w:lang w:val="en-US"/>
                  </w:rPr>
                  <m:t>up=</m:t>
                </m:r>
                <m:sSup>
                  <m:sSupPr>
                    <m:ctrlPr>
                      <w:rPr>
                        <w:rFonts w:ascii="Cambria Math" w:hAnsi="Cambria Math" w:cs="Times New Roman"/>
                        <w:i/>
                        <w:szCs w:val="24"/>
                        <w:lang w:val="en-US"/>
                      </w:rPr>
                    </m:ctrlPr>
                  </m:sSupPr>
                  <m:e>
                    <m:r>
                      <w:rPr>
                        <w:rFonts w:ascii="Cambria Math" w:hAnsi="Cambria Math" w:cs="Times New Roman"/>
                        <w:szCs w:val="24"/>
                        <w:lang w:val="en-US"/>
                      </w:rPr>
                      <m:t>e</m:t>
                    </m:r>
                  </m:e>
                  <m:sup>
                    <m:r>
                      <w:rPr>
                        <w:rFonts w:ascii="Cambria Math" w:hAnsi="Cambria Math" w:cs="CMR12"/>
                        <w:szCs w:val="24"/>
                        <w:lang w:val="en-US"/>
                      </w:rPr>
                      <m:t>σ*</m:t>
                    </m:r>
                    <m:rad>
                      <m:radPr>
                        <m:degHide m:val="1"/>
                        <m:ctrlPr>
                          <w:rPr>
                            <w:rFonts w:ascii="Cambria Math" w:hAnsi="Cambria Math" w:cs="CMR12"/>
                            <w:i/>
                            <w:szCs w:val="24"/>
                            <w:lang w:val="en-US"/>
                          </w:rPr>
                        </m:ctrlPr>
                      </m:radPr>
                      <m:deg/>
                      <m:e>
                        <m:r>
                          <w:rPr>
                            <w:rFonts w:ascii="Cambria Math" w:hAnsi="Cambria Math" w:cs="CMR12"/>
                            <w:szCs w:val="24"/>
                            <w:lang w:val="en-US"/>
                          </w:rPr>
                          <m:t>∆t</m:t>
                        </m:r>
                      </m:e>
                    </m:rad>
                    <m:r>
                      <w:rPr>
                        <w:rFonts w:ascii="Cambria Math" w:hAnsi="Cambria Math" w:cs="CMR12"/>
                        <w:szCs w:val="24"/>
                        <w:lang w:val="en-US"/>
                      </w:rPr>
                      <m:t xml:space="preserve"> </m:t>
                    </m:r>
                  </m:sup>
                </m:sSup>
                <m:r>
                  <w:rPr>
                    <w:rFonts w:ascii="Cambria Math" w:eastAsiaTheme="minorEastAsia" w:hAnsi="Cambria Math" w:cs="Times New Roman"/>
                    <w:szCs w:val="24"/>
                    <w:lang w:val="en-US"/>
                  </w:rPr>
                  <m:t>,</m:t>
                </m:r>
                <m:r>
                  <w:rPr>
                    <w:rFonts w:ascii="Cambria Math" w:eastAsiaTheme="minorEastAsia" w:hAnsi="Cambria Math" w:cs="Times New Roman"/>
                    <w:szCs w:val="24"/>
                    <w:lang w:val="en-US"/>
                  </w:rPr>
                  <m:t xml:space="preserve"> </m:t>
                </m:r>
              </m:oMath>
            </m:oMathPara>
          </w:p>
          <w:p w:rsidR="009F2A67" w:rsidRPr="009F2A67" w:rsidRDefault="009F2A67" w:rsidP="009F2A67">
            <w:pPr>
              <w:rPr>
                <w:rFonts w:eastAsiaTheme="minorEastAsia" w:cs="Times New Roman"/>
                <w:szCs w:val="24"/>
                <w:lang w:val="en-US"/>
              </w:rPr>
            </w:pPr>
            <m:oMathPara>
              <m:oMathParaPr>
                <m:jc m:val="center"/>
              </m:oMathParaPr>
              <m:oMath>
                <m:r>
                  <w:rPr>
                    <w:rFonts w:ascii="Cambria Math" w:hAnsi="Cambria Math" w:cs="Times New Roman"/>
                    <w:szCs w:val="24"/>
                    <w:lang w:val="en-US"/>
                  </w:rPr>
                  <m:t>down=</m:t>
                </m:r>
                <m:sSup>
                  <m:sSupPr>
                    <m:ctrlPr>
                      <w:rPr>
                        <w:rFonts w:ascii="Cambria Math" w:hAnsi="Cambria Math" w:cs="Times New Roman"/>
                        <w:i/>
                        <w:szCs w:val="24"/>
                        <w:lang w:val="en-US"/>
                      </w:rPr>
                    </m:ctrlPr>
                  </m:sSupPr>
                  <m:e>
                    <m:r>
                      <w:rPr>
                        <w:rFonts w:ascii="Cambria Math" w:hAnsi="Cambria Math" w:cs="Times New Roman"/>
                        <w:szCs w:val="24"/>
                        <w:lang w:val="en-US"/>
                      </w:rPr>
                      <m:t>e</m:t>
                    </m:r>
                  </m:e>
                  <m:sup>
                    <m:r>
                      <w:rPr>
                        <w:rFonts w:ascii="Cambria Math" w:hAnsi="Cambria Math" w:cs="CMR12"/>
                        <w:szCs w:val="24"/>
                        <w:lang w:val="en-US"/>
                      </w:rPr>
                      <m:t>-σ*</m:t>
                    </m:r>
                    <m:rad>
                      <m:radPr>
                        <m:degHide m:val="1"/>
                        <m:ctrlPr>
                          <w:rPr>
                            <w:rFonts w:ascii="Cambria Math" w:hAnsi="Cambria Math" w:cs="CMR12"/>
                            <w:i/>
                            <w:szCs w:val="24"/>
                            <w:lang w:val="en-US"/>
                          </w:rPr>
                        </m:ctrlPr>
                      </m:radPr>
                      <m:deg/>
                      <m:e>
                        <m:r>
                          <w:rPr>
                            <w:rFonts w:ascii="Cambria Math" w:hAnsi="Cambria Math" w:cs="CMR12"/>
                            <w:szCs w:val="24"/>
                            <w:lang w:val="en-US"/>
                          </w:rPr>
                          <m:t>∆t</m:t>
                        </m:r>
                      </m:e>
                    </m:rad>
                    <m:r>
                      <w:rPr>
                        <w:rFonts w:ascii="Cambria Math" w:hAnsi="Cambria Math" w:cs="CMR12"/>
                        <w:szCs w:val="24"/>
                        <w:lang w:val="en-US"/>
                      </w:rPr>
                      <m:t xml:space="preserve"> </m:t>
                    </m:r>
                  </m:sup>
                </m:sSup>
                <m:r>
                  <w:rPr>
                    <w:rFonts w:ascii="Cambria Math" w:hAnsi="Cambria Math" w:cs="Times New Roman"/>
                    <w:szCs w:val="24"/>
                    <w:lang w:val="en-US"/>
                  </w:rPr>
                  <m:t>,</m:t>
                </m:r>
              </m:oMath>
            </m:oMathPara>
          </w:p>
          <w:p w:rsidR="009F2A67" w:rsidRPr="009F2A67" w:rsidRDefault="009F2A67" w:rsidP="009F2A67">
            <w:pPr>
              <w:rPr>
                <w:rFonts w:eastAsiaTheme="minorEastAsia" w:cs="Times New Roman"/>
                <w:szCs w:val="24"/>
                <w:lang w:val="en-US"/>
              </w:rPr>
            </w:pPr>
            <m:oMathPara>
              <m:oMathParaPr>
                <m:jc m:val="center"/>
              </m:oMathParaPr>
              <m:oMath>
                <m:r>
                  <w:rPr>
                    <w:rFonts w:ascii="Cambria Math" w:hAnsi="Cambria Math" w:cs="Times New Roman"/>
                    <w:szCs w:val="24"/>
                    <w:lang w:val="en-US"/>
                  </w:rPr>
                  <m:t>p=</m:t>
                </m:r>
                <m:f>
                  <m:fPr>
                    <m:ctrlPr>
                      <w:rPr>
                        <w:rFonts w:ascii="Cambria Math" w:hAnsi="Cambria Math" w:cs="CMR12"/>
                        <w:i/>
                        <w:szCs w:val="24"/>
                        <w:lang w:val="en-US"/>
                      </w:rPr>
                    </m:ctrlPr>
                  </m:fPr>
                  <m:num>
                    <m:r>
                      <w:rPr>
                        <w:rFonts w:ascii="Cambria Math" w:hAnsi="Cambria Math" w:cs="Times New Roman"/>
                        <w:szCs w:val="24"/>
                        <w:lang w:val="en-US"/>
                      </w:rPr>
                      <m:t>1+d*</m:t>
                    </m:r>
                    <m:r>
                      <w:rPr>
                        <w:rFonts w:ascii="Cambria Math" w:hAnsi="Cambria Math" w:cs="CMR12"/>
                        <w:szCs w:val="24"/>
                        <w:lang w:val="en-US"/>
                      </w:rPr>
                      <m:t>∆t-down</m:t>
                    </m:r>
                  </m:num>
                  <m:den>
                    <m:r>
                      <w:rPr>
                        <w:rFonts w:ascii="Cambria Math" w:hAnsi="Cambria Math" w:cs="CMR12"/>
                        <w:szCs w:val="24"/>
                        <w:lang w:val="en-US"/>
                      </w:rPr>
                      <m:t>up-down</m:t>
                    </m:r>
                  </m:den>
                </m:f>
                <m:r>
                  <w:rPr>
                    <w:rFonts w:ascii="Cambria Math" w:hAnsi="Cambria Math" w:cs="CMR12"/>
                    <w:szCs w:val="24"/>
                    <w:lang w:val="en-US"/>
                  </w:rPr>
                  <m:t>,</m:t>
                </m:r>
              </m:oMath>
            </m:oMathPara>
          </w:p>
        </w:tc>
        <w:tc>
          <w:tcPr>
            <w:tcW w:w="273" w:type="dxa"/>
          </w:tcPr>
          <w:p w:rsidR="00481A23" w:rsidRPr="00FF0C30" w:rsidRDefault="00481A23" w:rsidP="00481A23">
            <w:pPr>
              <w:pStyle w:val="ac"/>
              <w:jc w:val="right"/>
            </w:pPr>
            <w:bookmarkStart w:id="30" w:name="_Ref484011831"/>
            <w:bookmarkStart w:id="31" w:name="_Ref484017106"/>
            <w:r>
              <w:t>(</w:t>
            </w:r>
            <w:r w:rsidR="008F1F91">
              <w:fldChar w:fldCharType="begin"/>
            </w:r>
            <w:r w:rsidR="008F1F91">
              <w:instrText xml:space="preserve"> STYLEREF 1 \s </w:instrText>
            </w:r>
            <w:r w:rsidR="008F1F91">
              <w:fldChar w:fldCharType="separate"/>
            </w:r>
            <w:r w:rsidR="008324C6">
              <w:rPr>
                <w:noProof/>
              </w:rPr>
              <w:t>1</w:t>
            </w:r>
            <w:r w:rsidR="008F1F91">
              <w:fldChar w:fldCharType="end"/>
            </w:r>
            <w:r w:rsidR="008F1F91">
              <w:t>.</w:t>
            </w:r>
            <w:r w:rsidR="008F1F91">
              <w:fldChar w:fldCharType="begin"/>
            </w:r>
            <w:r w:rsidR="008F1F91">
              <w:instrText xml:space="preserve"> SEQ Formula \* ARABIC \s 1 </w:instrText>
            </w:r>
            <w:r w:rsidR="008F1F91">
              <w:fldChar w:fldCharType="separate"/>
            </w:r>
            <w:r w:rsidR="008324C6">
              <w:rPr>
                <w:noProof/>
              </w:rPr>
              <w:t>14</w:t>
            </w:r>
            <w:r w:rsidR="008F1F91">
              <w:fldChar w:fldCharType="end"/>
            </w:r>
            <w:bookmarkEnd w:id="30"/>
            <w:r>
              <w:t>)</w:t>
            </w:r>
            <w:bookmarkEnd w:id="31"/>
          </w:p>
          <w:p w:rsidR="009F2A67" w:rsidRDefault="009F2A67" w:rsidP="00481A23">
            <w:pPr>
              <w:keepNext/>
              <w:rPr>
                <w:lang w:val="en-US"/>
              </w:rPr>
            </w:pPr>
          </w:p>
        </w:tc>
      </w:tr>
    </w:tbl>
    <w:p w:rsidR="00E270C6" w:rsidRPr="007342BD" w:rsidRDefault="00E270C6" w:rsidP="00E270C6">
      <w:pPr>
        <w:rPr>
          <w:rFonts w:cs="Times New Roman"/>
          <w:i/>
          <w:szCs w:val="24"/>
          <w:lang w:val="en-US"/>
        </w:rPr>
      </w:pPr>
      <w:r w:rsidRPr="007342BD">
        <w:rPr>
          <w:rFonts w:cs="Times New Roman"/>
          <w:i/>
          <w:szCs w:val="24"/>
          <w:lang w:val="en-US"/>
        </w:rPr>
        <w:t xml:space="preserve">where: </w:t>
      </w:r>
    </w:p>
    <w:p w:rsidR="00E270C6" w:rsidRPr="0019295E" w:rsidRDefault="00E270C6" w:rsidP="0019295E">
      <w:pPr>
        <w:pStyle w:val="a4"/>
        <w:ind w:left="1416"/>
        <w:rPr>
          <w:lang w:val="en-US"/>
        </w:rPr>
      </w:pPr>
      <w:r w:rsidRPr="0019295E">
        <w:rPr>
          <w:i/>
          <w:lang w:val="en-US"/>
        </w:rPr>
        <w:t>up</w:t>
      </w:r>
      <w:r w:rsidRPr="0019295E">
        <w:rPr>
          <w:lang w:val="en-US"/>
        </w:rPr>
        <w:t xml:space="preserve"> and </w:t>
      </w:r>
      <w:r w:rsidRPr="00481A23">
        <w:rPr>
          <w:i/>
          <w:lang w:val="en-US"/>
        </w:rPr>
        <w:t>down</w:t>
      </w:r>
      <w:r w:rsidRPr="0019295E">
        <w:rPr>
          <w:lang w:val="en-US"/>
        </w:rPr>
        <w:t xml:space="preserve"> are respectively an increase and decrease in the price of the product, </w:t>
      </w:r>
    </w:p>
    <w:p w:rsidR="0019295E" w:rsidRDefault="00E270C6" w:rsidP="0019295E">
      <w:pPr>
        <w:pStyle w:val="a4"/>
        <w:ind w:left="1416"/>
        <w:rPr>
          <w:lang w:val="en-US"/>
        </w:rPr>
      </w:pPr>
      <w:r w:rsidRPr="0019295E">
        <w:rPr>
          <w:i/>
          <w:lang w:val="en-US"/>
        </w:rPr>
        <w:t>σ</w:t>
      </w:r>
      <w:r w:rsidRPr="0019295E">
        <w:rPr>
          <w:lang w:val="en-US"/>
        </w:rPr>
        <w:t xml:space="preserve"> is the standard deviation, </w:t>
      </w:r>
    </w:p>
    <w:p w:rsidR="00E270C6" w:rsidRPr="0019295E" w:rsidRDefault="00E270C6" w:rsidP="0019295E">
      <w:pPr>
        <w:pStyle w:val="a4"/>
        <w:ind w:left="1416"/>
        <w:rPr>
          <w:lang w:val="en-US"/>
        </w:rPr>
      </w:pPr>
      <w:r w:rsidRPr="0019295E">
        <w:rPr>
          <w:i/>
          <w:lang w:val="en-US"/>
        </w:rPr>
        <w:t>∆t</w:t>
      </w:r>
      <w:r w:rsidRPr="0019295E">
        <w:rPr>
          <w:lang w:val="en-US"/>
        </w:rPr>
        <w:t xml:space="preserve"> is the length of a discrete period, </w:t>
      </w:r>
    </w:p>
    <w:p w:rsidR="00E270C6" w:rsidRPr="0019295E" w:rsidRDefault="00E270C6" w:rsidP="0019295E">
      <w:pPr>
        <w:pStyle w:val="a4"/>
        <w:ind w:left="1416"/>
        <w:rPr>
          <w:lang w:val="en-US"/>
        </w:rPr>
      </w:pPr>
      <w:r w:rsidRPr="0019295E">
        <w:rPr>
          <w:i/>
          <w:lang w:val="en-US"/>
        </w:rPr>
        <w:t>p</w:t>
      </w:r>
      <w:r w:rsidRPr="0019295E">
        <w:rPr>
          <w:lang w:val="en-US"/>
        </w:rPr>
        <w:t xml:space="preserve"> is </w:t>
      </w:r>
      <w:r w:rsidR="0019295E">
        <w:rPr>
          <w:lang w:val="en-US"/>
        </w:rPr>
        <w:t xml:space="preserve">the </w:t>
      </w:r>
      <w:r w:rsidRPr="0019295E">
        <w:rPr>
          <w:lang w:val="en-US"/>
        </w:rPr>
        <w:t>probability of an increase in the price of the product,</w:t>
      </w:r>
    </w:p>
    <w:p w:rsidR="00E270C6" w:rsidRPr="007342BD" w:rsidRDefault="00E270C6" w:rsidP="0019295E">
      <w:pPr>
        <w:ind w:left="1416"/>
        <w:rPr>
          <w:lang w:val="en-US"/>
        </w:rPr>
      </w:pPr>
      <w:r w:rsidRPr="0019295E">
        <w:rPr>
          <w:i/>
          <w:lang w:val="en-US"/>
        </w:rPr>
        <w:t>d</w:t>
      </w:r>
      <w:r w:rsidRPr="0019295E">
        <w:rPr>
          <w:lang w:val="en-US"/>
        </w:rPr>
        <w:t xml:space="preserve"> is the interest rate.</w:t>
      </w:r>
      <w:r w:rsidRPr="007342BD">
        <w:rPr>
          <w:lang w:val="en-US"/>
        </w:rPr>
        <w:t xml:space="preserve"> </w:t>
      </w:r>
    </w:p>
    <w:p w:rsidR="00E270C6" w:rsidRPr="0019295E" w:rsidRDefault="00E270C6" w:rsidP="0019295E">
      <w:pPr>
        <w:rPr>
          <w:rFonts w:ascii="CMR12" w:hAnsi="CMR12" w:cs="CMR12"/>
          <w:szCs w:val="24"/>
          <w:lang w:val="en-US"/>
        </w:rPr>
      </w:pPr>
      <w:r w:rsidRPr="00FF0C30">
        <w:rPr>
          <w:rFonts w:ascii="CMR12" w:hAnsi="CMR12" w:cs="CMR12"/>
          <w:szCs w:val="24"/>
          <w:lang w:val="en-US"/>
        </w:rPr>
        <w:t xml:space="preserve">The probabilities of occurrence of a price increase </w:t>
      </w:r>
      <w:r w:rsidRPr="00FF0C30">
        <w:rPr>
          <w:rFonts w:ascii="CMR12" w:hAnsi="CMR12" w:cs="CMR12"/>
          <w:i/>
          <w:szCs w:val="24"/>
          <w:lang w:val="en-US"/>
        </w:rPr>
        <w:t>(</w:t>
      </w:r>
      <w:r w:rsidRPr="00FF0C30">
        <w:rPr>
          <w:rFonts w:ascii="CMMI12" w:hAnsi="CMMI12" w:cs="CMMI12"/>
          <w:i/>
          <w:szCs w:val="24"/>
          <w:lang w:val="en-US"/>
        </w:rPr>
        <w:t>p</w:t>
      </w:r>
      <w:r w:rsidRPr="00FF0C30">
        <w:rPr>
          <w:rFonts w:ascii="CMR12" w:hAnsi="CMR12" w:cs="CMR12"/>
          <w:i/>
          <w:szCs w:val="24"/>
          <w:lang w:val="en-US"/>
        </w:rPr>
        <w:t>)</w:t>
      </w:r>
      <w:r w:rsidRPr="00FF0C30">
        <w:rPr>
          <w:rFonts w:ascii="CMR12" w:hAnsi="CMR12" w:cs="CMR12"/>
          <w:szCs w:val="24"/>
          <w:lang w:val="en-US"/>
        </w:rPr>
        <w:t xml:space="preserve"> and decrease </w:t>
      </w:r>
      <w:r w:rsidRPr="00FF0C30">
        <w:rPr>
          <w:rFonts w:ascii="CMR12" w:hAnsi="CMR12" w:cs="CMR12"/>
          <w:i/>
          <w:szCs w:val="24"/>
          <w:lang w:val="en-US"/>
        </w:rPr>
        <w:t xml:space="preserve">(1 </w:t>
      </w:r>
      <w:r w:rsidRPr="00FF0C30">
        <w:rPr>
          <w:rFonts w:eastAsia="Times New Roman" w:cs="Times New Roman"/>
          <w:i/>
          <w:szCs w:val="24"/>
          <w:lang w:val="en-US"/>
        </w:rPr>
        <w:t xml:space="preserve">– </w:t>
      </w:r>
      <w:r w:rsidRPr="00FF0C30">
        <w:rPr>
          <w:rFonts w:ascii="CMSY10" w:hAnsi="CMSY10" w:cs="CMSY10"/>
          <w:i/>
          <w:szCs w:val="24"/>
          <w:lang w:val="en-US"/>
        </w:rPr>
        <w:t xml:space="preserve"> </w:t>
      </w:r>
      <w:r w:rsidRPr="00FF0C30">
        <w:rPr>
          <w:rFonts w:ascii="CMMI12" w:hAnsi="CMMI12" w:cs="CMMI12"/>
          <w:i/>
          <w:szCs w:val="24"/>
          <w:lang w:val="en-US"/>
        </w:rPr>
        <w:t>p</w:t>
      </w:r>
      <w:r w:rsidRPr="00FF0C30">
        <w:rPr>
          <w:rFonts w:ascii="CMR12" w:hAnsi="CMR12" w:cs="CMR12"/>
          <w:i/>
          <w:szCs w:val="24"/>
          <w:lang w:val="en-US"/>
        </w:rPr>
        <w:t>)</w:t>
      </w:r>
      <w:r w:rsidRPr="00FF0C30">
        <w:rPr>
          <w:rFonts w:ascii="CMR12" w:hAnsi="CMR12" w:cs="CMR12"/>
          <w:szCs w:val="24"/>
          <w:lang w:val="en-US"/>
        </w:rPr>
        <w:t xml:space="preserve"> are set to guarantee a zero expected gain from trading</w:t>
      </w:r>
      <w:r w:rsidR="0019295E">
        <w:rPr>
          <w:rFonts w:ascii="CMR12" w:hAnsi="CMR12" w:cs="CMR12"/>
          <w:szCs w:val="24"/>
          <w:lang w:val="en-US"/>
        </w:rPr>
        <w:t xml:space="preserve"> the underlying asset. </w:t>
      </w:r>
    </w:p>
    <w:p w:rsidR="009E7598" w:rsidRPr="00FF0C30" w:rsidRDefault="009E7598" w:rsidP="009E7598">
      <w:pPr>
        <w:pStyle w:val="2"/>
      </w:pPr>
      <w:bookmarkStart w:id="32" w:name="_Toc484036300"/>
      <w:r>
        <w:t>Application of real options</w:t>
      </w:r>
      <w:bookmarkEnd w:id="32"/>
    </w:p>
    <w:p w:rsidR="009E7598" w:rsidRDefault="009E7598" w:rsidP="009E7598">
      <w:pPr>
        <w:pStyle w:val="4"/>
      </w:pPr>
      <w:r w:rsidRPr="00107D45">
        <w:t>Real options and risk ma</w:t>
      </w:r>
      <w:r>
        <w:t>n</w:t>
      </w:r>
      <w:r w:rsidRPr="00107D45">
        <w:t>agement</w:t>
      </w:r>
    </w:p>
    <w:p w:rsidR="009E7598" w:rsidRDefault="009E7598" w:rsidP="009E7598">
      <w:pPr>
        <w:rPr>
          <w:rFonts w:cs="Times New Roman"/>
          <w:lang w:val="en-US"/>
        </w:rPr>
      </w:pPr>
      <w:r>
        <w:rPr>
          <w:rFonts w:cs="Times New Roman"/>
          <w:lang w:val="en-US"/>
        </w:rPr>
        <w:t>Risks of the project are directly connected to the underlying uncertainties that drive the financial outcomes. Those uncertainties (factors) can vary project to project and this volatility is mostly inevitable due to the time between investment and cash inflows. As the key idea of any investment is to spend money at period “0” and gain money back later, any investor faces the uncertainty which is resolved only at the end of the project life span.</w:t>
      </w:r>
    </w:p>
    <w:p w:rsidR="009E7598" w:rsidRDefault="009E7598" w:rsidP="009E7598">
      <w:pPr>
        <w:rPr>
          <w:rFonts w:cs="Times New Roman"/>
          <w:lang w:val="en-US"/>
        </w:rPr>
      </w:pPr>
      <w:r>
        <w:rPr>
          <w:rFonts w:cs="Times New Roman"/>
          <w:lang w:val="en-US"/>
        </w:rPr>
        <w:t>Buhvalov (2004) determines two main approaches for defining risk. The first is understanding of risk as a synonym of the dangers linked to the project and risk management as actions to avoid these dangers, to achieve safe and stable outcomes. However, this approach does not capture the possibilities brought by the uncertain environment. In an attempt to reach certain, guaranteed outcomes a company cannot successfully compete with rivals in dynamic environment.</w:t>
      </w:r>
    </w:p>
    <w:p w:rsidR="009E7598" w:rsidRDefault="009E7598" w:rsidP="009E7598">
      <w:pPr>
        <w:rPr>
          <w:rFonts w:cs="Times New Roman"/>
          <w:lang w:val="en-US"/>
        </w:rPr>
      </w:pPr>
      <w:r>
        <w:rPr>
          <w:rFonts w:cs="Times New Roman"/>
          <w:lang w:val="en-US"/>
        </w:rPr>
        <w:lastRenderedPageBreak/>
        <w:t>The second approach accounts for both positive and negative outcomes linked with the risk. It describes risks of the project as volatility (variance) of the financial inflows, connected to their expected value. This approach allows risk management to concentrate not only on dangers but also on possible positive outcomes linked with the uncertainty and therefore perform active management of the project throughout its lifespan.</w:t>
      </w:r>
    </w:p>
    <w:p w:rsidR="009E7598" w:rsidRDefault="009E7598" w:rsidP="009E7598">
      <w:pPr>
        <w:rPr>
          <w:rFonts w:cs="Times New Roman"/>
          <w:lang w:val="en-US"/>
        </w:rPr>
      </w:pPr>
      <w:r>
        <w:rPr>
          <w:rFonts w:cs="Times New Roman"/>
          <w:lang w:val="en-US"/>
        </w:rPr>
        <w:t>Real options allow to handle possible negative outcomes and understand if those actions are reasonable at all in terms of money. Active management of negative outcomes is one of the most important applications of real options in risk management. However, it is not the only application. Real options allow to account for positive outcomes of the factors of uncertainty and adopt the project to capture maximal value from those outcomes.</w:t>
      </w:r>
    </w:p>
    <w:p w:rsidR="00C22B53" w:rsidRPr="00C22B53" w:rsidRDefault="009E7598" w:rsidP="00C22B53">
      <w:pPr>
        <w:rPr>
          <w:noProof/>
          <w:lang w:val="en-US" w:eastAsia="ru-RU"/>
        </w:rPr>
      </w:pPr>
      <w:r>
        <w:rPr>
          <w:rFonts w:cs="Times New Roman"/>
          <w:lang w:val="en-US"/>
        </w:rPr>
        <w:t xml:space="preserve">Therefore, usage of </w:t>
      </w:r>
      <w:r w:rsidR="00317C7C">
        <w:rPr>
          <w:rFonts w:cs="Times New Roman"/>
          <w:lang w:val="en-US"/>
        </w:rPr>
        <w:t>real options analysis</w:t>
      </w:r>
      <w:r>
        <w:rPr>
          <w:rFonts w:cs="Times New Roman"/>
          <w:lang w:val="en-US"/>
        </w:rPr>
        <w:t xml:space="preserve"> and linked to it active management lead to both decrease of volatility of the project’s value for investor and increase of the mean value of the expected cash flows.</w:t>
      </w:r>
      <w:r w:rsidRPr="0062188B">
        <w:rPr>
          <w:noProof/>
          <w:lang w:val="en-US" w:eastAsia="ru-RU"/>
        </w:rPr>
        <w:t xml:space="preserve"> </w:t>
      </w:r>
    </w:p>
    <w:p w:rsidR="009E7598" w:rsidRDefault="009E7598" w:rsidP="00C22B53">
      <w:pPr>
        <w:keepNext/>
        <w:jc w:val="center"/>
      </w:pPr>
      <w:r w:rsidRPr="0062188B">
        <w:rPr>
          <w:rFonts w:cs="Times New Roman"/>
          <w:noProof/>
          <w:lang w:eastAsia="ru-RU"/>
        </w:rPr>
        <w:drawing>
          <wp:inline distT="0" distB="0" distL="0" distR="0" wp14:anchorId="06927E27" wp14:editId="3CFE486E">
            <wp:extent cx="5748867" cy="2565400"/>
            <wp:effectExtent l="0" t="0" r="4445" b="635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rotWithShape="1">
                    <a:blip r:embed="rId8"/>
                    <a:srcRect l="1283" t="3939" r="1926" b="4249"/>
                    <a:stretch/>
                  </pic:blipFill>
                  <pic:spPr bwMode="auto">
                    <a:xfrm>
                      <a:off x="0" y="0"/>
                      <a:ext cx="5749775" cy="2565805"/>
                    </a:xfrm>
                    <a:prstGeom prst="rect">
                      <a:avLst/>
                    </a:prstGeom>
                    <a:ln>
                      <a:noFill/>
                    </a:ln>
                    <a:extLst>
                      <a:ext uri="{53640926-AAD7-44D8-BBD7-CCE9431645EC}">
                        <a14:shadowObscured xmlns:a14="http://schemas.microsoft.com/office/drawing/2010/main"/>
                      </a:ext>
                    </a:extLst>
                  </pic:spPr>
                </pic:pic>
              </a:graphicData>
            </a:graphic>
          </wp:inline>
        </w:drawing>
      </w:r>
    </w:p>
    <w:p w:rsidR="009E7598" w:rsidRPr="00481A23" w:rsidRDefault="009E7598" w:rsidP="009E7598">
      <w:pPr>
        <w:pStyle w:val="ac"/>
        <w:rPr>
          <w:rFonts w:cs="Times New Roman"/>
        </w:rPr>
      </w:pPr>
      <w:bookmarkStart w:id="33" w:name="_Toc484036517"/>
      <w:r w:rsidRPr="00481A23">
        <w:t xml:space="preserve">Figure </w:t>
      </w:r>
      <w:r w:rsidRPr="00481A23">
        <w:fldChar w:fldCharType="begin"/>
      </w:r>
      <w:r w:rsidRPr="00481A23">
        <w:instrText xml:space="preserve"> SEQ Figure \* ARABIC </w:instrText>
      </w:r>
      <w:r w:rsidRPr="00481A23">
        <w:fldChar w:fldCharType="separate"/>
      </w:r>
      <w:r w:rsidR="008324C6">
        <w:rPr>
          <w:noProof/>
        </w:rPr>
        <w:t>3</w:t>
      </w:r>
      <w:r w:rsidRPr="00481A23">
        <w:fldChar w:fldCharType="end"/>
      </w:r>
      <w:r w:rsidRPr="00481A23">
        <w:t>.</w:t>
      </w:r>
      <w:r w:rsidR="00D5795B" w:rsidRPr="00481A23">
        <w:t xml:space="preserve"> </w:t>
      </w:r>
      <w:r w:rsidR="008D3331" w:rsidRPr="00481A23">
        <w:t>Application of real option reduce risk and increase return of the project</w:t>
      </w:r>
      <w:r w:rsidR="00481A23" w:rsidRPr="00481A23">
        <w:t>. Source:</w:t>
      </w:r>
      <w:r w:rsidR="008D3331" w:rsidRPr="00481A23">
        <w:t xml:space="preserve"> </w:t>
      </w:r>
      <w:r w:rsidR="008D3331" w:rsidRPr="00481A23">
        <w:fldChar w:fldCharType="begin" w:fldLock="1"/>
      </w:r>
      <w:r w:rsidR="00587F48" w:rsidRPr="00481A23">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008D3331" w:rsidRPr="00481A23">
        <w:fldChar w:fldCharType="separate"/>
      </w:r>
      <w:r w:rsidR="00587F48" w:rsidRPr="00481A23">
        <w:rPr>
          <w:noProof/>
        </w:rPr>
        <w:t>(Mun 2002)</w:t>
      </w:r>
      <w:bookmarkEnd w:id="33"/>
      <w:r w:rsidR="008D3331" w:rsidRPr="00481A23">
        <w:fldChar w:fldCharType="end"/>
      </w:r>
    </w:p>
    <w:p w:rsidR="009E7598" w:rsidRPr="00EA399A" w:rsidRDefault="009E7598" w:rsidP="009E7598">
      <w:pPr>
        <w:rPr>
          <w:rFonts w:cs="Times New Roman"/>
          <w:lang w:val="en-US"/>
        </w:rPr>
      </w:pPr>
    </w:p>
    <w:p w:rsidR="009E7598" w:rsidRPr="00FF0C30" w:rsidRDefault="009E7598" w:rsidP="009E7598">
      <w:pPr>
        <w:pStyle w:val="4"/>
      </w:pPr>
      <w:r w:rsidRPr="00FF0C30">
        <w:t>Utilization of Real Options Analysis in Industry.</w:t>
      </w:r>
    </w:p>
    <w:p w:rsidR="009E7598" w:rsidRDefault="009E7598" w:rsidP="009E7598">
      <w:pPr>
        <w:rPr>
          <w:rFonts w:cs="Times New Roman"/>
          <w:szCs w:val="24"/>
          <w:lang w:val="en-US"/>
        </w:rPr>
      </w:pPr>
      <w:r w:rsidRPr="00FF0C30">
        <w:rPr>
          <w:rFonts w:cs="Times New Roman"/>
          <w:szCs w:val="24"/>
          <w:lang w:val="en-US"/>
        </w:rPr>
        <w:t>In spite of being broadly studied, the topic of real options is not covered or scores poorly by industrial practitioners, in terms of utilization</w:t>
      </w:r>
      <w:r w:rsidR="00C22B53">
        <w:rPr>
          <w:rFonts w:cs="Times New Roman"/>
          <w:szCs w:val="24"/>
          <w:lang w:val="en-US"/>
        </w:rPr>
        <w:t xml:space="preserve"> </w:t>
      </w:r>
      <w:r w:rsidR="00C22B53">
        <w:rPr>
          <w:rFonts w:cs="Times New Roman"/>
          <w:szCs w:val="24"/>
          <w:lang w:val="en-US"/>
        </w:rPr>
        <w:fldChar w:fldCharType="begin" w:fldLock="1"/>
      </w:r>
      <w:r w:rsidR="00587F48">
        <w:rPr>
          <w:rFonts w:cs="Times New Roman"/>
          <w:szCs w:val="24"/>
          <w:lang w:val="en-US"/>
        </w:rPr>
        <w:instrText>ADDIN CSL_CITATION { "citationItems" : [ { "id" : "ITEM-1", "itemData" : { "DOI" : "10.1080/00137910701503910", "ISBN" : "0013791X (ISSN)", "ISSN" : "0013-791X", "abstract" : "The inability of classic NPV analysis to capture the future value of options in a capital budgeting analysis is now well documented by Trigeorgis (1993, 2005), Copeland and Antikarov (2001), and others. In spite of this, traditionaal NPV analysis continues to be described as a narmative approach. The author surveys Fortune 1,000 companies to see if they have picked up on the use of real options to complement traditional analysis. Out of 279 respondents, 40 were currently using real options (14.3%). While the percentage is small, the number is higher than in previous studies. The author goes on to describe in what manner real options are being used and, of equal importance, why they are resisted by many. Somewhat encouraging is the intent of well over half the nonusers to consider the use of real options in the future.", "author" : [ { "dropping-particle" : "", "family" : "Block", "given" : "Stanley", "non-dropping-particle" : "", "parse-names" : false, "suffix" : "" } ], "container-title" : "The Engineering Economist", "id" : "ITEM-1", "issue" : "3", "issued" : { "date-parts" : [ [ "2007" ] ] }, "page" : "255-267", "title" : "Are \u201cReal Options\u201d Actually Used in the Real World?", "type" : "article-journal", "volume" : "52" }, "uris" : [ "http://www.mendeley.com/documents/?uuid=786a2b25-b9b5-4710-adca-2b6d2a1f3778" ] } ], "mendeley" : { "formattedCitation" : "(Block 2007)", "plainTextFormattedCitation" : "(Block 2007)", "previouslyFormattedCitation" : "(Block 2007)" }, "properties" : { "noteIndex" : 0 }, "schema" : "https://github.com/citation-style-language/schema/raw/master/csl-citation.json" }</w:instrText>
      </w:r>
      <w:r w:rsidR="00C22B53">
        <w:rPr>
          <w:rFonts w:cs="Times New Roman"/>
          <w:szCs w:val="24"/>
          <w:lang w:val="en-US"/>
        </w:rPr>
        <w:fldChar w:fldCharType="separate"/>
      </w:r>
      <w:r w:rsidR="00587F48" w:rsidRPr="00587F48">
        <w:rPr>
          <w:rFonts w:cs="Times New Roman"/>
          <w:noProof/>
          <w:szCs w:val="24"/>
          <w:lang w:val="en-US"/>
        </w:rPr>
        <w:t>(Block 2007)</w:t>
      </w:r>
      <w:r w:rsidR="00C22B53">
        <w:rPr>
          <w:rFonts w:cs="Times New Roman"/>
          <w:szCs w:val="24"/>
          <w:lang w:val="en-US"/>
        </w:rPr>
        <w:fldChar w:fldCharType="end"/>
      </w:r>
      <w:r w:rsidRPr="00FF0C30">
        <w:rPr>
          <w:rFonts w:cs="Times New Roman"/>
          <w:szCs w:val="24"/>
          <w:lang w:val="en-US"/>
        </w:rPr>
        <w:t>. For example, as reported in</w:t>
      </w:r>
      <w:r w:rsidR="00C22B53">
        <w:rPr>
          <w:rFonts w:cs="Times New Roman"/>
          <w:szCs w:val="24"/>
          <w:lang w:val="en-US"/>
        </w:rPr>
        <w:t xml:space="preserve"> </w:t>
      </w:r>
      <w:r w:rsidR="00C22B53">
        <w:rPr>
          <w:rFonts w:cs="Times New Roman"/>
          <w:szCs w:val="24"/>
          <w:lang w:val="en-US"/>
        </w:rPr>
        <w:fldChar w:fldCharType="begin" w:fldLock="1"/>
      </w:r>
      <w:r w:rsidR="00587F48">
        <w:rPr>
          <w:rFonts w:cs="Times New Roman"/>
          <w:szCs w:val="24"/>
          <w:lang w:val="en-US"/>
        </w:rPr>
        <w:instrText>ADDIN CSL_CITATION { "citationItems" : [ { "id" : "ITEM-1", "itemData" : { "ISBN" : "87567113", "abstract" : "Companies have been slow to adopt the valuation technique. Real options technique is the most important capital-budgeting tool in decades. Capital investments can be analyzed in terms of the options they contain-and that those options can be valued by the same tools used to price financial options. Real-options analysis could gain currency via its application in a number of functions that aren't industry-specific such as supply-chain management. With more-powerful PCs and spreadsheets, one can model multiple options with little more than a knowledge of high school algebra and binomial lattices. Real options can only work for tradable assets. INSET: What Are Your Options?", "author" : [ { "dropping-particle" : "", "family" : "Teach", "given" : "Edward", "non-dropping-particle" : "", "parse-names" : false, "suffix" : "" } ], "container-title" : "CFO", "id" : "ITEM-1", "issue" : "9", "issued" : { "date-parts" : [ [ "2003" ] ] }, "page" : "73", "title" : "Will Real Options Take Root?", "type" : "article-journal", "volume" : "19" }, "uris" : [ "http://www.mendeley.com/documents/?uuid=2d91fd26-8242-4775-9c08-9b4b8dd949b9" ] } ], "mendeley" : { "formattedCitation" : "(Teach 2003)", "plainTextFormattedCitation" : "(Teach 2003)", "previouslyFormattedCitation" : "(Teach 2003)" }, "properties" : { "noteIndex" : 0 }, "schema" : "https://github.com/citation-style-language/schema/raw/master/csl-citation.json" }</w:instrText>
      </w:r>
      <w:r w:rsidR="00C22B53">
        <w:rPr>
          <w:rFonts w:cs="Times New Roman"/>
          <w:szCs w:val="24"/>
          <w:lang w:val="en-US"/>
        </w:rPr>
        <w:fldChar w:fldCharType="separate"/>
      </w:r>
      <w:r w:rsidR="00587F48" w:rsidRPr="00587F48">
        <w:rPr>
          <w:rFonts w:cs="Times New Roman"/>
          <w:noProof/>
          <w:szCs w:val="24"/>
          <w:lang w:val="en-US"/>
        </w:rPr>
        <w:t>(Teach 2003)</w:t>
      </w:r>
      <w:r w:rsidR="00C22B53">
        <w:rPr>
          <w:rFonts w:cs="Times New Roman"/>
          <w:szCs w:val="24"/>
          <w:lang w:val="en-US"/>
        </w:rPr>
        <w:fldChar w:fldCharType="end"/>
      </w:r>
      <w:r w:rsidRPr="00FF0C30">
        <w:rPr>
          <w:rFonts w:cs="Times New Roman"/>
          <w:szCs w:val="24"/>
          <w:lang w:val="en-US"/>
        </w:rPr>
        <w:t>, Bain and Company conducted a survey of 451 senior executives covering 30 industries regarding their views of management techniques, and only 9% reported using real options. Also, a survey of 208 CFOs found real options trailing the list of 13 supplementary capital budgeting techniques with a utilization rate of 11.4%</w:t>
      </w:r>
      <w:r w:rsidR="00C22B53">
        <w:rPr>
          <w:rFonts w:cs="Times New Roman"/>
          <w:szCs w:val="24"/>
          <w:lang w:val="en-US"/>
        </w:rPr>
        <w:t xml:space="preserve"> </w:t>
      </w:r>
      <w:r w:rsidR="00C22B53">
        <w:rPr>
          <w:rFonts w:cs="Times New Roman"/>
          <w:szCs w:val="24"/>
          <w:lang w:val="en-US"/>
        </w:rPr>
        <w:fldChar w:fldCharType="begin" w:fldLock="1"/>
      </w:r>
      <w:r w:rsidR="00587F48">
        <w:rPr>
          <w:rFonts w:cs="Times New Roman"/>
          <w:szCs w:val="24"/>
          <w:lang w:val="en-US"/>
        </w:rPr>
        <w:instrText>ADDIN CSL_CITATION { "citationItems" : [ { "id" : "ITEM-1", "itemData" : { "ISBN" : "1535668X", "ISSN" : "1535668X", "abstract" : "Capital budgeting is one of the most important decisions that face the financial manager. Prior studies spanning the past four decades show financial managers prefer methods such as internal rate of return or non-discounted payback models over net present value, the model academics consider superior. This interesting anomaly has long been a puzzle to the academic community. A recent survey of the Fortune 1000 Chief financial Officers finds net present value to be the most preferred tool over internal rate of return and all other capital budgeting tools. While most financial managers utilize multiple tools in the capital budgeting process, these results better reflect the alignment of the academic and business view. [ABSTRACT FROM AUTHOR]", "author" : [ { "dropping-particle" : "", "family" : "Ryan", "given" : "Patricia a", "non-dropping-particle" : "", "parse-names" : false, "suffix" : "" }, { "dropping-particle" : "", "family" : "Ryan", "given" : "Glenn P", "non-dropping-particle" : "", "parse-names" : false, "suffix" : "" } ], "container-title" : "Journal of Business &amp; Management", "id" : "ITEM-1", "issue" : "4", "issued" : { "date-parts" : [ [ "2002" ] ] }, "page" : "355", "title" : "Capital Budgeting Practices of the Fortune 1000: How Have Things Changed?", "type" : "article-journal", "volume" : "8" }, "uris" : [ "http://www.mendeley.com/documents/?uuid=f7cc6d59-e9f5-4f0b-a423-26ad20c0e880" ] } ], "mendeley" : { "formattedCitation" : "(Ryan and Ryan 2002)", "plainTextFormattedCitation" : "(Ryan and Ryan 2002)", "previouslyFormattedCitation" : "(Ryan and Ryan 2002)" }, "properties" : { "noteIndex" : 0 }, "schema" : "https://github.com/citation-style-language/schema/raw/master/csl-citation.json" }</w:instrText>
      </w:r>
      <w:r w:rsidR="00C22B53">
        <w:rPr>
          <w:rFonts w:cs="Times New Roman"/>
          <w:szCs w:val="24"/>
          <w:lang w:val="en-US"/>
        </w:rPr>
        <w:fldChar w:fldCharType="separate"/>
      </w:r>
      <w:r w:rsidR="00587F48" w:rsidRPr="00587F48">
        <w:rPr>
          <w:rFonts w:cs="Times New Roman"/>
          <w:noProof/>
          <w:szCs w:val="24"/>
          <w:lang w:val="en-US"/>
        </w:rPr>
        <w:t>(Ryan and Ryan 2002)</w:t>
      </w:r>
      <w:r w:rsidR="00C22B53">
        <w:rPr>
          <w:rFonts w:cs="Times New Roman"/>
          <w:szCs w:val="24"/>
          <w:lang w:val="en-US"/>
        </w:rPr>
        <w:fldChar w:fldCharType="end"/>
      </w:r>
      <w:r w:rsidRPr="00FF0C30">
        <w:rPr>
          <w:rFonts w:cs="Times New Roman"/>
          <w:szCs w:val="24"/>
          <w:lang w:val="en-US"/>
        </w:rPr>
        <w:t xml:space="preserve">. </w:t>
      </w:r>
    </w:p>
    <w:p w:rsidR="009C0806" w:rsidRDefault="0059417E" w:rsidP="009C0806">
      <w:pPr>
        <w:keepNext/>
        <w:jc w:val="center"/>
      </w:pPr>
      <w:r>
        <w:rPr>
          <w:rFonts w:cs="Times New Roman"/>
          <w:noProof/>
          <w:szCs w:val="24"/>
          <w:lang w:eastAsia="ru-RU"/>
        </w:rPr>
        <w:lastRenderedPageBreak/>
        <w:drawing>
          <wp:inline distT="0" distB="0" distL="0" distR="0" wp14:anchorId="022D6886" wp14:editId="230F97E0">
            <wp:extent cx="4381500" cy="2484120"/>
            <wp:effectExtent l="0" t="0" r="0" b="0"/>
            <wp:docPr id="2"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0" cy="2484120"/>
                    </a:xfrm>
                    <a:prstGeom prst="rect">
                      <a:avLst/>
                    </a:prstGeom>
                    <a:noFill/>
                    <a:ln>
                      <a:noFill/>
                    </a:ln>
                  </pic:spPr>
                </pic:pic>
              </a:graphicData>
            </a:graphic>
          </wp:inline>
        </w:drawing>
      </w:r>
    </w:p>
    <w:p w:rsidR="00C22B53" w:rsidRPr="00FF0C30" w:rsidRDefault="009C0806" w:rsidP="00481A23">
      <w:pPr>
        <w:pStyle w:val="ac"/>
        <w:rPr>
          <w:rFonts w:cs="Times New Roman"/>
          <w:szCs w:val="24"/>
        </w:rPr>
      </w:pPr>
      <w:bookmarkStart w:id="34" w:name="_Toc484036518"/>
      <w:r w:rsidRPr="00481A23">
        <w:t xml:space="preserve">Figure </w:t>
      </w:r>
      <w:r w:rsidRPr="00481A23">
        <w:fldChar w:fldCharType="begin"/>
      </w:r>
      <w:r w:rsidRPr="00481A23">
        <w:instrText xml:space="preserve"> SEQ Figure \* ARABIC </w:instrText>
      </w:r>
      <w:r w:rsidRPr="00481A23">
        <w:fldChar w:fldCharType="separate"/>
      </w:r>
      <w:r w:rsidR="008324C6">
        <w:rPr>
          <w:noProof/>
        </w:rPr>
        <w:t>4</w:t>
      </w:r>
      <w:r w:rsidRPr="00481A23">
        <w:fldChar w:fldCharType="end"/>
      </w:r>
      <w:r w:rsidRPr="00481A23">
        <w:t>. Utilization of Real Options Analysis in Industry</w:t>
      </w:r>
      <w:r w:rsidR="00481A23" w:rsidRPr="00481A23">
        <w:t>. Source: Author´s figure</w:t>
      </w:r>
      <w:r w:rsidR="00481A23">
        <w:t xml:space="preserve">, </w:t>
      </w:r>
      <w:r w:rsidR="00481A23">
        <w:rPr>
          <w:rFonts w:cs="Times New Roman"/>
          <w:szCs w:val="24"/>
        </w:rPr>
        <w:fldChar w:fldCharType="begin" w:fldLock="1"/>
      </w:r>
      <w:r w:rsidR="00481A23">
        <w:rPr>
          <w:rFonts w:cs="Times New Roman"/>
          <w:szCs w:val="24"/>
        </w:rPr>
        <w:instrText>ADDIN CSL_CITATION { "citationItems" : [ { "id" : "ITEM-1", "itemData" : { "DOI" : "10.1080/00137910701503910", "ISBN" : "0013791X (ISSN)", "ISSN" : "0013-791X", "abstract" : "The inability of classic NPV analysis to capture the future value of options in a capital budgeting analysis is now well documented by Trigeorgis (1993, 2005), Copeland and Antikarov (2001), and others. In spite of this, traditionaal NPV analysis continues to be described as a narmative approach. The author surveys Fortune 1,000 companies to see if they have picked up on the use of real options to complement traditional analysis. Out of 279 respondents, 40 were currently using real options (14.3%). While the percentage is small, the number is higher than in previous studies. The author goes on to describe in what manner real options are being used and, of equal importance, why they are resisted by many. Somewhat encouraging is the intent of well over half the nonusers to consider the use of real options in the future.", "author" : [ { "dropping-particle" : "", "family" : "Block", "given" : "Stanley", "non-dropping-particle" : "", "parse-names" : false, "suffix" : "" } ], "container-title" : "The Engineering Economist", "id" : "ITEM-1", "issue" : "3", "issued" : { "date-parts" : [ [ "2007" ] ] }, "page" : "255-267", "title" : "Are \u201cReal Options\u201d Actually Used in the Real World?", "type" : "article-journal", "volume" : "52" }, "uris" : [ "http://www.mendeley.com/documents/?uuid=786a2b25-b9b5-4710-adca-2b6d2a1f3778" ] } ], "mendeley" : { "formattedCitation" : "(Block 2007)", "plainTextFormattedCitation" : "(Block 2007)", "previouslyFormattedCitation" : "(Block 2007)" }, "properties" : { "noteIndex" : 0 }, "schema" : "https://github.com/citation-style-language/schema/raw/master/csl-citation.json" }</w:instrText>
      </w:r>
      <w:r w:rsidR="00481A23">
        <w:rPr>
          <w:rFonts w:cs="Times New Roman"/>
          <w:szCs w:val="24"/>
        </w:rPr>
        <w:fldChar w:fldCharType="separate"/>
      </w:r>
      <w:r w:rsidR="00481A23" w:rsidRPr="00587F48">
        <w:rPr>
          <w:rFonts w:cs="Times New Roman"/>
          <w:noProof/>
          <w:szCs w:val="24"/>
        </w:rPr>
        <w:t>(Block 2007)</w:t>
      </w:r>
      <w:r w:rsidR="00481A23">
        <w:rPr>
          <w:rFonts w:cs="Times New Roman"/>
          <w:szCs w:val="24"/>
        </w:rPr>
        <w:fldChar w:fldCharType="end"/>
      </w:r>
      <w:r w:rsidR="00481A23">
        <w:rPr>
          <w:rFonts w:cs="Times New Roman"/>
          <w:szCs w:val="24"/>
        </w:rPr>
        <w:t xml:space="preserve">, </w:t>
      </w:r>
      <w:r w:rsidR="00481A23">
        <w:rPr>
          <w:rFonts w:cs="Times New Roman"/>
          <w:szCs w:val="24"/>
        </w:rPr>
        <w:fldChar w:fldCharType="begin" w:fldLock="1"/>
      </w:r>
      <w:r w:rsidR="00481A23">
        <w:rPr>
          <w:rFonts w:cs="Times New Roman"/>
          <w:szCs w:val="24"/>
        </w:rPr>
        <w:instrText>ADDIN CSL_CITATION { "citationItems" : [ { "id" : "ITEM-1", "itemData" : { "DOI" : "10.1108/00251741011022590", "ISBN" : "00251747", "ISSN" : "0025-1747", "abstract" : "Purpose - The purpose of this article is to evaluate current techniques in capital budget decision making in Canada, including real options, and to integrate the results with similar previous studies. Design/methodology/approach - A mail survey was conducted, which included 88 large firms in Canada. Findings - Trends towards sophisticated techniques have continued; however, even in large firms, 17 percent did not use discounted cash flow (DCF). Of those which did, the majority favoured net present value (NPV) and internal rate of return (IRR). Overall between one in ten to one in three were not correctly applying certain aspects of DCF. Only 8 percent used real options. Research limitations/implications - One limitation is that the survey does not indicate why managers continue using less advanced capital budgeting decision techniques. A second is that choice of population may bias results to large firms in Canada. Practical implications - The main area for management focus is real options. Other areas for improvement are administrative procedures, using the weighted average cost of capital (WACC), adjusting the WACC for different projects or divisions, employing target or market values for weights, and not including interest expenses in project cash flows. A small proportion of managers also need to start using DCF. Originality/value - The evaluation shows there still remains a theory-practice gap in the detailed elements of DCF capital budgeting decision techniques, and in real options. Further, it is valuable to take stock of a concept that has been developed over a number of years. What this paper offers is a fine-grained analysis of investment decision making, a synthesis and integration of several studies on DCF where new comparisons are made, advice to managers and thus opportunities to improve investment decision making. [PUBLICATION ABSTRACT]", "author" : [ { "dropping-particle" : "", "family" : "Bennouna", "given" : "Karim", "non-dropping-particle" : "", "parse-names" : false, "suffix" : "" }, { "dropping-particle" : "", "family" : "Meredith", "given" : "Geoffrey G.", "non-dropping-particle" : "", "parse-names" : false, "suffix" : "" }, { "dropping-particle" : "", "family" : "Marchant", "given" : "Teresa", "non-dropping-particle" : "", "parse-names" : false, "suffix" : "" } ], "container-title" : "Management Decision", "id" : "ITEM-1", "issue" : "2", "issued" : { "date-parts" : [ [ "2010" ] ] }, "page" : "225-247", "title" : "Improved capital budgeting decision making: evidence from Canada", "type" : "article-journal", "volume" : "48" }, "uris" : [ "http://www.mendeley.com/documents/?uuid=b6ed08d0-1465-487f-b552-31c7c722498d" ] } ], "mendeley" : { "formattedCitation" : "(Bennouna, Meredith, and Marchant 2010)", "plainTextFormattedCitation" : "(Bennouna, Meredith, and Marchant 2010)", "previouslyFormattedCitation" : "(Bennouna, Meredith, and Marchant 2010)" }, "properties" : { "noteIndex" : 0 }, "schema" : "https://github.com/citation-style-language/schema/raw/master/csl-citation.json" }</w:instrText>
      </w:r>
      <w:r w:rsidR="00481A23">
        <w:rPr>
          <w:rFonts w:cs="Times New Roman"/>
          <w:szCs w:val="24"/>
        </w:rPr>
        <w:fldChar w:fldCharType="separate"/>
      </w:r>
      <w:r w:rsidR="00481A23" w:rsidRPr="00587F48">
        <w:rPr>
          <w:rFonts w:cs="Times New Roman"/>
          <w:noProof/>
          <w:szCs w:val="24"/>
        </w:rPr>
        <w:t>(Bennouna, Meredith, and Marchant 2010)</w:t>
      </w:r>
      <w:r w:rsidR="00481A23">
        <w:rPr>
          <w:rFonts w:cs="Times New Roman"/>
          <w:szCs w:val="24"/>
        </w:rPr>
        <w:fldChar w:fldCharType="end"/>
      </w:r>
      <w:r w:rsidR="00481A23">
        <w:rPr>
          <w:rFonts w:cs="Times New Roman"/>
          <w:szCs w:val="24"/>
        </w:rPr>
        <w:t xml:space="preserve">, </w:t>
      </w:r>
      <w:r w:rsidR="00481A23">
        <w:rPr>
          <w:rFonts w:cs="Times New Roman"/>
          <w:szCs w:val="24"/>
        </w:rPr>
        <w:fldChar w:fldCharType="begin" w:fldLock="1"/>
      </w:r>
      <w:r w:rsidR="00481A23">
        <w:rPr>
          <w:rFonts w:cs="Times New Roman"/>
          <w:szCs w:val="24"/>
        </w:rPr>
        <w:instrText>ADDIN CSL_CITATION { "citationItems" : [ { "id" : "ITEM-1", "itemData" : { "ISBN" : "1535668X", "ISSN" : "1535668X", "abstract" : "Capital budgeting is one of the most important decisions that face the financial manager. Prior studies spanning the past four decades show financial managers prefer methods such as internal rate of return or non-discounted payback models over net present value, the model academics consider superior. This interesting anomaly has long been a puzzle to the academic community. A recent survey of the Fortune 1000 Chief financial Officers finds net present value to be the most preferred tool over internal rate of return and all other capital budgeting tools. While most financial managers utilize multiple tools in the capital budgeting process, these results better reflect the alignment of the academic and business view. [ABSTRACT FROM AUTHOR]", "author" : [ { "dropping-particle" : "", "family" : "Ryan", "given" : "Patricia a", "non-dropping-particle" : "", "parse-names" : false, "suffix" : "" }, { "dropping-particle" : "", "family" : "Ryan", "given" : "Glenn P", "non-dropping-particle" : "", "parse-names" : false, "suffix" : "" } ], "container-title" : "Journal of Business &amp; Management", "id" : "ITEM-1", "issue" : "4", "issued" : { "date-parts" : [ [ "2002" ] ] }, "page" : "355", "title" : "Capital Budgeting Practices of the Fortune 1000: How Have Things Changed?", "type" : "article-journal", "volume" : "8" }, "uris" : [ "http://www.mendeley.com/documents/?uuid=f7cc6d59-e9f5-4f0b-a423-26ad20c0e880" ] } ], "mendeley" : { "formattedCitation" : "(Ryan and Ryan 2002)", "plainTextFormattedCitation" : "(Ryan and Ryan 2002)", "previouslyFormattedCitation" : "(Ryan and Ryan 2002)" }, "properties" : { "noteIndex" : 0 }, "schema" : "https://github.com/citation-style-language/schema/raw/master/csl-citation.json" }</w:instrText>
      </w:r>
      <w:r w:rsidR="00481A23">
        <w:rPr>
          <w:rFonts w:cs="Times New Roman"/>
          <w:szCs w:val="24"/>
        </w:rPr>
        <w:fldChar w:fldCharType="separate"/>
      </w:r>
      <w:r w:rsidR="00481A23" w:rsidRPr="00587F48">
        <w:rPr>
          <w:rFonts w:cs="Times New Roman"/>
          <w:noProof/>
          <w:szCs w:val="24"/>
        </w:rPr>
        <w:t>(Ryan and Ryan 2002)</w:t>
      </w:r>
      <w:r w:rsidR="00481A23">
        <w:rPr>
          <w:rFonts w:cs="Times New Roman"/>
          <w:szCs w:val="24"/>
        </w:rPr>
        <w:fldChar w:fldCharType="end"/>
      </w:r>
      <w:r w:rsidR="00481A23">
        <w:rPr>
          <w:rFonts w:cs="Times New Roman"/>
          <w:szCs w:val="24"/>
        </w:rPr>
        <w:t xml:space="preserve">, </w:t>
      </w:r>
      <w:r w:rsidR="00481A23">
        <w:rPr>
          <w:rFonts w:cs="Times New Roman"/>
          <w:szCs w:val="24"/>
        </w:rPr>
        <w:fldChar w:fldCharType="begin" w:fldLock="1"/>
      </w:r>
      <w:r w:rsidR="00481A23">
        <w:rPr>
          <w:rFonts w:cs="Times New Roman"/>
          <w:szCs w:val="24"/>
        </w:rPr>
        <w:instrText>ADDIN CSL_CITATION { "citationItems" : [ { "id" : "ITEM-1", "itemData" : { "ISBN" : "87567113", "abstract" : "Companies have been slow to adopt the valuation technique. Real options technique is the most important capital-budgeting tool in decades. Capital investments can be analyzed in terms of the options they contain-and that those options can be valued by the same tools used to price financial options. Real-options analysis could gain currency via its application in a number of functions that aren't industry-specific such as supply-chain management. With more-powerful PCs and spreadsheets, one can model multiple options with little more than a knowledge of high school algebra and binomial lattices. Real options can only work for tradable assets. INSET: What Are Your Options?", "author" : [ { "dropping-particle" : "", "family" : "Teach", "given" : "Edward", "non-dropping-particle" : "", "parse-names" : false, "suffix" : "" } ], "container-title" : "CFO", "id" : "ITEM-1", "issue" : "9", "issued" : { "date-parts" : [ [ "2003" ] ] }, "page" : "73", "title" : "Will Real Options Take Root?", "type" : "article-journal", "volume" : "19" }, "uris" : [ "http://www.mendeley.com/documents/?uuid=2d91fd26-8242-4775-9c08-9b4b8dd949b9" ] } ], "mendeley" : { "formattedCitation" : "(Teach 2003)", "plainTextFormattedCitation" : "(Teach 2003)", "previouslyFormattedCitation" : "(Teach 2003)" }, "properties" : { "noteIndex" : 0 }, "schema" : "https://github.com/citation-style-language/schema/raw/master/csl-citation.json" }</w:instrText>
      </w:r>
      <w:r w:rsidR="00481A23">
        <w:rPr>
          <w:rFonts w:cs="Times New Roman"/>
          <w:szCs w:val="24"/>
        </w:rPr>
        <w:fldChar w:fldCharType="separate"/>
      </w:r>
      <w:r w:rsidR="00481A23" w:rsidRPr="00587F48">
        <w:rPr>
          <w:rFonts w:cs="Times New Roman"/>
          <w:noProof/>
          <w:szCs w:val="24"/>
        </w:rPr>
        <w:t>(Teach 2003)</w:t>
      </w:r>
      <w:r w:rsidR="00481A23">
        <w:rPr>
          <w:rFonts w:cs="Times New Roman"/>
          <w:szCs w:val="24"/>
        </w:rPr>
        <w:fldChar w:fldCharType="end"/>
      </w:r>
      <w:r w:rsidR="00481A23" w:rsidRPr="00FF0C30">
        <w:rPr>
          <w:rFonts w:cs="Times New Roman"/>
          <w:szCs w:val="24"/>
        </w:rPr>
        <w:t>.</w:t>
      </w:r>
      <w:bookmarkEnd w:id="34"/>
    </w:p>
    <w:p w:rsidR="003F6083" w:rsidRPr="00FF2FC5" w:rsidRDefault="009E7598" w:rsidP="00FF2FC5">
      <w:pPr>
        <w:rPr>
          <w:rFonts w:cs="Times New Roman"/>
          <w:szCs w:val="24"/>
          <w:lang w:val="en-US"/>
        </w:rPr>
      </w:pPr>
      <w:r w:rsidRPr="00FF0C30">
        <w:rPr>
          <w:rFonts w:cs="Times New Roman"/>
          <w:szCs w:val="24"/>
          <w:lang w:val="en-US"/>
        </w:rPr>
        <w:t>In contrast, 85.1% of the respondents used sensitivity analysis and 96% used traditional net present value analysis for basic capital budgeting. In a more recent survey,</w:t>
      </w:r>
      <w:r w:rsidR="00C22B53">
        <w:rPr>
          <w:rFonts w:cs="Times New Roman"/>
          <w:szCs w:val="24"/>
          <w:lang w:val="en-US"/>
        </w:rPr>
        <w:t xml:space="preserve"> </w:t>
      </w:r>
      <w:r w:rsidR="00C22B53">
        <w:rPr>
          <w:rFonts w:cs="Times New Roman"/>
          <w:szCs w:val="24"/>
          <w:lang w:val="en-US"/>
        </w:rPr>
        <w:fldChar w:fldCharType="begin" w:fldLock="1"/>
      </w:r>
      <w:r w:rsidR="00587F48">
        <w:rPr>
          <w:rFonts w:cs="Times New Roman"/>
          <w:szCs w:val="24"/>
          <w:lang w:val="en-US"/>
        </w:rPr>
        <w:instrText>ADDIN CSL_CITATION { "citationItems" : [ { "id" : "ITEM-1", "itemData" : { "DOI" : "10.1080/00137910701503910", "ISBN" : "0013791X (ISSN)", "ISSN" : "0013-791X", "abstract" : "The inability of classic NPV analysis to capture the future value of options in a capital budgeting analysis is now well documented by Trigeorgis (1993, 2005), Copeland and Antikarov (2001), and others. In spite of this, traditionaal NPV analysis continues to be described as a narmative approach. The author surveys Fortune 1,000 companies to see if they have picked up on the use of real options to complement traditional analysis. Out of 279 respondents, 40 were currently using real options (14.3%). While the percentage is small, the number is higher than in previous studies. The author goes on to describe in what manner real options are being used and, of equal importance, why they are resisted by many. Somewhat encouraging is the intent of well over half the nonusers to consider the use of real options in the future.", "author" : [ { "dropping-particle" : "", "family" : "Block", "given" : "Stanley", "non-dropping-particle" : "", "parse-names" : false, "suffix" : "" } ], "container-title" : "The Engineering Economist", "id" : "ITEM-1", "issue" : "3", "issued" : { "date-parts" : [ [ "2007" ] ] }, "page" : "255-267", "title" : "Are \u201cReal Options\u201d Actually Used in the Real World?", "type" : "article-journal", "volume" : "52" }, "uris" : [ "http://www.mendeley.com/documents/?uuid=786a2b25-b9b5-4710-adca-2b6d2a1f3778" ] } ], "mendeley" : { "formattedCitation" : "(Block 2007)", "plainTextFormattedCitation" : "(Block 2007)", "previouslyFormattedCitation" : "(Block 2007)" }, "properties" : { "noteIndex" : 0 }, "schema" : "https://github.com/citation-style-language/schema/raw/master/csl-citation.json" }</w:instrText>
      </w:r>
      <w:r w:rsidR="00C22B53">
        <w:rPr>
          <w:rFonts w:cs="Times New Roman"/>
          <w:szCs w:val="24"/>
          <w:lang w:val="en-US"/>
        </w:rPr>
        <w:fldChar w:fldCharType="separate"/>
      </w:r>
      <w:r w:rsidR="00587F48" w:rsidRPr="00587F48">
        <w:rPr>
          <w:rFonts w:cs="Times New Roman"/>
          <w:noProof/>
          <w:szCs w:val="24"/>
          <w:lang w:val="en-US"/>
        </w:rPr>
        <w:t>(Block 2007)</w:t>
      </w:r>
      <w:r w:rsidR="00C22B53">
        <w:rPr>
          <w:rFonts w:cs="Times New Roman"/>
          <w:szCs w:val="24"/>
          <w:lang w:val="en-US"/>
        </w:rPr>
        <w:fldChar w:fldCharType="end"/>
      </w:r>
      <w:r w:rsidRPr="00FF0C30">
        <w:rPr>
          <w:rFonts w:cs="Times New Roman"/>
          <w:szCs w:val="24"/>
          <w:lang w:val="en-US"/>
        </w:rPr>
        <w:t xml:space="preserve"> surveyed Fortune 1,000 companies to see if the companies were employing ROA to complement traditional analysis. Out of 279 respondents, 40 were using real options (14.3%). Based on a survey by </w:t>
      </w:r>
      <w:r w:rsidR="00C22B53">
        <w:rPr>
          <w:rFonts w:cs="Times New Roman"/>
          <w:szCs w:val="24"/>
          <w:lang w:val="en-US"/>
        </w:rPr>
        <w:fldChar w:fldCharType="begin" w:fldLock="1"/>
      </w:r>
      <w:r w:rsidR="00587F48">
        <w:rPr>
          <w:rFonts w:cs="Times New Roman"/>
          <w:szCs w:val="24"/>
          <w:lang w:val="en-US"/>
        </w:rPr>
        <w:instrText>ADDIN CSL_CITATION { "citationItems" : [ { "id" : "ITEM-1", "itemData" : { "DOI" : "10.1108/00251741011022590", "ISBN" : "00251747", "ISSN" : "0025-1747", "abstract" : "Purpose - The purpose of this article is to evaluate current techniques in capital budget decision making in Canada, including real options, and to integrate the results with similar previous studies. Design/methodology/approach - A mail survey was conducted, which included 88 large firms in Canada. Findings - Trends towards sophisticated techniques have continued; however, even in large firms, 17 percent did not use discounted cash flow (DCF). Of those which did, the majority favoured net present value (NPV) and internal rate of return (IRR). Overall between one in ten to one in three were not correctly applying certain aspects of DCF. Only 8 percent used real options. Research limitations/implications - One limitation is that the survey does not indicate why managers continue using less advanced capital budgeting decision techniques. A second is that choice of population may bias results to large firms in Canada. Practical implications - The main area for management focus is real options. Other areas for improvement are administrative procedures, using the weighted average cost of capital (WACC), adjusting the WACC for different projects or divisions, employing target or market values for weights, and not including interest expenses in project cash flows. A small proportion of managers also need to start using DCF. Originality/value - The evaluation shows there still remains a theory-practice gap in the detailed elements of DCF capital budgeting decision techniques, and in real options. Further, it is valuable to take stock of a concept that has been developed over a number of years. What this paper offers is a fine-grained analysis of investment decision making, a synthesis and integration of several studies on DCF where new comparisons are made, advice to managers and thus opportunities to improve investment decision making. [PUBLICATION ABSTRACT]", "author" : [ { "dropping-particle" : "", "family" : "Bennouna", "given" : "Karim", "non-dropping-particle" : "", "parse-names" : false, "suffix" : "" }, { "dropping-particle" : "", "family" : "Meredith", "given" : "Geoffrey G.", "non-dropping-particle" : "", "parse-names" : false, "suffix" : "" }, { "dropping-particle" : "", "family" : "Marchant", "given" : "Teresa", "non-dropping-particle" : "", "parse-names" : false, "suffix" : "" } ], "container-title" : "Management Decision", "id" : "ITEM-1", "issue" : "2", "issued" : { "date-parts" : [ [ "2010" ] ] }, "page" : "225-247", "title" : "Improved capital budgeting decision making: evidence from Canada", "type" : "article-journal", "volume" : "48" }, "uris" : [ "http://www.mendeley.com/documents/?uuid=b6ed08d0-1465-487f-b552-31c7c722498d" ] } ], "mendeley" : { "formattedCitation" : "(Bennouna, Meredith, and Marchant 2010)", "plainTextFormattedCitation" : "(Bennouna, Meredith, and Marchant 2010)", "previouslyFormattedCitation" : "(Bennouna, Meredith, and Marchant 2010)" }, "properties" : { "noteIndex" : 0 }, "schema" : "https://github.com/citation-style-language/schema/raw/master/csl-citation.json" }</w:instrText>
      </w:r>
      <w:r w:rsidR="00C22B53">
        <w:rPr>
          <w:rFonts w:cs="Times New Roman"/>
          <w:szCs w:val="24"/>
          <w:lang w:val="en-US"/>
        </w:rPr>
        <w:fldChar w:fldCharType="separate"/>
      </w:r>
      <w:r w:rsidR="00587F48" w:rsidRPr="00587F48">
        <w:rPr>
          <w:rFonts w:cs="Times New Roman"/>
          <w:noProof/>
          <w:szCs w:val="24"/>
          <w:lang w:val="en-US"/>
        </w:rPr>
        <w:t>(Bennouna, Meredith, and Marchant 2010)</w:t>
      </w:r>
      <w:r w:rsidR="00C22B53">
        <w:rPr>
          <w:rFonts w:cs="Times New Roman"/>
          <w:szCs w:val="24"/>
          <w:lang w:val="en-US"/>
        </w:rPr>
        <w:fldChar w:fldCharType="end"/>
      </w:r>
      <w:r w:rsidR="00C22B53">
        <w:rPr>
          <w:rFonts w:cs="Times New Roman"/>
          <w:szCs w:val="24"/>
          <w:lang w:val="en-US"/>
        </w:rPr>
        <w:t xml:space="preserve"> </w:t>
      </w:r>
      <w:r w:rsidRPr="00FF0C30">
        <w:rPr>
          <w:rFonts w:cs="Times New Roman"/>
          <w:szCs w:val="24"/>
          <w:lang w:val="en-US"/>
        </w:rPr>
        <w:t xml:space="preserve">of large Canadian corporations, only 8.1% of the firms used or were using ROA. Overall, traditional NPV analysis continues to be described as a normative approach, and the use </w:t>
      </w:r>
      <w:r w:rsidR="00FF2FC5">
        <w:rPr>
          <w:rFonts w:cs="Times New Roman"/>
          <w:szCs w:val="24"/>
          <w:lang w:val="en-US"/>
        </w:rPr>
        <w:t xml:space="preserve">of ROA in industry is limited. </w:t>
      </w:r>
    </w:p>
    <w:p w:rsidR="000E69A9" w:rsidRPr="00FF0C30" w:rsidRDefault="000E69A9" w:rsidP="000E69A9">
      <w:pPr>
        <w:pStyle w:val="2"/>
      </w:pPr>
      <w:bookmarkStart w:id="35" w:name="_Toc484036301"/>
      <w:r>
        <w:t>Chapter summary</w:t>
      </w:r>
      <w:bookmarkEnd w:id="35"/>
    </w:p>
    <w:p w:rsidR="00FF2FC5" w:rsidRDefault="00317C7C" w:rsidP="00FF2FC5">
      <w:pPr>
        <w:rPr>
          <w:rFonts w:cs="Times New Roman"/>
          <w:szCs w:val="24"/>
          <w:lang w:val="en-US"/>
        </w:rPr>
      </w:pPr>
      <w:r>
        <w:rPr>
          <w:rFonts w:cs="Times New Roman"/>
          <w:szCs w:val="24"/>
          <w:lang w:val="en-US"/>
        </w:rPr>
        <w:t>Real options analysis</w:t>
      </w:r>
      <w:r w:rsidR="00FF2FC5">
        <w:rPr>
          <w:rFonts w:cs="Times New Roman"/>
          <w:szCs w:val="24"/>
          <w:lang w:val="en-US"/>
        </w:rPr>
        <w:t xml:space="preserve"> is one of the numerous investment project valuation technics, which </w:t>
      </w:r>
      <w:r w:rsidR="00FF2FC5" w:rsidRPr="00FF0C30">
        <w:rPr>
          <w:rFonts w:cs="Times New Roman"/>
          <w:szCs w:val="24"/>
          <w:lang w:val="en-US"/>
        </w:rPr>
        <w:t xml:space="preserve">can be </w:t>
      </w:r>
      <w:r w:rsidR="00FF2FC5">
        <w:rPr>
          <w:rFonts w:cs="Times New Roman"/>
          <w:szCs w:val="24"/>
          <w:lang w:val="en-US"/>
        </w:rPr>
        <w:t xml:space="preserve">generally </w:t>
      </w:r>
      <w:r w:rsidR="00FF2FC5" w:rsidRPr="00FF0C30">
        <w:rPr>
          <w:rFonts w:cs="Times New Roman"/>
          <w:szCs w:val="24"/>
          <w:lang w:val="en-US"/>
        </w:rPr>
        <w:t xml:space="preserve">categorized into </w:t>
      </w:r>
      <w:r w:rsidR="00FF2FC5">
        <w:rPr>
          <w:rFonts w:cs="Times New Roman"/>
          <w:szCs w:val="24"/>
          <w:lang w:val="en-US"/>
        </w:rPr>
        <w:t>two main groups</w:t>
      </w:r>
      <w:r w:rsidR="00FF2FC5" w:rsidRPr="00FF0C30">
        <w:rPr>
          <w:rFonts w:cs="Times New Roman"/>
          <w:szCs w:val="24"/>
          <w:lang w:val="en-US"/>
        </w:rPr>
        <w:t>: static</w:t>
      </w:r>
      <w:r w:rsidR="00FF2FC5">
        <w:rPr>
          <w:rFonts w:cs="Times New Roman"/>
          <w:szCs w:val="24"/>
          <w:lang w:val="en-US"/>
        </w:rPr>
        <w:t xml:space="preserve"> and dynamic</w:t>
      </w:r>
      <w:r w:rsidR="00FF2FC5" w:rsidRPr="00FF0C30">
        <w:rPr>
          <w:rFonts w:cs="Times New Roman"/>
          <w:szCs w:val="24"/>
          <w:lang w:val="en-US"/>
        </w:rPr>
        <w:t xml:space="preserve"> </w:t>
      </w:r>
      <w:r w:rsidR="00FF2FC5">
        <w:rPr>
          <w:rFonts w:cs="Times New Roman"/>
          <w:szCs w:val="24"/>
          <w:lang w:val="en-US"/>
        </w:rPr>
        <w:fldChar w:fldCharType="begin" w:fldLock="1"/>
      </w:r>
      <w:r w:rsidR="00587F48">
        <w:rPr>
          <w:rFonts w:cs="Times New Roman"/>
          <w:szCs w:val="24"/>
          <w:lang w:val="en-US"/>
        </w:rPr>
        <w:instrText>ADDIN CSL_CITATION { "citationItems" : [ { "id" : "ITEM-1", "itemData" : { "ISBN" : "0-19-511269-5", "PMID" : "1199936", "author" : [ { "dropping-particle" : "", "family" : "Brennan", "given" : "Michael J", "non-dropping-particle" : "", "parse-names" : false, "suffix" : "" }, { "dropping-particle" : "", "family" : "Trigeorgis", "given" : "Lenos", "non-dropping-particle" : "", "parse-names" : false, "suffix" : "" } ], "id" : "ITEM-1", "issued" : { "date-parts" : [ [ "2000" ] ] }, "number-of-pages" : "357", "title" : "Project flexibility, agency, and competition :new developments in the theory and application of real options", "type" : "book" }, "uris" : [ "http://www.mendeley.com/documents/?uuid=f19192e4-bbd8-4acd-91be-015d0b3c27d0" ] } ], "mendeley" : { "formattedCitation" : "(Brennan and Trigeorgis 2000)", "plainTextFormattedCitation" : "(Brennan and Trigeorgis 2000)", "previouslyFormattedCitation" : "(Brennan and Trigeorgis 2000)" }, "properties" : { "noteIndex" : 0 }, "schema" : "https://github.com/citation-style-language/schema/raw/master/csl-citation.json" }</w:instrText>
      </w:r>
      <w:r w:rsidR="00FF2FC5">
        <w:rPr>
          <w:rFonts w:cs="Times New Roman"/>
          <w:szCs w:val="24"/>
          <w:lang w:val="en-US"/>
        </w:rPr>
        <w:fldChar w:fldCharType="separate"/>
      </w:r>
      <w:r w:rsidR="00587F48" w:rsidRPr="00587F48">
        <w:rPr>
          <w:rFonts w:cs="Times New Roman"/>
          <w:noProof/>
          <w:szCs w:val="24"/>
          <w:lang w:val="en-US"/>
        </w:rPr>
        <w:t>(Brennan and Trigeorgis 2000)</w:t>
      </w:r>
      <w:r w:rsidR="00FF2FC5">
        <w:rPr>
          <w:rFonts w:cs="Times New Roman"/>
          <w:szCs w:val="24"/>
          <w:lang w:val="en-US"/>
        </w:rPr>
        <w:fldChar w:fldCharType="end"/>
      </w:r>
      <w:r w:rsidR="00FF2FC5" w:rsidRPr="00FF0C30">
        <w:rPr>
          <w:rFonts w:cs="Times New Roman"/>
          <w:szCs w:val="24"/>
          <w:lang w:val="en-US"/>
        </w:rPr>
        <w:t xml:space="preserve">. </w:t>
      </w:r>
    </w:p>
    <w:p w:rsidR="00FF2FC5" w:rsidRDefault="00FF2FC5" w:rsidP="00FF2FC5">
      <w:pPr>
        <w:rPr>
          <w:rFonts w:cs="Times New Roman"/>
          <w:szCs w:val="24"/>
          <w:lang w:val="en-US"/>
        </w:rPr>
      </w:pPr>
      <w:r w:rsidRPr="00FF0C30">
        <w:rPr>
          <w:rFonts w:cs="Times New Roman"/>
          <w:szCs w:val="24"/>
          <w:lang w:val="en-US"/>
        </w:rPr>
        <w:t xml:space="preserve">Static, or the </w:t>
      </w:r>
      <w:r>
        <w:rPr>
          <w:rFonts w:cs="Times New Roman"/>
          <w:szCs w:val="24"/>
          <w:lang w:val="en-US"/>
        </w:rPr>
        <w:t>traditional valuation approach</w:t>
      </w:r>
      <w:r w:rsidRPr="00FF0C30">
        <w:rPr>
          <w:rFonts w:cs="Times New Roman"/>
          <w:szCs w:val="24"/>
          <w:lang w:val="en-US"/>
        </w:rPr>
        <w:t xml:space="preserve"> assumes that an investment project can be </w:t>
      </w:r>
      <w:r>
        <w:rPr>
          <w:rFonts w:cs="Times New Roman"/>
          <w:szCs w:val="24"/>
          <w:lang w:val="en-US"/>
        </w:rPr>
        <w:t>evaluated using a series of its expected future</w:t>
      </w:r>
      <w:r w:rsidRPr="00FF0C30">
        <w:rPr>
          <w:rFonts w:cs="Times New Roman"/>
          <w:szCs w:val="24"/>
          <w:lang w:val="en-US"/>
        </w:rPr>
        <w:t xml:space="preserve"> cash flows. </w:t>
      </w:r>
      <w:r>
        <w:rPr>
          <w:rFonts w:cs="Times New Roman"/>
          <w:szCs w:val="24"/>
          <w:lang w:val="en-US"/>
        </w:rPr>
        <w:t>This approach includes all the methods of estimation which are based on the idea of discounted cash flows, such as net present value, internal rate of return and many more</w:t>
      </w:r>
      <w:r w:rsidRPr="00FF0C30">
        <w:rPr>
          <w:rFonts w:cs="Times New Roman"/>
          <w:szCs w:val="24"/>
          <w:lang w:val="en-US"/>
        </w:rPr>
        <w:t xml:space="preserve">. </w:t>
      </w:r>
    </w:p>
    <w:p w:rsidR="00FF2FC5" w:rsidRDefault="00FF2FC5" w:rsidP="00FF2FC5">
      <w:pPr>
        <w:rPr>
          <w:rFonts w:cs="Times New Roman"/>
          <w:szCs w:val="24"/>
          <w:lang w:val="en-US"/>
        </w:rPr>
      </w:pPr>
      <w:r>
        <w:rPr>
          <w:rFonts w:cs="Times New Roman"/>
          <w:szCs w:val="24"/>
          <w:lang w:val="en-US"/>
        </w:rPr>
        <w:t>NPV is widely used and well known in the industry (which will be discussed later in this chapter), however it has its drawbacks. T</w:t>
      </w:r>
      <w:r w:rsidRPr="00FF0C30">
        <w:rPr>
          <w:rFonts w:cs="Times New Roman"/>
          <w:szCs w:val="24"/>
          <w:lang w:val="en-US"/>
        </w:rPr>
        <w:t xml:space="preserve">raditional valuation techniques are </w:t>
      </w:r>
      <w:r>
        <w:rPr>
          <w:rFonts w:cs="Times New Roman"/>
          <w:szCs w:val="24"/>
          <w:lang w:val="en-US"/>
        </w:rPr>
        <w:t>unable</w:t>
      </w:r>
      <w:r w:rsidRPr="00FF0C30">
        <w:rPr>
          <w:rFonts w:cs="Times New Roman"/>
          <w:szCs w:val="24"/>
          <w:lang w:val="en-US"/>
        </w:rPr>
        <w:t xml:space="preserve"> </w:t>
      </w:r>
      <w:r>
        <w:rPr>
          <w:rFonts w:cs="Times New Roman"/>
          <w:szCs w:val="24"/>
          <w:lang w:val="en-US"/>
        </w:rPr>
        <w:t>to quantify</w:t>
      </w:r>
      <w:r w:rsidRPr="00FF0C30">
        <w:rPr>
          <w:rFonts w:cs="Times New Roman"/>
          <w:szCs w:val="24"/>
          <w:lang w:val="en-US"/>
        </w:rPr>
        <w:t xml:space="preserve"> </w:t>
      </w:r>
      <w:r w:rsidRPr="0075283F">
        <w:rPr>
          <w:rFonts w:cs="Times New Roman"/>
          <w:i/>
          <w:szCs w:val="24"/>
          <w:lang w:val="en-US"/>
        </w:rPr>
        <w:t>managerial flexibility</w:t>
      </w:r>
      <w:r>
        <w:rPr>
          <w:rFonts w:cs="Times New Roman"/>
          <w:szCs w:val="24"/>
          <w:lang w:val="en-US"/>
        </w:rPr>
        <w:t xml:space="preserve">, which is </w:t>
      </w:r>
      <w:r w:rsidRPr="00FF0C30">
        <w:rPr>
          <w:rFonts w:cs="Times New Roman"/>
          <w:szCs w:val="24"/>
          <w:lang w:val="en-US"/>
        </w:rPr>
        <w:t xml:space="preserve">adapting and </w:t>
      </w:r>
      <w:r>
        <w:rPr>
          <w:rFonts w:cs="Times New Roman"/>
          <w:szCs w:val="24"/>
          <w:lang w:val="en-US"/>
        </w:rPr>
        <w:t xml:space="preserve">changing the project during its lifespan in response to the uncertain environment </w:t>
      </w: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"Trigeorgis", "given" : "Lenos", "non-dropping-particle" : "", "parse-names" : false, "suffix" : "" } ], "id" : "ITEM-1", "issued" : { "date-parts" : [ [ "1996" ] ] }, "publisher" : "MIT press", "title" : "Real Options: Managerial Flexibility and Strategy in Resource Allocation", "type" : "book" }, "uris" : [ "http://www.mendeley.com/documents/?uuid=f7468088-09d3-4d2b-b89f-56337db03219" ] } ], "mendeley" : { "formattedCitation" : "(Trigeorgis 1996)", "plainTextFormattedCitation" : "(Trigeorgis 1996)", "previouslyFormattedCitation" : "(Trigeorgis 1996)"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(Trigeorgis 1996)</w:t>
      </w:r>
      <w:r>
        <w:rPr>
          <w:rFonts w:cs="Times New Roman"/>
          <w:szCs w:val="24"/>
          <w:lang w:val="en-US"/>
        </w:rPr>
        <w:fldChar w:fldCharType="end"/>
      </w:r>
      <w:r>
        <w:rPr>
          <w:rFonts w:cs="Times New Roman"/>
          <w:szCs w:val="24"/>
          <w:lang w:val="en-US"/>
        </w:rPr>
        <w:t xml:space="preserve">. </w:t>
      </w:r>
    </w:p>
    <w:p w:rsidR="00C22B53" w:rsidRDefault="00FF2FC5" w:rsidP="00C22B53">
      <w:pPr>
        <w:rPr>
          <w:rFonts w:cs="Times New Roman"/>
          <w:szCs w:val="24"/>
          <w:lang w:val="en-US"/>
        </w:rPr>
      </w:pPr>
      <w:r w:rsidRPr="00FF0C30">
        <w:rPr>
          <w:rFonts w:cs="Times New Roman"/>
          <w:szCs w:val="24"/>
          <w:lang w:val="en-US"/>
        </w:rPr>
        <w:t>In contrast with static valuation techniques, dynamic valuation techniques account for managerial flexibilities in responding to future events as u</w:t>
      </w:r>
      <w:r>
        <w:rPr>
          <w:rFonts w:cs="Times New Roman"/>
          <w:szCs w:val="24"/>
          <w:lang w:val="en-US"/>
        </w:rPr>
        <w:t xml:space="preserve">ncertainty is resolved </w:t>
      </w:r>
      <w:r>
        <w:rPr>
          <w:rFonts w:cs="Times New Roman"/>
          <w:szCs w:val="24"/>
          <w:lang w:val="en-US"/>
        </w:rPr>
        <w:fldChar w:fldCharType="begin" w:fldLock="1"/>
      </w:r>
      <w:r w:rsidR="00587F48">
        <w:rPr>
          <w:rFonts w:cs="Times New Roman"/>
          <w:szCs w:val="24"/>
          <w:lang w:val="en-US"/>
        </w:rPr>
        <w:instrText>ADDIN CSL_CITATION { "citationItems" : [ { "id" : "ITEM-1", "itemData" : { "DOI" : "10.2307/3665939", "ISBN" : "0046-3892", "ISSN" : "00463892", "abstract" : "This article serves two main purposes. First, it aims to provide a comprehensive overview of the existing real options literature and applications, as well as to present practically useful principles for quantifying the value of various real options. Second, it takes a first step towards extending the real options literature to recognize various interactions with financial flexibility. Overall, the paper illustrates how to practically analyze managerial flexibility in the case of various types of both real as well as financial options, recognizing that these option values may interact. The comprehensive literature review traces the evolution of the real options revolution, organized around thematic developments covering the early criticisms, conceptual approaches, foundations and building blocks, risk neutral valuation and risk adjustment, analytic contributions in valuing different options separately, option interactions, numerical techniques, competition and strategic options, various applications, and future research directions. An oil refinery and operation example is then used to conceptually discuss the basic nature of the various real options that may be embedded in capital investments. Under the common assumption of all-equity financing, the paper presents, through simple numerical examples, practically useful principles for valuing upside-potential operating options, such as to defer an investment or expand production, as well as various downside-protection options, such as to abandon for salvage value or switch use (inputs/outputs), and abandon project construction by defaulting on planned staged investment outlays. Building on the above principles, the paper subsequently takes a first step toward analyzing potential interactions with financial flexibility. Departing from the standard assumption of all-equity financing, the paper extends the analysis in the presence of financial leverage within a venture capital context and examines the potential improvement in equityholders' value as a result of additional financial flexibility resulting from equityholders' option to default on debt payments, noting potential interactions with operating flexibility. These interactions may be more pronounced if lenders would accept a lower interest rate than the equilibrium return. The beneficial impact of staging venture capital financing in installments (thereby creating an option to abandon by the lender, as well as an option to revalue later at potentially\u2026", "author" : [ { "dropping-particle" : "", "family" : "Trigeorgis", "given" : "Lenos", "non-dropping-particle" : "", "parse-names" : false, "suffix" : "" } ], "container-title" : "Financial Management", "id" : "ITEM-1", "issued" : { "date-parts" : [ [ "1993" ] ] }, "title" : "Real Options and Interactions with Financial Flexibility", "type" : "article-journal" }, "uris" : [ "http://www.mendeley.com/documents/?uuid=b98e1d8c-b7c7-303b-bc58-1dfa7f4736b6" ] } ], "mendeley" : { "formattedCitation" : "(Trigeorgis 1993)", "plainTextFormattedCitation" : "(Trigeorgis 1993)", "previouslyFormattedCitation" : "(Trigeorgis 1993)"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(Trigeorgis 1993)</w:t>
      </w:r>
      <w:r>
        <w:rPr>
          <w:rFonts w:cs="Times New Roman"/>
          <w:szCs w:val="24"/>
          <w:lang w:val="en-US"/>
        </w:rPr>
        <w:fldChar w:fldCharType="end"/>
      </w:r>
      <w:r>
        <w:rPr>
          <w:rFonts w:cs="Times New Roman"/>
          <w:szCs w:val="24"/>
          <w:lang w:val="en-US"/>
        </w:rPr>
        <w:t xml:space="preserve">. According to Trigeorgis, </w:t>
      </w:r>
      <w:r w:rsidR="00317C7C">
        <w:rPr>
          <w:rFonts w:cs="Times New Roman"/>
          <w:szCs w:val="24"/>
          <w:lang w:val="en-US"/>
        </w:rPr>
        <w:t>real options analysis</w:t>
      </w:r>
      <w:r>
        <w:rPr>
          <w:rFonts w:cs="Times New Roman"/>
          <w:szCs w:val="24"/>
          <w:lang w:val="en-US"/>
        </w:rPr>
        <w:t xml:space="preserve"> is computationally complicated, but </w:t>
      </w:r>
      <w:r w:rsidRPr="00FF0C30">
        <w:rPr>
          <w:rFonts w:cs="Times New Roman"/>
          <w:szCs w:val="24"/>
          <w:lang w:val="en-US"/>
        </w:rPr>
        <w:t xml:space="preserve">consistent with economic </w:t>
      </w:r>
      <w:r w:rsidRPr="00FF0C30">
        <w:rPr>
          <w:rFonts w:cs="Times New Roman"/>
          <w:szCs w:val="24"/>
          <w:lang w:val="en-US"/>
        </w:rPr>
        <w:lastRenderedPageBreak/>
        <w:t xml:space="preserve">theory. </w:t>
      </w:r>
      <w:r>
        <w:rPr>
          <w:rFonts w:cs="Times New Roman"/>
          <w:szCs w:val="24"/>
          <w:lang w:val="en-US"/>
        </w:rPr>
        <w:t xml:space="preserve">In the same time, it outperforms </w:t>
      </w: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"Trigeorgis", "given" : "Lenos", "non-dropping-particle" : "", "parse-names" : false, "suffix" : "" } ], "id" : "ITEM-1", "issued" : { "date-parts" : [ [ "1996" ] ] }, "publisher" : "MIT press", "title" : "Real Options: Managerial Flexibility and Strategy in Resource Allocation", "type" : "book" }, "uris" : [ "http://www.mendeley.com/documents/?uuid=f7468088-09d3-4d2b-b89f-56337db03219" ] } ], "mendeley" : { "formattedCitation" : "(Trigeorgis 1996)", "plainTextFormattedCitation" : "(Trigeorgis 1996)", "previouslyFormattedCitation" : "(Trigeorgis 1996)"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(Trigeorgis 1996)</w:t>
      </w:r>
      <w:r>
        <w:rPr>
          <w:rFonts w:cs="Times New Roman"/>
          <w:szCs w:val="24"/>
          <w:lang w:val="en-US"/>
        </w:rPr>
        <w:fldChar w:fldCharType="end"/>
      </w:r>
      <w:r>
        <w:rPr>
          <w:rFonts w:cs="Times New Roman"/>
          <w:szCs w:val="24"/>
          <w:lang w:val="en-US"/>
        </w:rPr>
        <w:t xml:space="preserve"> other dynamic approaches and is therefo</w:t>
      </w:r>
      <w:r w:rsidR="00C22B53">
        <w:rPr>
          <w:rFonts w:cs="Times New Roman"/>
          <w:szCs w:val="24"/>
          <w:lang w:val="en-US"/>
        </w:rPr>
        <w:t>re in the focus of this thesis.</w:t>
      </w:r>
    </w:p>
    <w:p w:rsidR="009C0806" w:rsidRDefault="00C22B53" w:rsidP="00C22B53">
      <w:pPr>
        <w:rPr>
          <w:rFonts w:cs="Times New Roman"/>
          <w:szCs w:val="24"/>
          <w:lang w:val="en-US"/>
        </w:rPr>
      </w:pPr>
      <w:r>
        <w:rPr>
          <w:rFonts w:cs="Times New Roman"/>
          <w:szCs w:val="24"/>
          <w:lang w:val="en-US"/>
        </w:rPr>
        <w:t>Real options are an instrument of valuation,</w:t>
      </w:r>
      <w:r w:rsidR="009C0806">
        <w:rPr>
          <w:rFonts w:cs="Times New Roman"/>
          <w:szCs w:val="24"/>
          <w:lang w:val="en-US"/>
        </w:rPr>
        <w:t xml:space="preserve"> that captures managerial flexibility and makes estimation of capital intensive projects with long life span more precise.</w:t>
      </w:r>
      <w:r>
        <w:rPr>
          <w:rFonts w:cs="Times New Roman"/>
          <w:szCs w:val="24"/>
          <w:lang w:val="en-US"/>
        </w:rPr>
        <w:t xml:space="preserve"> </w:t>
      </w:r>
      <w:r w:rsidR="009C0806">
        <w:rPr>
          <w:rFonts w:cs="Times New Roman"/>
          <w:szCs w:val="24"/>
          <w:lang w:val="en-US"/>
        </w:rPr>
        <w:t xml:space="preserve">However </w:t>
      </w:r>
      <w:r w:rsidR="00317C7C">
        <w:rPr>
          <w:rFonts w:cs="Times New Roman"/>
          <w:szCs w:val="24"/>
          <w:lang w:val="en-US"/>
        </w:rPr>
        <w:t>real options analysis</w:t>
      </w:r>
      <w:r w:rsidR="009C0806">
        <w:rPr>
          <w:rFonts w:cs="Times New Roman"/>
          <w:szCs w:val="24"/>
          <w:lang w:val="en-US"/>
        </w:rPr>
        <w:t xml:space="preserve"> is not just a tool for valuation </w:t>
      </w:r>
      <w:r>
        <w:rPr>
          <w:rFonts w:cs="Times New Roman"/>
          <w:szCs w:val="24"/>
          <w:lang w:val="en-US"/>
        </w:rPr>
        <w:t xml:space="preserve">but also a powerful tool of risk management. Application of </w:t>
      </w:r>
      <w:r w:rsidR="00317C7C">
        <w:rPr>
          <w:rFonts w:cs="Times New Roman"/>
          <w:szCs w:val="24"/>
          <w:lang w:val="en-US"/>
        </w:rPr>
        <w:t>real options analysis</w:t>
      </w:r>
      <w:r>
        <w:rPr>
          <w:rFonts w:cs="Times New Roman"/>
          <w:szCs w:val="24"/>
          <w:lang w:val="en-US"/>
        </w:rPr>
        <w:t xml:space="preserve"> reduce risk of the investment and increase the </w:t>
      </w:r>
      <w:r w:rsidR="009C0806">
        <w:rPr>
          <w:rFonts w:cs="Times New Roman"/>
          <w:szCs w:val="24"/>
          <w:lang w:val="en-US"/>
        </w:rPr>
        <w:t xml:space="preserve">returns of the project at the same time. </w:t>
      </w:r>
    </w:p>
    <w:p w:rsidR="003F6083" w:rsidRPr="00C22B53" w:rsidRDefault="009C0806" w:rsidP="00C22B53">
      <w:pPr>
        <w:rPr>
          <w:rFonts w:cs="Times New Roman"/>
          <w:szCs w:val="24"/>
          <w:lang w:val="en-US"/>
        </w:rPr>
      </w:pPr>
      <w:r>
        <w:rPr>
          <w:rFonts w:cs="Times New Roman"/>
          <w:szCs w:val="24"/>
          <w:lang w:val="en-US"/>
        </w:rPr>
        <w:t xml:space="preserve">This goal is achieved through two ways. First is active management of the project and its adjustment to the environment, which makes NPV distribution asymmetrical and reduce probability of negative outcomes. </w:t>
      </w: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"Trigeorgis", "given" : "Lenos", "non-dropping-particle" : "", "parse-names" : false, "suffix" : "" } ], "id" : "ITEM-1", "issued" : { "date-parts" : [ [ "1996" ] ] }, "publisher" : "MIT press", "title" : "Real Options: Managerial Flexibility and Strategy in Resource Allocation", "type" : "book" }, "uris" : [ "http://www.mendeley.com/documents/?uuid=f7468088-09d3-4d2b-b89f-56337db03219" ] } ], "mendeley" : { "formattedCitation" : "(Trigeorgis 1996)", "plainTextFormattedCitation" : "(Trigeorgis 1996)", "previouslyFormattedCitation" : "(Trigeorgis 1996)"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(Trigeorgis 1996)</w:t>
      </w:r>
      <w:r>
        <w:rPr>
          <w:rFonts w:cs="Times New Roman"/>
          <w:szCs w:val="24"/>
          <w:lang w:val="en-US"/>
        </w:rPr>
        <w:fldChar w:fldCharType="end"/>
      </w:r>
      <w:r>
        <w:rPr>
          <w:rFonts w:cs="Times New Roman"/>
          <w:szCs w:val="24"/>
          <w:lang w:val="en-US"/>
        </w:rPr>
        <w:t xml:space="preserve"> Second is intentional change of project design to include flexibilities from the very beginning. </w:t>
      </w: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"Cesena", "given" : "Eduardo Alejandro Martinez", "non-dropping-particle" : "", "parse-names" : false, "suffix" : "" } ], "id" : "ITEM-1", "issued" : { "date-parts" : [ [ "2012" ] ] }, "title" : "Real Options Theory Applied to Renewable Energy Generation Projects Planning", "type" : "article-journal" }, "uris" : [ "http://www.mendeley.com/documents/?uuid=f9bb843b-aa6c-3046-9588-8e25b61538bd" ] } ], "mendeley" : { "formattedCitation" : "(Cesena 2012)", "plainTextFormattedCitation" : "(Cesena 2012)", "previouslyFormattedCitation" : "(Cesena 2012)"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(Cesena 2012)</w:t>
      </w:r>
      <w:r>
        <w:rPr>
          <w:rFonts w:cs="Times New Roman"/>
          <w:szCs w:val="24"/>
          <w:lang w:val="en-US"/>
        </w:rPr>
        <w:fldChar w:fldCharType="end"/>
      </w:r>
      <w:r w:rsidR="003F6083" w:rsidRPr="00FF0C30">
        <w:rPr>
          <w:rFonts w:cs="Times New Roman"/>
          <w:b/>
          <w:szCs w:val="24"/>
          <w:lang w:val="en-US"/>
        </w:rPr>
        <w:br w:type="page"/>
      </w:r>
    </w:p>
    <w:p w:rsidR="007A24FA" w:rsidRDefault="007A24FA" w:rsidP="0024006E">
      <w:pPr>
        <w:pStyle w:val="1"/>
      </w:pPr>
      <w:bookmarkStart w:id="36" w:name="_Toc484036302"/>
      <w:r w:rsidRPr="00FF0C30">
        <w:lastRenderedPageBreak/>
        <w:t>Real options theory applied to oil and gas projects</w:t>
      </w:r>
      <w:bookmarkEnd w:id="36"/>
    </w:p>
    <w:p w:rsidR="00D358F0" w:rsidRDefault="00D358F0" w:rsidP="00D358F0">
      <w:pPr>
        <w:rPr>
          <w:lang w:val="en-US"/>
        </w:rPr>
      </w:pPr>
    </w:p>
    <w:p w:rsidR="00D358F0" w:rsidRPr="009E7598" w:rsidRDefault="00D358F0" w:rsidP="00D358F0">
      <w:pPr>
        <w:rPr>
          <w:i/>
          <w:lang w:val="en-US"/>
        </w:rPr>
      </w:pPr>
      <w:r w:rsidRPr="009E7598">
        <w:rPr>
          <w:i/>
          <w:lang w:val="en-US"/>
        </w:rPr>
        <w:t>This chapter provides</w:t>
      </w:r>
      <w:r>
        <w:rPr>
          <w:i/>
          <w:lang w:val="en-US"/>
        </w:rPr>
        <w:t xml:space="preserve"> insight on specifics of oil and gas investment projects in Russia and methodology of real options analysis</w:t>
      </w:r>
      <w:r w:rsidRPr="009E7598">
        <w:rPr>
          <w:i/>
          <w:lang w:val="en-US"/>
        </w:rPr>
        <w:t xml:space="preserve">. The </w:t>
      </w:r>
      <w:r>
        <w:rPr>
          <w:i/>
          <w:lang w:val="en-US"/>
        </w:rPr>
        <w:t>1</w:t>
      </w:r>
      <w:r w:rsidRPr="009E7598">
        <w:rPr>
          <w:i/>
          <w:vertAlign w:val="superscript"/>
          <w:lang w:val="en-US"/>
        </w:rPr>
        <w:t>st</w:t>
      </w:r>
      <w:r>
        <w:rPr>
          <w:i/>
          <w:lang w:val="en-US"/>
        </w:rPr>
        <w:t xml:space="preserve"> </w:t>
      </w:r>
      <w:r w:rsidRPr="009E7598">
        <w:rPr>
          <w:i/>
          <w:lang w:val="en-US"/>
        </w:rPr>
        <w:t>part cove</w:t>
      </w:r>
      <w:r>
        <w:rPr>
          <w:i/>
          <w:lang w:val="en-US"/>
        </w:rPr>
        <w:t xml:space="preserve">rs specifics of oil and gas projects and related underlying uncertainties and flexibilities. It later </w:t>
      </w:r>
      <w:r w:rsidR="00E24386">
        <w:rPr>
          <w:i/>
          <w:lang w:val="en-US"/>
        </w:rPr>
        <w:t>offers</w:t>
      </w:r>
      <w:r>
        <w:rPr>
          <w:i/>
          <w:lang w:val="en-US"/>
        </w:rPr>
        <w:t xml:space="preserve"> a review of how Russian specifics influence oil and gas projects. </w:t>
      </w:r>
      <w:r w:rsidRPr="009E7598">
        <w:rPr>
          <w:i/>
          <w:lang w:val="en-US"/>
        </w:rPr>
        <w:t xml:space="preserve">The </w:t>
      </w:r>
      <w:r>
        <w:rPr>
          <w:i/>
          <w:lang w:val="en-US"/>
        </w:rPr>
        <w:t>2</w:t>
      </w:r>
      <w:r w:rsidRPr="009E7598">
        <w:rPr>
          <w:i/>
          <w:vertAlign w:val="superscript"/>
          <w:lang w:val="en-US"/>
        </w:rPr>
        <w:t>nd</w:t>
      </w:r>
      <w:r>
        <w:rPr>
          <w:i/>
          <w:lang w:val="en-US"/>
        </w:rPr>
        <w:t xml:space="preserve"> </w:t>
      </w:r>
      <w:r w:rsidRPr="009E7598">
        <w:rPr>
          <w:i/>
          <w:lang w:val="en-US"/>
        </w:rPr>
        <w:t xml:space="preserve">part </w:t>
      </w:r>
      <w:r>
        <w:rPr>
          <w:i/>
          <w:lang w:val="en-US"/>
        </w:rPr>
        <w:t xml:space="preserve">describes 7-step approach of real options analysis adopted from </w:t>
      </w:r>
      <w:r w:rsidRPr="00D358F0">
        <w:rPr>
          <w:i/>
          <w:lang w:val="en-US"/>
        </w:rPr>
        <w:fldChar w:fldCharType="begin" w:fldLock="1"/>
      </w:r>
      <w:r w:rsidR="00587F48">
        <w:rPr>
          <w:i/>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Pr="00D358F0">
        <w:rPr>
          <w:i/>
          <w:lang w:val="en-US"/>
        </w:rPr>
        <w:fldChar w:fldCharType="separate"/>
      </w:r>
      <w:r w:rsidR="00587F48" w:rsidRPr="00587F48">
        <w:rPr>
          <w:noProof/>
          <w:lang w:val="en-US"/>
        </w:rPr>
        <w:t>(Mun 2002)</w:t>
      </w:r>
      <w:r w:rsidRPr="00D358F0">
        <w:rPr>
          <w:i/>
          <w:lang w:val="en-US"/>
        </w:rPr>
        <w:fldChar w:fldCharType="end"/>
      </w:r>
      <w:r>
        <w:rPr>
          <w:i/>
          <w:lang w:val="en-US"/>
        </w:rPr>
        <w:t xml:space="preserve"> in line with topic of oil and gas. </w:t>
      </w:r>
    </w:p>
    <w:p w:rsidR="009C0806" w:rsidRPr="009C0806" w:rsidRDefault="009C0806" w:rsidP="009C0806">
      <w:pPr>
        <w:rPr>
          <w:lang w:val="en-US"/>
        </w:rPr>
      </w:pPr>
    </w:p>
    <w:p w:rsidR="007A24FA" w:rsidRPr="00FF0C30" w:rsidRDefault="007A24FA" w:rsidP="0024006E">
      <w:pPr>
        <w:pStyle w:val="2"/>
      </w:pPr>
      <w:bookmarkStart w:id="37" w:name="_Toc484036303"/>
      <w:r w:rsidRPr="00FF0C30">
        <w:t>Oil and gas projects</w:t>
      </w:r>
      <w:r w:rsidR="007F55DB" w:rsidRPr="00FF0C30">
        <w:t xml:space="preserve"> </w:t>
      </w:r>
      <w:r w:rsidR="003C0926">
        <w:t>in russia</w:t>
      </w:r>
      <w:bookmarkEnd w:id="37"/>
    </w:p>
    <w:p w:rsidR="007441FE" w:rsidRDefault="007441FE" w:rsidP="004B1C0A">
      <w:pPr>
        <w:rPr>
          <w:lang w:val="en-US"/>
        </w:rPr>
      </w:pPr>
      <w:r>
        <w:rPr>
          <w:lang w:val="en-US"/>
        </w:rPr>
        <w:t xml:space="preserve">This section describe main specifics of projects in oil and gas industry according to </w:t>
      </w:r>
      <w:r>
        <w:rPr>
          <w:lang w:val="en-US"/>
        </w:rPr>
        <w:fldChar w:fldCharType="begin" w:fldLock="1"/>
      </w:r>
      <w:r w:rsidR="00587F48">
        <w:rPr>
          <w:lang w:val="en-US"/>
        </w:rPr>
        <w:instrText>ADDIN CSL_CITATION { "citationItems" : [ { "id" : "ITEM-1", "itemData" : { "ISBN" : "978-1-4200-9426-8", "author" : [ { "dropping-particle" : "", "family" : "Badiru", "given" : "Adedeji B.", "non-dropping-particle" : "", "parse-names" : false, "suffix" : "" }, { "dropping-particle" : "", "family" : "Osisanya", "given" : "Samuel O.", "non-dropping-particle" : "", "parse-names" : false, "suffix" : "" } ], "id" : "ITEM-1", "issued" : { "date-parts" : [ [ "2013" ] ] }, "number-of-pages" : "761", "publisher" : "Taylor &amp; Francis Group, LLC", "publisher-place" : "Boca Raton", "title" : "Project Management for the Oil and Gas Industry", "type" : "book" }, "uris" : [ "http://www.mendeley.com/documents/?uuid=6f8b5aac-e293-4bb0-af97-4eef9d5cd80a" ] } ], "mendeley" : { "formattedCitation" : "(Badiru and Osisanya 2013)", "plainTextFormattedCitation" : "(Badiru and Osisanya 2013)", "previouslyFormattedCitation" : "(Badiru and Osisanya 2013)" }, "properties" : { "noteIndex" : 0 }, "schema" : "https://github.com/citation-style-language/schema/raw/master/csl-citation.json" }</w:instrText>
      </w:r>
      <w:r>
        <w:rPr>
          <w:lang w:val="en-US"/>
        </w:rPr>
        <w:fldChar w:fldCharType="separate"/>
      </w:r>
      <w:r w:rsidR="00587F48" w:rsidRPr="00587F48">
        <w:rPr>
          <w:noProof/>
          <w:lang w:val="en-US"/>
        </w:rPr>
        <w:t>(Badiru and Osisanya 2013)</w:t>
      </w:r>
      <w:r>
        <w:rPr>
          <w:lang w:val="en-US"/>
        </w:rPr>
        <w:fldChar w:fldCharType="end"/>
      </w:r>
      <w:r>
        <w:rPr>
          <w:lang w:val="en-US"/>
        </w:rPr>
        <w:t xml:space="preserve"> and gives some insight on Russian market.</w:t>
      </w:r>
    </w:p>
    <w:p w:rsidR="004B1C0A" w:rsidRDefault="004B1C0A" w:rsidP="004B1C0A">
      <w:pPr>
        <w:rPr>
          <w:lang w:val="en-US"/>
        </w:rPr>
      </w:pPr>
      <w:r>
        <w:rPr>
          <w:lang w:val="en-US"/>
        </w:rPr>
        <w:t xml:space="preserve">Oil and gas business differs from other industries in many ways. Trends in oil and gas affect almost all other projects in consumer market. According to </w:t>
      </w:r>
      <w:r>
        <w:rPr>
          <w:lang w:val="en-US"/>
        </w:rPr>
        <w:fldChar w:fldCharType="begin" w:fldLock="1"/>
      </w:r>
      <w:r w:rsidR="00587F48">
        <w:rPr>
          <w:lang w:val="en-US"/>
        </w:rPr>
        <w:instrText>ADDIN CSL_CITATION { "citationItems" : [ { "id" : "ITEM-1", "itemData" : { "ISBN" : "978-1-4200-9426-8", "author" : [ { "dropping-particle" : "", "family" : "Badiru", "given" : "Adedeji B.", "non-dropping-particle" : "", "parse-names" : false, "suffix" : "" }, { "dropping-particle" : "", "family" : "Osisanya", "given" : "Samuel O.", "non-dropping-particle" : "", "parse-names" : false, "suffix" : "" } ], "id" : "ITEM-1", "issued" : { "date-parts" : [ [ "2013" ] ] }, "number-of-pages" : "761", "publisher" : "Taylor &amp; Francis Group, LLC", "publisher-place" : "Boca Raton", "title" : "Project Management for the Oil and Gas Industry", "type" : "book" }, "uris" : [ "http://www.mendeley.com/documents/?uuid=6f8b5aac-e293-4bb0-af97-4eef9d5cd80a" ] } ], "mendeley" : { "formattedCitation" : "(Badiru and Osisanya 2013)", "plainTextFormattedCitation" : "(Badiru and Osisanya 2013)", "previouslyFormattedCitation" : "(Badiru and Osisanya 2013)" }, "properties" : { "noteIndex" : 0 }, "schema" : "https://github.com/citation-style-language/schema/raw/master/csl-citation.json" }</w:instrText>
      </w:r>
      <w:r>
        <w:rPr>
          <w:lang w:val="en-US"/>
        </w:rPr>
        <w:fldChar w:fldCharType="separate"/>
      </w:r>
      <w:r w:rsidR="00587F48" w:rsidRPr="00587F48">
        <w:rPr>
          <w:noProof/>
          <w:lang w:val="en-US"/>
        </w:rPr>
        <w:t>(Badiru and Osisanya 2013)</w:t>
      </w:r>
      <w:r>
        <w:rPr>
          <w:lang w:val="en-US"/>
        </w:rPr>
        <w:fldChar w:fldCharType="end"/>
      </w:r>
      <w:r>
        <w:rPr>
          <w:lang w:val="en-US"/>
        </w:rPr>
        <w:t xml:space="preserve"> </w:t>
      </w:r>
      <w:r w:rsidRPr="004B1C0A">
        <w:rPr>
          <w:lang w:val="en-US"/>
        </w:rPr>
        <w:t>The influence sphere of oil and gas has grown dramatically over the</w:t>
      </w:r>
      <w:r>
        <w:rPr>
          <w:lang w:val="en-US"/>
        </w:rPr>
        <w:t xml:space="preserve"> </w:t>
      </w:r>
      <w:r w:rsidRPr="004B1C0A">
        <w:rPr>
          <w:lang w:val="en-US"/>
        </w:rPr>
        <w:t>years. A big decline in distributor costs of oil and gas directly drives a large</w:t>
      </w:r>
      <w:r>
        <w:rPr>
          <w:lang w:val="en-US"/>
        </w:rPr>
        <w:t xml:space="preserve"> </w:t>
      </w:r>
      <w:r w:rsidRPr="004B1C0A">
        <w:rPr>
          <w:lang w:val="en-US"/>
        </w:rPr>
        <w:t>portion of wholesale prices. Thus, it should be of interest to the general public</w:t>
      </w:r>
      <w:r>
        <w:rPr>
          <w:lang w:val="en-US"/>
        </w:rPr>
        <w:t xml:space="preserve"> </w:t>
      </w:r>
      <w:r w:rsidRPr="004B1C0A">
        <w:rPr>
          <w:lang w:val="en-US"/>
        </w:rPr>
        <w:t>to manage oil and gas projects so as to lower operating costs that can spread</w:t>
      </w:r>
      <w:r>
        <w:rPr>
          <w:lang w:val="en-US"/>
        </w:rPr>
        <w:t xml:space="preserve"> </w:t>
      </w:r>
      <w:r w:rsidRPr="004B1C0A">
        <w:rPr>
          <w:lang w:val="en-US"/>
        </w:rPr>
        <w:t xml:space="preserve">positively to consumer marketplace. </w:t>
      </w:r>
    </w:p>
    <w:p w:rsidR="00FA0ECF" w:rsidRDefault="00FA0ECF" w:rsidP="00FA0ECF">
      <w:pPr>
        <w:rPr>
          <w:lang w:val="en-US"/>
        </w:rPr>
      </w:pPr>
      <w:r w:rsidRPr="004B1C0A">
        <w:rPr>
          <w:lang w:val="en-US"/>
        </w:rPr>
        <w:t>Projects in the oil and gas industry are characterized by huge investments,</w:t>
      </w:r>
      <w:r>
        <w:rPr>
          <w:lang w:val="en-US"/>
        </w:rPr>
        <w:t xml:space="preserve"> </w:t>
      </w:r>
      <w:r w:rsidRPr="004B1C0A">
        <w:rPr>
          <w:lang w:val="en-US"/>
        </w:rPr>
        <w:t xml:space="preserve">massive interfaces, and complex engineering </w:t>
      </w:r>
      <w:r>
        <w:rPr>
          <w:lang w:val="en-US"/>
        </w:rPr>
        <w:t>efforts</w:t>
      </w:r>
      <w:r w:rsidRPr="004B1C0A">
        <w:rPr>
          <w:lang w:val="en-US"/>
        </w:rPr>
        <w:t>. The size and complexity</w:t>
      </w:r>
      <w:r>
        <w:rPr>
          <w:lang w:val="en-US"/>
        </w:rPr>
        <w:t xml:space="preserve"> </w:t>
      </w:r>
      <w:r w:rsidRPr="004B1C0A">
        <w:rPr>
          <w:lang w:val="en-US"/>
        </w:rPr>
        <w:t>of these projects require special attention in the project management</w:t>
      </w:r>
      <w:r>
        <w:rPr>
          <w:lang w:val="en-US"/>
        </w:rPr>
        <w:t xml:space="preserve"> </w:t>
      </w:r>
      <w:r w:rsidRPr="004B1C0A">
        <w:rPr>
          <w:lang w:val="en-US"/>
        </w:rPr>
        <w:t>process. Risks are a big part of oil and gas projects. Many aspects of the oil and gas business</w:t>
      </w:r>
      <w:r>
        <w:rPr>
          <w:lang w:val="en-US"/>
        </w:rPr>
        <w:t xml:space="preserve"> </w:t>
      </w:r>
      <w:r w:rsidRPr="004B1C0A">
        <w:rPr>
          <w:lang w:val="en-US"/>
        </w:rPr>
        <w:t xml:space="preserve">can benefit from better </w:t>
      </w:r>
      <w:r>
        <w:rPr>
          <w:lang w:val="en-US"/>
        </w:rPr>
        <w:t>valuation and risk management practices</w:t>
      </w:r>
      <w:r w:rsidRPr="004B1C0A">
        <w:rPr>
          <w:lang w:val="en-US"/>
        </w:rPr>
        <w:t xml:space="preserve">. </w:t>
      </w:r>
    </w:p>
    <w:p w:rsidR="00FA0ECF" w:rsidRPr="00FA0ECF" w:rsidRDefault="00FA0ECF" w:rsidP="00FA0ECF">
      <w:pPr>
        <w:rPr>
          <w:lang w:val="en-US"/>
        </w:rPr>
      </w:pPr>
      <w:r w:rsidRPr="00FA0ECF">
        <w:rPr>
          <w:lang w:val="en-US"/>
        </w:rPr>
        <w:t xml:space="preserve">Investments in oil and gas projects imply a wide range of economic, social, and environmental impacts on many parties over a long lifespan. Evaluation of such projects is therefore a crucial task before construction. To a great extent, the willingness of investors looking to make a reasonable rate of return on their investment in such projects is related to the legal and regulatory framework. </w:t>
      </w:r>
      <w:r w:rsidRPr="00FA0ECF">
        <w:rPr>
          <w:lang w:val="en-US"/>
        </w:rPr>
        <w:fldChar w:fldCharType="begin" w:fldLock="1"/>
      </w:r>
      <w:r w:rsidR="00587F48">
        <w:rPr>
          <w:lang w:val="en-US"/>
        </w:rPr>
        <w:instrText>ADDIN CSL_CITATION { "citationItems" : [ { "id" : "ITEM-1", "itemData" : { "author" : [ { "dropping-particle" : "", "family" : "Bagh", "given" : "Dima", "non-dropping-particle" : "", "parse-names" : false, "suffix" : "" } ], "id" : "ITEM-1", "issue" : "June", "issued" : { "date-parts" : [ [ "2015" ] ] }, "number-of-pages" : "193", "publisher" : "Brunel University, UK", "title" : "Essays on Oil : Project Evaluation and Investment Impact", "type" : "thesis" }, "uris" : [ "http://www.mendeley.com/documents/?uuid=80b85f1c-0064-4737-beaa-cf389d4abe0f" ] } ], "mendeley" : { "formattedCitation" : "(Bagh 2015)", "plainTextFormattedCitation" : "(Bagh 2015)", "previouslyFormattedCitation" : "(Bagh 2015)" }, "properties" : { "noteIndex" : 0 }, "schema" : "https://github.com/citation-style-language/schema/raw/master/csl-citation.json" }</w:instrText>
      </w:r>
      <w:r w:rsidRPr="00FA0ECF">
        <w:rPr>
          <w:lang w:val="en-US"/>
        </w:rPr>
        <w:fldChar w:fldCharType="separate"/>
      </w:r>
      <w:r w:rsidR="00587F48" w:rsidRPr="00587F48">
        <w:rPr>
          <w:noProof/>
          <w:lang w:val="en-US"/>
        </w:rPr>
        <w:t>(Bagh 2015)</w:t>
      </w:r>
      <w:r w:rsidRPr="00FA0ECF">
        <w:rPr>
          <w:lang w:val="en-US"/>
        </w:rPr>
        <w:fldChar w:fldCharType="end"/>
      </w:r>
    </w:p>
    <w:p w:rsidR="00A46A15" w:rsidRDefault="004B1C0A" w:rsidP="004B1C0A">
      <w:pPr>
        <w:rPr>
          <w:lang w:val="en-US"/>
        </w:rPr>
      </w:pPr>
      <w:r w:rsidRPr="004B1C0A">
        <w:rPr>
          <w:lang w:val="en-US"/>
        </w:rPr>
        <w:t>Risk is also an inherent</w:t>
      </w:r>
      <w:r>
        <w:rPr>
          <w:lang w:val="en-US"/>
        </w:rPr>
        <w:t xml:space="preserve"> </w:t>
      </w:r>
      <w:r w:rsidRPr="004B1C0A">
        <w:rPr>
          <w:lang w:val="en-US"/>
        </w:rPr>
        <w:t xml:space="preserve">part of the oil and gas industry. </w:t>
      </w:r>
      <w:r w:rsidR="00A46A15">
        <w:rPr>
          <w:lang w:val="en-US"/>
        </w:rPr>
        <w:t xml:space="preserve">Factors of uncertainty in world oil prices, technology, conditions of economy, currency exchange rates affect financial results of projects in oil and gas. </w:t>
      </w:r>
      <w:r w:rsidRPr="004B1C0A">
        <w:rPr>
          <w:lang w:val="en-US"/>
        </w:rPr>
        <w:t>Risks</w:t>
      </w:r>
      <w:r>
        <w:rPr>
          <w:lang w:val="en-US"/>
        </w:rPr>
        <w:t xml:space="preserve"> </w:t>
      </w:r>
      <w:r w:rsidRPr="004B1C0A">
        <w:rPr>
          <w:lang w:val="en-US"/>
        </w:rPr>
        <w:t xml:space="preserve">can be </w:t>
      </w:r>
      <w:r w:rsidR="00A46A15">
        <w:rPr>
          <w:lang w:val="en-US"/>
        </w:rPr>
        <w:t>managed</w:t>
      </w:r>
      <w:r w:rsidRPr="004B1C0A">
        <w:rPr>
          <w:lang w:val="en-US"/>
        </w:rPr>
        <w:t>, but not eliminated. In fact, risk is the essence of any enterprise.</w:t>
      </w:r>
      <w:r>
        <w:rPr>
          <w:lang w:val="en-US"/>
        </w:rPr>
        <w:t xml:space="preserve"> </w:t>
      </w:r>
      <w:r w:rsidR="00A46A15">
        <w:rPr>
          <w:lang w:val="en-US"/>
        </w:rPr>
        <w:t xml:space="preserve">Long lifespan makes forecasting key economic variables extremely difficult. Actual level of </w:t>
      </w:r>
      <w:r w:rsidR="00A46A15">
        <w:rPr>
          <w:lang w:val="en-US"/>
        </w:rPr>
        <w:lastRenderedPageBreak/>
        <w:t xml:space="preserve">extractable reserves is usually known only after the beginning of the project. </w:t>
      </w:r>
      <w:r w:rsidRPr="004B1C0A">
        <w:rPr>
          <w:lang w:val="en-US"/>
        </w:rPr>
        <w:t>In spite of government regulations designed to reduce accident risks in</w:t>
      </w:r>
      <w:r>
        <w:rPr>
          <w:lang w:val="en-US"/>
        </w:rPr>
        <w:t xml:space="preserve"> </w:t>
      </w:r>
      <w:r w:rsidRPr="004B1C0A">
        <w:rPr>
          <w:lang w:val="en-US"/>
        </w:rPr>
        <w:t xml:space="preserve">the energy industry, accidents will occasionally happen. </w:t>
      </w:r>
    </w:p>
    <w:p w:rsidR="004B1C0A" w:rsidRDefault="00C146B4" w:rsidP="004B1C0A">
      <w:pPr>
        <w:rPr>
          <w:lang w:val="en-US"/>
        </w:rPr>
      </w:pPr>
      <w:r>
        <w:rPr>
          <w:lang w:val="en-US"/>
        </w:rPr>
        <w:t xml:space="preserve">According to </w:t>
      </w:r>
      <w:r>
        <w:rPr>
          <w:lang w:val="en-US"/>
        </w:rPr>
        <w:fldChar w:fldCharType="begin" w:fldLock="1"/>
      </w:r>
      <w:r w:rsidR="00587F48">
        <w:rPr>
          <w:lang w:val="en-US"/>
        </w:rPr>
        <w:instrText>ADDIN CSL_CITATION { "citationItems" : [ { "id" : "ITEM-1", "itemData" : { "ISBN" : "978-1-4200-9426-8", "author" : [ { "dropping-particle" : "", "family" : "Badiru", "given" : "Adedeji B.", "non-dropping-particle" : "", "parse-names" : false, "suffix" : "" }, { "dropping-particle" : "", "family" : "Osisanya", "given" : "Samuel O.", "non-dropping-particle" : "", "parse-names" : false, "suffix" : "" } ], "id" : "ITEM-1", "issued" : { "date-parts" : [ [ "2013" ] ] }, "number-of-pages" : "761", "publisher" : "Taylor &amp; Francis Group, LLC", "publisher-place" : "Boca Raton", "title" : "Project Management for the Oil and Gas Industry", "type" : "book" }, "uris" : [ "http://www.mendeley.com/documents/?uuid=6f8b5aac-e293-4bb0-af97-4eef9d5cd80a" ] } ], "mendeley" : { "formattedCitation" : "(Badiru and Osisanya 2013)", "plainTextFormattedCitation" : "(Badiru and Osisanya 2013)", "previouslyFormattedCitation" : "(Badiru and Osisanya 2013)" }, "properties" : { "noteIndex" : 0 }, "schema" : "https://github.com/citation-style-language/schema/raw/master/csl-citation.json" }</w:instrText>
      </w:r>
      <w:r>
        <w:rPr>
          <w:lang w:val="en-US"/>
        </w:rPr>
        <w:fldChar w:fldCharType="separate"/>
      </w:r>
      <w:r w:rsidR="00587F48" w:rsidRPr="00587F48">
        <w:rPr>
          <w:noProof/>
          <w:lang w:val="en-US"/>
        </w:rPr>
        <w:t>(Badiru and Osisanya 2013)</w:t>
      </w:r>
      <w:r>
        <w:rPr>
          <w:lang w:val="en-US"/>
        </w:rPr>
        <w:fldChar w:fldCharType="end"/>
      </w:r>
      <w:r>
        <w:rPr>
          <w:lang w:val="en-US"/>
        </w:rPr>
        <w:t xml:space="preserve"> t</w:t>
      </w:r>
      <w:r w:rsidR="004B1C0A" w:rsidRPr="004B1C0A">
        <w:rPr>
          <w:lang w:val="en-US"/>
        </w:rPr>
        <w:t>he span of projects of interest in the oil and gas industry includes the selected sample below:</w:t>
      </w:r>
      <w:r w:rsidR="004B1C0A">
        <w:rPr>
          <w:lang w:val="en-US"/>
        </w:rPr>
        <w:t xml:space="preserve"> </w:t>
      </w:r>
    </w:p>
    <w:tbl>
      <w:tblPr>
        <w:tblStyle w:val="41"/>
        <w:tblW w:w="5000" w:type="pct"/>
        <w:tblLook w:val="04A0" w:firstRow="1" w:lastRow="0" w:firstColumn="1" w:lastColumn="0" w:noHBand="0" w:noVBand="1"/>
      </w:tblPr>
      <w:tblGrid>
        <w:gridCol w:w="3293"/>
        <w:gridCol w:w="2732"/>
        <w:gridCol w:w="3330"/>
      </w:tblGrid>
      <w:tr w:rsidR="00A46A15" w:rsidRPr="00A46A15" w:rsidTr="00A46A1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C146B4" w:rsidRDefault="00A46A15" w:rsidP="00A46A15">
            <w:pPr>
              <w:spacing w:line="240" w:lineRule="auto"/>
              <w:jc w:val="left"/>
              <w:rPr>
                <w:rFonts w:eastAsia="Times New Roman" w:cs="Times New Roman"/>
                <w:color w:val="000000"/>
                <w:sz w:val="20"/>
                <w:szCs w:val="20"/>
                <w:lang w:eastAsia="ru-RU"/>
              </w:rPr>
            </w:pPr>
            <w:r w:rsidRPr="00C146B4">
              <w:rPr>
                <w:rFonts w:eastAsia="Times New Roman" w:cs="Times New Roman"/>
                <w:color w:val="000000"/>
                <w:sz w:val="20"/>
                <w:szCs w:val="20"/>
                <w:lang w:eastAsia="ru-RU"/>
              </w:rPr>
              <w:t>General operations</w:t>
            </w:r>
          </w:p>
        </w:tc>
        <w:tc>
          <w:tcPr>
            <w:tcW w:w="1392" w:type="pct"/>
            <w:noWrap/>
            <w:hideMark/>
          </w:tcPr>
          <w:p w:rsidR="00A46A15" w:rsidRPr="00C146B4" w:rsidRDefault="00A46A15" w:rsidP="00A46A15">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C146B4">
              <w:rPr>
                <w:rFonts w:eastAsia="Times New Roman" w:cs="Times New Roman"/>
                <w:color w:val="000000"/>
                <w:sz w:val="20"/>
                <w:szCs w:val="20"/>
                <w:lang w:eastAsia="ru-RU"/>
              </w:rPr>
              <w:t>Processing</w:t>
            </w:r>
          </w:p>
        </w:tc>
        <w:tc>
          <w:tcPr>
            <w:tcW w:w="1814" w:type="pct"/>
            <w:noWrap/>
            <w:hideMark/>
          </w:tcPr>
          <w:p w:rsidR="00A46A15" w:rsidRPr="00C146B4" w:rsidRDefault="00A46A15" w:rsidP="00A46A15">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C146B4">
              <w:rPr>
                <w:rFonts w:eastAsia="Times New Roman" w:cs="Times New Roman"/>
                <w:color w:val="000000"/>
                <w:sz w:val="20"/>
                <w:szCs w:val="20"/>
                <w:lang w:eastAsia="ru-RU"/>
              </w:rPr>
              <w:t>Exploration and development</w:t>
            </w:r>
          </w:p>
        </w:tc>
      </w:tr>
      <w:tr w:rsidR="00A46A15" w:rsidRPr="00A46A15" w:rsidTr="00A46A1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Economics of the market</w:t>
            </w:r>
          </w:p>
        </w:tc>
        <w:tc>
          <w:tcPr>
            <w:tcW w:w="1392"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Refining</w:t>
            </w:r>
          </w:p>
        </w:tc>
        <w:tc>
          <w:tcPr>
            <w:tcW w:w="1814"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Forecasting</w:t>
            </w:r>
          </w:p>
        </w:tc>
      </w:tr>
      <w:tr w:rsidR="00A46A15" w:rsidRPr="00A46A15" w:rsidTr="00A46A15">
        <w:trPr>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Financing</w:t>
            </w:r>
          </w:p>
        </w:tc>
        <w:tc>
          <w:tcPr>
            <w:tcW w:w="1392" w:type="pct"/>
            <w:noWrap/>
            <w:hideMark/>
          </w:tcPr>
          <w:p w:rsidR="00A46A15" w:rsidRPr="00A46A15"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Operations</w:t>
            </w:r>
          </w:p>
        </w:tc>
        <w:tc>
          <w:tcPr>
            <w:tcW w:w="1814" w:type="pct"/>
            <w:noWrap/>
            <w:hideMark/>
          </w:tcPr>
          <w:p w:rsidR="00A46A15" w:rsidRPr="00A46A15"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Geological research</w:t>
            </w:r>
          </w:p>
        </w:tc>
      </w:tr>
      <w:tr w:rsidR="00A46A15" w:rsidRPr="00A46A15" w:rsidTr="00A46A1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Product marketing</w:t>
            </w:r>
          </w:p>
        </w:tc>
        <w:tc>
          <w:tcPr>
            <w:tcW w:w="1392"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Construction</w:t>
            </w:r>
          </w:p>
        </w:tc>
        <w:tc>
          <w:tcPr>
            <w:tcW w:w="1814"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Discoveries</w:t>
            </w:r>
          </w:p>
        </w:tc>
      </w:tr>
      <w:tr w:rsidR="00A46A15" w:rsidRPr="00A46A15" w:rsidTr="00A46A15">
        <w:trPr>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Government relations</w:t>
            </w:r>
          </w:p>
        </w:tc>
        <w:tc>
          <w:tcPr>
            <w:tcW w:w="1392" w:type="pct"/>
            <w:noWrap/>
            <w:hideMark/>
          </w:tcPr>
          <w:p w:rsidR="00A46A15" w:rsidRPr="00A46A15"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Petrochemicals</w:t>
            </w:r>
          </w:p>
        </w:tc>
        <w:tc>
          <w:tcPr>
            <w:tcW w:w="1814" w:type="pct"/>
            <w:noWrap/>
            <w:hideMark/>
          </w:tcPr>
          <w:p w:rsidR="00A46A15" w:rsidRPr="00A46A15"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Reserves</w:t>
            </w:r>
          </w:p>
        </w:tc>
      </w:tr>
      <w:tr w:rsidR="00A46A15" w:rsidRPr="00A46A15" w:rsidTr="00C146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Regulations</w:t>
            </w:r>
          </w:p>
        </w:tc>
        <w:tc>
          <w:tcPr>
            <w:tcW w:w="1392"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Gas processing</w:t>
            </w:r>
          </w:p>
        </w:tc>
        <w:tc>
          <w:tcPr>
            <w:tcW w:w="1814"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Area drilling</w:t>
            </w:r>
          </w:p>
        </w:tc>
      </w:tr>
      <w:tr w:rsidR="00A46A15" w:rsidRPr="00A46A15" w:rsidTr="00C146B4">
        <w:trPr>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Inspections</w:t>
            </w:r>
          </w:p>
        </w:tc>
        <w:tc>
          <w:tcPr>
            <w:tcW w:w="1392" w:type="pct"/>
            <w:noWrap/>
            <w:hideMark/>
          </w:tcPr>
          <w:p w:rsidR="00A46A15" w:rsidRPr="00A46A15"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New plants</w:t>
            </w:r>
          </w:p>
        </w:tc>
        <w:tc>
          <w:tcPr>
            <w:tcW w:w="1814" w:type="pct"/>
            <w:tcBorders>
              <w:bottom w:val="single" w:sz="18" w:space="0" w:color="C00000"/>
            </w:tcBorders>
            <w:noWrap/>
            <w:hideMark/>
          </w:tcPr>
          <w:p w:rsidR="00A46A15" w:rsidRPr="00C146B4"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ru-RU"/>
              </w:rPr>
            </w:pPr>
            <w:r w:rsidRPr="00C146B4">
              <w:rPr>
                <w:rFonts w:eastAsia="Times New Roman" w:cs="Times New Roman"/>
                <w:b/>
                <w:bCs/>
                <w:color w:val="000000"/>
                <w:sz w:val="20"/>
                <w:szCs w:val="20"/>
                <w:lang w:eastAsia="ru-RU"/>
              </w:rPr>
              <w:t>Drilling and production</w:t>
            </w:r>
          </w:p>
        </w:tc>
      </w:tr>
      <w:tr w:rsidR="00A46A15" w:rsidRPr="00A46A15" w:rsidTr="00C146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Regulatory oversight</w:t>
            </w:r>
          </w:p>
        </w:tc>
        <w:tc>
          <w:tcPr>
            <w:tcW w:w="1392"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Capacities</w:t>
            </w:r>
          </w:p>
        </w:tc>
        <w:tc>
          <w:tcPr>
            <w:tcW w:w="1814" w:type="pct"/>
            <w:tcBorders>
              <w:top w:val="single" w:sz="18" w:space="0" w:color="C00000"/>
            </w:tcBorders>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Drilling operations</w:t>
            </w:r>
          </w:p>
        </w:tc>
      </w:tr>
      <w:tr w:rsidR="00A46A15" w:rsidRPr="00A46A15" w:rsidTr="00C146B4">
        <w:trPr>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Quality checks</w:t>
            </w:r>
          </w:p>
        </w:tc>
        <w:tc>
          <w:tcPr>
            <w:tcW w:w="1392" w:type="pct"/>
            <w:noWrap/>
            <w:hideMark/>
          </w:tcPr>
          <w:p w:rsidR="00A46A15" w:rsidRPr="00A46A15" w:rsidRDefault="00A46A15" w:rsidP="00C146B4">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eastAsia="ru-RU"/>
              </w:rPr>
            </w:pPr>
            <w:r w:rsidRPr="00A46A15">
              <w:rPr>
                <w:rFonts w:eastAsia="Times New Roman" w:cs="Times New Roman"/>
                <w:color w:val="000000"/>
                <w:sz w:val="20"/>
                <w:szCs w:val="20"/>
                <w:lang w:val="en-US" w:eastAsia="ru-RU"/>
              </w:rPr>
              <w:t xml:space="preserve">Liquefied petroleum gas (LPG) </w:t>
            </w:r>
          </w:p>
        </w:tc>
        <w:tc>
          <w:tcPr>
            <w:tcW w:w="1814" w:type="pct"/>
            <w:noWrap/>
            <w:hideMark/>
          </w:tcPr>
          <w:p w:rsidR="00A46A15" w:rsidRPr="00A46A15"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Production operations</w:t>
            </w:r>
          </w:p>
        </w:tc>
      </w:tr>
      <w:tr w:rsidR="00A46A15" w:rsidRPr="00A46A15" w:rsidTr="00C146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Compliance assessment</w:t>
            </w:r>
          </w:p>
        </w:tc>
        <w:tc>
          <w:tcPr>
            <w:tcW w:w="1392" w:type="pct"/>
            <w:tcBorders>
              <w:bottom w:val="single" w:sz="18" w:space="0" w:color="C00000"/>
            </w:tcBorders>
            <w:noWrap/>
            <w:hideMark/>
          </w:tcPr>
          <w:p w:rsidR="00A46A15" w:rsidRPr="00C146B4"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ru-RU"/>
              </w:rPr>
            </w:pPr>
            <w:r w:rsidRPr="00C146B4">
              <w:rPr>
                <w:rFonts w:eastAsia="Times New Roman" w:cs="Times New Roman"/>
                <w:b/>
                <w:bCs/>
                <w:color w:val="000000"/>
                <w:sz w:val="20"/>
                <w:szCs w:val="20"/>
                <w:lang w:eastAsia="ru-RU"/>
              </w:rPr>
              <w:t>Transportation</w:t>
            </w:r>
          </w:p>
        </w:tc>
        <w:tc>
          <w:tcPr>
            <w:tcW w:w="1814"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Field start-ups</w:t>
            </w:r>
          </w:p>
        </w:tc>
      </w:tr>
      <w:tr w:rsidR="00A46A15" w:rsidRPr="00A46A15" w:rsidTr="00C146B4">
        <w:trPr>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Corporate alliances</w:t>
            </w:r>
          </w:p>
        </w:tc>
        <w:tc>
          <w:tcPr>
            <w:tcW w:w="1392" w:type="pct"/>
            <w:tcBorders>
              <w:top w:val="single" w:sz="18" w:space="0" w:color="C00000"/>
            </w:tcBorders>
            <w:noWrap/>
            <w:hideMark/>
          </w:tcPr>
          <w:p w:rsidR="00A46A15" w:rsidRPr="00A46A15"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Tankers</w:t>
            </w:r>
          </w:p>
        </w:tc>
        <w:tc>
          <w:tcPr>
            <w:tcW w:w="1814" w:type="pct"/>
            <w:noWrap/>
            <w:hideMark/>
          </w:tcPr>
          <w:p w:rsidR="00A46A15" w:rsidRPr="00A46A15"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Unconventional resources</w:t>
            </w:r>
          </w:p>
        </w:tc>
      </w:tr>
      <w:tr w:rsidR="00A46A15" w:rsidRPr="00A46A15" w:rsidTr="00A46A1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Human resources</w:t>
            </w:r>
          </w:p>
        </w:tc>
        <w:tc>
          <w:tcPr>
            <w:tcW w:w="1392"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Liquefied natural gas (LNG)</w:t>
            </w:r>
          </w:p>
        </w:tc>
        <w:tc>
          <w:tcPr>
            <w:tcW w:w="1814" w:type="pct"/>
            <w:noWrap/>
            <w:hideMark/>
          </w:tcPr>
          <w:p w:rsidR="00A46A15" w:rsidRPr="00A46A15" w:rsidRDefault="00A46A15" w:rsidP="00A46A15">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ru-RU"/>
              </w:rPr>
            </w:pPr>
          </w:p>
        </w:tc>
      </w:tr>
      <w:tr w:rsidR="00A46A15" w:rsidRPr="00A46A15" w:rsidTr="00A46A15">
        <w:trPr>
          <w:trHeight w:val="288"/>
        </w:trPr>
        <w:tc>
          <w:tcPr>
            <w:cnfStyle w:val="001000000000" w:firstRow="0" w:lastRow="0" w:firstColumn="1" w:lastColumn="0" w:oddVBand="0" w:evenVBand="0" w:oddHBand="0" w:evenHBand="0" w:firstRowFirstColumn="0" w:firstRowLastColumn="0" w:lastRowFirstColumn="0" w:lastRowLastColumn="0"/>
            <w:tcW w:w="1794" w:type="pct"/>
            <w:noWrap/>
            <w:hideMark/>
          </w:tcPr>
          <w:p w:rsidR="00A46A15" w:rsidRPr="00A46A15" w:rsidRDefault="00A46A15" w:rsidP="00A46A15">
            <w:pPr>
              <w:spacing w:line="240" w:lineRule="auto"/>
              <w:jc w:val="left"/>
              <w:rPr>
                <w:rFonts w:eastAsia="Times New Roman" w:cs="Times New Roman"/>
                <w:b w:val="0"/>
                <w:color w:val="000000"/>
                <w:sz w:val="20"/>
                <w:szCs w:val="20"/>
                <w:lang w:eastAsia="ru-RU"/>
              </w:rPr>
            </w:pPr>
            <w:r w:rsidRPr="00A46A15">
              <w:rPr>
                <w:rFonts w:eastAsia="Times New Roman" w:cs="Times New Roman"/>
                <w:b w:val="0"/>
                <w:color w:val="000000"/>
                <w:sz w:val="20"/>
                <w:szCs w:val="20"/>
                <w:lang w:eastAsia="ru-RU"/>
              </w:rPr>
              <w:t>Hardware and software infrastructure</w:t>
            </w:r>
          </w:p>
        </w:tc>
        <w:tc>
          <w:tcPr>
            <w:tcW w:w="1392" w:type="pct"/>
            <w:noWrap/>
            <w:hideMark/>
          </w:tcPr>
          <w:p w:rsidR="00A46A15" w:rsidRPr="00A46A15" w:rsidRDefault="00A46A15" w:rsidP="00A46A15">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r w:rsidRPr="00A46A15">
              <w:rPr>
                <w:rFonts w:eastAsia="Times New Roman" w:cs="Times New Roman"/>
                <w:color w:val="000000"/>
                <w:sz w:val="20"/>
                <w:szCs w:val="20"/>
                <w:lang w:eastAsia="ru-RU"/>
              </w:rPr>
              <w:t>Pipelines</w:t>
            </w:r>
          </w:p>
        </w:tc>
        <w:tc>
          <w:tcPr>
            <w:tcW w:w="1814" w:type="pct"/>
            <w:noWrap/>
            <w:hideMark/>
          </w:tcPr>
          <w:p w:rsidR="00A46A15" w:rsidRPr="00A46A15" w:rsidRDefault="00A46A15" w:rsidP="00C146B4">
            <w:pPr>
              <w:keepNext/>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ru-RU"/>
              </w:rPr>
            </w:pPr>
          </w:p>
        </w:tc>
      </w:tr>
    </w:tbl>
    <w:p w:rsidR="004B1C0A" w:rsidRPr="00481A23" w:rsidRDefault="00C146B4" w:rsidP="00C146B4">
      <w:pPr>
        <w:pStyle w:val="ac"/>
        <w:rPr>
          <w:rFonts w:ascii="PalatinoLTStd-Roman" w:hAnsi="PalatinoLTStd-Roman" w:cs="PalatinoLTStd-Roman"/>
          <w:szCs w:val="20"/>
        </w:rPr>
      </w:pPr>
      <w:bookmarkStart w:id="38" w:name="_Toc484036519"/>
      <w:r>
        <w:t xml:space="preserve">Figure </w:t>
      </w:r>
      <w:r>
        <w:fldChar w:fldCharType="begin"/>
      </w:r>
      <w:r>
        <w:instrText xml:space="preserve"> SEQ Figure \* ARABIC </w:instrText>
      </w:r>
      <w:r>
        <w:fldChar w:fldCharType="separate"/>
      </w:r>
      <w:r w:rsidR="008324C6">
        <w:rPr>
          <w:noProof/>
        </w:rPr>
        <w:t>5</w:t>
      </w:r>
      <w:r>
        <w:fldChar w:fldCharType="end"/>
      </w:r>
      <w:r>
        <w:t>. Operations in oil and gas</w:t>
      </w:r>
      <w:r w:rsidR="00481A23" w:rsidRPr="00481A23">
        <w:t>. Source:</w:t>
      </w:r>
      <w:r w:rsidRPr="00481A23">
        <w:t xml:space="preserve"> </w:t>
      </w:r>
      <w:r w:rsidRPr="00481A23">
        <w:fldChar w:fldCharType="begin" w:fldLock="1"/>
      </w:r>
      <w:r w:rsidR="00587F48" w:rsidRPr="00481A23">
        <w:instrText>ADDIN CSL_CITATION { "citationItems" : [ { "id" : "ITEM-1", "itemData" : { "ISBN" : "978-1-4200-9426-8", "author" : [ { "dropping-particle" : "", "family" : "Badiru", "given" : "Adedeji B.", "non-dropping-particle" : "", "parse-names" : false, "suffix" : "" }, { "dropping-particle" : "", "family" : "Osisanya", "given" : "Samuel O.", "non-dropping-particle" : "", "parse-names" : false, "suffix" : "" } ], "id" : "ITEM-1", "issued" : { "date-parts" : [ [ "2013" ] ] }, "number-of-pages" : "761", "publisher" : "Taylor &amp; Francis Group, LLC", "publisher-place" : "Boca Raton", "title" : "Project Management for the Oil and Gas Industry", "type" : "book" }, "uris" : [ "http://www.mendeley.com/documents/?uuid=6f8b5aac-e293-4bb0-af97-4eef9d5cd80a" ] } ], "mendeley" : { "formattedCitation" : "(Badiru and Osisanya 2013)", "plainTextFormattedCitation" : "(Badiru and Osisanya 2013)", "previouslyFormattedCitation" : "(Badiru and Osisanya 2013)" }, "properties" : { "noteIndex" : 0 }, "schema" : "https://github.com/citation-style-language/schema/raw/master/csl-citation.json" }</w:instrText>
      </w:r>
      <w:r w:rsidRPr="00481A23">
        <w:fldChar w:fldCharType="separate"/>
      </w:r>
      <w:r w:rsidR="00587F48" w:rsidRPr="00481A23">
        <w:rPr>
          <w:noProof/>
        </w:rPr>
        <w:t>(Badiru and Osisanya 2013)</w:t>
      </w:r>
      <w:bookmarkEnd w:id="38"/>
      <w:r w:rsidRPr="00481A23">
        <w:fldChar w:fldCharType="end"/>
      </w:r>
    </w:p>
    <w:p w:rsidR="001B2752" w:rsidRPr="00FF0C30" w:rsidRDefault="001B2752" w:rsidP="001B2752">
      <w:pPr>
        <w:rPr>
          <w:rFonts w:cs="Times New Roman"/>
          <w:szCs w:val="24"/>
          <w:lang w:val="en-US"/>
        </w:rPr>
      </w:pPr>
      <w:r w:rsidRPr="00FA0ECF">
        <w:rPr>
          <w:lang w:val="en-US"/>
        </w:rPr>
        <w:t xml:space="preserve">Large scale projects face massive regulatory, technical and social challenges (physical distance, cultural diversity, language barriers and technological differences). Constructing such projects therefore requires pervasive management of economic, political and environmental risks. </w:t>
      </w:r>
      <w:r w:rsidR="00FA0ECF">
        <w:rPr>
          <w:lang w:val="en-US"/>
        </w:rPr>
        <w:t>Next section describes main sources of uncertainty in oil and gas investment projects.</w:t>
      </w:r>
    </w:p>
    <w:p w:rsidR="007A24FA" w:rsidRPr="00FF0C30" w:rsidRDefault="007A24FA" w:rsidP="0024006E">
      <w:pPr>
        <w:pStyle w:val="3"/>
      </w:pPr>
      <w:r w:rsidRPr="00FF0C30">
        <w:t>Sources of uncertainty</w:t>
      </w:r>
    </w:p>
    <w:p w:rsidR="00620561" w:rsidRPr="00FF0C30" w:rsidRDefault="00620561" w:rsidP="00620561">
      <w:pPr>
        <w:rPr>
          <w:rFonts w:cs="Times New Roman"/>
          <w:szCs w:val="24"/>
          <w:lang w:val="en-US"/>
        </w:rPr>
      </w:pPr>
      <w:r w:rsidRPr="00FF0C30">
        <w:rPr>
          <w:rFonts w:cs="Times New Roman"/>
          <w:szCs w:val="24"/>
          <w:lang w:val="en-US"/>
        </w:rPr>
        <w:t xml:space="preserve">Uncertainty is the lack of exact knowledge of a project and one cannot tell the possible events and outcomes of the future concerning the venture. Uncertainty can be good or bad for a project. </w:t>
      </w:r>
      <w:r w:rsidR="00FA0ECF">
        <w:rPr>
          <w:rFonts w:cs="Times New Roman"/>
          <w:szCs w:val="24"/>
          <w:lang w:val="en-US"/>
        </w:rPr>
        <w:t>For a long time, t</w:t>
      </w:r>
      <w:r w:rsidRPr="00FF0C30">
        <w:rPr>
          <w:rFonts w:cs="Times New Roman"/>
          <w:szCs w:val="24"/>
          <w:lang w:val="en-US"/>
        </w:rPr>
        <w:t xml:space="preserve">he state where the uncertainty is likely to yield an undesired, bad results or a significant loss is called risk. </w:t>
      </w:r>
      <w:r w:rsidR="00FA0ECF">
        <w:rPr>
          <w:rFonts w:cs="Times New Roman"/>
          <w:szCs w:val="24"/>
          <w:lang w:val="en-US"/>
        </w:rPr>
        <w:t xml:space="preserve">However, now we can address both positive and negative outcomes as risk </w:t>
      </w:r>
      <w:r w:rsidR="00FA0ECF">
        <w:rPr>
          <w:rFonts w:cs="Times New Roman"/>
          <w:szCs w:val="24"/>
        </w:rPr>
        <w:fldChar w:fldCharType="begin" w:fldLock="1"/>
      </w:r>
      <w:r w:rsidR="00666082">
        <w:rPr>
          <w:rFonts w:cs="Times New Roman"/>
          <w:szCs w:val="24"/>
          <w:lang w:val="en-US"/>
        </w:rPr>
        <w:instrText>ADDIN CSL_CITATION { "citationItems" : [ { "id" : "ITEM-1", "itemData" : { "abstract" : "\u0420\u0435\u0430\u043b\u044c\u043d\u044b\u0435 \u043e\u043f\u0446\u0438\u043e\u043d\u044b \u043f\u0440\u0435\u0434\u0441\u0442\u0430\u0432\u043b\u044f\u044e\u0442 \u0441\u043e\u0431\u043e\u0439 \u0432\u043e\u0437\u043c\u043e\u0436\u043d\u043e\u0441\u0442\u044c \u043f\u0440\u0438\u043d\u044f\u0442\u0438\u044f \u0433\u0438\u0431\u043a\u0438\u0445 \u0440\u0435\u0448\u0435\u043d\u0438\u0439 \u0432 \u0443\u0441\u043b\u043e\u0432\u0438\u044f\u0445 \u043f\u043e\u0441\u0442\u043e\u044f\u043d\u043d\u043e \u043c\u0435\u043d\u044f\u044e\u0449\u0435\u0439\u0441\u044f \u0441\u0440\u0435\u0434\u044b. \u0420\u0435\u0430\u043b\u044c\u043d\u044b\u0435 \u043e\u043f\u0446\u0438\u043e\u043d\u044b \u0448\u0438\u0440\u043e\u043a\u043e \u043f\u0440\u0438\u043c\u0435\u043d\u044f\u043b\u0438\u0441\u044c \u0447\u0435\u043b\u043e\u0432\u0435\u0447\u0435\u0441\u0442\u0432\u043e\u043c \u0437\u0430\u0434\u043e\u043b\u0433\u043e \u0434\u043e \u0442\u043e\u0433\u043e, \u043a\u0430\u043a \u044d\u0442\u043e \u043f\u043e\u043d\u044f\u0442\u0438\u0435 \u0431\u044b\u043b\u043e \u0444\u043e\u0440\u043c\u0430\u043b\u044c\u043d\u043e \u0432\u0432\u0435\u0434\u0435\u043d\u043e \u0432 \u043d\u0430\u0443\u0447\u043d\u044b\u0439 \u043e\u0431\u0438\u0445\u043e\u0434. \u041d\u0430\u0443\u0447\u043d\u044b\u0439 \u0430\u043d\u0430\u043b\u0438\u0437 \u043f\u043e\u0437\u0432\u043e\u043b\u0438\u043b, \u043e\u0434\u043d\u0430\u043a\u043e, \u043b\u0443\u0447\u0448\u0435 \u0438\u0441\u043f\u043e\u043b\u044c\u0437\u043e\u0432\u0430\u0442\u044c \u0441\u0443\u0449\u0435\u0441\u0442\u0432\u0443\u044e\u0449\u0438\u0435 \u043e\u043f\u0446\u0438\u0438 \u043e\u043d\u044b \u0438 \u043f\u0440\u043e\u0435\u043a\u0442\u0438\u0440\u043e\u0432\u0430\u0442\u044c \u043d\u043e\u0432\u044b\u0435 \u043e\u043f\u0446\u0438\u043e\u043d\u044b \u0432 \u043a\u0430\u0447\u0435\u0441\u0442\u0432\u0435 \u0441\u043f\u0435\u0446\u0438\u0430\u043b\u044c\u043d\u043e\u0439 \u0441\u0442\u0440\u0430\u0442\u0435\u0433\u0438\u0438 \u0438\u0441\u043f\u043e\u043b\u044c\u0437\u043e\u0432\u0430\u0430 \u043d\u0438\u044f \u0433\u0438\u0431\u043a\u043e\u0441\u0442\u0438. \u0412 \u043f\u0440\u0430\u043a\u0442\u0438\u043a\u0435 \u0443\u043f\u0440\u0430\u0432\u043b\u0435\u043d\u0438\u044f \u0440\u0435\u0430\u043b\u044c\u043d\u044b\u0435 \u043e\u043f\u0446\u0438\u043e\u043d\u044b \u043f\u043e\u0437\u0432\u043e\u043b\u044f\u044e\u0442 \u043c\u0435\u043d\u0435\u0434\u0436\u0435\u0440\u0443 \u043f\u0440\u0438\u0438 \u043c\u0435\u043d\u044f\u0442\u044c \u0437\u0430\u0440\u0430\u043d\u0435\u0435 \u0441\u043f\u0440\u043e\u0435\u043a\u0442\u0438\u0440\u043e\u0432\u0430\u043d\u043d\u0443\u044e \u0433\u0438\u0431\u043a\u043e\u0441\u0442\u044c \u0434\u043b\u044f \u0443\u043f\u0440\u0430\u0432\u043b\u0435\u043d\u0438\u044f \u043a\u043e\u043c\u043f\u0430\u043d\u0438\u0435\u0439 \u0432 \u0443\u0441\u043b\u043e\u0432\u0438\u044f\u0445 \u043d\u0435\u043e\u043f\u0440\u0435\u0434\u0435\u043b\u0435\u043d\u043d\u043e\u0439 \u0438 \u0437\u0430\u0447\u0430\u0441\u0442\u0443\u044e \u043d\u0435\u043f\u0440\u043e\u0433\u043d\u043e\u0437\u0438\u0440\u0443\u0435\u043c\u043e\u0439 \u0432\u043d\u0435\u0448\u043d\u0435\u0439 \u0438 \u0432\u043d\u0443\u0442\u0440\u0435\u043d\u043d\u0435\u0439 \u0441\u0440\u0435\u0434\u044b. \u041f\u0440\u0435\u0434\u0434 \u043b\u0430\u0433\u0430\u0435\u043c\u0430\u044f \u0441\u0442\u0430\u0442\u044c\u044f \u0438\u043c\u0435\u0435\u0442 \u0441\u0432\u043e\u0435\u0439 \u0446\u0435\u043b\u044c\u044e \u043e\u0437\u043d\u0430\u043a\u043e\u043c\u043b\u0435\u043d\u0438\u0435 \u0440\u0443\u0441\u0441\u043a\u043e\u044f\u0437\u044b\u0447\u043d\u043e\u0433\u043e \u0447\u0438\u0442\u0430\u0442\u0435\u043b\u044f \u0441 \u044d\u0442\u0438\u043c \u0447\u0440\u0435\u0437\u0432\u044b\u0447\u0430\u0439\u043d\u043e \u0432\u0430\u0436\u043d\u044b\u043c \u043f\u043e\u043d\u044f\u0442\u0438\u0435\u043c. \u0418\u0437\u043b\u043e\u0436\u0435\u043d\u0438\u0435 \u043f\u043e\u0441\u0442\u0440\u043e\u0435\u043d\u043e \u043d\u0430 \u043a\u043e\u043d\u043a\u0440\u0435\u0442\u043d\u044b\u0445 \u043f\u0440\u0438\u043c\u0435\u0440\u0430\u0445 \u0438\u0437 \u0440\u0430\u0437\u043b\u0438\u0447\u043d\u044b\u0445 \u0440\u0430\u0437\u0434\u0435\u043b\u043e\u0432 \u043c\u0435\u043d\u0435\u0434\u0436\u043c\u0435\u043d\u0442\u0430. \u0412 \u043f\u0440\u043e\u0434\u043e\u043b\u0436\u0435\u043d\u0438\u0438 \u044d\u0442\u043e\u0439 \u0441\u0442\u0430\u0442\u044c\u0438 \u0431\u0443\u0434\u0443\u0442 \u043f\u0440\u0435\u0434\u0441\u0442\u0430\u0432\u043b\u0435\u043d\u044b \u0440\u0435\u0437\u0443\u043b\u044c\u0442\u0430\u0442\u044b \u0430\u0432\u0442\u043e\u0440\u0430 \u043f\u043e \u043a\u043b\u0430\u0441\u0441\u0438\u0444\u0438\u043a\u0430\u0446\u0438\u0438 \u0440\u0435\u0430\u043b\u044c\u043d\u044b\u0445 \u043e\u043f\u0446\u0438\u043e\u043d\u043e\u0432 \u0441 \u0438\u043d\u0442\u0435\u043d\u0441\u0438\u0432\u043d\u044b\u043c \u043e\u0431\u0437\u043e\u0440\u043e\u043c \u043b\u0438\u0442\u0435\u0440\u0430\u0442\u0443\u0440\u044b \u0438 \u043f\u0440\u0438\u0432\u0435\u0434\u0435\u043d\u044b \u043f\u0440\u0438\u043b\u043e\u0436\u0435\u043d\u0438\u044f \u0440\u0435\u0430\u043b\u044c\u043d\u044b\u0445 \u043e\u043f\u0446\u0438\u043e\u043d\u043e\u0432 \u043a \u043e\u0446\u0435\u043d\u0438\u0432\u0430\u043d\u0438\u044e \u0442\u043e\u0440\u0433\u043e\u0432\u043e\u0439 \u043c\u0430\u0440\u043a\u0438 \u043a\u0430\u043a \u0430\u043a\u0442\u0438\u0432\u0430, \u043f\u0440\u0438\u043d\u044f\u0442\u0438\u044e \u0440\u0435\u0448\u0435\u043d\u0438\u0439 \u043e \u043a\u0430\u043f\u0438\u0442\u0430\u043b\u043e\u0432\u043b\u043e\u0436\u0435\u043d\u0438\u044f\u0445 \u0432 \u0438\u043d\u0444\u043e\u0440\u043c\u0430\u0446\u0438\u043e\u043d\u043d\u044b\u0435 \u0442\u0435\u0445\u043d\u043e\u043b\u043e\u0433\u0438\u0438 \u0438 \u043d\u043e\u0440\u043c\u0430\u0442\u0438\u0432\u043d\u044b\u043c \u043c\u0435\u0442\u043e\u0434\u0430\u043c \u043e\u0446\u0435\u043d\u043a\u0438 \u043a\u043e\u043c\u043f\u0430\u043d\u0438\u0439.", "author" : [ { "dropping-particle" : "", "family" : "\u0411\u0443\u0445\u0432\u0430\u043b\u043e\u0432", "given" : "\u0410 \u0412", "non-dropping-particle" : "", "parse-names" : false, "suffix" : "" } ], "container-title" : "\u0420\u043e\u0441\u0441\u0438\u0439\u0441\u043a\u0438\u0439 \u0436\u0443\u0440\u043d\u0430\u043b \u043c\u0435\u043d\u0435\u0434\u0436\u043c\u0435\u043d\u0442\u0430", "id" : "ITEM-1", "issue" : "1", "issued" : { "date-parts" : [ [ "2004" ] ] }, "page" : "3-32", "title" : "\u0420\u0435\u0430\u043b\u044c\u043d\u044b\u0435 \u043e\u043f\u0446\u0438\u043e\u043d\u044b \u0432 \u043c\u0435\u043d\u0435\u0434\u0436\u043c\u0435\u043d\u0442\u0435: \u0432\u0432\u0435\u0434\u0435\u043d\u0438\u0435 \u0432 \u043f\u0440\u043e\u0431\u043b\u0435\u043c\u0443", "type" : "article-journal" }, "uris" : [ "http://www.mendeley.com/documents/?uuid=5eea4523-5d66-3262-bbab-e2c5d482eb4c" ] } ], "mendeley" : { "formattedCitation" : "(\u0411\u0443\u0445\u0432\u0430\u043b\u043e\u0432 2004)", "plainTextFormattedCitation" : "(\u0411\u0443\u0445\u0432\u0430\u043b\u043e\u0432 2004)", "previouslyFormattedCitation" : "(\u0411\u0443\u0445\u0432\u0430\u043b\u043e\u0432 2004)" }, "properties" : { "noteIndex" : 0 }, "schema" : "https://github.com/citation-style-language/schema/raw/master/csl-citation.json" }</w:instrText>
      </w:r>
      <w:r w:rsidR="00FA0ECF">
        <w:rPr>
          <w:rFonts w:cs="Times New Roman"/>
          <w:szCs w:val="24"/>
        </w:rPr>
        <w:fldChar w:fldCharType="separate"/>
      </w:r>
      <w:r w:rsidR="00587F48" w:rsidRPr="00587F48">
        <w:rPr>
          <w:rFonts w:cs="Times New Roman"/>
          <w:noProof/>
          <w:szCs w:val="24"/>
          <w:lang w:val="en-US"/>
        </w:rPr>
        <w:t>(Бухвалов 2004)</w:t>
      </w:r>
      <w:r w:rsidR="00FA0ECF">
        <w:rPr>
          <w:rFonts w:cs="Times New Roman"/>
          <w:szCs w:val="24"/>
        </w:rPr>
        <w:fldChar w:fldCharType="end"/>
      </w:r>
      <w:r w:rsidR="00FA0ECF" w:rsidRPr="00FA0ECF">
        <w:rPr>
          <w:rFonts w:cs="Times New Roman"/>
          <w:szCs w:val="24"/>
          <w:lang w:val="en-US"/>
        </w:rPr>
        <w:t xml:space="preserve">. </w:t>
      </w:r>
      <w:r w:rsidRPr="00FF0C30">
        <w:rPr>
          <w:rFonts w:cs="Times New Roman"/>
          <w:szCs w:val="24"/>
          <w:lang w:val="en-US"/>
        </w:rPr>
        <w:t xml:space="preserve">When analyzing projects concerning oil and gas, one is likely to encounter many uncertainties which include economic, technical and political. </w:t>
      </w:r>
    </w:p>
    <w:p w:rsidR="003B6AAA" w:rsidRDefault="003B6AAA" w:rsidP="00620561">
      <w:pPr>
        <w:rPr>
          <w:rFonts w:cs="Times New Roman"/>
          <w:szCs w:val="24"/>
          <w:lang w:val="en-US"/>
        </w:rPr>
      </w:pPr>
      <w:r>
        <w:rPr>
          <w:rFonts w:cs="Times New Roman"/>
          <w:szCs w:val="24"/>
          <w:lang w:val="en-US"/>
        </w:rPr>
        <w:t>Uncertainties determine the value of the real options built into the project. Under certain environment flexibility has no value, as both managerial decisions and project outcomes are predeter</w:t>
      </w:r>
      <w:r w:rsidR="008A7AF1">
        <w:rPr>
          <w:rFonts w:cs="Times New Roman"/>
          <w:szCs w:val="24"/>
          <w:lang w:val="en-US"/>
        </w:rPr>
        <w:t>mined. Due to long lifespan projects in oil and gas experience severe uncertainties in external environment. The situation is worsening by volatile world oil prices and for Russian players, state of Russian economy plays a major role</w:t>
      </w:r>
      <w:r w:rsidR="00FA0ECF" w:rsidRPr="00FA0ECF">
        <w:rPr>
          <w:rFonts w:cs="Times New Roman"/>
          <w:szCs w:val="24"/>
          <w:lang w:val="en-US"/>
        </w:rPr>
        <w:t xml:space="preserve"> (</w:t>
      </w:r>
      <w:r w:rsidR="00FA0ECF">
        <w:rPr>
          <w:rFonts w:cs="Times New Roman"/>
          <w:szCs w:val="24"/>
          <w:lang w:val="en-US"/>
        </w:rPr>
        <w:t>which will be discussed later)</w:t>
      </w:r>
      <w:r w:rsidR="008A7AF1">
        <w:rPr>
          <w:rFonts w:cs="Times New Roman"/>
          <w:szCs w:val="24"/>
          <w:lang w:val="en-US"/>
        </w:rPr>
        <w:t>.</w:t>
      </w:r>
    </w:p>
    <w:p w:rsidR="008A7AF1" w:rsidRDefault="008A7AF1" w:rsidP="008A7AF1">
      <w:pPr>
        <w:rPr>
          <w:rFonts w:cs="Times New Roman"/>
          <w:szCs w:val="24"/>
          <w:lang w:val="en-US"/>
        </w:rPr>
      </w:pPr>
      <w:r w:rsidRPr="00FF0C30">
        <w:rPr>
          <w:rFonts w:ascii="TimesNewRoman" w:hAnsi="TimesNewRoman" w:cs="TimesNewRoman"/>
          <w:szCs w:val="24"/>
          <w:lang w:val="en-US"/>
        </w:rPr>
        <w:lastRenderedPageBreak/>
        <w:t>Though uncertainties make it very difficult to undertake a project</w:t>
      </w:r>
      <w:r w:rsidR="00FA0ECF">
        <w:rPr>
          <w:rFonts w:ascii="TimesNewRoman" w:hAnsi="TimesNewRoman" w:cs="TimesNewRoman"/>
          <w:szCs w:val="24"/>
          <w:lang w:val="en-US"/>
        </w:rPr>
        <w:t xml:space="preserve"> using traditional valuation approach,</w:t>
      </w:r>
      <w:r w:rsidRPr="00FF0C30">
        <w:rPr>
          <w:rFonts w:ascii="TimesNewRoman" w:hAnsi="TimesNewRoman" w:cs="TimesNewRoman"/>
          <w:szCs w:val="24"/>
          <w:lang w:val="en-US"/>
        </w:rPr>
        <w:t xml:space="preserve"> the investor and management </w:t>
      </w:r>
      <w:r w:rsidR="00FA0ECF">
        <w:rPr>
          <w:rFonts w:ascii="TimesNewRoman" w:hAnsi="TimesNewRoman" w:cs="TimesNewRoman"/>
          <w:szCs w:val="24"/>
          <w:lang w:val="en-US"/>
        </w:rPr>
        <w:t xml:space="preserve">can develop </w:t>
      </w:r>
      <w:r w:rsidRPr="00FF0C30">
        <w:rPr>
          <w:rFonts w:ascii="TimesNewRoman" w:hAnsi="TimesNewRoman" w:cs="TimesNewRoman"/>
          <w:szCs w:val="24"/>
          <w:lang w:val="en-US"/>
        </w:rPr>
        <w:t>strategies, flexibilities, and options to minimize all risks and take advantage of favorable upside uncertainties.</w:t>
      </w:r>
      <w:r w:rsidRPr="00FF0C30">
        <w:rPr>
          <w:rFonts w:cs="Times New Roman"/>
          <w:szCs w:val="24"/>
          <w:lang w:val="en-US"/>
        </w:rPr>
        <w:t xml:space="preserve"> </w:t>
      </w:r>
    </w:p>
    <w:p w:rsidR="00620561" w:rsidRPr="00FA0ECF" w:rsidRDefault="00620561" w:rsidP="0024006E">
      <w:pPr>
        <w:pStyle w:val="4"/>
      </w:pPr>
      <w:r w:rsidRPr="00FA0ECF">
        <w:t>Economic Uncertainty</w:t>
      </w:r>
    </w:p>
    <w:p w:rsidR="00CD2B9B" w:rsidRDefault="00CD2B9B" w:rsidP="00620561">
      <w:pPr>
        <w:rPr>
          <w:rFonts w:cs="Times New Roman"/>
          <w:szCs w:val="24"/>
          <w:lang w:val="en-US"/>
        </w:rPr>
      </w:pPr>
      <w:r>
        <w:rPr>
          <w:rFonts w:cs="Times New Roman"/>
          <w:szCs w:val="24"/>
          <w:lang w:val="en-US"/>
        </w:rPr>
        <w:t xml:space="preserve">Oil and gas investment projects have very long lifespan that can last for decades. It is impossible to make viable forecasts for this period, while state of market, including world oil price dynamics, currency exchange rates, interest rates, and other </w:t>
      </w:r>
      <w:r w:rsidR="00AA3F7F">
        <w:rPr>
          <w:rFonts w:cs="Times New Roman"/>
          <w:szCs w:val="24"/>
          <w:lang w:val="en-US"/>
        </w:rPr>
        <w:t>uncertainties impact the cash inflows of the project.</w:t>
      </w:r>
    </w:p>
    <w:p w:rsidR="00CD2B9B" w:rsidRPr="00CD2B9B" w:rsidRDefault="00AA3F7F" w:rsidP="00CD2B9B">
      <w:pPr>
        <w:rPr>
          <w:highlight w:val="yellow"/>
          <w:lang w:val="en-US"/>
        </w:rPr>
      </w:pPr>
      <w:r>
        <w:rPr>
          <w:rFonts w:cs="Times New Roman"/>
          <w:szCs w:val="24"/>
          <w:lang w:val="en-US"/>
        </w:rPr>
        <w:t xml:space="preserve">According to </w:t>
      </w:r>
      <w:r w:rsidRPr="00AA3F7F">
        <w:rPr>
          <w:rFonts w:cs="Times New Roman"/>
          <w:szCs w:val="24"/>
          <w:lang w:val="en-US"/>
        </w:rPr>
        <w:fldChar w:fldCharType="begin" w:fldLock="1"/>
      </w:r>
      <w:r w:rsidR="008F1F91">
        <w:rPr>
          <w:rFonts w:cs="Times New Roman"/>
          <w:szCs w:val="24"/>
          <w:lang w:val="en-US"/>
        </w:rPr>
        <w:instrText>ADDIN CSL_CITATION { "citationItems" : [ { "id" : "ITEM-1", "itemData" : { "author" : [ { "dropping-particle" : "", "family" : "Murphy", "given" : "CAIT", "non-dropping-particle" : "", "parse-names" : false, "suffix" : "" } ], "container-title" : "Moneywatch", "id" : "ITEM-1", "issued" : { "date-parts" : [ [ "2009" ] ] }, "title" : "Why Oil Prices Are So Volatile", "type" : "article-journal" }, "uris" : [ "http://www.mendeley.com/documents/?uuid=da73166f-2a2e-49d3-9b82-a30f2400a642" ] } ], "mendeley" : { "formattedCitation" : "(Murphy 2009)", "plainTextFormattedCitation" : "(Murphy 2009)", "previouslyFormattedCitation" : "(Murphy 2009)" }, "properties" : { "noteIndex" : 0 }, "schema" : "https://github.com/citation-style-language/schema/raw/master/csl-citation.json" }</w:instrText>
      </w:r>
      <w:r w:rsidRPr="00AA3F7F">
        <w:rPr>
          <w:rFonts w:cs="Times New Roman"/>
          <w:szCs w:val="24"/>
          <w:lang w:val="en-US"/>
        </w:rPr>
        <w:fldChar w:fldCharType="separate"/>
      </w:r>
      <w:r w:rsidR="00587F48" w:rsidRPr="00587F48">
        <w:rPr>
          <w:rFonts w:cs="Times New Roman"/>
          <w:noProof/>
          <w:szCs w:val="24"/>
          <w:lang w:val="en-US"/>
        </w:rPr>
        <w:t>(Murphy 2009)</w:t>
      </w:r>
      <w:r w:rsidRPr="00AA3F7F">
        <w:rPr>
          <w:rFonts w:cs="Times New Roman"/>
          <w:szCs w:val="24"/>
          <w:lang w:val="en-US"/>
        </w:rPr>
        <w:fldChar w:fldCharType="end"/>
      </w:r>
      <w:r w:rsidRPr="00AA3F7F">
        <w:rPr>
          <w:rFonts w:cs="Times New Roman"/>
          <w:szCs w:val="24"/>
          <w:lang w:val="en-US"/>
        </w:rPr>
        <w:t xml:space="preserve"> t</w:t>
      </w:r>
      <w:r w:rsidR="00CD2B9B" w:rsidRPr="00AA3F7F">
        <w:rPr>
          <w:lang w:val="en-US"/>
        </w:rPr>
        <w:t>here are four major factors that determine oil prices</w:t>
      </w:r>
      <w:r w:rsidR="00317C7C">
        <w:rPr>
          <w:lang w:val="en-US"/>
        </w:rPr>
        <w:t xml:space="preserve"> – </w:t>
      </w:r>
      <w:r w:rsidR="00CD2B9B" w:rsidRPr="00AA3F7F">
        <w:rPr>
          <w:lang w:val="en-US"/>
        </w:rPr>
        <w:t xml:space="preserve">supply, consumption, financial markets, and government policies. </w:t>
      </w:r>
      <w:r w:rsidRPr="00AA3F7F">
        <w:rPr>
          <w:lang w:val="en-US"/>
        </w:rPr>
        <w:t>Supply and consumption</w:t>
      </w:r>
      <w:r w:rsidR="00CD2B9B" w:rsidRPr="00AA3F7F">
        <w:rPr>
          <w:lang w:val="en-US"/>
        </w:rPr>
        <w:t xml:space="preserve"> have historically been the fundamenta</w:t>
      </w:r>
      <w:r w:rsidRPr="00AA3F7F">
        <w:rPr>
          <w:lang w:val="en-US"/>
        </w:rPr>
        <w:t>l factors in pricing the barrel. However, those</w:t>
      </w:r>
      <w:r w:rsidR="00CD2B9B" w:rsidRPr="00AA3F7F">
        <w:rPr>
          <w:lang w:val="en-US"/>
        </w:rPr>
        <w:t xml:space="preserve"> are no longer the </w:t>
      </w:r>
      <w:r w:rsidRPr="00AA3F7F">
        <w:rPr>
          <w:lang w:val="en-US"/>
        </w:rPr>
        <w:t>main determinants</w:t>
      </w:r>
      <w:r w:rsidR="00CD2B9B" w:rsidRPr="00AA3F7F">
        <w:rPr>
          <w:lang w:val="en-US"/>
        </w:rPr>
        <w:t xml:space="preserve">. </w:t>
      </w:r>
      <w:r w:rsidRPr="00AA3F7F">
        <w:rPr>
          <w:lang w:val="en-US"/>
        </w:rPr>
        <w:t>In 2009</w:t>
      </w:r>
      <w:r w:rsidR="00CD2B9B" w:rsidRPr="00AA3F7F">
        <w:rPr>
          <w:lang w:val="en-US"/>
        </w:rPr>
        <w:t xml:space="preserve">, for example, there has been abundant supply and slowing demand, but prices have doubled. </w:t>
      </w:r>
      <w:r w:rsidRPr="00AA3F7F">
        <w:rPr>
          <w:lang w:val="en-US"/>
        </w:rPr>
        <w:t xml:space="preserve"> </w:t>
      </w:r>
    </w:p>
    <w:p w:rsidR="00AA3F7F" w:rsidRDefault="00AA3F7F" w:rsidP="00CD2B9B">
      <w:pPr>
        <w:rPr>
          <w:lang w:val="en-US"/>
        </w:rPr>
      </w:pPr>
      <w:r w:rsidRPr="00AA3F7F">
        <w:rPr>
          <w:lang w:val="en-US"/>
        </w:rPr>
        <w:t xml:space="preserve">Oil prices are extremely volatile and are therefore responsible for significant share of overall risk of oil and gas projects. </w:t>
      </w:r>
      <w:r w:rsidRPr="00AA3F7F">
        <w:rPr>
          <w:lang w:val="en-US"/>
        </w:rPr>
        <w:fldChar w:fldCharType="begin" w:fldLock="1"/>
      </w:r>
      <w:r w:rsidR="00587F48">
        <w:rPr>
          <w:lang w:val="en-US"/>
        </w:rPr>
        <w:instrText>ADDIN CSL_CITATION { "citationItems" : [ { "id" : "ITEM-1", "itemData" : { "DOI" : "10.1080/09603107.2010.528362", "ISSN" : "0960-3107", "abstract" : "Oil producers may have options to expand or abandon their operations, the exercise of which depends on prevailing oil prices and production costs. These embedded options suggest that the equity of oil production firms may resemble options on oil. This article examines whether options of various strike prices and maturity dates replicate the daily changes in oil producers' stock prices. We find that oil producer stocks resemble options contracts and that implied strike prices are related to production costs. Large integrated oil companies have implied strikes ranging from $10 to $35 per barrel, while higher production cost Canadian oil sands producers have implied strikes of $35-$60 per barrel. The results provide insights to investors interested in either understanding producers' exposure to oil or designing a trading strategy to take advantage of the gamma provided by oil producer optionality.", "author" : [ { "dropping-particle" : "", "family" : "Carver", "given" : "Andrew B.", "non-dropping-particle" : "", "parse-names" : false, "suffix" : "" }, { "dropping-particle" : "", "family" : "Ennis", "given" : "Matthew", "non-dropping-particle" : "", "parse-names" : false, "suffix" : "" } ], "container-title" : "Applied Financial Economics", "id" : "ITEM-1", "issued" : { "date-parts" : [ [ "2011" ] ] }, "title" : "The real options content of oil producer stocks", "type" : "article-journal" }, "uris" : [ "http://www.mendeley.com/documents/?uuid=e6d794e2-3d71-36b5-99ad-5140c3634a1e" ] } ], "mendeley" : { "formattedCitation" : "(Carver and Ennis 2011)", "plainTextFormattedCitation" : "(Carver and Ennis 2011)", "previouslyFormattedCitation" : "(Carver and Ennis 2011)" }, "properties" : { "noteIndex" : 0 }, "schema" : "https://github.com/citation-style-language/schema/raw/master/csl-citation.json" }</w:instrText>
      </w:r>
      <w:r w:rsidRPr="00AA3F7F">
        <w:rPr>
          <w:lang w:val="en-US"/>
        </w:rPr>
        <w:fldChar w:fldCharType="separate"/>
      </w:r>
      <w:r w:rsidR="00587F48" w:rsidRPr="00587F48">
        <w:rPr>
          <w:noProof/>
          <w:lang w:val="en-US"/>
        </w:rPr>
        <w:t>(Carver and Ennis 2011)</w:t>
      </w:r>
      <w:r w:rsidRPr="00AA3F7F">
        <w:rPr>
          <w:lang w:val="en-US"/>
        </w:rPr>
        <w:fldChar w:fldCharType="end"/>
      </w:r>
      <w:r w:rsidR="00CD2B9B" w:rsidRPr="00AA3F7F">
        <w:rPr>
          <w:lang w:val="en-US"/>
        </w:rPr>
        <w:t xml:space="preserve">. From 1999 to 2004, the biggest difference between the high and low price in any given year was $16; from 2005 on, the average variance was $52 </w:t>
      </w:r>
      <w:r w:rsidR="00317C7C">
        <w:rPr>
          <w:lang w:val="en-US"/>
        </w:rPr>
        <w:t>– bu</w:t>
      </w:r>
      <w:r w:rsidR="00CD2B9B" w:rsidRPr="00AA3F7F">
        <w:rPr>
          <w:lang w:val="en-US"/>
        </w:rPr>
        <w:t xml:space="preserve">t in 2008 it was $115. </w:t>
      </w:r>
      <w:r w:rsidRPr="00AA3F7F">
        <w:rPr>
          <w:lang w:val="en-US"/>
        </w:rPr>
        <w:t>In 2014 same variance was about $60.</w:t>
      </w:r>
      <w:r>
        <w:rPr>
          <w:lang w:val="en-US"/>
        </w:rPr>
        <w:t xml:space="preserve"> </w:t>
      </w:r>
    </w:p>
    <w:p w:rsidR="008C4CC5" w:rsidRPr="00FA0ECF" w:rsidRDefault="008C4CC5" w:rsidP="00CD2B9B">
      <w:pPr>
        <w:rPr>
          <w:rFonts w:cs="Times New Roman"/>
          <w:szCs w:val="24"/>
          <w:lang w:val="en-US"/>
        </w:rPr>
      </w:pPr>
      <w:r w:rsidRPr="00FA0ECF">
        <w:rPr>
          <w:rFonts w:cs="Times New Roman"/>
          <w:szCs w:val="24"/>
          <w:lang w:val="en-US"/>
        </w:rPr>
        <w:t xml:space="preserve">Uncertainty </w:t>
      </w:r>
      <w:r w:rsidR="00AA3F7F">
        <w:rPr>
          <w:rFonts w:cs="Times New Roman"/>
          <w:szCs w:val="24"/>
          <w:lang w:val="en-US"/>
        </w:rPr>
        <w:t xml:space="preserve">in prices is not necessarily harmful for the project. Price fluctuation </w:t>
      </w:r>
      <w:r w:rsidRPr="00FA0ECF">
        <w:rPr>
          <w:rFonts w:cs="Times New Roman"/>
          <w:szCs w:val="24"/>
          <w:lang w:val="en-US"/>
        </w:rPr>
        <w:t xml:space="preserve">can be favorable when the price of oil and gas increases and the corresponding increase in purchasing power generates higher cash inflow. </w:t>
      </w:r>
      <w:r w:rsidR="00B273AC">
        <w:rPr>
          <w:rFonts w:cs="Times New Roman"/>
          <w:szCs w:val="24"/>
          <w:lang w:val="en-US"/>
        </w:rPr>
        <w:t xml:space="preserve">Same logic refers to other </w:t>
      </w:r>
      <w:r w:rsidRPr="00FA0ECF">
        <w:rPr>
          <w:rFonts w:cs="Times New Roman"/>
          <w:szCs w:val="24"/>
          <w:lang w:val="en-US"/>
        </w:rPr>
        <w:t xml:space="preserve">economic variables </w:t>
      </w:r>
      <w:r w:rsidR="00B273AC">
        <w:rPr>
          <w:rFonts w:cs="Times New Roman"/>
          <w:szCs w:val="24"/>
          <w:lang w:val="en-US"/>
        </w:rPr>
        <w:t xml:space="preserve">like </w:t>
      </w:r>
      <w:r w:rsidRPr="00FA0ECF">
        <w:rPr>
          <w:rFonts w:cs="Times New Roman"/>
          <w:szCs w:val="24"/>
          <w:lang w:val="en-US"/>
        </w:rPr>
        <w:t xml:space="preserve">interest rate on debt or the currency </w:t>
      </w:r>
      <w:r w:rsidR="00B273AC">
        <w:rPr>
          <w:rFonts w:cs="Times New Roman"/>
          <w:szCs w:val="24"/>
          <w:lang w:val="en-US"/>
        </w:rPr>
        <w:t>exchange rates which can both increase the project’s value or lead to loss.</w:t>
      </w:r>
    </w:p>
    <w:p w:rsidR="0064532F" w:rsidRPr="00FA0ECF" w:rsidRDefault="0064532F" w:rsidP="0064532F">
      <w:pPr>
        <w:rPr>
          <w:rFonts w:cs="Times New Roman"/>
          <w:szCs w:val="24"/>
          <w:lang w:val="en-US"/>
        </w:rPr>
      </w:pPr>
      <w:r w:rsidRPr="00FA0ECF">
        <w:rPr>
          <w:rFonts w:cs="Times New Roman"/>
          <w:szCs w:val="24"/>
          <w:lang w:val="en-US"/>
        </w:rPr>
        <w:t>Oil and gas projects in Russia include significant economic uncertainty, connected to URALS oil price, Russian ruble exchange rate and debt interest rates</w:t>
      </w:r>
      <w:r w:rsidR="00B273AC">
        <w:rPr>
          <w:rFonts w:cs="Times New Roman"/>
          <w:szCs w:val="24"/>
          <w:lang w:val="en-US"/>
        </w:rPr>
        <w:t xml:space="preserve"> that fluctuated from 5.5% to 17% from 2013 to 2017</w:t>
      </w:r>
      <w:r w:rsidRPr="00FA0ECF">
        <w:rPr>
          <w:rFonts w:cs="Times New Roman"/>
          <w:szCs w:val="24"/>
          <w:lang w:val="en-US"/>
        </w:rPr>
        <w:t>. Those factors apart from oil price are more volatile in Russia than in developed countries. Ther</w:t>
      </w:r>
      <w:r w:rsidR="008A7AF1" w:rsidRPr="00FA0ECF">
        <w:rPr>
          <w:rFonts w:cs="Times New Roman"/>
          <w:szCs w:val="24"/>
          <w:lang w:val="en-US"/>
        </w:rPr>
        <w:t>e are numerous reasons for that</w:t>
      </w:r>
      <w:r w:rsidRPr="00FA0ECF">
        <w:rPr>
          <w:rFonts w:cs="Times New Roman"/>
          <w:szCs w:val="24"/>
          <w:lang w:val="en-US"/>
        </w:rPr>
        <w:t xml:space="preserve"> </w:t>
      </w:r>
      <w:r w:rsidR="008A7AF1" w:rsidRPr="00FA0ECF">
        <w:rPr>
          <w:rFonts w:cs="Times New Roman"/>
          <w:szCs w:val="24"/>
          <w:lang w:val="en-US"/>
        </w:rPr>
        <w:t>that include</w:t>
      </w:r>
      <w:r w:rsidRPr="00FA0ECF">
        <w:rPr>
          <w:rFonts w:cs="Times New Roman"/>
          <w:szCs w:val="24"/>
          <w:lang w:val="en-US"/>
        </w:rPr>
        <w:t xml:space="preserve"> a weak governance, large share of oil and gas sector in economy and federal budget income, large share of government in economy, and many more. However, the main reason of volatility since Ukrainian crisis of 2014 is political </w:t>
      </w:r>
      <w:r w:rsidR="007234ED">
        <w:rPr>
          <w:rFonts w:cs="Times New Roman"/>
          <w:szCs w:val="24"/>
          <w:lang w:val="en-US"/>
        </w:rPr>
        <w:t>uncertainty</w:t>
      </w:r>
      <w:r w:rsidRPr="00FA0ECF">
        <w:rPr>
          <w:rFonts w:cs="Times New Roman"/>
          <w:szCs w:val="24"/>
          <w:lang w:val="en-US"/>
        </w:rPr>
        <w:t xml:space="preserve"> which is more</w:t>
      </w:r>
      <w:r w:rsidR="007234ED">
        <w:rPr>
          <w:rFonts w:cs="Times New Roman"/>
          <w:szCs w:val="24"/>
          <w:lang w:val="en-US"/>
        </w:rPr>
        <w:t>-in-</w:t>
      </w:r>
      <w:r w:rsidRPr="00FA0ECF">
        <w:rPr>
          <w:rFonts w:cs="Times New Roman"/>
          <w:szCs w:val="24"/>
          <w:lang w:val="en-US"/>
        </w:rPr>
        <w:t>details described later in this section.</w:t>
      </w:r>
    </w:p>
    <w:p w:rsidR="00620561" w:rsidRPr="007234ED" w:rsidRDefault="00620561" w:rsidP="0064532F">
      <w:pPr>
        <w:pStyle w:val="4"/>
      </w:pPr>
      <w:r w:rsidRPr="007234ED">
        <w:t>Technical Uncertainty</w:t>
      </w:r>
    </w:p>
    <w:p w:rsidR="00620561" w:rsidRPr="007234ED" w:rsidRDefault="00620561" w:rsidP="00620561">
      <w:pPr>
        <w:rPr>
          <w:rFonts w:cs="Times New Roman"/>
          <w:szCs w:val="24"/>
          <w:lang w:val="en-US"/>
        </w:rPr>
      </w:pPr>
      <w:r w:rsidRPr="007234ED">
        <w:rPr>
          <w:rFonts w:cs="Times New Roman"/>
          <w:szCs w:val="24"/>
          <w:lang w:val="en-US"/>
        </w:rPr>
        <w:t xml:space="preserve">The most difficult aspect of any oil and gas production project is the prediction of the amount of the resource available in the formation. </w:t>
      </w:r>
      <w:r w:rsidR="00D74C60">
        <w:rPr>
          <w:rFonts w:cs="Times New Roman"/>
          <w:szCs w:val="24"/>
          <w:lang w:val="en-US"/>
        </w:rPr>
        <w:t xml:space="preserve">Level of extractable reserves depend on the </w:t>
      </w:r>
      <w:r w:rsidRPr="007234ED">
        <w:rPr>
          <w:rFonts w:cs="Times New Roman"/>
          <w:szCs w:val="24"/>
          <w:lang w:val="en-US"/>
        </w:rPr>
        <w:t>geologic nature of the formation</w:t>
      </w:r>
      <w:r w:rsidR="00D74C60">
        <w:rPr>
          <w:rFonts w:cs="Times New Roman"/>
          <w:szCs w:val="24"/>
          <w:lang w:val="en-US"/>
        </w:rPr>
        <w:t xml:space="preserve"> and used technology. It contributes significant part of overall volatility since it </w:t>
      </w:r>
      <w:r w:rsidR="00D74C60">
        <w:rPr>
          <w:rFonts w:cs="Times New Roman"/>
          <w:szCs w:val="24"/>
          <w:lang w:val="en-US"/>
        </w:rPr>
        <w:lastRenderedPageBreak/>
        <w:t>directly influences cash inflows of the project.</w:t>
      </w:r>
      <w:r w:rsidRPr="007234ED">
        <w:rPr>
          <w:rFonts w:cs="Times New Roman"/>
          <w:szCs w:val="24"/>
          <w:lang w:val="en-US"/>
        </w:rPr>
        <w:t xml:space="preserve"> </w:t>
      </w:r>
      <w:r w:rsidR="00D74C60">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"Suslick", "given" : "Saul B", "non-dropping-particle" : "", "parse-names" : false, "suffix" : "" }, { "dropping-particle" : "", "family" : "Schiozer", "given" : "Denis", "non-dropping-particle" : "", "parse-names" : false, "suffix" : "" }, { "dropping-particle" : "", "family" : "Rodriguez", "given" : "Monica Rebelo", "non-dropping-particle" : "", "parse-names" : false, "suffix" : "" } ], "id" : "ITEM-1", "issued" : { "date-parts" : [ [ "2009" ] ] }, "title" : "Uncertainty and Risk Analysis in Petroleum Exploration and Production", "type" : "article-journal" }, "uris" : [ "http://www.mendeley.com/documents/?uuid=3ef6af4e-4745-40a6-a644-40eba2cb2606" ] } ], "mendeley" : { "formattedCitation" : "(Suslick, Schiozer, and Rodriguez 2009)", "plainTextFormattedCitation" : "(Suslick, Schiozer, and Rodriguez 2009)", "previouslyFormattedCitation" : "(Suslick, Schiozer, and Rodriguez 2009)" }, "properties" : { "noteIndex" : 0 }, "schema" : "https://github.com/citation-style-language/schema/raw/master/csl-citation.json" }</w:instrText>
      </w:r>
      <w:r w:rsidR="00D74C60">
        <w:rPr>
          <w:rFonts w:cs="Times New Roman"/>
          <w:szCs w:val="24"/>
          <w:lang w:val="en-US"/>
        </w:rPr>
        <w:fldChar w:fldCharType="separate"/>
      </w:r>
      <w:r w:rsidR="00587F48" w:rsidRPr="00587F48">
        <w:rPr>
          <w:rFonts w:cs="Times New Roman"/>
          <w:noProof/>
          <w:szCs w:val="24"/>
          <w:lang w:val="en-US"/>
        </w:rPr>
        <w:t>(Suslick, Schiozer, and Rodriguez 2009)</w:t>
      </w:r>
      <w:r w:rsidR="00D74C60">
        <w:rPr>
          <w:rFonts w:cs="Times New Roman"/>
          <w:szCs w:val="24"/>
          <w:lang w:val="en-US"/>
        </w:rPr>
        <w:fldChar w:fldCharType="end"/>
      </w:r>
      <w:r w:rsidR="00D74C60">
        <w:rPr>
          <w:rFonts w:cs="Times New Roman"/>
          <w:szCs w:val="24"/>
          <w:lang w:val="en-US"/>
        </w:rPr>
        <w:t xml:space="preserve"> </w:t>
      </w:r>
      <w:r w:rsidR="00D74C60">
        <w:rPr>
          <w:rFonts w:ascii="TimesNewRoman" w:hAnsi="TimesNewRoman" w:cs="TimesNewRoman"/>
          <w:szCs w:val="24"/>
          <w:lang w:val="en-US"/>
        </w:rPr>
        <w:t xml:space="preserve">Geologic </w:t>
      </w:r>
      <w:r w:rsidRPr="007234ED">
        <w:rPr>
          <w:rFonts w:ascii="TimesNewRoman" w:hAnsi="TimesNewRoman" w:cs="TimesNewRoman"/>
          <w:szCs w:val="24"/>
          <w:lang w:val="en-US"/>
        </w:rPr>
        <w:t xml:space="preserve">uncertainties can be favorable </w:t>
      </w:r>
      <w:r w:rsidR="0064532F" w:rsidRPr="007234ED">
        <w:rPr>
          <w:rFonts w:ascii="TimesNewRoman" w:hAnsi="TimesNewRoman" w:cs="TimesNewRoman"/>
          <w:szCs w:val="24"/>
          <w:lang w:val="en-US"/>
        </w:rPr>
        <w:t>for</w:t>
      </w:r>
      <w:r w:rsidRPr="007234ED">
        <w:rPr>
          <w:rFonts w:ascii="TimesNewRoman" w:hAnsi="TimesNewRoman" w:cs="TimesNewRoman"/>
          <w:szCs w:val="24"/>
          <w:lang w:val="en-US"/>
        </w:rPr>
        <w:t xml:space="preserve"> the project</w:t>
      </w:r>
      <w:r w:rsidR="00D74C60">
        <w:rPr>
          <w:rFonts w:ascii="TimesNewRoman" w:hAnsi="TimesNewRoman" w:cs="TimesNewRoman"/>
          <w:szCs w:val="24"/>
          <w:lang w:val="en-US"/>
        </w:rPr>
        <w:t xml:space="preserve"> if</w:t>
      </w:r>
      <w:r w:rsidRPr="007234ED">
        <w:rPr>
          <w:rFonts w:ascii="TimesNewRoman" w:hAnsi="TimesNewRoman" w:cs="TimesNewRoman"/>
          <w:szCs w:val="24"/>
          <w:lang w:val="en-US"/>
        </w:rPr>
        <w:t xml:space="preserve"> </w:t>
      </w:r>
      <w:r w:rsidR="00D74C60">
        <w:rPr>
          <w:rFonts w:ascii="TimesNewRoman" w:hAnsi="TimesNewRoman" w:cs="TimesNewRoman"/>
          <w:szCs w:val="24"/>
          <w:lang w:val="en-US"/>
        </w:rPr>
        <w:t>preliminary estimations reveal expected volumes lower that actual results.</w:t>
      </w:r>
    </w:p>
    <w:p w:rsidR="00620561" w:rsidRPr="007234ED" w:rsidRDefault="002B30B1" w:rsidP="00620561">
      <w:pPr>
        <w:rPr>
          <w:rFonts w:cs="Times New Roman"/>
          <w:szCs w:val="24"/>
          <w:lang w:val="en-US"/>
        </w:rPr>
      </w:pPr>
      <w:r w:rsidRPr="007234ED">
        <w:rPr>
          <w:rFonts w:ascii="TimesNewRoman" w:hAnsi="TimesNewRoman" w:cs="TimesNewRoman"/>
          <w:szCs w:val="24"/>
          <w:lang w:val="en-US"/>
        </w:rPr>
        <w:t>T</w:t>
      </w:r>
      <w:r w:rsidR="00620561" w:rsidRPr="007234ED">
        <w:rPr>
          <w:rFonts w:ascii="TimesNewRoman" w:hAnsi="TimesNewRoman" w:cs="TimesNewRoman"/>
          <w:szCs w:val="24"/>
          <w:lang w:val="en-US"/>
        </w:rPr>
        <w:t xml:space="preserve">he technical </w:t>
      </w:r>
      <w:r w:rsidR="007234ED">
        <w:rPr>
          <w:rFonts w:ascii="TimesNewRoman" w:hAnsi="TimesNewRoman" w:cs="TimesNewRoman"/>
          <w:szCs w:val="24"/>
          <w:lang w:val="en-US"/>
        </w:rPr>
        <w:t>un</w:t>
      </w:r>
      <w:r w:rsidR="00620561" w:rsidRPr="007234ED">
        <w:rPr>
          <w:rFonts w:ascii="TimesNewRoman" w:hAnsi="TimesNewRoman" w:cs="TimesNewRoman"/>
          <w:szCs w:val="24"/>
          <w:lang w:val="en-US"/>
        </w:rPr>
        <w:t xml:space="preserve">certainties </w:t>
      </w:r>
      <w:r w:rsidRPr="007234ED">
        <w:rPr>
          <w:rFonts w:ascii="TimesNewRoman" w:hAnsi="TimesNewRoman" w:cs="TimesNewRoman"/>
          <w:szCs w:val="24"/>
          <w:lang w:val="en-US"/>
        </w:rPr>
        <w:t>include oil spill and blowout which lead to environmental risks and extra costs for the company. Russian</w:t>
      </w:r>
      <w:r w:rsidR="008A7AF1" w:rsidRPr="007234ED">
        <w:rPr>
          <w:rFonts w:ascii="TimesNewRoman" w:hAnsi="TimesNewRoman" w:cs="TimesNewRoman"/>
          <w:szCs w:val="24"/>
          <w:lang w:val="en-US"/>
        </w:rPr>
        <w:t xml:space="preserve"> legislation </w:t>
      </w:r>
      <w:r w:rsidR="007234ED" w:rsidRPr="007234ED">
        <w:rPr>
          <w:rFonts w:ascii="TimesNewRoman" w:hAnsi="TimesNewRoman" w:cs="TimesNewRoman"/>
          <w:szCs w:val="24"/>
          <w:lang w:val="en-US"/>
        </w:rPr>
        <w:t>requires</w:t>
      </w:r>
      <w:r w:rsidR="008A7AF1" w:rsidRPr="007234ED">
        <w:rPr>
          <w:rFonts w:ascii="TimesNewRoman" w:hAnsi="TimesNewRoman" w:cs="TimesNewRoman"/>
          <w:szCs w:val="24"/>
          <w:lang w:val="en-US"/>
        </w:rPr>
        <w:t xml:space="preserve"> oil and gas </w:t>
      </w:r>
      <w:r w:rsidRPr="007234ED">
        <w:rPr>
          <w:rFonts w:ascii="TimesNewRoman" w:hAnsi="TimesNewRoman" w:cs="TimesNewRoman"/>
          <w:szCs w:val="24"/>
          <w:lang w:val="en-US"/>
        </w:rPr>
        <w:t>manufacturers to develop a strategy of environmental risk management,</w:t>
      </w:r>
      <w:r w:rsidR="007234ED">
        <w:rPr>
          <w:rFonts w:ascii="TimesNewRoman" w:hAnsi="TimesNewRoman" w:cs="TimesNewRoman"/>
          <w:szCs w:val="24"/>
          <w:lang w:val="en-US"/>
        </w:rPr>
        <w:t xml:space="preserve"> but</w:t>
      </w:r>
      <w:r w:rsidRPr="007234ED">
        <w:rPr>
          <w:rFonts w:ascii="TimesNewRoman" w:hAnsi="TimesNewRoman" w:cs="TimesNewRoman"/>
          <w:szCs w:val="24"/>
          <w:lang w:val="en-US"/>
        </w:rPr>
        <w:t xml:space="preserve"> cases of oil spills </w:t>
      </w:r>
      <w:r w:rsidR="007234ED">
        <w:rPr>
          <w:rFonts w:ascii="TimesNewRoman" w:hAnsi="TimesNewRoman" w:cs="TimesNewRoman"/>
          <w:szCs w:val="24"/>
          <w:lang w:val="en-US"/>
        </w:rPr>
        <w:t xml:space="preserve">still </w:t>
      </w:r>
      <w:r w:rsidRPr="007234ED">
        <w:rPr>
          <w:rFonts w:ascii="TimesNewRoman" w:hAnsi="TimesNewRoman" w:cs="TimesNewRoman"/>
          <w:szCs w:val="24"/>
          <w:lang w:val="en-US"/>
        </w:rPr>
        <w:t xml:space="preserve">occur </w:t>
      </w:r>
      <w:r w:rsidR="007234ED">
        <w:rPr>
          <w:rFonts w:ascii="TimesNewRoman" w:hAnsi="TimesNewRoman" w:cs="TimesNewRoman"/>
          <w:szCs w:val="24"/>
          <w:lang w:val="en-US"/>
        </w:rPr>
        <w:fldChar w:fldCharType="begin" w:fldLock="1"/>
      </w:r>
      <w:r w:rsidR="00587F48">
        <w:rPr>
          <w:rFonts w:ascii="TimesNewRoman" w:hAnsi="TimesNewRoman" w:cs="TimesNewRoman"/>
          <w:szCs w:val="24"/>
          <w:lang w:val="en-US"/>
        </w:rPr>
        <w:instrText>ADDIN CSL_CITATION { "citationItems" : [ { "id" : "ITEM-1", "itemData" : { "author" : [ { "dropping-particle" : "", "family" : "Greenpeace Russia", "given" : "", "non-dropping-particle" : "", "parse-names" : false, "suffix" : "" } ], "id" : "ITEM-1", "issue" : "1", "issued" : { "date-parts" : [ [ "2014" ] ] }, "title" : "A Brief Overview of the Oil Spill Problem in Russia", "type" : "article-journal" }, "uris" : [ "http://www.mendeley.com/documents/?uuid=7ef83140-ee18-4b47-b3ba-49088547625a" ] } ], "mendeley" : { "formattedCitation" : "(Greenpeace Russia 2014)", "plainTextFormattedCitation" : "(Greenpeace Russia 2014)", "previouslyFormattedCitation" : "(Greenpeace Russia 2014)" }, "properties" : { "noteIndex" : 0 }, "schema" : "https://github.com/citation-style-language/schema/raw/master/csl-citation.json" }</w:instrText>
      </w:r>
      <w:r w:rsidR="007234ED">
        <w:rPr>
          <w:rFonts w:ascii="TimesNewRoman" w:hAnsi="TimesNewRoman" w:cs="TimesNewRoman"/>
          <w:szCs w:val="24"/>
          <w:lang w:val="en-US"/>
        </w:rPr>
        <w:fldChar w:fldCharType="separate"/>
      </w:r>
      <w:r w:rsidR="00587F48" w:rsidRPr="00587F48">
        <w:rPr>
          <w:rFonts w:ascii="TimesNewRoman" w:hAnsi="TimesNewRoman" w:cs="TimesNewRoman"/>
          <w:noProof/>
          <w:szCs w:val="24"/>
          <w:lang w:val="en-US"/>
        </w:rPr>
        <w:t>(Greenpeace Russia 2014)</w:t>
      </w:r>
      <w:r w:rsidR="007234ED">
        <w:rPr>
          <w:rFonts w:ascii="TimesNewRoman" w:hAnsi="TimesNewRoman" w:cs="TimesNewRoman"/>
          <w:szCs w:val="24"/>
          <w:lang w:val="en-US"/>
        </w:rPr>
        <w:fldChar w:fldCharType="end"/>
      </w:r>
      <w:r w:rsidR="007234ED">
        <w:rPr>
          <w:rFonts w:ascii="TimesNewRoman" w:hAnsi="TimesNewRoman" w:cs="TimesNewRoman"/>
          <w:szCs w:val="24"/>
          <w:lang w:val="en-US"/>
        </w:rPr>
        <w:t xml:space="preserve"> </w:t>
      </w:r>
      <w:r w:rsidRPr="007234ED">
        <w:rPr>
          <w:rFonts w:ascii="TimesNewRoman" w:hAnsi="TimesNewRoman" w:cs="TimesNewRoman"/>
          <w:szCs w:val="24"/>
          <w:lang w:val="en-US"/>
        </w:rPr>
        <w:t xml:space="preserve">and influence profitability of investment projects. </w:t>
      </w:r>
    </w:p>
    <w:p w:rsidR="00620561" w:rsidRPr="00273DC3" w:rsidRDefault="00620561" w:rsidP="0024006E">
      <w:pPr>
        <w:pStyle w:val="4"/>
      </w:pPr>
      <w:r w:rsidRPr="00273DC3">
        <w:t>Political Uncertainty</w:t>
      </w:r>
    </w:p>
    <w:p w:rsidR="00736454" w:rsidRDefault="00273DC3" w:rsidP="00D74C60">
      <w:pPr>
        <w:rPr>
          <w:lang w:val="en-US"/>
        </w:rPr>
      </w:pPr>
      <w:r>
        <w:rPr>
          <w:lang w:val="en-US"/>
        </w:rPr>
        <w:t xml:space="preserve">According to </w:t>
      </w:r>
      <w:r>
        <w:rPr>
          <w:lang w:val="en-US"/>
        </w:rPr>
        <w:fldChar w:fldCharType="begin" w:fldLock="1"/>
      </w:r>
      <w:r w:rsidR="00587F48">
        <w:rPr>
          <w:lang w:val="en-US"/>
        </w:rPr>
        <w:instrText>ADDIN CSL_CITATION { "citationItems" : [ { "id" : "ITEM-1", "itemData" : { "author" : [ { "dropping-particle" : "", "family" : "Laaksonen", "given" : "Eini", "non-dropping-particle" : "", "parse-names" : false, "suffix" : "" } ], "container-title" : "Pan-European Institute", "id" : "ITEM-1", "issued" : { "date-parts" : [ [ "2010" ] ] }, "title" : "Political risks of foreign direct investment in the Russian gas industry \u2013 The Shtokman gas field project in the Arctic Ocean", "type" : "article-journal" }, "uris" : [ "http://www.mendeley.com/documents/?uuid=c6b7d593-605b-4cda-9b97-711a9e47ff01" ] } ], "mendeley" : { "formattedCitation" : "(Laaksonen 2010)", "plainTextFormattedCitation" : "(Laaksonen 2010)", "previouslyFormattedCitation" : "(Laaksonen 2010)" }, "properties" : { "noteIndex" : 0 }, "schema" : "https://github.com/citation-style-language/schema/raw/master/csl-citation.json" }</w:instrText>
      </w:r>
      <w:r>
        <w:rPr>
          <w:lang w:val="en-US"/>
        </w:rPr>
        <w:fldChar w:fldCharType="separate"/>
      </w:r>
      <w:r w:rsidR="00587F48" w:rsidRPr="00587F48">
        <w:rPr>
          <w:noProof/>
          <w:lang w:val="en-US"/>
        </w:rPr>
        <w:t>(Laaksonen 2010)</w:t>
      </w:r>
      <w:r>
        <w:rPr>
          <w:lang w:val="en-US"/>
        </w:rPr>
        <w:fldChar w:fldCharType="end"/>
      </w:r>
      <w:r>
        <w:rPr>
          <w:lang w:val="en-US"/>
        </w:rPr>
        <w:t xml:space="preserve"> </w:t>
      </w:r>
      <w:r w:rsidRPr="00273DC3">
        <w:rPr>
          <w:lang w:val="en-US"/>
        </w:rPr>
        <w:t xml:space="preserve">a foreign investment project needs to be analyzed in the context of its political, legal, economic, social, and cultural environments. These aspects create the investment climate of a host country. The investment climate further comprises features such as general political stability, government policies toward foreign investment, other government policies and legal factors, macroeconomic environment, and international payments. </w:t>
      </w:r>
      <w:r w:rsidR="00736454">
        <w:rPr>
          <w:lang w:val="en-US"/>
        </w:rPr>
        <w:t>Author</w:t>
      </w:r>
      <w:r w:rsidRPr="00273DC3">
        <w:rPr>
          <w:lang w:val="en-US"/>
        </w:rPr>
        <w:t xml:space="preserve"> notes that all these items depend directly or indirectly on the behavior of the political system in the host country, and that changes in the investment climate will proceed mainly from changes in the behavior of the host government or from general political instability. As a consequence, political risk arises from uncertainty about the host country’s political conditions and government policies that are critical to the profitability of an actual or proposed business arrangement. </w:t>
      </w:r>
    </w:p>
    <w:p w:rsidR="00273DC3" w:rsidRDefault="00273DC3" w:rsidP="00D74C60">
      <w:pPr>
        <w:rPr>
          <w:lang w:val="en-US"/>
        </w:rPr>
      </w:pPr>
      <w:r>
        <w:rPr>
          <w:lang w:val="en-US"/>
        </w:rPr>
        <w:t xml:space="preserve">According to </w:t>
      </w:r>
      <w:r>
        <w:rPr>
          <w:lang w:val="en-US"/>
        </w:rPr>
        <w:fldChar w:fldCharType="begin" w:fldLock="1"/>
      </w:r>
      <w:r w:rsidR="00587F48">
        <w:rPr>
          <w:lang w:val="en-US"/>
        </w:rPr>
        <w:instrText>ADDIN CSL_CITATION { "citationItems" : [ { "id" : "ITEM-1", "itemData" : { "author" : [ { "dropping-particle" : "", "family" : "Assis", "given" : "Carlos", "non-dropping-particle" : "", "parse-names" : false, "suffix" : "" }, { "dropping-particle" : "", "family" : "Burcham", "given" : "Doug", "non-dropping-particle" : "", "parse-names" : false, "suffix" : "" }, { "dropping-particle" : "", "family" : "Perrine", "given" : "Jim", "non-dropping-particle" : "", "parse-names" : false, "suffix" : "" } ], "container-title" : "EY oil and gas", "id" : "ITEM-1", "issued" : { "date-parts" : [ [ "2014" ] ] }, "title" : "Navigating geopolitics in oil and gas: Business solutions for a complex world", "type" : "article-journal" }, "uris" : [ "http://www.mendeley.com/documents/?uuid=89da0eeb-ec43-4093-b519-631b47335485" ] } ], "mendeley" : { "formattedCitation" : "(Assis, Burcham, and Perrine 2014)", "plainTextFormattedCitation" : "(Assis, Burcham, and Perrine 2014)", "previouslyFormattedCitation" : "(Assis, Burcham, and Perrine 2014)" }, "properties" : { "noteIndex" : 0 }, "schema" : "https://github.com/citation-style-language/schema/raw/master/csl-citation.json" }</w:instrText>
      </w:r>
      <w:r>
        <w:rPr>
          <w:lang w:val="en-US"/>
        </w:rPr>
        <w:fldChar w:fldCharType="separate"/>
      </w:r>
      <w:r w:rsidR="00587F48" w:rsidRPr="00587F48">
        <w:rPr>
          <w:noProof/>
          <w:lang w:val="en-US"/>
        </w:rPr>
        <w:t>(Assis, Burcham, and Perrine 2014)</w:t>
      </w:r>
      <w:r>
        <w:rPr>
          <w:lang w:val="en-US"/>
        </w:rPr>
        <w:fldChar w:fldCharType="end"/>
      </w:r>
      <w:r>
        <w:rPr>
          <w:lang w:val="en-US"/>
        </w:rPr>
        <w:t xml:space="preserve"> g</w:t>
      </w:r>
      <w:r w:rsidR="00D74C60" w:rsidRPr="00D74C60">
        <w:rPr>
          <w:lang w:val="en-US"/>
        </w:rPr>
        <w:t>eopolitics is a central concern for the oil and gas sector and can be viewed as a source of both risk and opportunity. The trend toward more nationalistic and assertive political behavior indicates global instability is on the rise. So it is no coincidence that one of the top risks facing oil and gas companies, as ide</w:t>
      </w:r>
      <w:r w:rsidR="00D74C60">
        <w:rPr>
          <w:lang w:val="en-US"/>
        </w:rPr>
        <w:t>nti</w:t>
      </w:r>
      <w:r w:rsidR="00D74C60" w:rsidRPr="00D74C60">
        <w:rPr>
          <w:lang w:val="en-US"/>
        </w:rPr>
        <w:t xml:space="preserve">fied by EY in our most recent risk study, was geopolitics. </w:t>
      </w:r>
    </w:p>
    <w:p w:rsidR="00273DC3" w:rsidRDefault="00D74C60" w:rsidP="00D74C60">
      <w:pPr>
        <w:rPr>
          <w:lang w:val="en-US"/>
        </w:rPr>
      </w:pPr>
      <w:r w:rsidRPr="00D74C60">
        <w:rPr>
          <w:lang w:val="en-US"/>
        </w:rPr>
        <w:t>The term “geopolitics” encompasses a broad range of frequently interconnecting issues, including diplomacy and</w:t>
      </w:r>
      <w:r>
        <w:rPr>
          <w:lang w:val="en-US"/>
        </w:rPr>
        <w:t xml:space="preserve"> security, global economics, fi</w:t>
      </w:r>
      <w:r w:rsidRPr="00D74C60">
        <w:rPr>
          <w:lang w:val="en-US"/>
        </w:rPr>
        <w:t>nancial and supplier market uncertainty, commodity constraint</w:t>
      </w:r>
      <w:r>
        <w:rPr>
          <w:lang w:val="en-US"/>
        </w:rPr>
        <w:t>s and pricing, exchange rate fl</w:t>
      </w:r>
      <w:r w:rsidRPr="00D74C60">
        <w:rPr>
          <w:lang w:val="en-US"/>
        </w:rPr>
        <w:t>uctuations, and civil and workforce disruption. Because geopolitics is complex and volatile, with unpred</w:t>
      </w:r>
      <w:r w:rsidR="00273DC3">
        <w:rPr>
          <w:lang w:val="en-US"/>
        </w:rPr>
        <w:t>ictable players who have con</w:t>
      </w:r>
      <w:r>
        <w:rPr>
          <w:lang w:val="en-US"/>
        </w:rPr>
        <w:t>fl</w:t>
      </w:r>
      <w:r w:rsidRPr="00D74C60">
        <w:rPr>
          <w:lang w:val="en-US"/>
        </w:rPr>
        <w:t xml:space="preserve">icting agendas and disparate motivations, it is tempting to see geopolitics as impossible to control or prepare for. </w:t>
      </w:r>
    </w:p>
    <w:p w:rsidR="00D74C60" w:rsidRPr="00D74C60" w:rsidRDefault="00D74C60" w:rsidP="00D74C60">
      <w:pPr>
        <w:rPr>
          <w:lang w:val="en-US"/>
        </w:rPr>
      </w:pPr>
      <w:r w:rsidRPr="00D74C60">
        <w:rPr>
          <w:lang w:val="en-US"/>
        </w:rPr>
        <w:t>While the fundamental nature of geopolitics is volatile, there is an opportunity to mitigate the impact of these forces on the industry. However, when companies are unable to foresee emerging trends or react to rapid, unforeseeable geopolitical change, the potential impacts on corporate and capital p</w:t>
      </w:r>
      <w:r>
        <w:rPr>
          <w:lang w:val="en-US"/>
        </w:rPr>
        <w:t>roject performance can be signifi</w:t>
      </w:r>
      <w:r w:rsidRPr="00D74C60">
        <w:rPr>
          <w:lang w:val="en-US"/>
        </w:rPr>
        <w:t>cant.</w:t>
      </w:r>
    </w:p>
    <w:p w:rsidR="007A24FA" w:rsidRPr="00D74C60" w:rsidRDefault="007A24FA" w:rsidP="0024006E">
      <w:pPr>
        <w:pStyle w:val="3"/>
      </w:pPr>
      <w:r w:rsidRPr="00FF0C30">
        <w:lastRenderedPageBreak/>
        <w:t>Managerial</w:t>
      </w:r>
      <w:r w:rsidRPr="00D74C60">
        <w:t xml:space="preserve"> </w:t>
      </w:r>
      <w:r w:rsidRPr="00FF0C30">
        <w:t>flexibility</w:t>
      </w:r>
      <w:r w:rsidR="00273DC3">
        <w:t xml:space="preserve"> in oil and gas projects</w:t>
      </w:r>
    </w:p>
    <w:p w:rsidR="00DC7B8B" w:rsidRPr="00FF0C30" w:rsidRDefault="00DC7B8B" w:rsidP="00DC7B8B">
      <w:pPr>
        <w:rPr>
          <w:rFonts w:cs="Times New Roman"/>
          <w:szCs w:val="24"/>
          <w:lang w:val="en-US"/>
        </w:rPr>
      </w:pPr>
      <w:r w:rsidRPr="00FF0C30">
        <w:rPr>
          <w:rFonts w:cs="Times New Roman"/>
          <w:szCs w:val="24"/>
          <w:lang w:val="en-US"/>
        </w:rPr>
        <w:t xml:space="preserve">This section </w:t>
      </w:r>
      <w:r>
        <w:rPr>
          <w:rFonts w:cs="Times New Roman"/>
          <w:szCs w:val="24"/>
          <w:lang w:val="en-US"/>
        </w:rPr>
        <w:t xml:space="preserve">describes </w:t>
      </w:r>
      <w:r w:rsidRPr="00FF0C30">
        <w:rPr>
          <w:rFonts w:cs="Times New Roman"/>
          <w:szCs w:val="24"/>
          <w:lang w:val="en-US"/>
        </w:rPr>
        <w:t xml:space="preserve">common </w:t>
      </w:r>
      <w:r>
        <w:rPr>
          <w:rFonts w:cs="Times New Roman"/>
          <w:szCs w:val="24"/>
          <w:lang w:val="en-US"/>
        </w:rPr>
        <w:t>flexibilities</w:t>
      </w:r>
      <w:r w:rsidRPr="00FF0C30">
        <w:rPr>
          <w:rFonts w:cs="Times New Roman"/>
          <w:szCs w:val="24"/>
          <w:lang w:val="en-US"/>
        </w:rPr>
        <w:t xml:space="preserve"> </w:t>
      </w:r>
      <w:r>
        <w:rPr>
          <w:rFonts w:cs="Times New Roman"/>
          <w:szCs w:val="24"/>
          <w:lang w:val="en-US"/>
        </w:rPr>
        <w:t xml:space="preserve">built into </w:t>
      </w:r>
      <w:r w:rsidRPr="00FF0C30">
        <w:rPr>
          <w:rFonts w:cs="Times New Roman"/>
          <w:szCs w:val="24"/>
          <w:lang w:val="en-US"/>
        </w:rPr>
        <w:t xml:space="preserve">long-term </w:t>
      </w:r>
      <w:r>
        <w:rPr>
          <w:rFonts w:cs="Times New Roman"/>
          <w:szCs w:val="24"/>
          <w:lang w:val="en-US"/>
        </w:rPr>
        <w:t xml:space="preserve">oil and gas </w:t>
      </w:r>
      <w:r w:rsidRPr="00FF0C30">
        <w:rPr>
          <w:rFonts w:cs="Times New Roman"/>
          <w:szCs w:val="24"/>
          <w:lang w:val="en-US"/>
        </w:rPr>
        <w:t>investment</w:t>
      </w:r>
      <w:r>
        <w:rPr>
          <w:rFonts w:cs="Times New Roman"/>
          <w:szCs w:val="24"/>
          <w:lang w:val="en-US"/>
        </w:rPr>
        <w:t xml:space="preserve"> projects and connected real options through an illustrative </w:t>
      </w:r>
      <w:r w:rsidRPr="00FF0C30">
        <w:rPr>
          <w:rFonts w:cs="Times New Roman"/>
          <w:szCs w:val="24"/>
          <w:lang w:val="en-US"/>
        </w:rPr>
        <w:t>example of</w:t>
      </w:r>
      <w:r>
        <w:rPr>
          <w:rFonts w:cs="Times New Roman"/>
          <w:szCs w:val="24"/>
          <w:lang w:val="en-US"/>
        </w:rPr>
        <w:t xml:space="preserve"> an oil </w:t>
      </w:r>
      <w:r w:rsidRPr="00FF0C30">
        <w:rPr>
          <w:rFonts w:cs="Times New Roman"/>
          <w:szCs w:val="24"/>
          <w:lang w:val="en-US"/>
        </w:rPr>
        <w:t xml:space="preserve">extraction and </w:t>
      </w:r>
      <w:r>
        <w:rPr>
          <w:rFonts w:cs="Times New Roman"/>
          <w:szCs w:val="24"/>
          <w:lang w:val="en-US"/>
        </w:rPr>
        <w:t xml:space="preserve">refinement facility. It follows logic of “Types of Real Options” section in Chapter 1 and </w:t>
      </w:r>
      <w:r w:rsidRPr="00FF0C30">
        <w:rPr>
          <w:rFonts w:cs="Times New Roman"/>
          <w:szCs w:val="24"/>
          <w:lang w:val="en-US"/>
        </w:rPr>
        <w:t xml:space="preserve">is mostly adapted from </w:t>
      </w: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"Kobari", "given" : "Laleh", "non-dropping-particle" : "", "parse-names" : false, "suffix" : "" } ], "id" : "ITEM-1", "issued" : { "date-parts" : [ [ "2014" ] ] }, "number-of-pages" : "150", "publisher" : "University of Toronto", "title" : "Evaluation of Oil Sands Projects and Their Expansion Rate Using Real Options", "type" : "thesis" }, "uris" : [ "http://www.mendeley.com/documents/?uuid=983d648b-05bc-3ec4-886d-50a34ef214ed" ] } ], "mendeley" : { "formattedCitation" : "(Kobari 2014)", "plainTextFormattedCitation" : "(Kobari 2014)", "previouslyFormattedCitation" : "(Kobari 2014)"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(Kobari 2014)</w:t>
      </w:r>
      <w:r>
        <w:rPr>
          <w:rFonts w:cs="Times New Roman"/>
          <w:szCs w:val="24"/>
          <w:lang w:val="en-US"/>
        </w:rPr>
        <w:fldChar w:fldCharType="end"/>
      </w:r>
      <w:r>
        <w:rPr>
          <w:rFonts w:cs="Times New Roman"/>
          <w:szCs w:val="24"/>
          <w:lang w:val="en-US"/>
        </w:rPr>
        <w:t xml:space="preserve"> to be in line with oil and gas industry aspect.</w:t>
      </w:r>
    </w:p>
    <w:p w:rsidR="00DC7B8B" w:rsidRDefault="00DC7B8B" w:rsidP="00DC7B8B">
      <w:pPr>
        <w:rPr>
          <w:rFonts w:cs="Times New Roman"/>
          <w:szCs w:val="24"/>
          <w:lang w:val="en-US"/>
        </w:rPr>
      </w:pPr>
      <w:r w:rsidRPr="00FF0C30">
        <w:rPr>
          <w:rFonts w:cs="Times New Roman"/>
          <w:szCs w:val="24"/>
          <w:lang w:val="en-US"/>
        </w:rPr>
        <w:t xml:space="preserve">Consider a large </w:t>
      </w:r>
      <w:r>
        <w:rPr>
          <w:rFonts w:cs="Times New Roman"/>
          <w:szCs w:val="24"/>
          <w:lang w:val="en-US"/>
        </w:rPr>
        <w:t>oil and gas</w:t>
      </w:r>
      <w:r w:rsidRPr="00FF0C30">
        <w:rPr>
          <w:rFonts w:cs="Times New Roman"/>
          <w:szCs w:val="24"/>
          <w:lang w:val="en-US"/>
        </w:rPr>
        <w:t xml:space="preserve"> company with a one-year </w:t>
      </w:r>
      <w:r>
        <w:rPr>
          <w:rFonts w:cs="Times New Roman"/>
          <w:szCs w:val="24"/>
          <w:lang w:val="en-US"/>
        </w:rPr>
        <w:t>option</w:t>
      </w:r>
      <w:r w:rsidRPr="00FF0C30">
        <w:rPr>
          <w:rFonts w:cs="Times New Roman"/>
          <w:szCs w:val="24"/>
          <w:lang w:val="en-US"/>
        </w:rPr>
        <w:t xml:space="preserve"> to start extracting </w:t>
      </w:r>
      <w:r>
        <w:rPr>
          <w:rFonts w:cs="Times New Roman"/>
          <w:szCs w:val="24"/>
          <w:lang w:val="en-US"/>
        </w:rPr>
        <w:t xml:space="preserve">oil </w:t>
      </w:r>
      <w:r w:rsidRPr="00FF0C30">
        <w:rPr>
          <w:rFonts w:cs="Times New Roman"/>
          <w:szCs w:val="24"/>
          <w:lang w:val="en-US"/>
        </w:rPr>
        <w:t xml:space="preserve">on undeveloped land with potential reserves. Initiating the project may require certain exploration costs, to be followed by infrastructure </w:t>
      </w:r>
      <w:r>
        <w:rPr>
          <w:rFonts w:cs="Times New Roman"/>
          <w:szCs w:val="24"/>
          <w:lang w:val="en-US"/>
        </w:rPr>
        <w:t>investments</w:t>
      </w:r>
      <w:r w:rsidRPr="00FF0C30">
        <w:rPr>
          <w:rFonts w:cs="Times New Roman"/>
          <w:szCs w:val="24"/>
          <w:lang w:val="en-US"/>
        </w:rPr>
        <w:t>, such as construction of roads,</w:t>
      </w:r>
      <w:r>
        <w:rPr>
          <w:rFonts w:cs="Times New Roman"/>
          <w:szCs w:val="24"/>
          <w:lang w:val="en-US"/>
        </w:rPr>
        <w:t xml:space="preserve"> pipelines,</w:t>
      </w:r>
      <w:r w:rsidRPr="00FF0C30">
        <w:rPr>
          <w:rFonts w:cs="Times New Roman"/>
          <w:szCs w:val="24"/>
          <w:lang w:val="en-US"/>
        </w:rPr>
        <w:t xml:space="preserve"> etc.</w:t>
      </w:r>
    </w:p>
    <w:p w:rsidR="00DC7B8B" w:rsidRPr="00FF0C30" w:rsidRDefault="00DC7B8B" w:rsidP="00DC7B8B">
      <w:pPr>
        <w:spacing w:before="240"/>
        <w:rPr>
          <w:rFonts w:cs="Times New Roman"/>
          <w:szCs w:val="24"/>
          <w:lang w:val="en-US"/>
        </w:rPr>
      </w:pPr>
      <w:r w:rsidRPr="00FF0C30">
        <w:rPr>
          <w:rFonts w:cs="Times New Roman"/>
          <w:szCs w:val="24"/>
          <w:lang w:val="en-US"/>
        </w:rPr>
        <w:t xml:space="preserve">Extraction can begin only after construction is completed, so cash flows are generated only during the operating stage that follows the last </w:t>
      </w:r>
      <w:r>
        <w:rPr>
          <w:rFonts w:cs="Times New Roman"/>
          <w:szCs w:val="24"/>
          <w:lang w:val="en-US"/>
        </w:rPr>
        <w:t>investment outlay</w:t>
      </w:r>
      <w:r w:rsidRPr="00FF0C30">
        <w:rPr>
          <w:rFonts w:cs="Times New Roman"/>
          <w:szCs w:val="24"/>
          <w:lang w:val="en-US"/>
        </w:rPr>
        <w:t xml:space="preserve">. </w:t>
      </w:r>
      <w:r w:rsidRPr="00DC7B8B">
        <w:rPr>
          <w:rFonts w:cs="Times New Roman"/>
          <w:i/>
          <w:szCs w:val="24"/>
          <w:lang w:val="en-US"/>
        </w:rPr>
        <w:t>Flexibilities</w:t>
      </w:r>
      <w:r>
        <w:rPr>
          <w:rFonts w:cs="Times New Roman"/>
          <w:szCs w:val="24"/>
          <w:lang w:val="en-US"/>
        </w:rPr>
        <w:t xml:space="preserve"> associated with the project include following:</w:t>
      </w:r>
    </w:p>
    <w:p w:rsidR="00DC7B8B" w:rsidRPr="0019295E" w:rsidRDefault="00DC7B8B" w:rsidP="00B7274B">
      <w:pPr>
        <w:pStyle w:val="a3"/>
        <w:numPr>
          <w:ilvl w:val="0"/>
          <w:numId w:val="7"/>
        </w:numPr>
        <w:rPr>
          <w:rFonts w:cs="Times New Roman"/>
          <w:szCs w:val="24"/>
          <w:lang w:val="en-US"/>
        </w:rPr>
      </w:pPr>
      <w:r w:rsidRPr="0019295E">
        <w:rPr>
          <w:rFonts w:cs="Times New Roman"/>
          <w:szCs w:val="24"/>
          <w:lang w:val="en-US"/>
        </w:rPr>
        <w:t xml:space="preserve">During construction, if market conditions worsen, management </w:t>
      </w:r>
      <w:r>
        <w:rPr>
          <w:rFonts w:cs="Times New Roman"/>
          <w:szCs w:val="24"/>
          <w:lang w:val="en-US"/>
        </w:rPr>
        <w:t>can</w:t>
      </w:r>
      <w:r w:rsidRPr="0019295E">
        <w:rPr>
          <w:rFonts w:cs="Times New Roman"/>
          <w:szCs w:val="24"/>
          <w:lang w:val="en-US"/>
        </w:rPr>
        <w:t xml:space="preserve"> forego future planned costs past the current stage. </w:t>
      </w:r>
    </w:p>
    <w:p w:rsidR="00DC7B8B" w:rsidRPr="0019295E" w:rsidRDefault="00DC7B8B" w:rsidP="00B7274B">
      <w:pPr>
        <w:pStyle w:val="a3"/>
        <w:numPr>
          <w:ilvl w:val="0"/>
          <w:numId w:val="7"/>
        </w:numPr>
        <w:rPr>
          <w:rFonts w:cs="Times New Roman"/>
          <w:szCs w:val="24"/>
          <w:lang w:val="en-US"/>
        </w:rPr>
      </w:pPr>
      <w:r w:rsidRPr="0019295E">
        <w:rPr>
          <w:rFonts w:cs="Times New Roman"/>
          <w:szCs w:val="24"/>
          <w:lang w:val="en-US"/>
        </w:rPr>
        <w:t xml:space="preserve">Management also has the </w:t>
      </w:r>
      <w:r>
        <w:rPr>
          <w:rFonts w:cs="Times New Roman"/>
          <w:szCs w:val="24"/>
          <w:lang w:val="en-US"/>
        </w:rPr>
        <w:t>possibility</w:t>
      </w:r>
      <w:r w:rsidRPr="0019295E">
        <w:rPr>
          <w:rFonts w:cs="Times New Roman"/>
          <w:szCs w:val="24"/>
          <w:lang w:val="en-US"/>
        </w:rPr>
        <w:t xml:space="preserve"> to reduce (contract) the scale of operation by</w:t>
      </w:r>
      <w:r w:rsidR="00481A23">
        <w:rPr>
          <w:rFonts w:cs="Times New Roman"/>
          <w:szCs w:val="24"/>
          <w:lang w:val="en-US"/>
        </w:rPr>
        <w:t xml:space="preserve"> share</w:t>
      </w:r>
      <w:r w:rsidRPr="0019295E">
        <w:rPr>
          <w:rFonts w:cs="Times New Roman"/>
          <w:szCs w:val="24"/>
          <w:lang w:val="en-US"/>
        </w:rPr>
        <w:t xml:space="preserve"> </w:t>
      </w:r>
      <w:r w:rsidR="00481A23" w:rsidRPr="004B04D8">
        <w:rPr>
          <w:rFonts w:cs="Times New Roman"/>
          <w:i/>
          <w:szCs w:val="24"/>
          <w:lang w:val="en-US"/>
        </w:rPr>
        <w:t>ω</w:t>
      </w:r>
      <w:r w:rsidRPr="00481A23">
        <w:rPr>
          <w:rFonts w:cs="Times New Roman"/>
          <w:i/>
          <w:szCs w:val="24"/>
          <w:vertAlign w:val="subscript"/>
          <w:lang w:val="en-US"/>
        </w:rPr>
        <w:t>c</w:t>
      </w:r>
      <w:r w:rsidRPr="0019295E">
        <w:rPr>
          <w:rFonts w:cs="Times New Roman"/>
          <w:szCs w:val="24"/>
          <w:lang w:val="en-US"/>
        </w:rPr>
        <w:t xml:space="preserve"> by saving a portion, </w:t>
      </w:r>
      <w:r w:rsidRPr="0019295E">
        <w:rPr>
          <w:rFonts w:cs="Times New Roman"/>
          <w:i/>
          <w:szCs w:val="24"/>
          <w:lang w:val="en-US"/>
        </w:rPr>
        <w:t>I</w:t>
      </w:r>
      <w:r w:rsidRPr="0019295E">
        <w:rPr>
          <w:rFonts w:cs="Times New Roman"/>
          <w:i/>
          <w:szCs w:val="24"/>
          <w:vertAlign w:val="subscript"/>
          <w:lang w:val="en-US"/>
        </w:rPr>
        <w:t>C</w:t>
      </w:r>
      <w:r w:rsidR="004B04D8">
        <w:rPr>
          <w:rFonts w:cs="Times New Roman"/>
          <w:szCs w:val="24"/>
          <w:lang w:val="en-US"/>
        </w:rPr>
        <w:t>, of the last outlay investments</w:t>
      </w:r>
      <w:r w:rsidRPr="0019295E">
        <w:rPr>
          <w:rFonts w:cs="Times New Roman"/>
          <w:szCs w:val="24"/>
          <w:lang w:val="en-US"/>
        </w:rPr>
        <w:t xml:space="preserve"> if the market is weak. </w:t>
      </w:r>
    </w:p>
    <w:p w:rsidR="00DC7B8B" w:rsidRPr="0019295E" w:rsidRDefault="00DC7B8B" w:rsidP="00B7274B">
      <w:pPr>
        <w:pStyle w:val="a3"/>
        <w:numPr>
          <w:ilvl w:val="0"/>
          <w:numId w:val="7"/>
        </w:numPr>
        <w:rPr>
          <w:rFonts w:cs="Times New Roman"/>
          <w:szCs w:val="24"/>
          <w:lang w:val="en-US"/>
        </w:rPr>
      </w:pPr>
      <w:r w:rsidRPr="0019295E">
        <w:rPr>
          <w:rFonts w:cs="Times New Roman"/>
          <w:szCs w:val="24"/>
          <w:lang w:val="en-US"/>
        </w:rPr>
        <w:t xml:space="preserve">The plant is also designed in advance such that if gas prices (or the quantity of reserves) turn out to be unexpectedly high, the rate of production can be enhanced by </w:t>
      </w:r>
      <w:r w:rsidR="004B04D8">
        <w:rPr>
          <w:rFonts w:cs="Times New Roman"/>
          <w:szCs w:val="24"/>
          <w:lang w:val="en-US"/>
        </w:rPr>
        <w:t xml:space="preserve">share </w:t>
      </w:r>
      <w:r w:rsidR="004B04D8" w:rsidRPr="004B04D8">
        <w:rPr>
          <w:rFonts w:cs="Times New Roman"/>
          <w:i/>
          <w:szCs w:val="24"/>
          <w:lang w:val="en-US"/>
        </w:rPr>
        <w:t>ω</w:t>
      </w:r>
      <w:r w:rsidR="004B04D8">
        <w:rPr>
          <w:rFonts w:cs="Times New Roman"/>
          <w:i/>
          <w:szCs w:val="24"/>
          <w:vertAlign w:val="subscript"/>
          <w:lang w:val="en-US"/>
        </w:rPr>
        <w:t>e</w:t>
      </w:r>
      <w:r w:rsidRPr="0019295E">
        <w:rPr>
          <w:rFonts w:cs="Times New Roman"/>
          <w:szCs w:val="24"/>
          <w:lang w:val="en-US"/>
        </w:rPr>
        <w:t xml:space="preserve"> with a follow-up cost of </w:t>
      </w:r>
      <w:r w:rsidRPr="0019295E">
        <w:rPr>
          <w:rFonts w:cs="Times New Roman"/>
          <w:i/>
          <w:szCs w:val="24"/>
          <w:lang w:val="en-US"/>
        </w:rPr>
        <w:t>I</w:t>
      </w:r>
      <w:r w:rsidRPr="0019295E">
        <w:rPr>
          <w:rFonts w:cs="Times New Roman"/>
          <w:i/>
          <w:szCs w:val="24"/>
          <w:vertAlign w:val="subscript"/>
          <w:lang w:val="en-US"/>
        </w:rPr>
        <w:t>E</w:t>
      </w:r>
      <w:r w:rsidRPr="0019295E">
        <w:rPr>
          <w:rFonts w:cs="Times New Roman"/>
          <w:i/>
          <w:szCs w:val="24"/>
          <w:lang w:val="en-US"/>
        </w:rPr>
        <w:t xml:space="preserve"> </w:t>
      </w:r>
      <w:r w:rsidRPr="0019295E">
        <w:rPr>
          <w:rFonts w:cs="Times New Roman"/>
          <w:szCs w:val="24"/>
          <w:lang w:val="en-US"/>
        </w:rPr>
        <w:t xml:space="preserve">to install extra capacity. </w:t>
      </w:r>
    </w:p>
    <w:p w:rsidR="00DC7B8B" w:rsidRPr="0019295E" w:rsidRDefault="00DC7B8B" w:rsidP="00B7274B">
      <w:pPr>
        <w:pStyle w:val="a3"/>
        <w:numPr>
          <w:ilvl w:val="0"/>
          <w:numId w:val="7"/>
        </w:numPr>
        <w:rPr>
          <w:rFonts w:cs="Times New Roman"/>
          <w:szCs w:val="24"/>
          <w:lang w:val="en-US"/>
        </w:rPr>
      </w:pPr>
      <w:r w:rsidRPr="0019295E">
        <w:rPr>
          <w:rFonts w:cs="Times New Roman"/>
          <w:szCs w:val="24"/>
          <w:lang w:val="en-US"/>
        </w:rPr>
        <w:t xml:space="preserve">At any time, management may get back a portion of its investment by selling the plant and equipment for their salvage value (i.e., the resale value of its capital equipment and other assets in second-hand markets) or switch them to an alternative use value, </w:t>
      </w:r>
      <w:r w:rsidRPr="0019295E">
        <w:rPr>
          <w:rFonts w:cs="Times New Roman"/>
          <w:i/>
          <w:szCs w:val="24"/>
          <w:lang w:val="en-US"/>
        </w:rPr>
        <w:t>A</w:t>
      </w:r>
      <w:r w:rsidRPr="0019295E">
        <w:rPr>
          <w:rFonts w:cs="Times New Roman"/>
          <w:i/>
          <w:szCs w:val="24"/>
          <w:vertAlign w:val="subscript"/>
          <w:lang w:val="en-US"/>
        </w:rPr>
        <w:t>t</w:t>
      </w:r>
      <w:r w:rsidRPr="0019295E">
        <w:rPr>
          <w:rFonts w:cs="Times New Roman"/>
          <w:szCs w:val="24"/>
          <w:lang w:val="en-US"/>
        </w:rPr>
        <w:t xml:space="preserve">. </w:t>
      </w:r>
    </w:p>
    <w:p w:rsidR="00DC7B8B" w:rsidRPr="0019295E" w:rsidRDefault="00DC7B8B" w:rsidP="00B7274B">
      <w:pPr>
        <w:pStyle w:val="a3"/>
        <w:numPr>
          <w:ilvl w:val="0"/>
          <w:numId w:val="7"/>
        </w:numPr>
        <w:rPr>
          <w:rFonts w:cs="Times New Roman"/>
          <w:szCs w:val="24"/>
          <w:lang w:val="en-US"/>
        </w:rPr>
      </w:pPr>
      <w:r w:rsidRPr="0019295E">
        <w:rPr>
          <w:rFonts w:cs="Times New Roman"/>
          <w:szCs w:val="24"/>
          <w:lang w:val="en-US"/>
        </w:rPr>
        <w:t xml:space="preserve">An associated refinery plant, which may be designed to operate with alternative sources of energy inputs, can convert crude oil into a variety of refined by-products. </w:t>
      </w:r>
    </w:p>
    <w:p w:rsidR="00DC7B8B" w:rsidRPr="00FF0C30" w:rsidRDefault="00DC7B8B" w:rsidP="00DC7B8B">
      <w:pPr>
        <w:rPr>
          <w:rFonts w:cs="Times New Roman"/>
          <w:szCs w:val="24"/>
          <w:lang w:val="en-US"/>
        </w:rPr>
      </w:pPr>
      <w:r>
        <w:rPr>
          <w:rFonts w:cs="Times New Roman"/>
          <w:szCs w:val="24"/>
          <w:lang w:val="en-US"/>
        </w:rPr>
        <w:t xml:space="preserve">These flexibilities add value to the project through introducing connected real options. </w:t>
      </w:r>
      <w:r w:rsidRPr="00FF0C30">
        <w:rPr>
          <w:rFonts w:cs="Times New Roman"/>
          <w:szCs w:val="24"/>
          <w:lang w:val="en-US"/>
        </w:rPr>
        <w:t xml:space="preserve">The </w:t>
      </w:r>
      <w:r w:rsidRPr="00DC7B8B">
        <w:rPr>
          <w:rFonts w:cs="Times New Roman"/>
          <w:i/>
          <w:szCs w:val="24"/>
          <w:lang w:val="en-US"/>
        </w:rPr>
        <w:t>real</w:t>
      </w:r>
      <w:r w:rsidRPr="00FF0C30">
        <w:rPr>
          <w:rFonts w:cs="Times New Roman"/>
          <w:szCs w:val="24"/>
          <w:lang w:val="en-US"/>
        </w:rPr>
        <w:t xml:space="preserve"> </w:t>
      </w:r>
      <w:r w:rsidRPr="00DC7B8B">
        <w:rPr>
          <w:rFonts w:cs="Times New Roman"/>
          <w:i/>
          <w:szCs w:val="24"/>
          <w:lang w:val="en-US"/>
        </w:rPr>
        <w:t>options</w:t>
      </w:r>
      <w:r w:rsidRPr="00FF0C30">
        <w:rPr>
          <w:rFonts w:cs="Times New Roman"/>
          <w:szCs w:val="24"/>
          <w:lang w:val="en-US"/>
        </w:rPr>
        <w:t xml:space="preserve"> embedded in this type of project are enumerated as follows. </w:t>
      </w:r>
    </w:p>
    <w:p w:rsidR="00DC7B8B" w:rsidRPr="00662E04" w:rsidRDefault="00DC7B8B" w:rsidP="00DC7B8B">
      <w:pPr>
        <w:pStyle w:val="4"/>
      </w:pPr>
      <w:r w:rsidRPr="00662E04">
        <w:t>1. Option to defer the investment</w:t>
      </w:r>
    </w:p>
    <w:p w:rsidR="00DC7B8B" w:rsidRPr="00FF0C30" w:rsidRDefault="00DC7B8B" w:rsidP="00DC7B8B">
      <w:pPr>
        <w:rPr>
          <w:rFonts w:cs="Times New Roman"/>
          <w:szCs w:val="24"/>
          <w:lang w:val="en-US"/>
        </w:rPr>
      </w:pPr>
      <w:r w:rsidRPr="00FF0C30">
        <w:rPr>
          <w:rFonts w:cs="Times New Roman"/>
          <w:szCs w:val="24"/>
          <w:lang w:val="en-US"/>
        </w:rPr>
        <w:t xml:space="preserve">The lease enables management to defer investment for up to a year, thus benefit from the resolution of uncertainty about </w:t>
      </w:r>
      <w:r>
        <w:rPr>
          <w:rFonts w:cs="Times New Roman"/>
          <w:szCs w:val="24"/>
          <w:lang w:val="en-US"/>
        </w:rPr>
        <w:t>oil</w:t>
      </w:r>
      <w:r w:rsidRPr="00FF0C30">
        <w:rPr>
          <w:rFonts w:cs="Times New Roman"/>
          <w:szCs w:val="24"/>
          <w:lang w:val="en-US"/>
        </w:rPr>
        <w:t xml:space="preserve"> prices during this period. Management would exercise its option to extract </w:t>
      </w:r>
      <w:r>
        <w:rPr>
          <w:rFonts w:cs="Times New Roman"/>
          <w:szCs w:val="24"/>
          <w:lang w:val="en-US"/>
        </w:rPr>
        <w:t xml:space="preserve">crude oil </w:t>
      </w:r>
      <w:r w:rsidRPr="00FF0C30">
        <w:rPr>
          <w:rFonts w:cs="Times New Roman"/>
          <w:szCs w:val="24"/>
          <w:lang w:val="en-US"/>
        </w:rPr>
        <w:t xml:space="preserve">and invest </w:t>
      </w:r>
      <w:r w:rsidRPr="00FF0C30">
        <w:rPr>
          <w:rFonts w:cs="Times New Roman"/>
          <w:i/>
          <w:szCs w:val="24"/>
          <w:lang w:val="en-US"/>
        </w:rPr>
        <w:t>I</w:t>
      </w:r>
      <w:r w:rsidRPr="00FF0C30">
        <w:rPr>
          <w:rFonts w:cs="Times New Roman"/>
          <w:i/>
          <w:szCs w:val="24"/>
          <w:vertAlign w:val="subscript"/>
          <w:lang w:val="en-US"/>
        </w:rPr>
        <w:t>1</w:t>
      </w:r>
      <w:r w:rsidR="00481A23">
        <w:rPr>
          <w:rFonts w:cs="Times New Roman"/>
          <w:i/>
          <w:szCs w:val="24"/>
          <w:vertAlign w:val="subscript"/>
          <w:lang w:val="en-US"/>
        </w:rPr>
        <w:t xml:space="preserve"> </w:t>
      </w:r>
      <w:r w:rsidR="00481A23" w:rsidRPr="00481A23">
        <w:rPr>
          <w:rFonts w:cs="Times New Roman"/>
          <w:i/>
          <w:szCs w:val="24"/>
          <w:lang w:val="en-US"/>
        </w:rPr>
        <w:t>(</w:t>
      </w:r>
      <w:r w:rsidR="00481A23" w:rsidRPr="00481A23">
        <w:rPr>
          <w:lang w:val="en-US"/>
        </w:rPr>
        <w:t>the investment in roads and other infrastructure in the first period)</w:t>
      </w:r>
      <w:r w:rsidRPr="00FF0C30">
        <w:rPr>
          <w:rFonts w:cs="Times New Roman"/>
          <w:szCs w:val="24"/>
          <w:lang w:val="en-US"/>
        </w:rPr>
        <w:t xml:space="preserve"> only if </w:t>
      </w:r>
      <w:r>
        <w:rPr>
          <w:rFonts w:cs="Times New Roman"/>
          <w:szCs w:val="24"/>
          <w:lang w:val="en-US"/>
        </w:rPr>
        <w:t xml:space="preserve">world oil prices </w:t>
      </w:r>
      <w:r w:rsidRPr="00FF0C30">
        <w:rPr>
          <w:rFonts w:cs="Times New Roman"/>
          <w:szCs w:val="24"/>
          <w:lang w:val="en-US"/>
        </w:rPr>
        <w:t xml:space="preserve">are high enough. Conversely, management would not </w:t>
      </w:r>
      <w:r>
        <w:rPr>
          <w:rFonts w:cs="Times New Roman"/>
          <w:szCs w:val="24"/>
          <w:lang w:val="en-US"/>
        </w:rPr>
        <w:t>participate in the</w:t>
      </w:r>
      <w:r w:rsidRPr="00FF0C30">
        <w:rPr>
          <w:rFonts w:cs="Times New Roman"/>
          <w:szCs w:val="24"/>
          <w:lang w:val="en-US"/>
        </w:rPr>
        <w:t xml:space="preserve"> project </w:t>
      </w:r>
      <w:r w:rsidRPr="00FF0C30">
        <w:rPr>
          <w:rFonts w:cs="Times New Roman"/>
          <w:szCs w:val="24"/>
          <w:lang w:val="en-US"/>
        </w:rPr>
        <w:lastRenderedPageBreak/>
        <w:t xml:space="preserve">and would save the planned </w:t>
      </w:r>
      <w:r>
        <w:rPr>
          <w:rFonts w:cs="Times New Roman"/>
          <w:szCs w:val="24"/>
          <w:lang w:val="en-US"/>
        </w:rPr>
        <w:t>costs, if prices</w:t>
      </w:r>
      <w:r w:rsidRPr="00FF0C30">
        <w:rPr>
          <w:rFonts w:cs="Times New Roman"/>
          <w:szCs w:val="24"/>
          <w:lang w:val="en-US"/>
        </w:rPr>
        <w:t xml:space="preserve"> are low. Therefore, just before the expiration of the lease contract, the value</w:t>
      </w:r>
      <w:r w:rsidR="00481A23">
        <w:rPr>
          <w:rStyle w:val="af2"/>
          <w:rFonts w:cs="Times New Roman"/>
          <w:i/>
          <w:szCs w:val="24"/>
          <w:lang w:val="en-US"/>
        </w:rPr>
        <w:footnoteReference w:id="2"/>
      </w:r>
      <w:r w:rsidRPr="00FF0C30">
        <w:rPr>
          <w:rFonts w:cs="Times New Roman"/>
          <w:szCs w:val="24"/>
          <w:lang w:val="en-US"/>
        </w:rPr>
        <w:t xml:space="preserve"> of the project will be the greater of the net value, </w:t>
      </w:r>
      <w:r w:rsidRPr="00FF0C30">
        <w:rPr>
          <w:rFonts w:cs="Times New Roman"/>
          <w:i/>
          <w:szCs w:val="24"/>
          <w:lang w:val="en-US"/>
        </w:rPr>
        <w:t>V</w:t>
      </w:r>
      <w:r w:rsidRPr="00FF0C30">
        <w:rPr>
          <w:rFonts w:cs="Times New Roman"/>
          <w:i/>
          <w:szCs w:val="24"/>
          <w:vertAlign w:val="subscript"/>
          <w:lang w:val="en-US"/>
        </w:rPr>
        <w:t>1</w:t>
      </w:r>
      <w:r w:rsidRPr="00FF0C30">
        <w:rPr>
          <w:rFonts w:cs="Times New Roman"/>
          <w:i/>
          <w:szCs w:val="24"/>
          <w:lang w:val="en-US"/>
        </w:rPr>
        <w:t xml:space="preserve"> – I</w:t>
      </w:r>
      <w:r w:rsidRPr="00FF0C30">
        <w:rPr>
          <w:rFonts w:cs="Times New Roman"/>
          <w:i/>
          <w:szCs w:val="24"/>
          <w:vertAlign w:val="subscript"/>
          <w:lang w:val="en-US"/>
        </w:rPr>
        <w:t>1</w:t>
      </w:r>
      <w:r w:rsidRPr="00FF0C30">
        <w:rPr>
          <w:rFonts w:cs="Times New Roman"/>
          <w:szCs w:val="24"/>
          <w:lang w:val="en-US"/>
        </w:rPr>
        <w:t xml:space="preserve">, and $0. </w:t>
      </w:r>
    </w:p>
    <w:p w:rsidR="00DC7B8B" w:rsidRPr="00662E04" w:rsidRDefault="00DC7B8B" w:rsidP="00DC7B8B">
      <w:pPr>
        <w:pStyle w:val="4"/>
      </w:pPr>
      <w:r w:rsidRPr="00662E04">
        <w:t xml:space="preserve">2. Option to stage investment </w:t>
      </w:r>
    </w:p>
    <w:p w:rsidR="00DC7B8B" w:rsidRPr="00FF0C30" w:rsidRDefault="00DC7B8B" w:rsidP="00DC7B8B">
      <w:pPr>
        <w:rPr>
          <w:rFonts w:cs="Times New Roman"/>
          <w:szCs w:val="24"/>
          <w:lang w:val="en-US"/>
        </w:rPr>
      </w:pPr>
      <w:r>
        <w:rPr>
          <w:rFonts w:cs="Times New Roman"/>
          <w:szCs w:val="24"/>
          <w:lang w:val="en-US"/>
        </w:rPr>
        <w:t>I</w:t>
      </w:r>
      <w:r w:rsidRPr="00FF0C30">
        <w:rPr>
          <w:rFonts w:cs="Times New Roman"/>
          <w:szCs w:val="24"/>
          <w:lang w:val="en-US"/>
        </w:rPr>
        <w:t xml:space="preserve">f after exploration the reserves or </w:t>
      </w:r>
      <w:r>
        <w:rPr>
          <w:rFonts w:cs="Times New Roman"/>
          <w:szCs w:val="24"/>
          <w:lang w:val="en-US"/>
        </w:rPr>
        <w:t>oil</w:t>
      </w:r>
      <w:r w:rsidRPr="00FF0C30">
        <w:rPr>
          <w:rFonts w:cs="Times New Roman"/>
          <w:szCs w:val="24"/>
          <w:lang w:val="en-US"/>
        </w:rPr>
        <w:t xml:space="preserve"> prices turn out to be very low, management can abandon the project. </w:t>
      </w:r>
      <w:r>
        <w:rPr>
          <w:rFonts w:cs="Times New Roman"/>
          <w:szCs w:val="24"/>
          <w:lang w:val="en-US"/>
        </w:rPr>
        <w:t>It means that management does not necessarily need to continue the project in case of negative uncertain outcomes come in place. In this case e</w:t>
      </w:r>
      <w:r w:rsidRPr="00FF0C30">
        <w:rPr>
          <w:rFonts w:cs="Times New Roman"/>
          <w:szCs w:val="24"/>
          <w:lang w:val="en-US"/>
        </w:rPr>
        <w:t>ach stage of</w:t>
      </w:r>
      <w:r>
        <w:rPr>
          <w:rFonts w:cs="Times New Roman"/>
          <w:szCs w:val="24"/>
          <w:lang w:val="en-US"/>
        </w:rPr>
        <w:t xml:space="preserve"> project, like exploration or</w:t>
      </w:r>
      <w:r w:rsidRPr="00FF0C30">
        <w:rPr>
          <w:rFonts w:cs="Times New Roman"/>
          <w:szCs w:val="24"/>
          <w:lang w:val="en-US"/>
        </w:rPr>
        <w:t xml:space="preserve"> building the necessary infrastructure can be viewed as an </w:t>
      </w:r>
      <w:r w:rsidRPr="00DC7B8B">
        <w:rPr>
          <w:rFonts w:cs="Times New Roman"/>
          <w:i/>
          <w:szCs w:val="24"/>
          <w:lang w:val="en-US"/>
        </w:rPr>
        <w:t>option on the value of subsequent stages</w:t>
      </w:r>
      <w:r w:rsidRPr="00FF0C30">
        <w:rPr>
          <w:rFonts w:cs="Times New Roman"/>
          <w:szCs w:val="24"/>
          <w:lang w:val="en-US"/>
        </w:rPr>
        <w:t xml:space="preserve">. These sequential options can be valued as compound options. </w:t>
      </w:r>
    </w:p>
    <w:p w:rsidR="00DC7B8B" w:rsidRPr="00662E04" w:rsidRDefault="00DC7B8B" w:rsidP="00DC7B8B">
      <w:pPr>
        <w:pStyle w:val="4"/>
      </w:pPr>
      <w:r w:rsidRPr="00662E04">
        <w:t xml:space="preserve">3. Option to expand (or grow) the investment </w:t>
      </w:r>
    </w:p>
    <w:p w:rsidR="00307256" w:rsidRPr="00307256" w:rsidRDefault="00DC7B8B" w:rsidP="00307256">
      <w:pPr>
        <w:rPr>
          <w:rFonts w:cs="Times New Roman"/>
          <w:szCs w:val="24"/>
          <w:lang w:val="en-US"/>
        </w:rPr>
      </w:pPr>
      <w:r w:rsidRPr="00FF0C30">
        <w:rPr>
          <w:rFonts w:cs="Times New Roman"/>
          <w:szCs w:val="24"/>
          <w:lang w:val="en-US"/>
        </w:rPr>
        <w:t xml:space="preserve">If </w:t>
      </w:r>
      <w:r>
        <w:rPr>
          <w:rFonts w:cs="Times New Roman"/>
          <w:szCs w:val="24"/>
          <w:lang w:val="en-US"/>
        </w:rPr>
        <w:t>world oil</w:t>
      </w:r>
      <w:r w:rsidRPr="00FF0C30">
        <w:rPr>
          <w:rFonts w:cs="Times New Roman"/>
          <w:szCs w:val="24"/>
          <w:lang w:val="en-US"/>
        </w:rPr>
        <w:t xml:space="preserve"> prices (or the quantity of the reserves, or any other </w:t>
      </w:r>
      <w:r>
        <w:rPr>
          <w:rFonts w:cs="Times New Roman"/>
          <w:szCs w:val="24"/>
          <w:lang w:val="en-US"/>
        </w:rPr>
        <w:t>environment</w:t>
      </w:r>
      <w:r w:rsidRPr="00FF0C30">
        <w:rPr>
          <w:rFonts w:cs="Times New Roman"/>
          <w:szCs w:val="24"/>
          <w:lang w:val="en-US"/>
        </w:rPr>
        <w:t xml:space="preserve"> conditions) turn out to be </w:t>
      </w:r>
      <w:r w:rsidRPr="00DC7B8B">
        <w:rPr>
          <w:rFonts w:cs="Times New Roman"/>
          <w:i/>
          <w:szCs w:val="24"/>
          <w:lang w:val="en-US"/>
        </w:rPr>
        <w:t>more</w:t>
      </w:r>
      <w:r w:rsidRPr="00FF0C30">
        <w:rPr>
          <w:rFonts w:cs="Times New Roman"/>
          <w:szCs w:val="24"/>
          <w:lang w:val="en-US"/>
        </w:rPr>
        <w:t xml:space="preserve"> favorable than expected, management has the </w:t>
      </w:r>
      <w:r w:rsidRPr="00307256">
        <w:rPr>
          <w:rFonts w:cs="Times New Roman"/>
          <w:i/>
          <w:szCs w:val="24"/>
          <w:lang w:val="en-US"/>
        </w:rPr>
        <w:t>option to expand</w:t>
      </w:r>
      <w:r w:rsidRPr="00FF0C30">
        <w:rPr>
          <w:rFonts w:cs="Times New Roman"/>
          <w:szCs w:val="24"/>
          <w:lang w:val="en-US"/>
        </w:rPr>
        <w:t xml:space="preserve"> the scale of production, by </w:t>
      </w:r>
      <w:r w:rsidR="004B04D8">
        <w:rPr>
          <w:rFonts w:cs="Times New Roman"/>
          <w:szCs w:val="24"/>
          <w:lang w:val="en-US"/>
        </w:rPr>
        <w:t>ω</w:t>
      </w:r>
      <w:r w:rsidR="004B04D8">
        <w:rPr>
          <w:rFonts w:cs="Times New Roman"/>
          <w:i/>
          <w:szCs w:val="24"/>
          <w:vertAlign w:val="subscript"/>
          <w:lang w:val="en-US"/>
        </w:rPr>
        <w:t>e,</w:t>
      </w:r>
      <w:r w:rsidR="004B04D8" w:rsidRPr="00FF0C30">
        <w:rPr>
          <w:rFonts w:cs="Times New Roman"/>
          <w:i/>
          <w:szCs w:val="24"/>
          <w:lang w:val="en-US"/>
        </w:rPr>
        <w:t xml:space="preserve"> </w:t>
      </w:r>
      <w:r w:rsidRPr="00FF0C30">
        <w:rPr>
          <w:rFonts w:cs="Times New Roman"/>
          <w:szCs w:val="24"/>
          <w:lang w:val="en-US"/>
        </w:rPr>
        <w:t xml:space="preserve">by incurring a follow-up cost of </w:t>
      </w:r>
      <w:r w:rsidRPr="00FF0C30">
        <w:rPr>
          <w:rFonts w:cs="Times New Roman"/>
          <w:i/>
          <w:szCs w:val="24"/>
          <w:lang w:val="en-US"/>
        </w:rPr>
        <w:t>I</w:t>
      </w:r>
      <w:r w:rsidRPr="00FF0C30">
        <w:rPr>
          <w:rFonts w:cs="Times New Roman"/>
          <w:i/>
          <w:szCs w:val="24"/>
          <w:vertAlign w:val="subscript"/>
          <w:lang w:val="en-US"/>
        </w:rPr>
        <w:t>E</w:t>
      </w:r>
      <w:r w:rsidRPr="00FF0C30">
        <w:rPr>
          <w:rFonts w:cs="Times New Roman"/>
          <w:szCs w:val="24"/>
          <w:lang w:val="en-US"/>
        </w:rPr>
        <w:t xml:space="preserve">. </w:t>
      </w:r>
      <w:r w:rsidR="00307256">
        <w:rPr>
          <w:rFonts w:cs="Times New Roman"/>
          <w:szCs w:val="24"/>
          <w:lang w:val="en-US"/>
        </w:rPr>
        <w:t xml:space="preserve">In that case management deliberately maximize the expected inflows and fully captures favorable market conditions in order to increase expected NPV of the project. It worth noting that due to economy on scale increase of capacity by e% will require non proportional increase in associated costs </w:t>
      </w:r>
      <w:r w:rsidR="00307256" w:rsidRPr="00FF0C30">
        <w:rPr>
          <w:rFonts w:cs="Times New Roman"/>
          <w:i/>
          <w:szCs w:val="24"/>
          <w:lang w:val="en-US"/>
        </w:rPr>
        <w:t>I</w:t>
      </w:r>
      <w:r w:rsidR="00307256" w:rsidRPr="00FF0C30">
        <w:rPr>
          <w:rFonts w:cs="Times New Roman"/>
          <w:i/>
          <w:szCs w:val="24"/>
          <w:vertAlign w:val="subscript"/>
          <w:lang w:val="en-US"/>
        </w:rPr>
        <w:t>E</w:t>
      </w:r>
      <w:r w:rsidR="00307256">
        <w:rPr>
          <w:rFonts w:cs="Times New Roman"/>
          <w:szCs w:val="24"/>
          <w:lang w:val="en-US"/>
        </w:rPr>
        <w:t xml:space="preserve"> due to some “fixed” costs lice investment in infrastructure or exploration which were made in advance.</w:t>
      </w:r>
    </w:p>
    <w:p w:rsidR="00DC7B8B" w:rsidRPr="00FF0C30" w:rsidRDefault="00DC7B8B" w:rsidP="00307256">
      <w:pPr>
        <w:rPr>
          <w:rFonts w:cs="Times New Roman"/>
          <w:szCs w:val="24"/>
          <w:lang w:val="en-US"/>
        </w:rPr>
      </w:pPr>
      <w:r w:rsidRPr="00FF0C30">
        <w:rPr>
          <w:rFonts w:cs="Times New Roman"/>
          <w:szCs w:val="24"/>
          <w:lang w:val="en-US"/>
        </w:rPr>
        <w:t xml:space="preserve">This </w:t>
      </w:r>
      <w:r w:rsidR="00307256">
        <w:rPr>
          <w:rFonts w:cs="Times New Roman"/>
          <w:szCs w:val="24"/>
          <w:lang w:val="en-US"/>
        </w:rPr>
        <w:t xml:space="preserve">flexibility </w:t>
      </w:r>
      <w:r w:rsidRPr="00FF0C30">
        <w:rPr>
          <w:rFonts w:cs="Times New Roman"/>
          <w:szCs w:val="24"/>
          <w:lang w:val="en-US"/>
        </w:rPr>
        <w:t xml:space="preserve">is similar to a call option to acquire an additional </w:t>
      </w:r>
      <w:r w:rsidRPr="00FF0C30">
        <w:rPr>
          <w:rFonts w:cs="Times New Roman"/>
          <w:i/>
          <w:szCs w:val="24"/>
          <w:lang w:val="en-US"/>
        </w:rPr>
        <w:t>e</w:t>
      </w:r>
      <w:r w:rsidRPr="00FF0C30">
        <w:rPr>
          <w:rFonts w:cs="Times New Roman"/>
          <w:szCs w:val="24"/>
          <w:lang w:val="en-US"/>
        </w:rPr>
        <w:t xml:space="preserve">% of the base-scale project with a strike price of </w:t>
      </w:r>
      <w:r w:rsidRPr="00FF0C30">
        <w:rPr>
          <w:rFonts w:cs="Times New Roman"/>
          <w:i/>
          <w:szCs w:val="24"/>
          <w:lang w:val="en-US"/>
        </w:rPr>
        <w:t>I</w:t>
      </w:r>
      <w:r w:rsidRPr="00FF0C30">
        <w:rPr>
          <w:rFonts w:cs="Times New Roman"/>
          <w:i/>
          <w:szCs w:val="24"/>
          <w:vertAlign w:val="subscript"/>
          <w:lang w:val="en-US"/>
        </w:rPr>
        <w:t>E</w:t>
      </w:r>
      <w:r w:rsidRPr="00FF0C30">
        <w:rPr>
          <w:rFonts w:cs="Times New Roman"/>
          <w:szCs w:val="24"/>
          <w:lang w:val="en-US"/>
        </w:rPr>
        <w:t xml:space="preserve">. Therefore, an investment opportunity with the option to expand can be viewed as a base-scale project plus a call option on future investment. </w:t>
      </w:r>
    </w:p>
    <w:p w:rsidR="00DC7B8B" w:rsidRPr="00662E04" w:rsidRDefault="00DC7B8B" w:rsidP="00307256">
      <w:pPr>
        <w:pStyle w:val="4"/>
      </w:pPr>
      <w:r w:rsidRPr="00662E04">
        <w:t xml:space="preserve">4. Option to contract </w:t>
      </w:r>
    </w:p>
    <w:p w:rsidR="00307256" w:rsidRDefault="00DC7B8B" w:rsidP="00307256">
      <w:pPr>
        <w:rPr>
          <w:rFonts w:cs="Times New Roman"/>
          <w:szCs w:val="24"/>
          <w:lang w:val="en-US"/>
        </w:rPr>
      </w:pPr>
      <w:r w:rsidRPr="00FF0C30">
        <w:rPr>
          <w:rFonts w:cs="Times New Roman"/>
          <w:szCs w:val="24"/>
          <w:lang w:val="en-US"/>
        </w:rPr>
        <w:t xml:space="preserve">If market conditions turn out weaker than originally expected, management </w:t>
      </w:r>
      <w:r>
        <w:rPr>
          <w:rFonts w:cs="Times New Roman"/>
          <w:szCs w:val="24"/>
          <w:lang w:val="en-US"/>
        </w:rPr>
        <w:t xml:space="preserve">of illustrative project </w:t>
      </w:r>
      <w:r w:rsidRPr="00FF0C30">
        <w:rPr>
          <w:rFonts w:cs="Times New Roman"/>
          <w:szCs w:val="24"/>
          <w:lang w:val="en-US"/>
        </w:rPr>
        <w:t xml:space="preserve">can operate at a rate below the maximum capacity of the plant or even reduce the scale of operations by </w:t>
      </w:r>
      <w:r w:rsidR="004B04D8">
        <w:rPr>
          <w:rFonts w:cs="Times New Roman"/>
          <w:szCs w:val="24"/>
          <w:lang w:val="en-US"/>
        </w:rPr>
        <w:t>ω</w:t>
      </w:r>
      <w:r w:rsidR="004B04D8" w:rsidRPr="00481A23">
        <w:rPr>
          <w:rFonts w:cs="Times New Roman"/>
          <w:i/>
          <w:szCs w:val="24"/>
          <w:vertAlign w:val="subscript"/>
          <w:lang w:val="en-US"/>
        </w:rPr>
        <w:t>c</w:t>
      </w:r>
      <w:r w:rsidRPr="00FF0C30">
        <w:rPr>
          <w:rFonts w:cs="Times New Roman"/>
          <w:szCs w:val="24"/>
          <w:lang w:val="en-US"/>
        </w:rPr>
        <w:t xml:space="preserve">, thereby saving part of the planned investment </w:t>
      </w:r>
      <w:r>
        <w:rPr>
          <w:rFonts w:cs="Times New Roman"/>
          <w:szCs w:val="24"/>
          <w:lang w:val="en-US"/>
        </w:rPr>
        <w:t>costs</w:t>
      </w:r>
      <w:r w:rsidRPr="00FF0C30">
        <w:rPr>
          <w:rFonts w:cs="Times New Roman"/>
          <w:szCs w:val="24"/>
          <w:lang w:val="en-US"/>
        </w:rPr>
        <w:t xml:space="preserve">, </w:t>
      </w:r>
      <w:r w:rsidRPr="00FF0C30">
        <w:rPr>
          <w:rFonts w:cs="Times New Roman"/>
          <w:i/>
          <w:szCs w:val="24"/>
          <w:lang w:val="en-US"/>
        </w:rPr>
        <w:t>I</w:t>
      </w:r>
      <w:r w:rsidRPr="00FF0C30">
        <w:rPr>
          <w:rFonts w:cs="Times New Roman"/>
          <w:i/>
          <w:szCs w:val="24"/>
          <w:vertAlign w:val="subscript"/>
          <w:lang w:val="en-US"/>
        </w:rPr>
        <w:t>C</w:t>
      </w:r>
      <w:r w:rsidRPr="00FF0C30">
        <w:rPr>
          <w:rFonts w:cs="Times New Roman"/>
          <w:szCs w:val="24"/>
          <w:lang w:val="en-US"/>
        </w:rPr>
        <w:t xml:space="preserve">. </w:t>
      </w:r>
    </w:p>
    <w:p w:rsidR="00DC7B8B" w:rsidRPr="00FF0C30" w:rsidRDefault="00DC7B8B" w:rsidP="00307256">
      <w:pPr>
        <w:rPr>
          <w:rFonts w:cs="Times New Roman"/>
          <w:szCs w:val="24"/>
          <w:lang w:val="en-US"/>
        </w:rPr>
      </w:pPr>
      <w:r w:rsidRPr="00FF0C30">
        <w:rPr>
          <w:rFonts w:cs="Times New Roman"/>
          <w:szCs w:val="24"/>
          <w:lang w:val="en-US"/>
        </w:rPr>
        <w:t xml:space="preserve">The flexibility to mitigate loss is analogous to a put option on </w:t>
      </w:r>
      <w:r w:rsidR="004B04D8">
        <w:rPr>
          <w:rFonts w:cs="Times New Roman"/>
          <w:szCs w:val="24"/>
          <w:lang w:val="en-US"/>
        </w:rPr>
        <w:t>ω</w:t>
      </w:r>
      <w:r w:rsidR="004B04D8" w:rsidRPr="00481A23">
        <w:rPr>
          <w:rFonts w:cs="Times New Roman"/>
          <w:i/>
          <w:szCs w:val="24"/>
          <w:vertAlign w:val="subscript"/>
          <w:lang w:val="en-US"/>
        </w:rPr>
        <w:t>c</w:t>
      </w:r>
      <w:r w:rsidRPr="00FF0C30">
        <w:rPr>
          <w:rFonts w:cs="Times New Roman"/>
          <w:szCs w:val="24"/>
          <w:lang w:val="en-US"/>
        </w:rPr>
        <w:t xml:space="preserve"> of the base-scale project with a strike price of the potential cost savings, </w:t>
      </w:r>
      <w:r w:rsidRPr="00FF0C30">
        <w:rPr>
          <w:rFonts w:cs="Times New Roman"/>
          <w:i/>
          <w:szCs w:val="24"/>
          <w:lang w:val="en-US"/>
        </w:rPr>
        <w:t>I</w:t>
      </w:r>
      <w:r w:rsidRPr="00FF0C30">
        <w:rPr>
          <w:rFonts w:cs="Times New Roman"/>
          <w:i/>
          <w:szCs w:val="24"/>
          <w:vertAlign w:val="subscript"/>
          <w:lang w:val="en-US"/>
        </w:rPr>
        <w:t>C</w:t>
      </w:r>
      <w:r w:rsidRPr="00FF0C30">
        <w:rPr>
          <w:rFonts w:cs="Times New Roman"/>
          <w:szCs w:val="24"/>
          <w:lang w:val="en-US"/>
        </w:rPr>
        <w:t xml:space="preserve">. </w:t>
      </w:r>
    </w:p>
    <w:p w:rsidR="00DC7B8B" w:rsidRPr="00662E04" w:rsidRDefault="00DC7B8B" w:rsidP="00307256">
      <w:pPr>
        <w:pStyle w:val="4"/>
      </w:pPr>
      <w:r w:rsidRPr="00662E04">
        <w:t xml:space="preserve">5. Option to temporarily shut down (and re-start) operations </w:t>
      </w:r>
    </w:p>
    <w:p w:rsidR="00DC7B8B" w:rsidRPr="00FF0C30" w:rsidRDefault="00DC7B8B" w:rsidP="00307256">
      <w:pPr>
        <w:rPr>
          <w:rFonts w:ascii="F16" w:hAnsi="F16" w:cs="F16"/>
          <w:szCs w:val="24"/>
          <w:lang w:val="en-US"/>
        </w:rPr>
      </w:pPr>
      <w:r w:rsidRPr="00FF0C30">
        <w:rPr>
          <w:rFonts w:cs="Times New Roman"/>
          <w:szCs w:val="24"/>
          <w:lang w:val="en-US"/>
        </w:rPr>
        <w:t xml:space="preserve">In the real-world, the </w:t>
      </w:r>
      <w:r>
        <w:rPr>
          <w:rFonts w:cs="Times New Roman"/>
          <w:szCs w:val="24"/>
          <w:lang w:val="en-US"/>
        </w:rPr>
        <w:t>project</w:t>
      </w:r>
      <w:r w:rsidRPr="00FF0C30">
        <w:rPr>
          <w:rFonts w:cs="Times New Roman"/>
          <w:szCs w:val="24"/>
          <w:lang w:val="en-US"/>
        </w:rPr>
        <w:t xml:space="preserve"> does not have to operate and extract the </w:t>
      </w:r>
      <w:r>
        <w:rPr>
          <w:rFonts w:cs="Times New Roman"/>
          <w:szCs w:val="24"/>
          <w:lang w:val="en-US"/>
        </w:rPr>
        <w:t>oil</w:t>
      </w:r>
      <w:r w:rsidRPr="00FF0C30">
        <w:rPr>
          <w:rFonts w:cs="Times New Roman"/>
          <w:szCs w:val="24"/>
          <w:lang w:val="en-US"/>
        </w:rPr>
        <w:t xml:space="preserve"> in each and every period of the project life. In fact, if </w:t>
      </w:r>
      <w:r>
        <w:rPr>
          <w:rFonts w:cs="Times New Roman"/>
          <w:szCs w:val="24"/>
          <w:lang w:val="en-US"/>
        </w:rPr>
        <w:t>world oil</w:t>
      </w:r>
      <w:r w:rsidRPr="00FF0C30">
        <w:rPr>
          <w:rFonts w:cs="Times New Roman"/>
          <w:szCs w:val="24"/>
          <w:lang w:val="en-US"/>
        </w:rPr>
        <w:t xml:space="preserve"> prices are such that cash revenues are not sufficient to </w:t>
      </w:r>
      <w:r>
        <w:rPr>
          <w:rFonts w:cs="Times New Roman"/>
          <w:szCs w:val="24"/>
          <w:lang w:val="en-US"/>
        </w:rPr>
        <w:t>cover variable operating costs</w:t>
      </w:r>
      <w:r w:rsidRPr="00FF0C30">
        <w:rPr>
          <w:rFonts w:cs="Times New Roman"/>
          <w:szCs w:val="24"/>
          <w:lang w:val="en-US"/>
        </w:rPr>
        <w:t xml:space="preserve">, it might be better to temporarily </w:t>
      </w:r>
      <w:r>
        <w:rPr>
          <w:rFonts w:cs="Times New Roman"/>
          <w:szCs w:val="24"/>
          <w:lang w:val="en-US"/>
        </w:rPr>
        <w:t>stop</w:t>
      </w:r>
      <w:r w:rsidRPr="00FF0C30">
        <w:rPr>
          <w:rFonts w:cs="Times New Roman"/>
          <w:szCs w:val="24"/>
          <w:lang w:val="en-US"/>
        </w:rPr>
        <w:t xml:space="preserve"> the operation. Operations can start up again, if prices increase sufficiently. Therefore, operation in each specific period (</w:t>
      </w:r>
      <w:r>
        <w:rPr>
          <w:rFonts w:cs="Times New Roman"/>
          <w:szCs w:val="24"/>
          <w:lang w:val="en-US"/>
        </w:rPr>
        <w:t>i.e.</w:t>
      </w:r>
      <w:r w:rsidRPr="00FF0C30">
        <w:rPr>
          <w:rFonts w:cs="Times New Roman"/>
          <w:szCs w:val="24"/>
          <w:lang w:val="en-US"/>
        </w:rPr>
        <w:t xml:space="preserve"> year) can </w:t>
      </w:r>
      <w:r w:rsidRPr="00FF0C30">
        <w:rPr>
          <w:rFonts w:cs="Times New Roman"/>
          <w:szCs w:val="24"/>
          <w:lang w:val="en-US"/>
        </w:rPr>
        <w:lastRenderedPageBreak/>
        <w:t xml:space="preserve">be seen as a call option to acquire the revenues of the period, </w:t>
      </w:r>
      <w:r w:rsidRPr="00FF0C30">
        <w:rPr>
          <w:rFonts w:cs="Times New Roman"/>
          <w:i/>
          <w:szCs w:val="24"/>
          <w:lang w:val="en-US"/>
        </w:rPr>
        <w:t>R</w:t>
      </w:r>
      <w:r w:rsidRPr="00FF0C30">
        <w:rPr>
          <w:rFonts w:cs="Times New Roman"/>
          <w:szCs w:val="24"/>
          <w:lang w:val="en-US"/>
        </w:rPr>
        <w:t xml:space="preserve">, by paying the variable costs of operating, </w:t>
      </w:r>
      <w:r w:rsidRPr="00FF0C30">
        <w:rPr>
          <w:rFonts w:cs="Times New Roman"/>
          <w:i/>
          <w:szCs w:val="24"/>
          <w:lang w:val="en-US"/>
        </w:rPr>
        <w:t>I</w:t>
      </w:r>
      <w:r w:rsidRPr="00FF0C30">
        <w:rPr>
          <w:rFonts w:cs="Times New Roman"/>
          <w:i/>
          <w:szCs w:val="24"/>
          <w:vertAlign w:val="subscript"/>
          <w:lang w:val="en-US"/>
        </w:rPr>
        <w:t>V</w:t>
      </w:r>
      <w:r w:rsidRPr="00FF0C30">
        <w:rPr>
          <w:rFonts w:cs="Times New Roman"/>
          <w:szCs w:val="24"/>
          <w:vertAlign w:val="subscript"/>
          <w:lang w:val="en-US"/>
        </w:rPr>
        <w:t>,</w:t>
      </w:r>
      <w:r w:rsidRPr="00FF0C30">
        <w:rPr>
          <w:rFonts w:cs="Times New Roman"/>
          <w:szCs w:val="24"/>
          <w:lang w:val="en-US"/>
        </w:rPr>
        <w:t xml:space="preserve"> as the strike price. </w:t>
      </w:r>
    </w:p>
    <w:p w:rsidR="00DC7B8B" w:rsidRPr="00662E04" w:rsidRDefault="00DC7B8B" w:rsidP="00307256">
      <w:pPr>
        <w:pStyle w:val="4"/>
      </w:pPr>
      <w:r w:rsidRPr="00662E04">
        <w:t xml:space="preserve">6. Option to abandon for salvage value </w:t>
      </w:r>
    </w:p>
    <w:p w:rsidR="00DC7B8B" w:rsidRDefault="00DC7B8B" w:rsidP="00307256">
      <w:pPr>
        <w:rPr>
          <w:rFonts w:cs="Times New Roman"/>
          <w:szCs w:val="24"/>
          <w:lang w:val="en-US"/>
        </w:rPr>
      </w:pPr>
      <w:r w:rsidRPr="00FF0C30">
        <w:rPr>
          <w:rFonts w:cs="Times New Roman"/>
          <w:szCs w:val="24"/>
          <w:lang w:val="en-US"/>
        </w:rPr>
        <w:t xml:space="preserve">If </w:t>
      </w:r>
      <w:r>
        <w:rPr>
          <w:rFonts w:cs="Times New Roman"/>
          <w:szCs w:val="24"/>
          <w:lang w:val="en-US"/>
        </w:rPr>
        <w:t>world oil</w:t>
      </w:r>
      <w:r w:rsidRPr="00FF0C30">
        <w:rPr>
          <w:rFonts w:cs="Times New Roman"/>
          <w:szCs w:val="24"/>
          <w:lang w:val="en-US"/>
        </w:rPr>
        <w:t xml:space="preserve"> price</w:t>
      </w:r>
      <w:r>
        <w:rPr>
          <w:rFonts w:cs="Times New Roman"/>
          <w:szCs w:val="24"/>
          <w:lang w:val="en-US"/>
        </w:rPr>
        <w:t xml:space="preserve">s suffer a sustainable decline </w:t>
      </w:r>
      <w:r w:rsidRPr="00FF0C30">
        <w:rPr>
          <w:rFonts w:cs="Times New Roman"/>
          <w:szCs w:val="24"/>
          <w:lang w:val="en-US"/>
        </w:rPr>
        <w:t>or if the quantity of reserves turns out to be significantly less, management does not have to continue incurring fixed costs. Management has the option to permanently abandon the project in exchange for its salvage value. This option can be valued as an American put option on the current project value with a strike price of the salvage or best alternative use value</w:t>
      </w:r>
      <w:r>
        <w:rPr>
          <w:rFonts w:cs="Times New Roman"/>
          <w:szCs w:val="24"/>
          <w:lang w:val="en-US"/>
        </w:rPr>
        <w:t xml:space="preserve"> </w:t>
      </w:r>
      <w:r w:rsidRPr="0019295E">
        <w:rPr>
          <w:rFonts w:cs="Times New Roman"/>
          <w:i/>
          <w:szCs w:val="24"/>
          <w:lang w:val="en-US"/>
        </w:rPr>
        <w:t>A</w:t>
      </w:r>
      <w:r w:rsidRPr="00FF0C30">
        <w:rPr>
          <w:rFonts w:cs="Times New Roman"/>
          <w:szCs w:val="24"/>
          <w:lang w:val="en-US"/>
        </w:rPr>
        <w:t xml:space="preserve">. </w:t>
      </w:r>
    </w:p>
    <w:p w:rsidR="00307256" w:rsidRPr="00FF0C30" w:rsidRDefault="00307256" w:rsidP="00307256">
      <w:pPr>
        <w:rPr>
          <w:rFonts w:ascii="F16" w:hAnsi="F16" w:cs="F16"/>
          <w:szCs w:val="24"/>
          <w:lang w:val="en-US"/>
        </w:rPr>
      </w:pPr>
      <w:r>
        <w:rPr>
          <w:rFonts w:cs="Times New Roman"/>
          <w:szCs w:val="24"/>
          <w:lang w:val="en-US"/>
        </w:rPr>
        <w:t xml:space="preserve">Value of this option highly depends on the salvage value of the related assets. If the equipment can be sold or reused on another oilfield or plant, the value of option to abandon will significantly increase net present value of the project. </w:t>
      </w:r>
    </w:p>
    <w:p w:rsidR="00DC7B8B" w:rsidRPr="00662E04" w:rsidRDefault="00DC7B8B" w:rsidP="00307256">
      <w:pPr>
        <w:pStyle w:val="4"/>
      </w:pPr>
      <w:r w:rsidRPr="00662E04">
        <w:t xml:space="preserve">7. Option to switch inputs or outputs </w:t>
      </w:r>
    </w:p>
    <w:p w:rsidR="00DC7B8B" w:rsidRDefault="00DC7B8B" w:rsidP="00DC7B8B">
      <w:pPr>
        <w:rPr>
          <w:lang w:val="en-US"/>
        </w:rPr>
      </w:pPr>
      <w:r w:rsidRPr="00FF0C30">
        <w:rPr>
          <w:lang w:val="en-US"/>
        </w:rPr>
        <w:t xml:space="preserve">The associated </w:t>
      </w:r>
      <w:r>
        <w:rPr>
          <w:lang w:val="en-US"/>
        </w:rPr>
        <w:t xml:space="preserve">oil refinery </w:t>
      </w:r>
      <w:r w:rsidRPr="00FF0C30">
        <w:rPr>
          <w:lang w:val="en-US"/>
        </w:rPr>
        <w:t>operation of this example can be designed to use alternative forms of energy inputs</w:t>
      </w:r>
      <w:r>
        <w:rPr>
          <w:lang w:val="en-US"/>
        </w:rPr>
        <w:t xml:space="preserve"> – </w:t>
      </w:r>
      <w:r w:rsidRPr="00FF0C30">
        <w:rPr>
          <w:lang w:val="en-US"/>
        </w:rPr>
        <w:t>such as oil, gas, or electricity</w:t>
      </w:r>
      <w:r>
        <w:rPr>
          <w:lang w:val="en-US"/>
        </w:rPr>
        <w:t xml:space="preserve"> – </w:t>
      </w:r>
      <w:r w:rsidRPr="00FF0C30">
        <w:rPr>
          <w:lang w:val="en-US"/>
        </w:rPr>
        <w:t xml:space="preserve">to convert the </w:t>
      </w:r>
      <w:r>
        <w:rPr>
          <w:lang w:val="en-US"/>
        </w:rPr>
        <w:t>crude oil</w:t>
      </w:r>
      <w:r w:rsidRPr="00FF0C30">
        <w:rPr>
          <w:lang w:val="en-US"/>
        </w:rPr>
        <w:t xml:space="preserve"> into a variety of output by</w:t>
      </w:r>
      <w:r>
        <w:rPr>
          <w:lang w:val="en-US"/>
        </w:rPr>
        <w:noBreakHyphen/>
      </w:r>
      <w:r w:rsidRPr="00FF0C30">
        <w:rPr>
          <w:lang w:val="en-US"/>
        </w:rPr>
        <w:t xml:space="preserve">products. </w:t>
      </w:r>
    </w:p>
    <w:p w:rsidR="00DC7B8B" w:rsidRPr="00FF0C30" w:rsidRDefault="00DC7B8B" w:rsidP="00DC7B8B">
      <w:pPr>
        <w:rPr>
          <w:lang w:val="en-US"/>
        </w:rPr>
      </w:pPr>
      <w:r w:rsidRPr="00FF0C30">
        <w:rPr>
          <w:lang w:val="en-US"/>
        </w:rPr>
        <w:t>This valuable built</w:t>
      </w:r>
      <w:r>
        <w:rPr>
          <w:lang w:val="en-US"/>
        </w:rPr>
        <w:noBreakHyphen/>
      </w:r>
      <w:r w:rsidRPr="00FF0C30">
        <w:rPr>
          <w:lang w:val="en-US"/>
        </w:rPr>
        <w:t>in flexibility provides options to switch from the current input to the cheapest future input, or from the current output to the most profitable future product mix, as the relative prices of the inputs and/or outputs fluctuate over time. Therefore, the firm should be willing to pay a certain premium for such a flexible technology over a rigid alternative with no or less flexibility.</w:t>
      </w:r>
      <w:r>
        <w:rPr>
          <w:lang w:val="en-US"/>
        </w:rPr>
        <w:t xml:space="preserve"> </w:t>
      </w:r>
      <w:r w:rsidRPr="00FF0C30">
        <w:rPr>
          <w:lang w:val="en-US"/>
        </w:rPr>
        <w:t xml:space="preserve">A firm which can develop more uses for its assets in this way may have a significant </w:t>
      </w:r>
      <w:r>
        <w:rPr>
          <w:lang w:val="en-US"/>
        </w:rPr>
        <w:t>competitive</w:t>
      </w:r>
      <w:r w:rsidR="00307256">
        <w:rPr>
          <w:lang w:val="en-US"/>
        </w:rPr>
        <w:t xml:space="preserve"> advantage.</w:t>
      </w:r>
      <w:r w:rsidRPr="00FF0C30">
        <w:rPr>
          <w:lang w:val="en-US"/>
        </w:rPr>
        <w:t xml:space="preserve"> </w:t>
      </w:r>
    </w:p>
    <w:p w:rsidR="00DC7B8B" w:rsidRPr="00662E04" w:rsidRDefault="00DC7B8B" w:rsidP="00307256">
      <w:pPr>
        <w:pStyle w:val="4"/>
      </w:pPr>
      <w:r w:rsidRPr="00662E04">
        <w:t>8. Corporate growth options</w:t>
      </w:r>
    </w:p>
    <w:p w:rsidR="00DC7B8B" w:rsidRDefault="00DC7B8B" w:rsidP="00DC7B8B">
      <w:pPr>
        <w:rPr>
          <w:lang w:val="en-US"/>
        </w:rPr>
      </w:pPr>
      <w:r>
        <w:rPr>
          <w:rFonts w:cs="Times New Roman"/>
          <w:szCs w:val="24"/>
          <w:lang w:val="en-US"/>
        </w:rPr>
        <w:fldChar w:fldCharType="begin" w:fldLock="1"/>
      </w:r>
      <w:r w:rsidR="00587F48">
        <w:rPr>
          <w:rFonts w:cs="Times New Roman"/>
          <w:szCs w:val="24"/>
          <w:lang w:val="en-US"/>
        </w:rPr>
        <w:instrText>ADDIN CSL_CITATION { "citationItems" : [ { "id" : "ITEM-1", "itemData" : { "author" : [ { "dropping-particle" : "", "family" : "Kobari", "given" : "Laleh", "non-dropping-particle" : "", "parse-names" : false, "suffix" : "" } ], "id" : "ITEM-1", "issued" : { "date-parts" : [ [ "2014" ] ] }, "number-of-pages" : "150", "publisher" : "University of Toronto", "title" : "Evaluation of Oil Sands Projects and Their Expansion Rate Using Real Options", "type" : "thesis" }, "uris" : [ "http://www.mendeley.com/documents/?uuid=983d648b-05bc-3ec4-886d-50a34ef214ed" ] } ], "mendeley" : { "formattedCitation" : "(Kobari 2014)", "plainTextFormattedCitation" : "(Kobari 2014)", "previouslyFormattedCitation" : "(Kobari 2014)" }, "properties" : { "noteIndex" : 0 }, "schema" : "https://github.com/citation-style-language/schema/raw/master/csl-citation.json" }</w:instrText>
      </w:r>
      <w:r>
        <w:rPr>
          <w:rFonts w:cs="Times New Roman"/>
          <w:szCs w:val="24"/>
          <w:lang w:val="en-US"/>
        </w:rPr>
        <w:fldChar w:fldCharType="separate"/>
      </w:r>
      <w:r w:rsidR="00587F48" w:rsidRPr="00587F48">
        <w:rPr>
          <w:rFonts w:cs="Times New Roman"/>
          <w:noProof/>
          <w:szCs w:val="24"/>
          <w:lang w:val="en-US"/>
        </w:rPr>
        <w:t>(Kobari 2014)</w:t>
      </w:r>
      <w:r>
        <w:rPr>
          <w:rFonts w:cs="Times New Roman"/>
          <w:szCs w:val="24"/>
          <w:lang w:val="en-US"/>
        </w:rPr>
        <w:fldChar w:fldCharType="end"/>
      </w:r>
      <w:r>
        <w:rPr>
          <w:rFonts w:cs="Times New Roman"/>
          <w:szCs w:val="24"/>
          <w:lang w:val="en-US"/>
        </w:rPr>
        <w:t xml:space="preserve"> refers to corporate growth options as to a special case </w:t>
      </w:r>
      <w:r w:rsidRPr="00FF0C30">
        <w:rPr>
          <w:lang w:val="en-US"/>
        </w:rPr>
        <w:t>of the op</w:t>
      </w:r>
      <w:r>
        <w:rPr>
          <w:lang w:val="en-US"/>
        </w:rPr>
        <w:t>tion to expand, explained above</w:t>
      </w:r>
      <w:r w:rsidRPr="00FF0C30">
        <w:rPr>
          <w:lang w:val="en-US"/>
        </w:rPr>
        <w:t xml:space="preserve">. Corporate growth options set the path of future opportunities. For example, assume that the proposed </w:t>
      </w:r>
      <w:r>
        <w:rPr>
          <w:lang w:val="en-US"/>
        </w:rPr>
        <w:t>refinement</w:t>
      </w:r>
      <w:r w:rsidRPr="00FF0C30">
        <w:rPr>
          <w:lang w:val="en-US"/>
        </w:rPr>
        <w:t xml:space="preserve"> facility in this example is based on a new, technologically superior process, which has been tested internally on a pilot plant basis. </w:t>
      </w:r>
    </w:p>
    <w:p w:rsidR="00DC7B8B" w:rsidRDefault="00DC7B8B" w:rsidP="00DC7B8B">
      <w:pPr>
        <w:rPr>
          <w:lang w:val="en-US"/>
        </w:rPr>
      </w:pPr>
      <w:r w:rsidRPr="00FF0C30">
        <w:rPr>
          <w:lang w:val="en-US"/>
        </w:rPr>
        <w:t xml:space="preserve">Even though the proposed facility in isolation may appear unattractive, it could be the first facility in a series of similar facilities if the process is successfully developed. The initial facility may even lead to production of entirely new </w:t>
      </w:r>
      <w:r>
        <w:rPr>
          <w:lang w:val="en-US"/>
        </w:rPr>
        <w:t xml:space="preserve">oil </w:t>
      </w:r>
      <w:r w:rsidRPr="00FF0C30">
        <w:rPr>
          <w:lang w:val="en-US"/>
        </w:rPr>
        <w:t xml:space="preserve">by-products. </w:t>
      </w:r>
    </w:p>
    <w:p w:rsidR="007441FE" w:rsidRDefault="007441FE" w:rsidP="008A48B5">
      <w:pPr>
        <w:pStyle w:val="3"/>
      </w:pPr>
      <w:r>
        <w:t>Russian specifics</w:t>
      </w:r>
    </w:p>
    <w:p w:rsidR="007441FE" w:rsidRPr="007A769B" w:rsidRDefault="007441FE" w:rsidP="007441FE">
      <w:pPr>
        <w:rPr>
          <w:lang w:val="en-US"/>
        </w:rPr>
      </w:pPr>
      <w:r w:rsidRPr="007A769B">
        <w:rPr>
          <w:lang w:val="en-US"/>
        </w:rPr>
        <w:t xml:space="preserve">Russia is the world’s largest hydrocarbon producer, producing 15% of total hydrocarbons. Russia produces 12.8% of global oil and 17.6% of global gas, making the country the world’s top oil and </w:t>
      </w:r>
      <w:r w:rsidRPr="007A769B">
        <w:rPr>
          <w:lang w:val="en-US"/>
        </w:rPr>
        <w:lastRenderedPageBreak/>
        <w:t>gas producer on a combined basis. In 2013, Russia produced 10.5 mln bpd of oil, ranking second in terms of</w:t>
      </w:r>
      <w:r>
        <w:rPr>
          <w:lang w:val="en-US"/>
        </w:rPr>
        <w:t xml:space="preserve"> </w:t>
      </w:r>
      <w:r w:rsidRPr="007A769B">
        <w:rPr>
          <w:lang w:val="en-US"/>
        </w:rPr>
        <w:t>global production after Saudi Arabia. In 2013, Russia also produced 684 bcm of gas, making it the world’s second-largest gas producer after the US.</w:t>
      </w:r>
      <w:r w:rsidR="008A48B5">
        <w:rPr>
          <w:lang w:val="en-US"/>
        </w:rPr>
        <w:t xml:space="preserve"> </w:t>
      </w:r>
      <w:r w:rsidR="008A48B5">
        <w:rPr>
          <w:lang w:val="en-US"/>
        </w:rPr>
        <w:fldChar w:fldCharType="begin" w:fldLock="1"/>
      </w:r>
      <w:r w:rsidR="008F1F91">
        <w:rPr>
          <w:lang w:val="en-US"/>
        </w:rPr>
        <w:instrText>ADDIN CSL_CITATION { "citationItems" : [ { "id" : "ITEM-1", "itemData" : { "author" : [ { "dropping-particle" : "", "family" : "Nazarov", "given" : "Alexander", "non-dropping-particle" : "", "parse-names" : false, "suffix" : "" }, { "dropping-particle" : "", "family" : "Khromushin", "given" : "Ivan", "non-dropping-particle" : "", "parse-names" : false, "suffix" : "" }, { "dropping-particle" : "", "family" : "Dorokhov", "given" : "Alexey", "non-dropping-particle" : "", "parse-names" : false, "suffix" : "" }, { "dropping-particle" : "", "family" : "Zinovyeva", "given" : "Ekaterina", "non-dropping-particle" : "", "parse-names" : false, "suffix" : "" }, { "dropping-particle" : "", "family" : "Tulinov", "given" : "Yury", "non-dropping-particle" : "", "parse-names" : false, "suffix" : "" }, { "dropping-particle" : "", "family" : "DePoy", "given" : "Erik", "non-dropping-particle" : "", "parse-names" : false, "suffix" : "" } ], "container-title" : "Gazprombank Industry Update", "id" : "ITEM-1", "issue" : "June", "issued" : { "date-parts" : [ [ "2014" ] ] }, "number-of-pages" : "1-41", "publisher-place" : "Moscow", "title" : "Russian Oil and Gas. Basic industry overview", "type" : "report" }, "uris" : [ "http://www.mendeley.com/documents/?uuid=eb0314eb-c28b-437c-9bf6-63f002d00622" ] } ], "mendeley" : { "formattedCitation" : "(Nazarov, Khromushin, Dorokhov, Zinovyeva, et al. 2014)", "plainTextFormattedCitation" : "(Nazarov, Khromushin, Dorokhov, Zinovyeva, et al. 2014)", "previouslyFormattedCitation" : "(Nazarov, Khromushin, Dorokhov, Zinovyeva, et al. 2014)" }, "properties" : { "noteIndex" : 0 }, "schema" : "https://github.com/citation-style-language/schema/raw/master/csl-citation.json" }</w:instrText>
      </w:r>
      <w:r w:rsidR="008A48B5">
        <w:rPr>
          <w:lang w:val="en-US"/>
        </w:rPr>
        <w:fldChar w:fldCharType="separate"/>
      </w:r>
      <w:r w:rsidR="00587F48" w:rsidRPr="00587F48">
        <w:rPr>
          <w:noProof/>
          <w:lang w:val="en-US"/>
        </w:rPr>
        <w:t>(Nazarov, Khromushin, Dorokhov, Zinovyeva, et al. 2014)</w:t>
      </w:r>
      <w:r w:rsidR="008A48B5">
        <w:rPr>
          <w:lang w:val="en-US"/>
        </w:rPr>
        <w:fldChar w:fldCharType="end"/>
      </w:r>
    </w:p>
    <w:p w:rsidR="007441FE" w:rsidRDefault="007441FE" w:rsidP="007441FE">
      <w:pPr>
        <w:rPr>
          <w:lang w:val="en-US"/>
        </w:rPr>
      </w:pPr>
      <w:r w:rsidRPr="007A769B">
        <w:rPr>
          <w:lang w:val="en-US"/>
        </w:rPr>
        <w:t xml:space="preserve">Oil and gas industry – the most important for Russia’s economy. Russia’s significant weight in the global economy has historically been underpinned by the country’s strong oil and gas sector. </w:t>
      </w:r>
      <w:r>
        <w:rPr>
          <w:lang w:val="en-US"/>
        </w:rPr>
        <w:t>Before Ukrainian crisis,</w:t>
      </w:r>
      <w:r w:rsidRPr="007A769B">
        <w:rPr>
          <w:lang w:val="en-US"/>
        </w:rPr>
        <w:t xml:space="preserve"> the sector accounted for</w:t>
      </w:r>
      <w:r>
        <w:rPr>
          <w:lang w:val="en-US"/>
        </w:rPr>
        <w:t xml:space="preserve"> </w:t>
      </w:r>
      <w:r w:rsidRPr="007A769B">
        <w:rPr>
          <w:lang w:val="en-US"/>
        </w:rPr>
        <w:t>28% of Russia’s GDP, 67% of the country’s exports and 56% of total revenues of the federal budget.</w:t>
      </w:r>
      <w:r w:rsidR="008A48B5">
        <w:rPr>
          <w:lang w:val="en-US"/>
        </w:rPr>
        <w:t xml:space="preserve"> </w:t>
      </w:r>
      <w:r w:rsidR="008A48B5">
        <w:rPr>
          <w:lang w:val="en-US"/>
        </w:rPr>
        <w:fldChar w:fldCharType="begin" w:fldLock="1"/>
      </w:r>
      <w:r w:rsidR="00666082">
        <w:rPr>
          <w:lang w:val="en-US"/>
        </w:rPr>
        <w:instrText>ADDIN CSL_CITATION { "citationItems" : [ { "id" : "ITEM-1", "itemData" : { "abstract" : "Topic of the week Trends in oil and gas production costs In this issue of Oil and Gas Weekly, we discuss five-year trends in the dynamics of hydrocarbon production costs of Russian and global oil and gas companies. Most global oil companies are showing close to zero growth in organic oil and gas production, while the cost of crude production continues to increase with each passing year. At the same time, companies need to spend more capex on the upstream segment in order to maintain their level of production. As Russian oil companies continue to develop conventional onshore oil and gas resources, it is still cheaper to produce oil in Russia compared to oil produced by international oil companies that have a significant proportion of offshore deepwater and unconventional oil production in total output. We also note that the lower production costs of Russian integrated oil companies are partly offset by higher transportation costs and a heavier tax burden. Given the ongoing depletion of brownfields and limited supply of crude from greenfields, we expect lifting costs and upstream capex to continue to increase, as the companies will continue to develop greenfields to compensate for the production decline from brownfields. We also expect that the pace of growth in production costs and upstream capex of Russian oil companies will be higher, as the share of expensive unconventional oil production will increase. In order to support overall Russian crude output, further support of the Russian oil industry, including tax breaks for the development of crude oil, may be required. Equity. Oil prices and the ruble are still weak and we see no specific drivers next week for Russian O&amp;G company shares. We note that the preferred shares of Surgutneftegas and Tatneft remain a hedge against ruble depreciation.", "author" : [ { "dropping-particle" : "", "family" : "Nazarov", "given" : "Alexander", "non-dropping-particle" : "", "parse-names" : false, "suffix" : "" }, { "dropping-particle" : "", "family" : "Khromushin", "given" : "Ivan", "non-dropping-particle" : "", "parse-names" : false, "suffix" : "" }, { "dropping-particle" : "", "family" : "Dorokhov", "given" : "Alexey", "non-dropping-particle" : "", "parse-names" : false, "suffix" : "" }, { "dropping-particle" : "", "family" : "Zinovyeva", "given" : "Ekaterina", "non-dropping-particle" : "", "parse-names" : false, "suffix" : "" } ], "id" : "ITEM-1", "issued" : { "date-parts" : [ [ "2014" ] ] }, "title" : "Oil and Gas Weekly", "type" : "article-journal" }, "uris" : [ "http://www.mendeley.com/documents/?uuid=0f495e97-6c13-3c78-af38-fdef1c1cdab4" ] } ], "mendeley" : { "formattedCitation" : "(Nazarov, Khromushin, Dorokhov, and Zinovyeva 2014)", "plainTextFormattedCitation" : "(Nazarov, Khromushin, Dorokhov, and Zinovyeva 2014)", "previouslyFormattedCitation" : "(Nazarov, Khromushin, Dorokhov, and Zinovyeva 2014)" }, "properties" : { "noteIndex" : 0 }, "schema" : "https://github.com/citation-style-language/schema/raw/master/csl-citation.json" }</w:instrText>
      </w:r>
      <w:r w:rsidR="008A48B5">
        <w:rPr>
          <w:lang w:val="en-US"/>
        </w:rPr>
        <w:fldChar w:fldCharType="separate"/>
      </w:r>
      <w:r w:rsidR="00587F48" w:rsidRPr="00587F48">
        <w:rPr>
          <w:noProof/>
          <w:lang w:val="en-US"/>
        </w:rPr>
        <w:t>(Nazarov, Khromushin, Dorokhov, and Zinovyeva 2014)</w:t>
      </w:r>
      <w:r w:rsidR="008A48B5">
        <w:rPr>
          <w:lang w:val="en-US"/>
        </w:rPr>
        <w:fldChar w:fldCharType="end"/>
      </w:r>
    </w:p>
    <w:p w:rsidR="00317C7C" w:rsidRDefault="008A48B5" w:rsidP="007441FE">
      <w:pPr>
        <w:rPr>
          <w:lang w:val="en-US"/>
        </w:rPr>
      </w:pPr>
      <w:r>
        <w:rPr>
          <w:lang w:val="en-US"/>
        </w:rPr>
        <w:t xml:space="preserve">Due to specifics of natural resources Russian oil producers have extremely low </w:t>
      </w:r>
      <w:r w:rsidR="00317C7C">
        <w:rPr>
          <w:lang w:val="en-US"/>
        </w:rPr>
        <w:t xml:space="preserve">lifting costs and CAPEX comparing to the world market. </w:t>
      </w:r>
      <w:r w:rsidR="00317C7C" w:rsidRPr="00317C7C">
        <w:rPr>
          <w:lang w:val="en-US"/>
        </w:rPr>
        <w:t xml:space="preserve">As Russian oil companies continue to develop conventional onshore oil and gas resources, it is still cheaper to produce oil in Russia compared to oil produced by international oil companies that have a significant proportion of offshore deepwater and unconventional oil production in total output. </w:t>
      </w:r>
      <w:r w:rsidR="00317C7C">
        <w:rPr>
          <w:lang w:val="en-US"/>
        </w:rPr>
        <w:t>However,</w:t>
      </w:r>
      <w:r w:rsidR="00317C7C" w:rsidRPr="00317C7C">
        <w:rPr>
          <w:lang w:val="en-US"/>
        </w:rPr>
        <w:t xml:space="preserve"> the lower production costs of Russian integrated oil companies are partly offset by higher transportation costs and a heavier tax burden. </w:t>
      </w:r>
      <w:r w:rsidR="00317C7C">
        <w:rPr>
          <w:lang w:val="en-US"/>
        </w:rPr>
        <w:fldChar w:fldCharType="begin" w:fldLock="1"/>
      </w:r>
      <w:r w:rsidR="00666082">
        <w:rPr>
          <w:lang w:val="en-US"/>
        </w:rPr>
        <w:instrText>ADDIN CSL_CITATION { "citationItems" : [ { "id" : "ITEM-1", "itemData" : { "abstract" : "Topic of the week Trends in oil and gas production costs In this issue of Oil and Gas Weekly, we discuss five-year trends in the dynamics of hydrocarbon production costs of Russian and global oil and gas companies. Most global oil companies are showing close to zero growth in organic oil and gas production, while the cost of crude production continues to increase with each passing year. At the same time, companies need to spend more capex on the upstream segment in order to maintain their level of production. As Russian oil companies continue to develop conventional onshore oil and gas resources, it is still cheaper to produce oil in Russia compared to oil produced by international oil companies that have a significant proportion of offshore deepwater and unconventional oil production in total output. We also note that the lower production costs of Russian integrated oil companies are partly offset by higher transportation costs and a heavier tax burden. Given the ongoing depletion of brownfields and limited supply of crude from greenfields, we expect lifting costs and upstream capex to continue to increase, as the companies will continue to develop greenfields to compensate for the production decline from brownfields. We also expect that the pace of growth in production costs and upstream capex of Russian oil companies will be higher, as the share of expensive unconventional oil production will increase. In order to support overall Russian crude output, further support of the Russian oil industry, including tax breaks for the development of crude oil, may be required. Equity. Oil prices and the ruble are still weak and we see no specific drivers next week for Russian O&amp;G company shares. We note that the preferred shares of Surgutneftegas and Tatneft remain a hedge against ruble depreciation.", "author" : [ { "dropping-particle" : "", "family" : "Nazarov", "given" : "Alexander", "non-dropping-particle" : "", "parse-names" : false, "suffix" : "" }, { "dropping-particle" : "", "family" : "Khromushin", "given" : "Ivan", "non-dropping-particle" : "", "parse-names" : false, "suffix" : "" }, { "dropping-particle" : "", "family" : "Dorokhov", "given" : "Alexey", "non-dropping-particle" : "", "parse-names" : false, "suffix" : "" }, { "dropping-particle" : "", "family" : "Zinovyeva", "given" : "Ekaterina", "non-dropping-particle" : "", "parse-names" : false, "suffix" : "" } ], "id" : "ITEM-1", "issued" : { "date-parts" : [ [ "2014" ] ] }, "title" : "Oil and Gas Weekly", "type" : "article-journal" }, "uris" : [ "http://www.mendeley.com/documents/?uuid=0f495e97-6c13-3c78-af38-fdef1c1cdab4" ] } ], "mendeley" : { "formattedCitation" : "(Nazarov, Khromushin, Dorokhov, and Zinovyeva 2014)", "plainTextFormattedCitation" : "(Nazarov, Khromushin, Dorokhov, and Zinovyeva 2014)", "previouslyFormattedCitation" : "(Nazarov, Khromushin, Dorokhov, and Zinovyeva 2014)" }, "properties" : { "noteIndex" : 0 }, "schema" : "https://github.com/citation-style-language/schema/raw/master/csl-citation.json" }</w:instrText>
      </w:r>
      <w:r w:rsidR="00317C7C">
        <w:rPr>
          <w:lang w:val="en-US"/>
        </w:rPr>
        <w:fldChar w:fldCharType="separate"/>
      </w:r>
      <w:r w:rsidR="00587F48" w:rsidRPr="00587F48">
        <w:rPr>
          <w:noProof/>
          <w:lang w:val="en-US"/>
        </w:rPr>
        <w:t>(Nazarov, Khromushin, Dorokhov, and Zinovyeva 2014)</w:t>
      </w:r>
      <w:r w:rsidR="00317C7C">
        <w:rPr>
          <w:lang w:val="en-US"/>
        </w:rPr>
        <w:fldChar w:fldCharType="end"/>
      </w:r>
    </w:p>
    <w:p w:rsidR="007441FE" w:rsidRDefault="007441FE" w:rsidP="007441FE">
      <w:pPr>
        <w:rPr>
          <w:lang w:val="en-US"/>
        </w:rPr>
      </w:pPr>
      <w:r>
        <w:rPr>
          <w:lang w:val="en-US"/>
        </w:rPr>
        <w:t>Russia has complicated taxation system, aimed to capture excess returns on oil and gas projects to the federal budget. Payments for mineral resources extraction, and specifically for oil and gas, depend on Russian ruble exchange rate, price of Russian oil URALS and production volumes of the company, location of the oil field, extractable resources, cumulative production volume and some other factors. Total taxation of crude oil sold on export account for 50 to 60 % of revenues, and depend</w:t>
      </w:r>
      <w:r w:rsidR="00317C7C">
        <w:rPr>
          <w:lang w:val="en-US"/>
        </w:rPr>
        <w:t>s</w:t>
      </w:r>
      <w:r>
        <w:rPr>
          <w:lang w:val="en-US"/>
        </w:rPr>
        <w:t xml:space="preserve"> </w:t>
      </w:r>
      <w:r w:rsidR="00317C7C">
        <w:rPr>
          <w:lang w:val="en-US"/>
        </w:rPr>
        <w:t>mostly</w:t>
      </w:r>
      <w:r>
        <w:rPr>
          <w:lang w:val="en-US"/>
        </w:rPr>
        <w:t xml:space="preserve"> on </w:t>
      </w:r>
      <w:r w:rsidR="00317C7C">
        <w:rPr>
          <w:lang w:val="en-US"/>
        </w:rPr>
        <w:t xml:space="preserve">produced </w:t>
      </w:r>
      <w:r>
        <w:rPr>
          <w:lang w:val="en-US"/>
        </w:rPr>
        <w:t>volume</w:t>
      </w:r>
      <w:r w:rsidR="00317C7C">
        <w:rPr>
          <w:lang w:val="en-US"/>
        </w:rPr>
        <w:t xml:space="preserve"> rather than on profit of a tax payer</w:t>
      </w:r>
      <w:r>
        <w:rPr>
          <w:lang w:val="en-US"/>
        </w:rPr>
        <w:t xml:space="preserve">. </w:t>
      </w:r>
      <w:r w:rsidR="00317C7C">
        <w:rPr>
          <w:lang w:val="en-US"/>
        </w:rPr>
        <w:fldChar w:fldCharType="begin" w:fldLock="1"/>
      </w:r>
      <w:r w:rsidR="00587F48">
        <w:rPr>
          <w:lang w:val="en-US"/>
        </w:rPr>
        <w:instrText>ADDIN CSL_CITATION { "citationItems" : [ { "id" : "ITEM-1", "itemData" : { "author" : [ { "dropping-particle" : "", "family" : "Ernst &amp; Young Global Limited", "given" : "", "non-dropping-particle" : "", "parse-names" : false, "suffix" : "" } ], "id" : "ITEM-1", "issued" : { "date-parts" : [ [ "2014" ] ] }, "number-of-pages" : "6", "title" : "Oil and Gas Tax Alert: \u0422ax maneuver Parameters and impact assessment", "type" : "report" }, "uris" : [ "http://www.mendeley.com/documents/?uuid=fe880dd8-8449-4ab5-8883-c2ec7c72854c" ] } ], "mendeley" : { "formattedCitation" : "(Ernst &amp; Young Global Limited 2014)", "plainTextFormattedCitation" : "(Ernst &amp; Young Global Limited 2014)", "previouslyFormattedCitation" : "(Ernst &amp; Young Global Limited 2014)" }, "properties" : { "noteIndex" : 0 }, "schema" : "https://github.com/citation-style-language/schema/raw/master/csl-citation.json" }</w:instrText>
      </w:r>
      <w:r w:rsidR="00317C7C">
        <w:rPr>
          <w:lang w:val="en-US"/>
        </w:rPr>
        <w:fldChar w:fldCharType="separate"/>
      </w:r>
      <w:r w:rsidR="00587F48" w:rsidRPr="00587F48">
        <w:rPr>
          <w:noProof/>
          <w:lang w:val="en-US"/>
        </w:rPr>
        <w:t>(Ernst &amp; Young Global Limited 2014)</w:t>
      </w:r>
      <w:r w:rsidR="00317C7C">
        <w:rPr>
          <w:lang w:val="en-US"/>
        </w:rPr>
        <w:fldChar w:fldCharType="end"/>
      </w:r>
    </w:p>
    <w:p w:rsidR="007441FE" w:rsidRDefault="007441FE" w:rsidP="007441FE">
      <w:pPr>
        <w:rPr>
          <w:lang w:val="en-US"/>
        </w:rPr>
      </w:pPr>
      <w:r>
        <w:rPr>
          <w:lang w:val="en-US"/>
        </w:rPr>
        <w:t>Political situation of the latter years contributes to overall level of uncertainty in the industry. Sanctions from European countries, United States and allies lead to decline in economy and rapid depreciation of Russian ruble, supported by the decline of world oil prices.</w:t>
      </w:r>
    </w:p>
    <w:p w:rsidR="003F6083" w:rsidRDefault="007441FE" w:rsidP="008A48B5">
      <w:pPr>
        <w:rPr>
          <w:lang w:val="en-US"/>
        </w:rPr>
      </w:pPr>
      <w:r>
        <w:rPr>
          <w:lang w:val="en-US"/>
        </w:rPr>
        <w:t>Sanctions also lead to limited access to market of capitals as well as complications with obtaining new technologies, cr</w:t>
      </w:r>
      <w:r w:rsidR="008A48B5">
        <w:rPr>
          <w:lang w:val="en-US"/>
        </w:rPr>
        <w:t>ucial for oil and gas projects.</w:t>
      </w:r>
    </w:p>
    <w:p w:rsidR="00876FF9" w:rsidRDefault="00876FF9" w:rsidP="008A48B5">
      <w:pPr>
        <w:rPr>
          <w:lang w:val="en-US"/>
        </w:rPr>
      </w:pPr>
      <w:r>
        <w:rPr>
          <w:lang w:val="en-US"/>
        </w:rPr>
        <w:fldChar w:fldCharType="begin" w:fldLock="1"/>
      </w:r>
      <w:r w:rsidR="00587F48">
        <w:rPr>
          <w:lang w:val="en-US"/>
        </w:rPr>
        <w:instrText>ADDIN CSL_CITATION { "citationItems" : [ { "id" : "ITEM-1", "itemData" : { "author" : [ { "dropping-particle" : "", "family" : "Laaksonen", "given" : "Eini", "non-dropping-particle" : "", "parse-names" : false, "suffix" : "" } ], "container-title" : "Pan-European Institute", "id" : "ITEM-1", "issued" : { "date-parts" : [ [ "2010" ] ] }, "title" : "Political risks of foreign direct investment in the Russian gas industry \u2013 The Shtokman gas field project in the Arctic Ocean", "type" : "article-journal" }, "uris" : [ "http://www.mendeley.com/documents/?uuid=c6b7d593-605b-4cda-9b97-711a9e47ff01" ] } ], "mendeley" : { "formattedCitation" : "(Laaksonen 2010)", "plainTextFormattedCitation" : "(Laaksonen 2010)", "previouslyFormattedCitation" : "(Laaksonen 2010)" }, "properties" : { "noteIndex" : 0 }, "schema" : "https://github.com/citation-style-language/schema/raw/master/csl-citation.json" }</w:instrText>
      </w:r>
      <w:r>
        <w:rPr>
          <w:lang w:val="en-US"/>
        </w:rPr>
        <w:fldChar w:fldCharType="separate"/>
      </w:r>
      <w:r w:rsidR="00587F48" w:rsidRPr="00587F48">
        <w:rPr>
          <w:noProof/>
          <w:lang w:val="en-US"/>
        </w:rPr>
        <w:t>(Laaksonen 2010)</w:t>
      </w:r>
      <w:r>
        <w:rPr>
          <w:lang w:val="en-US"/>
        </w:rPr>
        <w:fldChar w:fldCharType="end"/>
      </w:r>
      <w:r>
        <w:rPr>
          <w:lang w:val="en-US"/>
        </w:rPr>
        <w:t xml:space="preserve"> summarize risks associated with operating in Russia from the viewpoint of an international investor:</w:t>
      </w:r>
    </w:p>
    <w:p w:rsidR="00876FF9" w:rsidRDefault="00876FF9" w:rsidP="00876FF9">
      <w:pPr>
        <w:rPr>
          <w:lang w:val="en-US"/>
        </w:rPr>
      </w:pPr>
      <w:r w:rsidRPr="00876FF9">
        <w:rPr>
          <w:lang w:val="en-US"/>
        </w:rPr>
        <w:lastRenderedPageBreak/>
        <w:t>1. The investment climate in Russia is ambivalent – foreign investors are needed because</w:t>
      </w:r>
      <w:r>
        <w:rPr>
          <w:lang w:val="en-US"/>
        </w:rPr>
        <w:t xml:space="preserve"> </w:t>
      </w:r>
      <w:r w:rsidRPr="00876FF9">
        <w:rPr>
          <w:lang w:val="en-US"/>
        </w:rPr>
        <w:t>of capital and technology, but the state wants to retain control over large investment</w:t>
      </w:r>
      <w:r>
        <w:rPr>
          <w:lang w:val="en-US"/>
        </w:rPr>
        <w:t xml:space="preserve"> </w:t>
      </w:r>
      <w:r w:rsidRPr="00876FF9">
        <w:rPr>
          <w:lang w:val="en-US"/>
        </w:rPr>
        <w:t>projects, especially in the strategic sectors.</w:t>
      </w:r>
      <w:r>
        <w:rPr>
          <w:lang w:val="en-US"/>
        </w:rPr>
        <w:t xml:space="preserve"> </w:t>
      </w:r>
    </w:p>
    <w:p w:rsidR="00876FF9" w:rsidRDefault="00876FF9" w:rsidP="00876FF9">
      <w:pPr>
        <w:rPr>
          <w:lang w:val="en-US"/>
        </w:rPr>
      </w:pPr>
      <w:r w:rsidRPr="00876FF9">
        <w:rPr>
          <w:lang w:val="en-US"/>
        </w:rPr>
        <w:t>2. In the Russian</w:t>
      </w:r>
      <w:r>
        <w:rPr>
          <w:lang w:val="en-US"/>
        </w:rPr>
        <w:t xml:space="preserve"> oil and</w:t>
      </w:r>
      <w:r w:rsidRPr="00876FF9">
        <w:rPr>
          <w:lang w:val="en-US"/>
        </w:rPr>
        <w:t xml:space="preserve"> gas industry</w:t>
      </w:r>
      <w:r>
        <w:rPr>
          <w:lang w:val="en-US"/>
        </w:rPr>
        <w:t xml:space="preserve"> top level of government play major role</w:t>
      </w:r>
      <w:r w:rsidRPr="00876FF9">
        <w:rPr>
          <w:lang w:val="en-US"/>
        </w:rPr>
        <w:t>. As a consequence, the political risk in this sector stems from the top level of</w:t>
      </w:r>
      <w:r>
        <w:rPr>
          <w:lang w:val="en-US"/>
        </w:rPr>
        <w:t xml:space="preserve"> </w:t>
      </w:r>
      <w:r w:rsidRPr="00876FF9">
        <w:rPr>
          <w:lang w:val="en-US"/>
        </w:rPr>
        <w:t>governance, not from issues at the regional level.</w:t>
      </w:r>
      <w:r>
        <w:rPr>
          <w:lang w:val="en-US"/>
        </w:rPr>
        <w:t xml:space="preserve"> </w:t>
      </w:r>
    </w:p>
    <w:p w:rsidR="00876FF9" w:rsidRDefault="00876FF9" w:rsidP="00876FF9">
      <w:pPr>
        <w:rPr>
          <w:lang w:val="en-US"/>
        </w:rPr>
      </w:pPr>
      <w:r w:rsidRPr="00876FF9">
        <w:rPr>
          <w:lang w:val="en-US"/>
        </w:rPr>
        <w:t>3. International relations between the investor’s home and host country can affect the</w:t>
      </w:r>
      <w:r>
        <w:rPr>
          <w:lang w:val="en-US"/>
        </w:rPr>
        <w:t xml:space="preserve"> </w:t>
      </w:r>
      <w:r w:rsidRPr="00876FF9">
        <w:rPr>
          <w:lang w:val="en-US"/>
        </w:rPr>
        <w:t>political risk faced by the investor, particularly in the gas business, where deals are</w:t>
      </w:r>
      <w:r>
        <w:rPr>
          <w:lang w:val="en-US"/>
        </w:rPr>
        <w:t xml:space="preserve"> </w:t>
      </w:r>
      <w:r w:rsidRPr="00876FF9">
        <w:rPr>
          <w:lang w:val="en-US"/>
        </w:rPr>
        <w:t>made at the top level of governance.</w:t>
      </w:r>
      <w:r>
        <w:rPr>
          <w:lang w:val="en-US"/>
        </w:rPr>
        <w:t xml:space="preserve"> </w:t>
      </w:r>
    </w:p>
    <w:p w:rsidR="00876FF9" w:rsidRDefault="00876FF9" w:rsidP="00876FF9">
      <w:pPr>
        <w:rPr>
          <w:lang w:val="en-US"/>
        </w:rPr>
      </w:pPr>
      <w:r w:rsidRPr="00876FF9">
        <w:rPr>
          <w:lang w:val="en-US"/>
        </w:rPr>
        <w:t>4. In the gas sector, European companies do not have many alternatives where to invest,</w:t>
      </w:r>
      <w:r>
        <w:rPr>
          <w:lang w:val="en-US"/>
        </w:rPr>
        <w:t xml:space="preserve"> </w:t>
      </w:r>
      <w:r w:rsidRPr="00876FF9">
        <w:rPr>
          <w:lang w:val="en-US"/>
        </w:rPr>
        <w:t>and this enables Russia to behave arbitrarily, relying on its current position as a global</w:t>
      </w:r>
      <w:r>
        <w:rPr>
          <w:lang w:val="en-US"/>
        </w:rPr>
        <w:t xml:space="preserve"> </w:t>
      </w:r>
      <w:r w:rsidRPr="00876FF9">
        <w:rPr>
          <w:lang w:val="en-US"/>
        </w:rPr>
        <w:t xml:space="preserve">energy power. </w:t>
      </w:r>
    </w:p>
    <w:p w:rsidR="00876FF9" w:rsidRDefault="00876FF9" w:rsidP="00876FF9">
      <w:pPr>
        <w:rPr>
          <w:lang w:val="en-US"/>
        </w:rPr>
      </w:pPr>
      <w:r w:rsidRPr="00876FF9">
        <w:rPr>
          <w:lang w:val="en-US"/>
        </w:rPr>
        <w:t xml:space="preserve">5. </w:t>
      </w:r>
      <w:r>
        <w:rPr>
          <w:lang w:val="en-US"/>
        </w:rPr>
        <w:t>The</w:t>
      </w:r>
      <w:r w:rsidRPr="00876FF9">
        <w:rPr>
          <w:lang w:val="en-US"/>
        </w:rPr>
        <w:t xml:space="preserve"> area claims might increase tensions in the Arctic. This may have an</w:t>
      </w:r>
      <w:r>
        <w:rPr>
          <w:lang w:val="en-US"/>
        </w:rPr>
        <w:t xml:space="preserve"> </w:t>
      </w:r>
      <w:r w:rsidRPr="00876FF9">
        <w:rPr>
          <w:lang w:val="en-US"/>
        </w:rPr>
        <w:t>impact on the international relations between the Arctic states, for instance between</w:t>
      </w:r>
      <w:r>
        <w:rPr>
          <w:lang w:val="en-US"/>
        </w:rPr>
        <w:t xml:space="preserve"> Norway and Russia.</w:t>
      </w:r>
    </w:p>
    <w:p w:rsidR="00876FF9" w:rsidRDefault="00876FF9" w:rsidP="00876FF9">
      <w:pPr>
        <w:rPr>
          <w:lang w:val="en-US"/>
        </w:rPr>
      </w:pPr>
      <w:r w:rsidRPr="00876FF9">
        <w:rPr>
          <w:lang w:val="en-US"/>
        </w:rPr>
        <w:t>6. Technology and know-how enhance the</w:t>
      </w:r>
      <w:r>
        <w:rPr>
          <w:lang w:val="en-US"/>
        </w:rPr>
        <w:t xml:space="preserve"> </w:t>
      </w:r>
      <w:r w:rsidRPr="00876FF9">
        <w:rPr>
          <w:lang w:val="en-US"/>
        </w:rPr>
        <w:t xml:space="preserve">bargaining power of </w:t>
      </w:r>
      <w:r>
        <w:rPr>
          <w:lang w:val="en-US"/>
        </w:rPr>
        <w:t>foreign partners of Russia.</w:t>
      </w:r>
    </w:p>
    <w:p w:rsidR="00876FF9" w:rsidRDefault="00876FF9" w:rsidP="00876FF9">
      <w:pPr>
        <w:rPr>
          <w:lang w:val="en-US"/>
        </w:rPr>
      </w:pPr>
      <w:r>
        <w:rPr>
          <w:lang w:val="en-US"/>
        </w:rPr>
        <w:t>7</w:t>
      </w:r>
      <w:r w:rsidRPr="00876FF9">
        <w:rPr>
          <w:lang w:val="en-US"/>
        </w:rPr>
        <w:t>. The political risk could more likely be realized in operational issues such as taxation,</w:t>
      </w:r>
      <w:r>
        <w:rPr>
          <w:lang w:val="en-US"/>
        </w:rPr>
        <w:t xml:space="preserve"> </w:t>
      </w:r>
      <w:r w:rsidRPr="00876FF9">
        <w:rPr>
          <w:lang w:val="en-US"/>
        </w:rPr>
        <w:t xml:space="preserve">import or export licenses, changes in legislation, and price controls. </w:t>
      </w:r>
    </w:p>
    <w:p w:rsidR="00EC0639" w:rsidRDefault="00EC0639" w:rsidP="00876FF9">
      <w:pPr>
        <w:rPr>
          <w:lang w:val="en-US"/>
        </w:rPr>
      </w:pPr>
      <w:r>
        <w:rPr>
          <w:lang w:val="en-US"/>
        </w:rPr>
        <w:t>To summarize, Russian players in oil and gas market enjoy competitive conditions of Russian oilfields, which require minimal level of upstream CAPEX. However, main oil and gas reserves are located in the very north of Russia and their development require both massive infrastructural investment and profound technology, which Russian players lack. Participation of foreign players is limited due to political risks and sanctions implied in recent years, however major projects started earlier continue development.</w:t>
      </w:r>
    </w:p>
    <w:p w:rsidR="008F073B" w:rsidRPr="00FF0C30" w:rsidRDefault="008F073B" w:rsidP="0024006E">
      <w:pPr>
        <w:pStyle w:val="2"/>
      </w:pPr>
      <w:bookmarkStart w:id="39" w:name="_Toc484036304"/>
      <w:r w:rsidRPr="00FF0C30">
        <w:t xml:space="preserve">Real options </w:t>
      </w:r>
      <w:r w:rsidR="00A14CDD">
        <w:t>analysis</w:t>
      </w:r>
      <w:r w:rsidR="00CF3C06">
        <w:t xml:space="preserve"> algorithm</w:t>
      </w:r>
      <w:bookmarkEnd w:id="39"/>
    </w:p>
    <w:p w:rsidR="008F073B" w:rsidRPr="00FF0C30" w:rsidRDefault="00317C7C" w:rsidP="00FF0C30">
      <w:pPr>
        <w:pStyle w:val="OfficialNormal"/>
        <w:rPr>
          <w:lang w:val="en-US" w:eastAsia="ru-RU"/>
        </w:rPr>
      </w:pPr>
      <w:r>
        <w:rPr>
          <w:lang w:val="en-US" w:eastAsia="ru-RU"/>
        </w:rPr>
        <w:t xml:space="preserve">This section describes application of real options analysis through a 7-step algorithm and follows logic of  </w:t>
      </w:r>
      <w:r>
        <w:rPr>
          <w:lang w:val="en-US" w:eastAsia="ru-RU"/>
        </w:rPr>
        <w:fldChar w:fldCharType="begin" w:fldLock="1"/>
      </w:r>
      <w:r w:rsidR="00587F48">
        <w:rPr>
          <w:lang w:val="en-US" w:eastAsia="ru-RU"/>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Pr>
          <w:lang w:val="en-US" w:eastAsia="ru-RU"/>
        </w:rPr>
        <w:fldChar w:fldCharType="separate"/>
      </w:r>
      <w:r w:rsidR="00587F48" w:rsidRPr="00587F48">
        <w:rPr>
          <w:noProof/>
          <w:lang w:val="en-US" w:eastAsia="ru-RU"/>
        </w:rPr>
        <w:t>(Mun 2002)</w:t>
      </w:r>
      <w:r>
        <w:rPr>
          <w:lang w:val="en-US" w:eastAsia="ru-RU"/>
        </w:rPr>
        <w:fldChar w:fldCharType="end"/>
      </w:r>
      <w:r>
        <w:rPr>
          <w:lang w:val="en-US" w:eastAsia="ru-RU"/>
        </w:rPr>
        <w:t xml:space="preserve">. </w:t>
      </w:r>
      <w:r w:rsidR="008F073B" w:rsidRPr="00FF0C30">
        <w:rPr>
          <w:lang w:val="en-US" w:eastAsia="ru-RU"/>
        </w:rPr>
        <w:t>Real options analysis can be performed using the following algorithm:</w:t>
      </w:r>
    </w:p>
    <w:p w:rsidR="008F073B" w:rsidRPr="00313122" w:rsidRDefault="008F073B" w:rsidP="00B7274B">
      <w:pPr>
        <w:pStyle w:val="a3"/>
        <w:numPr>
          <w:ilvl w:val="0"/>
          <w:numId w:val="6"/>
        </w:numPr>
        <w:rPr>
          <w:lang w:val="en-US" w:eastAsia="ru-RU"/>
        </w:rPr>
      </w:pPr>
      <w:r w:rsidRPr="00313122">
        <w:rPr>
          <w:lang w:val="en-US" w:eastAsia="ru-RU"/>
        </w:rPr>
        <w:t>Project description and qualitative analysis</w:t>
      </w:r>
    </w:p>
    <w:p w:rsidR="008F073B" w:rsidRPr="00313122" w:rsidRDefault="008F073B" w:rsidP="00B7274B">
      <w:pPr>
        <w:pStyle w:val="a3"/>
        <w:numPr>
          <w:ilvl w:val="0"/>
          <w:numId w:val="6"/>
        </w:numPr>
        <w:rPr>
          <w:lang w:val="en-US" w:eastAsia="ru-RU"/>
        </w:rPr>
      </w:pPr>
      <w:r w:rsidRPr="00313122">
        <w:rPr>
          <w:lang w:val="en-US" w:eastAsia="ru-RU"/>
        </w:rPr>
        <w:t>Time series forecast</w:t>
      </w:r>
    </w:p>
    <w:p w:rsidR="008F073B" w:rsidRPr="00313122" w:rsidRDefault="008F073B" w:rsidP="00B7274B">
      <w:pPr>
        <w:pStyle w:val="a3"/>
        <w:numPr>
          <w:ilvl w:val="0"/>
          <w:numId w:val="6"/>
        </w:numPr>
        <w:rPr>
          <w:lang w:val="en-US" w:eastAsia="ru-RU"/>
        </w:rPr>
      </w:pPr>
      <w:r w:rsidRPr="00313122">
        <w:rPr>
          <w:lang w:val="en-US" w:eastAsia="ru-RU"/>
        </w:rPr>
        <w:t>Base case NPV model</w:t>
      </w:r>
    </w:p>
    <w:p w:rsidR="008F073B" w:rsidRPr="00313122" w:rsidRDefault="008F073B" w:rsidP="00B7274B">
      <w:pPr>
        <w:pStyle w:val="a3"/>
        <w:numPr>
          <w:ilvl w:val="0"/>
          <w:numId w:val="6"/>
        </w:numPr>
        <w:rPr>
          <w:lang w:val="en-US" w:eastAsia="ru-RU"/>
        </w:rPr>
      </w:pPr>
      <w:r w:rsidRPr="00313122">
        <w:rPr>
          <w:lang w:val="en-US" w:eastAsia="ru-RU"/>
        </w:rPr>
        <w:t>Monte Carlo simulation</w:t>
      </w:r>
    </w:p>
    <w:p w:rsidR="008F073B" w:rsidRPr="00313122" w:rsidRDefault="008F073B" w:rsidP="00B7274B">
      <w:pPr>
        <w:pStyle w:val="a3"/>
        <w:numPr>
          <w:ilvl w:val="0"/>
          <w:numId w:val="6"/>
        </w:numPr>
        <w:rPr>
          <w:lang w:val="en-US" w:eastAsia="ru-RU"/>
        </w:rPr>
      </w:pPr>
      <w:r w:rsidRPr="00313122">
        <w:rPr>
          <w:lang w:val="en-US" w:eastAsia="ru-RU"/>
        </w:rPr>
        <w:t>Description of real options</w:t>
      </w:r>
    </w:p>
    <w:p w:rsidR="008F073B" w:rsidRPr="00313122" w:rsidRDefault="008F073B" w:rsidP="00B7274B">
      <w:pPr>
        <w:pStyle w:val="a3"/>
        <w:numPr>
          <w:ilvl w:val="0"/>
          <w:numId w:val="6"/>
        </w:numPr>
        <w:rPr>
          <w:lang w:val="en-US" w:eastAsia="ru-RU"/>
        </w:rPr>
      </w:pPr>
      <w:r w:rsidRPr="00313122">
        <w:rPr>
          <w:lang w:val="en-US" w:eastAsia="ru-RU"/>
        </w:rPr>
        <w:t>Valuation of real options</w:t>
      </w:r>
      <w:r w:rsidR="00F722ED" w:rsidRPr="00313122">
        <w:rPr>
          <w:lang w:val="en-US" w:eastAsia="ru-RU"/>
        </w:rPr>
        <w:t xml:space="preserve"> and a</w:t>
      </w:r>
      <w:r w:rsidRPr="00313122">
        <w:rPr>
          <w:lang w:val="en-US" w:eastAsia="ru-RU"/>
        </w:rPr>
        <w:t>djustment of the base case NPV</w:t>
      </w:r>
    </w:p>
    <w:p w:rsidR="008F073B" w:rsidRPr="00313122" w:rsidRDefault="008F073B" w:rsidP="00B7274B">
      <w:pPr>
        <w:pStyle w:val="a3"/>
        <w:numPr>
          <w:ilvl w:val="0"/>
          <w:numId w:val="6"/>
        </w:numPr>
        <w:rPr>
          <w:lang w:val="en-US" w:eastAsia="ru-RU"/>
        </w:rPr>
      </w:pPr>
      <w:r w:rsidRPr="00313122">
        <w:rPr>
          <w:lang w:val="en-US" w:eastAsia="ru-RU"/>
        </w:rPr>
        <w:lastRenderedPageBreak/>
        <w:t>Formulating risk management recommendations</w:t>
      </w:r>
    </w:p>
    <w:p w:rsidR="008F073B" w:rsidRPr="00FF0C30" w:rsidRDefault="008F073B" w:rsidP="0024006E">
      <w:pPr>
        <w:pStyle w:val="3"/>
      </w:pPr>
      <w:bookmarkStart w:id="40" w:name="_Toc482548307"/>
      <w:bookmarkStart w:id="41" w:name="_Toc482644850"/>
      <w:bookmarkStart w:id="42" w:name="_Toc482651449"/>
      <w:bookmarkStart w:id="43" w:name="_Toc482660475"/>
      <w:r w:rsidRPr="00FF0C30">
        <w:t>Project description and qualitative analysis</w:t>
      </w:r>
      <w:bookmarkEnd w:id="40"/>
      <w:bookmarkEnd w:id="41"/>
      <w:bookmarkEnd w:id="42"/>
      <w:bookmarkEnd w:id="43"/>
    </w:p>
    <w:p w:rsidR="008F073B" w:rsidRPr="00FF0C30" w:rsidRDefault="008F073B" w:rsidP="00FF0C30">
      <w:pPr>
        <w:pStyle w:val="OfficialNormal"/>
        <w:rPr>
          <w:lang w:val="en-US"/>
        </w:rPr>
      </w:pPr>
      <w:r w:rsidRPr="00FF0C30">
        <w:rPr>
          <w:lang w:val="en-US"/>
        </w:rPr>
        <w:t xml:space="preserve">Project description and qualitative analysis is a vital part of </w:t>
      </w:r>
      <w:r w:rsidR="00317C7C">
        <w:rPr>
          <w:lang w:val="en-US"/>
        </w:rPr>
        <w:t>real options analysis</w:t>
      </w:r>
      <w:r w:rsidRPr="00FF0C30">
        <w:rPr>
          <w:lang w:val="en-US"/>
        </w:rPr>
        <w:t xml:space="preserve"> process. </w:t>
      </w:r>
      <w:r w:rsidR="00EC0639">
        <w:rPr>
          <w:lang w:val="en-US"/>
        </w:rPr>
        <w:t>It includes detailed description of factors which influence cash flows of the project.</w:t>
      </w:r>
      <w:r w:rsidR="009512BE">
        <w:rPr>
          <w:lang w:val="en-US"/>
        </w:rPr>
        <w:t xml:space="preserve"> This stage</w:t>
      </w:r>
      <w:r w:rsidRPr="00FF0C30">
        <w:rPr>
          <w:lang w:val="en-US"/>
        </w:rPr>
        <w:t xml:space="preserve"> allows to determine main uncertainties that influence the </w:t>
      </w:r>
      <w:r w:rsidR="009512BE">
        <w:rPr>
          <w:lang w:val="en-US"/>
        </w:rPr>
        <w:t>financial outcome</w:t>
      </w:r>
      <w:r w:rsidRPr="00FF0C30">
        <w:rPr>
          <w:lang w:val="en-US"/>
        </w:rPr>
        <w:t xml:space="preserve"> value and find built in managerial flexibility</w:t>
      </w:r>
      <w:r w:rsidR="009512BE">
        <w:rPr>
          <w:lang w:val="en-US"/>
        </w:rPr>
        <w:t xml:space="preserve"> – essential part of real options identification</w:t>
      </w:r>
      <w:r w:rsidRPr="00FF0C30">
        <w:rPr>
          <w:lang w:val="en-US"/>
        </w:rPr>
        <w:t xml:space="preserve">. </w:t>
      </w:r>
    </w:p>
    <w:p w:rsidR="008F073B" w:rsidRPr="00FF0C30" w:rsidRDefault="002D2C0C" w:rsidP="0024006E">
      <w:pPr>
        <w:pStyle w:val="3"/>
      </w:pPr>
      <w:bookmarkStart w:id="44" w:name="_Toc482548308"/>
      <w:bookmarkStart w:id="45" w:name="_Toc482644851"/>
      <w:bookmarkStart w:id="46" w:name="_Toc482651450"/>
      <w:bookmarkStart w:id="47" w:name="_Toc482660476"/>
      <w:r w:rsidRPr="00FF0C30">
        <w:t>Forecasting</w:t>
      </w:r>
      <w:bookmarkEnd w:id="44"/>
      <w:bookmarkEnd w:id="45"/>
      <w:bookmarkEnd w:id="46"/>
      <w:bookmarkEnd w:id="47"/>
    </w:p>
    <w:p w:rsidR="009512BE" w:rsidRDefault="002D2C0C" w:rsidP="00FF0C30">
      <w:pPr>
        <w:pStyle w:val="OfficialNormal"/>
        <w:rPr>
          <w:lang w:val="en-US"/>
        </w:rPr>
      </w:pPr>
      <w:r w:rsidRPr="00FF0C30">
        <w:rPr>
          <w:lang w:val="en-US"/>
        </w:rPr>
        <w:t>Forecasting</w:t>
      </w:r>
      <w:r w:rsidR="008F073B" w:rsidRPr="00FF0C30">
        <w:rPr>
          <w:lang w:val="en-US"/>
        </w:rPr>
        <w:t xml:space="preserve"> is </w:t>
      </w:r>
      <w:r w:rsidRPr="00FF0C30">
        <w:rPr>
          <w:lang w:val="en-US"/>
        </w:rPr>
        <w:t>essential for discounted</w:t>
      </w:r>
      <w:r w:rsidR="008F073B" w:rsidRPr="00FF0C30">
        <w:rPr>
          <w:lang w:val="en-US"/>
        </w:rPr>
        <w:t xml:space="preserve"> free cash flow </w:t>
      </w:r>
      <w:r w:rsidRPr="00FF0C30">
        <w:rPr>
          <w:lang w:val="en-US"/>
        </w:rPr>
        <w:t>modeling</w:t>
      </w:r>
      <w:r w:rsidR="008F073B" w:rsidRPr="00FF0C30">
        <w:rPr>
          <w:lang w:val="en-US"/>
        </w:rPr>
        <w:t xml:space="preserve">. </w:t>
      </w:r>
      <w:r w:rsidR="009512BE" w:rsidRPr="00FF0C30">
        <w:rPr>
          <w:lang w:val="en-US"/>
        </w:rPr>
        <w:t xml:space="preserve">It includes statement of all assumptions </w:t>
      </w:r>
      <w:r w:rsidR="009512BE">
        <w:rPr>
          <w:lang w:val="en-US"/>
        </w:rPr>
        <w:t xml:space="preserve">for the forecast, </w:t>
      </w:r>
      <w:r w:rsidR="009512BE" w:rsidRPr="00FF0C30">
        <w:rPr>
          <w:lang w:val="en-US"/>
        </w:rPr>
        <w:t xml:space="preserve">which will later be used for base case net present value analysis. </w:t>
      </w:r>
      <w:r w:rsidR="009512BE">
        <w:rPr>
          <w:lang w:val="en-US"/>
        </w:rPr>
        <w:t>Forecasting</w:t>
      </w:r>
      <w:r w:rsidR="008F073B" w:rsidRPr="00FF0C30">
        <w:rPr>
          <w:lang w:val="en-US"/>
        </w:rPr>
        <w:t xml:space="preserve"> allows to get the average val</w:t>
      </w:r>
      <w:r w:rsidRPr="00FF0C30">
        <w:rPr>
          <w:lang w:val="en-US"/>
        </w:rPr>
        <w:t>ues of factor variables and model random processes</w:t>
      </w:r>
      <w:r w:rsidR="008F073B" w:rsidRPr="00FF0C30">
        <w:rPr>
          <w:lang w:val="en-US"/>
        </w:rPr>
        <w:t>, which can be used for the future steps, specifically for Monte Carlo simulation.</w:t>
      </w:r>
      <w:r w:rsidRPr="00FF0C30">
        <w:rPr>
          <w:lang w:val="en-US"/>
        </w:rPr>
        <w:t xml:space="preserve"> </w:t>
      </w:r>
    </w:p>
    <w:p w:rsidR="008F073B" w:rsidRPr="00FF0C30" w:rsidRDefault="00B2639F" w:rsidP="00FF0C30">
      <w:pPr>
        <w:pStyle w:val="OfficialNormal"/>
        <w:rPr>
          <w:lang w:val="en-US"/>
        </w:rPr>
      </w:pPr>
      <w:r w:rsidRPr="00FF0C30">
        <w:rPr>
          <w:lang w:val="en-US"/>
        </w:rPr>
        <w:t>Forecasting</w:t>
      </w:r>
      <w:r w:rsidR="002D2C0C" w:rsidRPr="00FF0C30">
        <w:rPr>
          <w:lang w:val="en-US"/>
        </w:rPr>
        <w:t xml:space="preserve"> approaches usually fall i</w:t>
      </w:r>
      <w:r w:rsidRPr="00FF0C30">
        <w:rPr>
          <w:lang w:val="en-US"/>
        </w:rPr>
        <w:t>nto one of several categories</w:t>
      </w:r>
      <w:r w:rsidR="00026DF5">
        <w:rPr>
          <w:lang w:val="en-US"/>
        </w:rPr>
        <w:t xml:space="preserve"> </w:t>
      </w:r>
      <w:r w:rsidR="00026DF5">
        <w:rPr>
          <w:lang w:val="en-US"/>
        </w:rPr>
        <w:fldChar w:fldCharType="begin" w:fldLock="1"/>
      </w:r>
      <w:r w:rsidR="00587F48">
        <w:rPr>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00026DF5">
        <w:rPr>
          <w:lang w:val="en-US"/>
        </w:rPr>
        <w:fldChar w:fldCharType="separate"/>
      </w:r>
      <w:r w:rsidR="00587F48" w:rsidRPr="00587F48">
        <w:rPr>
          <w:noProof/>
          <w:lang w:val="en-US"/>
        </w:rPr>
        <w:t>(Mun 2002)</w:t>
      </w:r>
      <w:r w:rsidR="00026DF5">
        <w:rPr>
          <w:lang w:val="en-US"/>
        </w:rPr>
        <w:fldChar w:fldCharType="end"/>
      </w:r>
    </w:p>
    <w:p w:rsidR="00FF0C30" w:rsidRPr="00FF0C30" w:rsidRDefault="00FF0C30" w:rsidP="00B7274B">
      <w:pPr>
        <w:pStyle w:val="a3"/>
        <w:numPr>
          <w:ilvl w:val="0"/>
          <w:numId w:val="2"/>
        </w:numPr>
        <w:rPr>
          <w:lang w:val="en-US"/>
        </w:rPr>
      </w:pPr>
      <w:r w:rsidRPr="00FF0C30">
        <w:rPr>
          <w:lang w:val="en-US"/>
        </w:rPr>
        <w:t>Regression</w:t>
      </w:r>
    </w:p>
    <w:p w:rsidR="00FF0C30" w:rsidRPr="00FF0C30" w:rsidRDefault="00FF0C30" w:rsidP="00B7274B">
      <w:pPr>
        <w:pStyle w:val="a3"/>
        <w:numPr>
          <w:ilvl w:val="0"/>
          <w:numId w:val="2"/>
        </w:numPr>
        <w:rPr>
          <w:lang w:val="en-US"/>
        </w:rPr>
      </w:pPr>
      <w:r w:rsidRPr="00FF0C30">
        <w:rPr>
          <w:lang w:val="en-US"/>
        </w:rPr>
        <w:t>Time series</w:t>
      </w:r>
    </w:p>
    <w:p w:rsidR="00FF0C30" w:rsidRPr="00FF0C30" w:rsidRDefault="00FF0C30" w:rsidP="00B7274B">
      <w:pPr>
        <w:pStyle w:val="a3"/>
        <w:numPr>
          <w:ilvl w:val="0"/>
          <w:numId w:val="2"/>
        </w:numPr>
        <w:rPr>
          <w:lang w:val="en-US"/>
        </w:rPr>
      </w:pPr>
      <w:r w:rsidRPr="00FF0C30">
        <w:rPr>
          <w:lang w:val="en-US"/>
        </w:rPr>
        <w:t xml:space="preserve">Simulation </w:t>
      </w:r>
    </w:p>
    <w:p w:rsidR="00FF0C30" w:rsidRPr="00FF0C30" w:rsidRDefault="00FF0C30" w:rsidP="00B7274B">
      <w:pPr>
        <w:pStyle w:val="a3"/>
        <w:numPr>
          <w:ilvl w:val="0"/>
          <w:numId w:val="2"/>
        </w:numPr>
        <w:rPr>
          <w:lang w:val="en-US"/>
        </w:rPr>
      </w:pPr>
      <w:r w:rsidRPr="00FF0C30">
        <w:rPr>
          <w:lang w:val="en-US"/>
        </w:rPr>
        <w:t>Qualitative</w:t>
      </w:r>
    </w:p>
    <w:p w:rsidR="00F20E9E" w:rsidRPr="00FF0C30" w:rsidRDefault="00B2639F" w:rsidP="0024006E">
      <w:pPr>
        <w:pStyle w:val="4"/>
      </w:pPr>
      <w:r w:rsidRPr="00FF0C30">
        <w:t xml:space="preserve">Regression </w:t>
      </w:r>
    </w:p>
    <w:p w:rsidR="00B2639F" w:rsidRPr="00FF0C30" w:rsidRDefault="009512BE" w:rsidP="00FF0C30">
      <w:pPr>
        <w:pStyle w:val="OfficialNormal"/>
        <w:rPr>
          <w:lang w:val="en-US"/>
        </w:rPr>
      </w:pPr>
      <w:r w:rsidRPr="009512BE">
        <w:rPr>
          <w:lang w:val="en-US"/>
        </w:rPr>
        <w:t xml:space="preserve">Regression </w:t>
      </w:r>
      <w:r>
        <w:rPr>
          <w:lang w:val="en-US"/>
        </w:rPr>
        <w:t>f</w:t>
      </w:r>
      <w:r w:rsidR="00B2639F" w:rsidRPr="00FF0C30">
        <w:rPr>
          <w:lang w:val="en-US"/>
        </w:rPr>
        <w:t>orecasts results using</w:t>
      </w:r>
      <w:r>
        <w:rPr>
          <w:lang w:val="en-US"/>
        </w:rPr>
        <w:t xml:space="preserve"> historical</w:t>
      </w:r>
      <w:r w:rsidR="00B2639F" w:rsidRPr="00FF0C30">
        <w:rPr>
          <w:lang w:val="en-US"/>
        </w:rPr>
        <w:t xml:space="preserve"> </w:t>
      </w:r>
      <w:r>
        <w:rPr>
          <w:lang w:val="en-US"/>
        </w:rPr>
        <w:t xml:space="preserve">data on </w:t>
      </w:r>
      <w:r w:rsidR="00B2639F" w:rsidRPr="00FF0C30">
        <w:rPr>
          <w:lang w:val="en-US"/>
        </w:rPr>
        <w:t xml:space="preserve">past </w:t>
      </w:r>
      <w:r>
        <w:rPr>
          <w:lang w:val="en-US"/>
        </w:rPr>
        <w:t>values</w:t>
      </w:r>
      <w:r w:rsidR="00B2639F" w:rsidRPr="00FF0C30">
        <w:rPr>
          <w:lang w:val="en-US"/>
        </w:rPr>
        <w:t xml:space="preserve"> several variables</w:t>
      </w:r>
      <w:r>
        <w:rPr>
          <w:lang w:val="en-US"/>
        </w:rPr>
        <w:t>. Performin</w:t>
      </w:r>
      <w:r w:rsidR="00026DF5">
        <w:rPr>
          <w:lang w:val="en-US"/>
        </w:rPr>
        <w:t>g</w:t>
      </w:r>
      <w:r>
        <w:rPr>
          <w:lang w:val="en-US"/>
        </w:rPr>
        <w:t xml:space="preserve"> regression forecasting requires assuming that historical data describe future relationship between dependent and explanatory variables</w:t>
      </w:r>
      <w:r w:rsidR="00B2639F" w:rsidRPr="00FF0C30">
        <w:rPr>
          <w:lang w:val="en-US"/>
        </w:rPr>
        <w:t xml:space="preserve"> that might influence it. </w:t>
      </w:r>
      <w:r>
        <w:rPr>
          <w:lang w:val="en-US"/>
        </w:rPr>
        <w:t xml:space="preserve">According to </w:t>
      </w:r>
      <w:r>
        <w:rPr>
          <w:lang w:val="en-US"/>
        </w:rPr>
        <w:fldChar w:fldCharType="begin" w:fldLock="1"/>
      </w:r>
      <w:r w:rsidR="00587F48">
        <w:rPr>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Pr>
          <w:lang w:val="en-US"/>
        </w:rPr>
        <w:fldChar w:fldCharType="separate"/>
      </w:r>
      <w:r w:rsidR="00587F48" w:rsidRPr="00587F48">
        <w:rPr>
          <w:noProof/>
          <w:lang w:val="en-US"/>
        </w:rPr>
        <w:t>(Mun 2002)</w:t>
      </w:r>
      <w:r>
        <w:rPr>
          <w:lang w:val="en-US"/>
        </w:rPr>
        <w:fldChar w:fldCharType="end"/>
      </w:r>
      <w:r>
        <w:rPr>
          <w:lang w:val="en-US"/>
        </w:rPr>
        <w:t xml:space="preserve"> t</w:t>
      </w:r>
      <w:r w:rsidR="00B2639F" w:rsidRPr="00FF0C30">
        <w:rPr>
          <w:lang w:val="en-US"/>
        </w:rPr>
        <w:t xml:space="preserve">his works best for situations where </w:t>
      </w:r>
      <w:r>
        <w:rPr>
          <w:lang w:val="en-US"/>
        </w:rPr>
        <w:t>the goal is to</w:t>
      </w:r>
      <w:r w:rsidR="00B2639F" w:rsidRPr="00FF0C30">
        <w:rPr>
          <w:lang w:val="en-US"/>
        </w:rPr>
        <w:t xml:space="preserve"> identify the different effects of different variables. This category includes multiple linear regression.</w:t>
      </w:r>
    </w:p>
    <w:p w:rsidR="00F20E9E" w:rsidRPr="00FF0C30" w:rsidRDefault="002D2C0C" w:rsidP="0024006E">
      <w:pPr>
        <w:pStyle w:val="4"/>
      </w:pPr>
      <w:r w:rsidRPr="00FF0C30">
        <w:t xml:space="preserve">Time-series </w:t>
      </w:r>
    </w:p>
    <w:p w:rsidR="00863EA2" w:rsidRPr="00FF0C30" w:rsidRDefault="009512BE" w:rsidP="00FF0C30">
      <w:pPr>
        <w:pStyle w:val="OfficialNormal"/>
        <w:rPr>
          <w:lang w:val="en-US"/>
        </w:rPr>
      </w:pPr>
      <w:r>
        <w:rPr>
          <w:lang w:val="en-US"/>
        </w:rPr>
        <w:t>T</w:t>
      </w:r>
      <w:r w:rsidR="002D2C0C" w:rsidRPr="00FF0C30">
        <w:rPr>
          <w:lang w:val="en-US"/>
        </w:rPr>
        <w:t xml:space="preserve">ime-series analysis on past patterns of </w:t>
      </w:r>
      <w:r>
        <w:rPr>
          <w:lang w:val="en-US"/>
        </w:rPr>
        <w:t xml:space="preserve">historical </w:t>
      </w:r>
      <w:r w:rsidR="002D2C0C" w:rsidRPr="00FF0C30">
        <w:rPr>
          <w:lang w:val="en-US"/>
        </w:rPr>
        <w:t xml:space="preserve">data </w:t>
      </w:r>
      <w:r>
        <w:rPr>
          <w:lang w:val="en-US"/>
        </w:rPr>
        <w:t xml:space="preserve">is performed </w:t>
      </w:r>
      <w:r w:rsidR="002D2C0C" w:rsidRPr="00FF0C30">
        <w:rPr>
          <w:lang w:val="en-US"/>
        </w:rPr>
        <w:t>to forecast results</w:t>
      </w:r>
      <w:r w:rsidR="00B2639F" w:rsidRPr="00FF0C30">
        <w:rPr>
          <w:lang w:val="en-US"/>
        </w:rPr>
        <w:t xml:space="preserve"> according to their expected values</w:t>
      </w:r>
      <w:r w:rsidR="002D2C0C" w:rsidRPr="00FF0C30">
        <w:rPr>
          <w:lang w:val="en-US"/>
        </w:rPr>
        <w:t xml:space="preserve">. This </w:t>
      </w:r>
      <w:r>
        <w:rPr>
          <w:lang w:val="en-US"/>
        </w:rPr>
        <w:t xml:space="preserve">type of forecasting </w:t>
      </w:r>
      <w:r w:rsidR="002D2C0C" w:rsidRPr="00FF0C30">
        <w:rPr>
          <w:lang w:val="en-US"/>
        </w:rPr>
        <w:t>works best for stable situations where conditions are expected to remain the same.</w:t>
      </w:r>
      <w:r w:rsidR="004F7A19">
        <w:rPr>
          <w:lang w:val="en-US"/>
        </w:rPr>
        <w:t xml:space="preserve"> </w:t>
      </w:r>
      <w:r>
        <w:rPr>
          <w:lang w:val="en-US"/>
        </w:rPr>
        <w:t>In other words, time series can usually be forecasted assuming they are stationary both in mean and in variance.</w:t>
      </w:r>
    </w:p>
    <w:p w:rsidR="00FF0C30" w:rsidRPr="000F7EC6" w:rsidRDefault="00863EA2" w:rsidP="000F7EC6">
      <w:pPr>
        <w:pStyle w:val="OfficialNormal"/>
        <w:rPr>
          <w:lang w:val="en-US"/>
        </w:rPr>
      </w:pPr>
      <w:r w:rsidRPr="00FF0C30">
        <w:rPr>
          <w:lang w:val="en-US"/>
        </w:rPr>
        <w:t xml:space="preserve">Time series forecasting can be applied </w:t>
      </w:r>
      <w:r w:rsidR="009512BE">
        <w:rPr>
          <w:lang w:val="en-US"/>
        </w:rPr>
        <w:t>to</w:t>
      </w:r>
      <w:r w:rsidRPr="00FF0C30">
        <w:rPr>
          <w:lang w:val="en-US"/>
        </w:rPr>
        <w:t xml:space="preserve"> model such factors as oil price or currency exchange rate. An important class of time series models is the family of autoregressive integrated moving average (ARIMA) models, usually associated with Box and Jenkins</w:t>
      </w:r>
      <w:r w:rsidR="009512BE">
        <w:rPr>
          <w:lang w:val="en-US"/>
        </w:rPr>
        <w:t xml:space="preserve"> </w:t>
      </w:r>
      <w:r w:rsidR="009512BE">
        <w:rPr>
          <w:lang w:val="en-US"/>
        </w:rPr>
        <w:fldChar w:fldCharType="begin" w:fldLock="1"/>
      </w:r>
      <w:r w:rsidR="00587F48">
        <w:rPr>
          <w:lang w:val="en-US"/>
        </w:rPr>
        <w:instrText>ADDIN CSL_CITATION { "citationItems" : [ { "id" : "ITEM-1", "itemData" : { "author" : [ { "dropping-particle" : "", "family" : "Box", "given" : "G. E.P", "non-dropping-particle" : "", "parse-names" : false, "suffix" : "" }, { "dropping-particle" : "", "family" : "Jenkins", "given" : "G. M", "non-dropping-particle" : "", "parse-names" : false, "suffix" : "" } ], "id" : "ITEM-1", "issued" : { "date-parts" : [ [ "1970" ] ] }, "title" : "Time series analysis: forecasting and control", "type" : "article-journal" }, "uris" : [ "http://www.mendeley.com/documents/?uuid=d1847ca6-84c2-4d59-a44c-eb6f4d2175f9" ] } ], "mendeley" : { "formattedCitation" : "(Box and Jenkins 1970)", "plainTextFormattedCitation" : "(Box and Jenkins 1970)", "previouslyFormattedCitation" : "(Box and Jenkins 1970)" }, "properties" : { "noteIndex" : 0 }, "schema" : "https://github.com/citation-style-language/schema/raw/master/csl-citation.json" }</w:instrText>
      </w:r>
      <w:r w:rsidR="009512BE">
        <w:rPr>
          <w:lang w:val="en-US"/>
        </w:rPr>
        <w:fldChar w:fldCharType="separate"/>
      </w:r>
      <w:r w:rsidR="00587F48" w:rsidRPr="00587F48">
        <w:rPr>
          <w:noProof/>
          <w:lang w:val="en-US"/>
        </w:rPr>
        <w:t>(Box and Jenkins 1970)</w:t>
      </w:r>
      <w:r w:rsidR="009512BE">
        <w:rPr>
          <w:lang w:val="en-US"/>
        </w:rPr>
        <w:fldChar w:fldCharType="end"/>
      </w:r>
      <w:r w:rsidRPr="00FF0C30">
        <w:rPr>
          <w:lang w:val="en-US"/>
        </w:rPr>
        <w:t xml:space="preserve">. </w:t>
      </w:r>
    </w:p>
    <w:p w:rsidR="000F7EC6" w:rsidRDefault="002B30B1" w:rsidP="00FF0C30">
      <w:pPr>
        <w:pStyle w:val="OfficialNormal"/>
        <w:rPr>
          <w:lang w:val="en-US"/>
        </w:rPr>
      </w:pPr>
      <w:r w:rsidRPr="004D0B24">
        <w:rPr>
          <w:lang w:val="en-US"/>
        </w:rPr>
        <w:t xml:space="preserve">Non-seasonal ARIMA models are generally denoted ARIMA(p,d,q) where parameters p, d, and q are non-negative integers, p is the order (number of time lags) of the autoregressive model, d is </w:t>
      </w:r>
      <w:r w:rsidRPr="004D0B24">
        <w:rPr>
          <w:lang w:val="en-US"/>
        </w:rPr>
        <w:lastRenderedPageBreak/>
        <w:t xml:space="preserve">the degree of differencing (the number of times the data have had past values subtracted), and q is the order of the moving-average model. </w:t>
      </w:r>
      <w:r w:rsidR="004B04D8">
        <w:rPr>
          <w:lang w:val="en-US"/>
        </w:rPr>
        <w:fldChar w:fldCharType="begin"/>
      </w:r>
      <w:r w:rsidR="004B04D8">
        <w:rPr>
          <w:lang w:val="en-US"/>
        </w:rPr>
        <w:instrText xml:space="preserve"> REF _Ref484012662 \h </w:instrText>
      </w:r>
      <w:r w:rsidR="004B04D8">
        <w:rPr>
          <w:lang w:val="en-US"/>
        </w:rPr>
      </w:r>
      <w:r w:rsidR="004B04D8">
        <w:rPr>
          <w:lang w:val="en-US"/>
        </w:rPr>
        <w:fldChar w:fldCharType="separate"/>
      </w:r>
      <w:r w:rsidR="008324C6">
        <w:t>(</w:t>
      </w:r>
      <w:r w:rsidR="008324C6">
        <w:rPr>
          <w:noProof/>
        </w:rPr>
        <w:t>2</w:t>
      </w:r>
      <w:r w:rsidR="008324C6">
        <w:t>.</w:t>
      </w:r>
      <w:r w:rsidR="008324C6">
        <w:rPr>
          <w:noProof/>
        </w:rPr>
        <w:t>1</w:t>
      </w:r>
      <w:r w:rsidR="004B04D8">
        <w:rPr>
          <w:lang w:val="en-US"/>
        </w:rPr>
        <w:fldChar w:fldCharType="end"/>
      </w:r>
      <w:r w:rsidR="007342BD" w:rsidRPr="004D0B24">
        <w:rPr>
          <w:lang w:val="en-US"/>
        </w:rPr>
        <w:t>)</w:t>
      </w:r>
    </w:p>
    <w:tbl>
      <w:tblPr>
        <w:tblStyle w:val="af6"/>
        <w:tblW w:w="0" w:type="auto"/>
        <w:tblLook w:val="04A0" w:firstRow="1" w:lastRow="0" w:firstColumn="1" w:lastColumn="0" w:noHBand="0" w:noVBand="1"/>
      </w:tblPr>
      <w:tblGrid>
        <w:gridCol w:w="8500"/>
        <w:gridCol w:w="845"/>
      </w:tblGrid>
      <w:tr w:rsidR="004B04D8" w:rsidTr="004B04D8">
        <w:tc>
          <w:tcPr>
            <w:tcW w:w="8500" w:type="dxa"/>
          </w:tcPr>
          <w:p w:rsidR="004B04D8" w:rsidRDefault="004B04D8" w:rsidP="004B04D8">
            <w:pPr>
              <w:pStyle w:val="OfficialNormal"/>
              <w:jc w:val="center"/>
              <w:rPr>
                <w:lang w:val="en-US"/>
              </w:rPr>
            </w:pPr>
            <w:r w:rsidRPr="002B30B1">
              <w:rPr>
                <w:noProof/>
                <w:lang w:eastAsia="ru-RU"/>
              </w:rPr>
              <w:drawing>
                <wp:inline distT="0" distB="0" distL="0" distR="0" wp14:anchorId="284232E3" wp14:editId="0EA6F606">
                  <wp:extent cx="3657600" cy="447729"/>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2419" cy="474025"/>
                          </a:xfrm>
                          <a:prstGeom prst="rect">
                            <a:avLst/>
                          </a:prstGeom>
                        </pic:spPr>
                      </pic:pic>
                    </a:graphicData>
                  </a:graphic>
                </wp:inline>
              </w:drawing>
            </w:r>
          </w:p>
        </w:tc>
        <w:tc>
          <w:tcPr>
            <w:tcW w:w="845" w:type="dxa"/>
          </w:tcPr>
          <w:p w:rsidR="004B04D8" w:rsidRDefault="004B04D8" w:rsidP="004B04D8">
            <w:pPr>
              <w:pStyle w:val="ac"/>
              <w:jc w:val="right"/>
            </w:pPr>
            <w:bookmarkStart w:id="48" w:name="_Ref484012662"/>
            <w:r>
              <w:t>(</w:t>
            </w:r>
            <w:r w:rsidR="008F1F91">
              <w:fldChar w:fldCharType="begin"/>
            </w:r>
            <w:r w:rsidR="008F1F91">
              <w:instrText xml:space="preserve"> STYLEREF 1 \s </w:instrText>
            </w:r>
            <w:r w:rsidR="008F1F91">
              <w:fldChar w:fldCharType="separate"/>
            </w:r>
            <w:r w:rsidR="008324C6">
              <w:rPr>
                <w:noProof/>
              </w:rPr>
              <w:t>2</w:t>
            </w:r>
            <w:r w:rsidR="008F1F91">
              <w:fldChar w:fldCharType="end"/>
            </w:r>
            <w:r w:rsidR="008F1F91">
              <w:t>.</w:t>
            </w:r>
            <w:r w:rsidR="008F1F91">
              <w:fldChar w:fldCharType="begin"/>
            </w:r>
            <w:r w:rsidR="008F1F91">
              <w:instrText xml:space="preserve"> SEQ Formula \* ARABIC \s 1 </w:instrText>
            </w:r>
            <w:r w:rsidR="008F1F91">
              <w:fldChar w:fldCharType="separate"/>
            </w:r>
            <w:r w:rsidR="008324C6">
              <w:rPr>
                <w:noProof/>
              </w:rPr>
              <w:t>1</w:t>
            </w:r>
            <w:r w:rsidR="008F1F91">
              <w:fldChar w:fldCharType="end"/>
            </w:r>
            <w:bookmarkEnd w:id="48"/>
            <w:r>
              <w:t>)</w:t>
            </w:r>
          </w:p>
        </w:tc>
      </w:tr>
    </w:tbl>
    <w:p w:rsidR="00D63E7E" w:rsidRDefault="00D63E7E" w:rsidP="00D63E7E">
      <w:pPr>
        <w:pStyle w:val="a4"/>
        <w:rPr>
          <w:lang w:val="en-US"/>
        </w:rPr>
      </w:pPr>
      <w:r>
        <w:rPr>
          <w:lang w:val="en-US"/>
        </w:rPr>
        <w:t>where</w:t>
      </w:r>
      <w:r w:rsidRPr="00D63E7E">
        <w:rPr>
          <w:lang w:val="en-US"/>
        </w:rPr>
        <w:t xml:space="preserve">: </w:t>
      </w:r>
    </w:p>
    <w:p w:rsidR="00D63E7E" w:rsidRPr="00D63E7E" w:rsidRDefault="00D63E7E" w:rsidP="00D63E7E">
      <w:pPr>
        <w:pStyle w:val="a4"/>
        <w:ind w:left="708"/>
        <w:rPr>
          <w:lang w:val="en-US"/>
        </w:rPr>
      </w:pPr>
      <w:r w:rsidRPr="00D63E7E">
        <w:rPr>
          <w:rFonts w:cs="Times New Roman"/>
          <w:i/>
          <w:lang w:val="en-US"/>
        </w:rPr>
        <w:t>ε</w:t>
      </w:r>
      <w:r w:rsidRPr="00D63E7E">
        <w:rPr>
          <w:i/>
          <w:vertAlign w:val="subscript"/>
          <w:lang w:val="en-US"/>
        </w:rPr>
        <w:t xml:space="preserve">t </w:t>
      </w:r>
      <w:r>
        <w:rPr>
          <w:lang w:val="en-US"/>
        </w:rPr>
        <w:t>is stationary time series,</w:t>
      </w:r>
    </w:p>
    <w:p w:rsidR="00D63E7E" w:rsidRPr="00D63E7E" w:rsidRDefault="00D63E7E" w:rsidP="00D63E7E">
      <w:pPr>
        <w:pStyle w:val="a4"/>
        <w:ind w:left="708"/>
        <w:rPr>
          <w:lang w:val="en-US"/>
        </w:rPr>
      </w:pPr>
      <w:r>
        <w:rPr>
          <w:rFonts w:cs="Times New Roman"/>
          <w:i/>
          <w:lang w:val="en-US"/>
        </w:rPr>
        <w:t>φ</w:t>
      </w:r>
      <w:r w:rsidRPr="00D63E7E">
        <w:rPr>
          <w:i/>
          <w:vertAlign w:val="subscript"/>
          <w:lang w:val="en-US"/>
        </w:rPr>
        <w:t>i</w:t>
      </w:r>
      <w:r w:rsidRPr="00D63E7E">
        <w:rPr>
          <w:i/>
          <w:lang w:val="en-US"/>
        </w:rPr>
        <w:t xml:space="preserve">, </w:t>
      </w:r>
      <w:r>
        <w:rPr>
          <w:rFonts w:cs="Times New Roman"/>
          <w:i/>
          <w:lang w:val="en-US"/>
        </w:rPr>
        <w:t>θ</w:t>
      </w:r>
      <w:r w:rsidRPr="00D63E7E">
        <w:rPr>
          <w:i/>
          <w:vertAlign w:val="subscript"/>
          <w:lang w:val="en-US"/>
        </w:rPr>
        <w:t>j</w:t>
      </w:r>
      <w:r w:rsidRPr="00D63E7E">
        <w:rPr>
          <w:lang w:val="en-US"/>
        </w:rPr>
        <w:t xml:space="preserve"> </w:t>
      </w:r>
      <w:r>
        <w:rPr>
          <w:lang w:val="en-US"/>
        </w:rPr>
        <w:t>are</w:t>
      </w:r>
      <w:r w:rsidRPr="00D63E7E">
        <w:rPr>
          <w:lang w:val="en-US"/>
        </w:rPr>
        <w:t xml:space="preserve"> </w:t>
      </w:r>
      <w:r>
        <w:rPr>
          <w:lang w:val="en-US"/>
        </w:rPr>
        <w:t>parameters of the model,</w:t>
      </w:r>
    </w:p>
    <w:p w:rsidR="004B04D8" w:rsidRDefault="00D63E7E" w:rsidP="00D63E7E">
      <w:pPr>
        <w:pStyle w:val="a4"/>
        <w:ind w:left="708"/>
        <w:rPr>
          <w:lang w:val="en-US"/>
        </w:rPr>
      </w:pPr>
      <w:r>
        <w:rPr>
          <w:rFonts w:cs="Times New Roman"/>
        </w:rPr>
        <w:t>Δ</w:t>
      </w:r>
      <w:r w:rsidRPr="00D63E7E">
        <w:rPr>
          <w:i/>
          <w:vertAlign w:val="superscript"/>
          <w:lang w:val="en-US"/>
        </w:rPr>
        <w:t>d</w:t>
      </w:r>
      <w:r>
        <w:rPr>
          <w:lang w:val="en-US"/>
        </w:rPr>
        <w:t xml:space="preserve"> is</w:t>
      </w:r>
      <w:r w:rsidRPr="00D63E7E">
        <w:rPr>
          <w:lang w:val="en-US"/>
        </w:rPr>
        <w:t xml:space="preserve"> </w:t>
      </w:r>
      <w:r>
        <w:rPr>
          <w:lang w:val="en-US"/>
        </w:rPr>
        <w:t xml:space="preserve">difference </w:t>
      </w:r>
      <w:r w:rsidRPr="00D63E7E">
        <w:rPr>
          <w:i/>
          <w:lang w:val="en-US"/>
        </w:rPr>
        <w:t>d</w:t>
      </w:r>
      <w:r>
        <w:rPr>
          <w:lang w:val="en-US"/>
        </w:rPr>
        <w:t xml:space="preserve"> operator,</w:t>
      </w:r>
    </w:p>
    <w:p w:rsidR="00D63E7E" w:rsidRPr="00D63E7E" w:rsidRDefault="00D63E7E" w:rsidP="00D63E7E">
      <w:pPr>
        <w:pStyle w:val="OfficialNormal"/>
        <w:ind w:left="708"/>
        <w:rPr>
          <w:lang w:val="en-US"/>
        </w:rPr>
      </w:pPr>
      <m:oMath>
        <m:r>
          <w:rPr>
            <w:rFonts w:ascii="Cambria Math" w:hAnsi="Cambria Math" w:cs="CMR12"/>
            <w:szCs w:val="24"/>
            <w:lang w:val="en-US"/>
          </w:rPr>
          <m:t>N</m:t>
        </m:r>
        <m:d>
          <m:dPr>
            <m:ctrlPr>
              <w:rPr>
                <w:rFonts w:ascii="Cambria Math" w:hAnsi="Cambria Math" w:cs="CMR12"/>
                <w:i/>
                <w:szCs w:val="24"/>
                <w:lang w:val="en-US"/>
              </w:rPr>
            </m:ctrlPr>
          </m:dPr>
          <m:e>
            <m:r>
              <w:rPr>
                <w:rFonts w:ascii="Cambria Math" w:hAnsi="Cambria Math" w:cs="CMR12"/>
                <w:szCs w:val="24"/>
                <w:lang w:val="en-US"/>
              </w:rPr>
              <m:t>∙</m:t>
            </m:r>
          </m:e>
        </m:d>
      </m:oMath>
      <w:r w:rsidRPr="009F2A67">
        <w:rPr>
          <w:lang w:val="en-US"/>
        </w:rPr>
        <w:t xml:space="preserve"> is the cumulative distribution function of the standard normal distribution</w:t>
      </w:r>
      <w:r>
        <w:rPr>
          <w:lang w:val="en-US"/>
        </w:rPr>
        <w:t>.</w:t>
      </w:r>
    </w:p>
    <w:p w:rsidR="00863EA2" w:rsidRPr="00FF0C30" w:rsidRDefault="00863EA2" w:rsidP="00FF0C30">
      <w:pPr>
        <w:pStyle w:val="OfficialNormal"/>
        <w:rPr>
          <w:lang w:val="en-US"/>
        </w:rPr>
      </w:pPr>
      <w:r w:rsidRPr="00FF0C30">
        <w:rPr>
          <w:lang w:val="en-US"/>
        </w:rPr>
        <w:t>Although the existence of ARMA models predates them, Box and Jenkins were the first to approach the task of estimating an ARMA model in a systematic manner. Their approach was a practical and pragmatic one, involving three steps:</w:t>
      </w:r>
    </w:p>
    <w:p w:rsidR="00863EA2" w:rsidRPr="00D67389" w:rsidRDefault="00863EA2" w:rsidP="00B7274B">
      <w:pPr>
        <w:pStyle w:val="a3"/>
        <w:numPr>
          <w:ilvl w:val="0"/>
          <w:numId w:val="3"/>
        </w:numPr>
        <w:rPr>
          <w:lang w:val="en-US"/>
        </w:rPr>
      </w:pPr>
      <w:r w:rsidRPr="00D67389">
        <w:rPr>
          <w:lang w:val="en-US"/>
        </w:rPr>
        <w:t>Identification</w:t>
      </w:r>
    </w:p>
    <w:p w:rsidR="00863EA2" w:rsidRPr="00D67389" w:rsidRDefault="00863EA2" w:rsidP="00B7274B">
      <w:pPr>
        <w:pStyle w:val="a3"/>
        <w:numPr>
          <w:ilvl w:val="0"/>
          <w:numId w:val="3"/>
        </w:numPr>
        <w:rPr>
          <w:lang w:val="en-US"/>
        </w:rPr>
      </w:pPr>
      <w:r w:rsidRPr="00D67389">
        <w:rPr>
          <w:lang w:val="en-US"/>
        </w:rPr>
        <w:t>Estimation</w:t>
      </w:r>
    </w:p>
    <w:p w:rsidR="00863EA2" w:rsidRPr="00D67389" w:rsidRDefault="00863EA2" w:rsidP="00B7274B">
      <w:pPr>
        <w:pStyle w:val="a3"/>
        <w:numPr>
          <w:ilvl w:val="0"/>
          <w:numId w:val="3"/>
        </w:numPr>
        <w:rPr>
          <w:lang w:val="en-US"/>
        </w:rPr>
      </w:pPr>
      <w:r w:rsidRPr="00D67389">
        <w:rPr>
          <w:lang w:val="en-US"/>
        </w:rPr>
        <w:t>Diagnostic checking.</w:t>
      </w:r>
    </w:p>
    <w:p w:rsidR="00863EA2" w:rsidRPr="00FF0C30" w:rsidRDefault="00863EA2" w:rsidP="00FF0C30">
      <w:pPr>
        <w:pStyle w:val="OfficialNormal"/>
        <w:rPr>
          <w:lang w:val="en-US"/>
        </w:rPr>
      </w:pPr>
      <w:r w:rsidRPr="00FF0C30">
        <w:rPr>
          <w:lang w:val="en-US"/>
        </w:rPr>
        <w:t xml:space="preserve">These steps are </w:t>
      </w:r>
      <w:r w:rsidR="004D0B24">
        <w:rPr>
          <w:lang w:val="en-US"/>
        </w:rPr>
        <w:t xml:space="preserve">now explained in greater detail according to </w:t>
      </w:r>
      <w:r w:rsidR="004D0B24">
        <w:rPr>
          <w:lang w:val="en-US"/>
        </w:rPr>
        <w:fldChar w:fldCharType="begin" w:fldLock="1"/>
      </w:r>
      <w:r w:rsidR="00587F48">
        <w:rPr>
          <w:lang w:val="en-US"/>
        </w:rPr>
        <w:instrText>ADDIN CSL_CITATION { "citationItems" : [ { "id" : "ITEM-1", "itemData" : { "DOI" : "10.1111/1468-0297.13911", "ISBN" : "9780521873062", "ISSN" : "0013-0133", "PMID" : "15151993", "abstract" : "This best-selling textbook addresses the need for an introduction to econometrics specifically written for finance students. Key features: \u00e2 Thoroughly revised and updated, including two new chapters on panel data and limited dependent variable models \u00e2 Problem-solving approach assumes no prior knowledge of econometrics emphasising intuition rather than formulae, giving students the skills and confidence to estimate and interpret models \u00e2 Detailed examples and case studies from finance show students how techniques are applied in real research \u00e2 Sample instructions and output from the popular computer package EViews enable students to implement models themselves and understand how to interpret results \u00e2 Gives advice on planning and executing a project in empirical finance, preparing students for using econometrics in practice \u00e2 Covers important modern topics such as time-series forecasting, volatility modelling, switching models and simulation methods \u00e2 Thoroughly class-tested in leading finance schools", "author" : [ { "dropping-particle" : "", "family" : "Brooks", "given" : "Chris", "non-dropping-particle" : "", "parse-names" : false, "suffix" : "" } ], "id" : "ITEM-1", "issued" : { "date-parts" : [ [ "2008" ] ] }, "number-of-pages" : "674", "title" : "Introductory econometrics for finance. 2nd edition", "type" : "book" }, "uris" : [ "http://www.mendeley.com/documents/?uuid=824e5f71-9f8b-4b53-845a-4b24bef0676b" ] } ], "mendeley" : { "formattedCitation" : "(Brooks 2008)", "plainTextFormattedCitation" : "(Brooks 2008)", "previouslyFormattedCitation" : "(Brooks 2008)" }, "properties" : { "noteIndex" : 0 }, "schema" : "https://github.com/citation-style-language/schema/raw/master/csl-citation.json" }</w:instrText>
      </w:r>
      <w:r w:rsidR="004D0B24">
        <w:rPr>
          <w:lang w:val="en-US"/>
        </w:rPr>
        <w:fldChar w:fldCharType="separate"/>
      </w:r>
      <w:r w:rsidR="00587F48" w:rsidRPr="00587F48">
        <w:rPr>
          <w:noProof/>
          <w:lang w:val="en-US"/>
        </w:rPr>
        <w:t>(Brooks 2008)</w:t>
      </w:r>
      <w:r w:rsidR="004D0B24">
        <w:rPr>
          <w:lang w:val="en-US"/>
        </w:rPr>
        <w:fldChar w:fldCharType="end"/>
      </w:r>
    </w:p>
    <w:p w:rsidR="00863EA2" w:rsidRPr="004D0B24" w:rsidRDefault="00863EA2" w:rsidP="0024006E">
      <w:pPr>
        <w:pStyle w:val="5"/>
        <w:rPr>
          <w:lang w:val="en-US"/>
        </w:rPr>
      </w:pPr>
      <w:r w:rsidRPr="004D0B24">
        <w:rPr>
          <w:lang w:val="en-US"/>
        </w:rPr>
        <w:t>Step 1</w:t>
      </w:r>
    </w:p>
    <w:p w:rsidR="00863EA2" w:rsidRPr="004D0B24" w:rsidRDefault="004D0B24" w:rsidP="00FF0C30">
      <w:pPr>
        <w:pStyle w:val="OfficialNormal"/>
        <w:rPr>
          <w:lang w:val="en-US"/>
        </w:rPr>
      </w:pPr>
      <w:r>
        <w:rPr>
          <w:lang w:val="en-US"/>
        </w:rPr>
        <w:t>1</w:t>
      </w:r>
      <w:r w:rsidRPr="004D0B24">
        <w:rPr>
          <w:vertAlign w:val="superscript"/>
          <w:lang w:val="en-US"/>
        </w:rPr>
        <w:t>st</w:t>
      </w:r>
      <w:r>
        <w:rPr>
          <w:lang w:val="en-US"/>
        </w:rPr>
        <w:t xml:space="preserve"> step</w:t>
      </w:r>
      <w:r w:rsidR="00863EA2" w:rsidRPr="004D0B24">
        <w:rPr>
          <w:lang w:val="en-US"/>
        </w:rPr>
        <w:t xml:space="preserve"> involves determining the order of the model required to capture the dynamic features of the data. Graphical procedures </w:t>
      </w:r>
      <w:r>
        <w:rPr>
          <w:lang w:val="en-US"/>
        </w:rPr>
        <w:t xml:space="preserve">like </w:t>
      </w:r>
      <w:r w:rsidR="00863EA2" w:rsidRPr="004D0B24">
        <w:rPr>
          <w:lang w:val="en-US"/>
        </w:rPr>
        <w:t xml:space="preserve">plotting the data over time and plotting the </w:t>
      </w:r>
      <w:r>
        <w:rPr>
          <w:lang w:val="en-US"/>
        </w:rPr>
        <w:t>autocorrelation function (ACF)</w:t>
      </w:r>
      <w:r w:rsidR="00863EA2" w:rsidRPr="004D0B24">
        <w:rPr>
          <w:lang w:val="en-US"/>
        </w:rPr>
        <w:t xml:space="preserve"> and</w:t>
      </w:r>
      <w:r>
        <w:rPr>
          <w:lang w:val="en-US"/>
        </w:rPr>
        <w:t xml:space="preserve"> partial autocorrelation function</w:t>
      </w:r>
      <w:r w:rsidR="00863EA2" w:rsidRPr="004D0B24">
        <w:rPr>
          <w:lang w:val="en-US"/>
        </w:rPr>
        <w:t xml:space="preserve"> </w:t>
      </w:r>
      <w:r>
        <w:rPr>
          <w:lang w:val="en-US"/>
        </w:rPr>
        <w:t>(PACF</w:t>
      </w:r>
      <w:r w:rsidR="00863EA2" w:rsidRPr="004D0B24">
        <w:rPr>
          <w:lang w:val="en-US"/>
        </w:rPr>
        <w:t>)</w:t>
      </w:r>
      <w:r>
        <w:rPr>
          <w:lang w:val="en-US"/>
        </w:rPr>
        <w:t xml:space="preserve"> are used</w:t>
      </w:r>
      <w:r w:rsidR="00863EA2" w:rsidRPr="004D0B24">
        <w:rPr>
          <w:lang w:val="en-US"/>
        </w:rPr>
        <w:t xml:space="preserve"> to determine the most appropriate </w:t>
      </w:r>
      <w:r>
        <w:rPr>
          <w:lang w:val="en-US"/>
        </w:rPr>
        <w:t xml:space="preserve">model </w:t>
      </w:r>
      <w:r w:rsidR="00863EA2" w:rsidRPr="004D0B24">
        <w:rPr>
          <w:lang w:val="en-US"/>
        </w:rPr>
        <w:t>specification</w:t>
      </w:r>
      <w:r>
        <w:rPr>
          <w:lang w:val="en-US"/>
        </w:rPr>
        <w:t xml:space="preserve"> – specifically number of lags </w:t>
      </w:r>
      <w:r>
        <w:rPr>
          <w:i/>
          <w:lang w:val="en-US"/>
        </w:rPr>
        <w:t>p</w:t>
      </w:r>
      <w:r>
        <w:rPr>
          <w:lang w:val="en-US"/>
        </w:rPr>
        <w:t xml:space="preserve"> and </w:t>
      </w:r>
      <w:r>
        <w:rPr>
          <w:i/>
          <w:lang w:val="en-US"/>
        </w:rPr>
        <w:t xml:space="preserve">q </w:t>
      </w:r>
      <w:r>
        <w:rPr>
          <w:lang w:val="en-US"/>
        </w:rPr>
        <w:t>and degree of differencing</w:t>
      </w:r>
      <w:r w:rsidR="00863EA2" w:rsidRPr="004D0B24">
        <w:rPr>
          <w:lang w:val="en-US"/>
        </w:rPr>
        <w:t>.</w:t>
      </w:r>
    </w:p>
    <w:p w:rsidR="00863EA2" w:rsidRPr="004D0B24" w:rsidRDefault="00863EA2" w:rsidP="0024006E">
      <w:pPr>
        <w:pStyle w:val="5"/>
        <w:rPr>
          <w:lang w:val="en-US"/>
        </w:rPr>
      </w:pPr>
      <w:r w:rsidRPr="004D0B24">
        <w:rPr>
          <w:lang w:val="en-US"/>
        </w:rPr>
        <w:t>Step 2</w:t>
      </w:r>
    </w:p>
    <w:p w:rsidR="00863EA2" w:rsidRPr="004D0B24" w:rsidRDefault="004D0B24" w:rsidP="00FF0C30">
      <w:pPr>
        <w:pStyle w:val="OfficialNormal"/>
        <w:rPr>
          <w:lang w:val="en-US"/>
        </w:rPr>
      </w:pPr>
      <w:r>
        <w:rPr>
          <w:lang w:val="en-US"/>
        </w:rPr>
        <w:t>2</w:t>
      </w:r>
      <w:r w:rsidRPr="004D0B24">
        <w:rPr>
          <w:vertAlign w:val="superscript"/>
          <w:lang w:val="en-US"/>
        </w:rPr>
        <w:t>nd</w:t>
      </w:r>
      <w:r>
        <w:rPr>
          <w:lang w:val="en-US"/>
        </w:rPr>
        <w:t xml:space="preserve"> step</w:t>
      </w:r>
      <w:r w:rsidR="00863EA2" w:rsidRPr="004D0B24">
        <w:rPr>
          <w:lang w:val="en-US"/>
        </w:rPr>
        <w:t xml:space="preserve"> involves estimation of the parameters of the model specified in step 1. This can be done using least squares or </w:t>
      </w:r>
      <w:r>
        <w:rPr>
          <w:lang w:val="en-US"/>
        </w:rPr>
        <w:t xml:space="preserve">more often with </w:t>
      </w:r>
      <w:r w:rsidR="00863EA2" w:rsidRPr="004D0B24">
        <w:rPr>
          <w:lang w:val="en-US"/>
        </w:rPr>
        <w:t>maximum likelihood</w:t>
      </w:r>
      <w:r>
        <w:rPr>
          <w:lang w:val="en-US"/>
        </w:rPr>
        <w:t xml:space="preserve"> function</w:t>
      </w:r>
      <w:r w:rsidR="00863EA2" w:rsidRPr="004D0B24">
        <w:rPr>
          <w:lang w:val="en-US"/>
        </w:rPr>
        <w:t>, depending on the model.</w:t>
      </w:r>
    </w:p>
    <w:p w:rsidR="00863EA2" w:rsidRPr="004D0B24" w:rsidRDefault="00863EA2" w:rsidP="0024006E">
      <w:pPr>
        <w:pStyle w:val="5"/>
        <w:rPr>
          <w:lang w:val="en-US"/>
        </w:rPr>
      </w:pPr>
      <w:r w:rsidRPr="004D0B24">
        <w:rPr>
          <w:lang w:val="en-US"/>
        </w:rPr>
        <w:t>Step 3</w:t>
      </w:r>
    </w:p>
    <w:p w:rsidR="00863EA2" w:rsidRPr="004D0B24" w:rsidRDefault="000F7EC6" w:rsidP="00FF0C30">
      <w:pPr>
        <w:pStyle w:val="OfficialNormal"/>
        <w:rPr>
          <w:lang w:val="en-US"/>
        </w:rPr>
      </w:pPr>
      <w:r w:rsidRPr="004D0B24">
        <w:rPr>
          <w:lang w:val="en-US"/>
        </w:rPr>
        <w:t xml:space="preserve">This involves model checking – </w:t>
      </w:r>
      <w:r w:rsidR="00863EA2" w:rsidRPr="004D0B24">
        <w:rPr>
          <w:lang w:val="en-US"/>
        </w:rPr>
        <w:t xml:space="preserve">i.e. determining whether the model specified and estimated is adequate. Box and Jenkins suggest two methods: overfitting and residual diagnostics. Overfitting involves deliberately fitting a larger model than that required to capture the dynamics of the data as identified in stage 1. If the model specified at step 1 is adequate, any extra terms added to the ARMA model would be insignificant. Residual diagnostics imply checking the residuals for evidence of linear dependence which, if present, would suggest that the model originally specified was inadequate to capture the features of the data. The </w:t>
      </w:r>
      <w:r w:rsidR="004D0B24">
        <w:rPr>
          <w:lang w:val="en-US"/>
        </w:rPr>
        <w:t>ACF</w:t>
      </w:r>
      <w:r w:rsidR="00863EA2" w:rsidRPr="004D0B24">
        <w:rPr>
          <w:lang w:val="en-US"/>
        </w:rPr>
        <w:t xml:space="preserve">, </w:t>
      </w:r>
      <w:r w:rsidR="004D0B24">
        <w:rPr>
          <w:lang w:val="en-US"/>
        </w:rPr>
        <w:t xml:space="preserve">PACF </w:t>
      </w:r>
      <w:r w:rsidR="00863EA2" w:rsidRPr="004D0B24">
        <w:rPr>
          <w:lang w:val="en-US"/>
        </w:rPr>
        <w:t>or Ljung-Box tests could be used.</w:t>
      </w:r>
    </w:p>
    <w:p w:rsidR="00863EA2" w:rsidRPr="00FF0C30" w:rsidRDefault="00863EA2" w:rsidP="00FF0C30">
      <w:pPr>
        <w:pStyle w:val="OfficialNormal"/>
        <w:rPr>
          <w:lang w:val="en-US"/>
        </w:rPr>
      </w:pPr>
      <w:r w:rsidRPr="004D0B24">
        <w:rPr>
          <w:lang w:val="en-US"/>
        </w:rPr>
        <w:lastRenderedPageBreak/>
        <w:t>Also, such approaches to determining the adequacy of the model could only reveal a model that is underparameterised (‘too small’) and would not reveal a model that is overparameterised (‘too big’).</w:t>
      </w:r>
    </w:p>
    <w:p w:rsidR="00120088" w:rsidRPr="00662E04" w:rsidRDefault="00120088" w:rsidP="0024006E">
      <w:pPr>
        <w:pStyle w:val="5"/>
        <w:rPr>
          <w:lang w:val="en-US"/>
        </w:rPr>
      </w:pPr>
      <w:r w:rsidRPr="00662E04">
        <w:rPr>
          <w:lang w:val="en-US"/>
        </w:rPr>
        <w:t>Choice of model</w:t>
      </w:r>
    </w:p>
    <w:p w:rsidR="00FB5D1C" w:rsidRPr="00FF0C30" w:rsidRDefault="00FB5D1C" w:rsidP="00FF0C30">
      <w:pPr>
        <w:pStyle w:val="OfficialNormal"/>
        <w:rPr>
          <w:lang w:val="en-US"/>
        </w:rPr>
      </w:pPr>
      <w:r w:rsidRPr="00FF0C30">
        <w:rPr>
          <w:lang w:val="en-US"/>
        </w:rPr>
        <w:t>It is usually the objective to form a model, which is one that describes all of the features of data of interest using as few parameters (i.e. as simple a model) as possible.</w:t>
      </w:r>
      <w:r w:rsidR="004D0B24">
        <w:rPr>
          <w:lang w:val="en-US"/>
        </w:rPr>
        <w:t xml:space="preserve"> </w:t>
      </w:r>
      <w:r w:rsidR="004D0B24">
        <w:rPr>
          <w:lang w:val="en-US"/>
        </w:rPr>
        <w:fldChar w:fldCharType="begin" w:fldLock="1"/>
      </w:r>
      <w:r w:rsidR="00587F48">
        <w:rPr>
          <w:lang w:val="en-US"/>
        </w:rPr>
        <w:instrText>ADDIN CSL_CITATION { "citationItems" : [ { "id" : "ITEM-1", "itemData" : { "DOI" : "10.1111/1468-0297.13911", "ISBN" : "9780521873062", "ISSN" : "0013-0133", "PMID" : "15151993", "abstract" : "This best-selling textbook addresses the need for an introduction to econometrics specifically written for finance students. Key features: \u00e2 Thoroughly revised and updated, including two new chapters on panel data and limited dependent variable models \u00e2 Problem-solving approach assumes no prior knowledge of econometrics emphasising intuition rather than formulae, giving students the skills and confidence to estimate and interpret models \u00e2 Detailed examples and case studies from finance show students how techniques are applied in real research \u00e2 Sample instructions and output from the popular computer package EViews enable students to implement models themselves and understand how to interpret results \u00e2 Gives advice on planning and executing a project in empirical finance, preparing students for using econometrics in practice \u00e2 Covers important modern topics such as time-series forecasting, volatility modelling, switching models and simulation methods \u00e2 Thoroughly class-tested in leading finance schools", "author" : [ { "dropping-particle" : "", "family" : "Brooks", "given" : "Chris", "non-dropping-particle" : "", "parse-names" : false, "suffix" : "" } ], "id" : "ITEM-1", "issued" : { "date-parts" : [ [ "2008" ] ] }, "number-of-pages" : "674", "title" : "Introductory econometrics for finance. 2nd edition", "type" : "book" }, "uris" : [ "http://www.mendeley.com/documents/?uuid=824e5f71-9f8b-4b53-845a-4b24bef0676b" ] } ], "mendeley" : { "formattedCitation" : "(Brooks 2008)", "plainTextFormattedCitation" : "(Brooks 2008)", "previouslyFormattedCitation" : "(Brooks 2008)" }, "properties" : { "noteIndex" : 0 }, "schema" : "https://github.com/citation-style-language/schema/raw/master/csl-citation.json" }</w:instrText>
      </w:r>
      <w:r w:rsidR="004D0B24">
        <w:rPr>
          <w:lang w:val="en-US"/>
        </w:rPr>
        <w:fldChar w:fldCharType="separate"/>
      </w:r>
      <w:r w:rsidR="00587F48" w:rsidRPr="00587F48">
        <w:rPr>
          <w:noProof/>
          <w:lang w:val="en-US"/>
        </w:rPr>
        <w:t>(Brooks 2008)</w:t>
      </w:r>
      <w:r w:rsidR="004D0B24">
        <w:rPr>
          <w:lang w:val="en-US"/>
        </w:rPr>
        <w:fldChar w:fldCharType="end"/>
      </w:r>
    </w:p>
    <w:p w:rsidR="004D0B24" w:rsidRDefault="00FB5D1C" w:rsidP="00FF0C30">
      <w:pPr>
        <w:pStyle w:val="OfficialNormal"/>
        <w:rPr>
          <w:lang w:val="en-US"/>
        </w:rPr>
      </w:pPr>
      <w:r w:rsidRPr="00FF0C30">
        <w:rPr>
          <w:lang w:val="en-US"/>
        </w:rPr>
        <w:t xml:space="preserve">The identification stage would now typically not be done using graphical plots of the </w:t>
      </w:r>
      <w:r w:rsidR="004D0B24">
        <w:rPr>
          <w:lang w:val="en-US"/>
        </w:rPr>
        <w:t>ACF</w:t>
      </w:r>
      <w:r w:rsidRPr="00FF0C30">
        <w:rPr>
          <w:lang w:val="en-US"/>
        </w:rPr>
        <w:t xml:space="preserve"> and </w:t>
      </w:r>
      <w:r w:rsidR="004D0B24">
        <w:rPr>
          <w:lang w:val="en-US"/>
        </w:rPr>
        <w:t>PACF. The reason is that when</w:t>
      </w:r>
      <w:r w:rsidRPr="00FF0C30">
        <w:rPr>
          <w:lang w:val="en-US"/>
        </w:rPr>
        <w:t xml:space="preserve"> real data is used, it unfortunately rare</w:t>
      </w:r>
      <w:r w:rsidR="000F7EC6">
        <w:rPr>
          <w:lang w:val="en-US"/>
        </w:rPr>
        <w:t>ly exhibits the simple patterns</w:t>
      </w:r>
      <w:r w:rsidR="004D0B24">
        <w:rPr>
          <w:lang w:val="en-US"/>
        </w:rPr>
        <w:t xml:space="preserve"> that are generally used to perform graphical analysis</w:t>
      </w:r>
      <w:r w:rsidR="000F7EC6">
        <w:rPr>
          <w:lang w:val="en-US"/>
        </w:rPr>
        <w:t xml:space="preserve">. </w:t>
      </w:r>
      <w:r w:rsidRPr="00FF0C30">
        <w:rPr>
          <w:lang w:val="en-US"/>
        </w:rPr>
        <w:t xml:space="preserve">This makes the </w:t>
      </w:r>
      <w:r w:rsidR="004D0B24">
        <w:rPr>
          <w:lang w:val="en-US"/>
        </w:rPr>
        <w:t>ACF</w:t>
      </w:r>
      <w:r w:rsidRPr="00FF0C30">
        <w:rPr>
          <w:lang w:val="en-US"/>
        </w:rPr>
        <w:t xml:space="preserve"> and </w:t>
      </w:r>
      <w:r w:rsidR="004D0B24">
        <w:rPr>
          <w:lang w:val="en-US"/>
        </w:rPr>
        <w:t>PACF</w:t>
      </w:r>
      <w:r w:rsidRPr="00FF0C30">
        <w:rPr>
          <w:lang w:val="en-US"/>
        </w:rPr>
        <w:t xml:space="preserve"> very hard to interpret, and thus it is difficult to specify a model for the data. </w:t>
      </w:r>
    </w:p>
    <w:p w:rsidR="00FB5D1C" w:rsidRPr="00FF0C30" w:rsidRDefault="00FB5D1C" w:rsidP="00FF0C30">
      <w:pPr>
        <w:pStyle w:val="OfficialNormal"/>
        <w:rPr>
          <w:lang w:val="en-US"/>
        </w:rPr>
      </w:pPr>
      <w:r w:rsidRPr="00FF0C30">
        <w:rPr>
          <w:lang w:val="en-US"/>
        </w:rPr>
        <w:t xml:space="preserve">Another technique, which removes some of the subjectivity involved in interpreting the </w:t>
      </w:r>
      <w:r w:rsidR="004D0B24">
        <w:rPr>
          <w:lang w:val="en-US"/>
        </w:rPr>
        <w:t>ACF</w:t>
      </w:r>
      <w:r w:rsidRPr="00FF0C30">
        <w:rPr>
          <w:lang w:val="en-US"/>
        </w:rPr>
        <w:t xml:space="preserve"> and </w:t>
      </w:r>
      <w:r w:rsidR="004D0B24">
        <w:rPr>
          <w:lang w:val="en-US"/>
        </w:rPr>
        <w:t>PACF</w:t>
      </w:r>
      <w:r w:rsidRPr="00FF0C30">
        <w:rPr>
          <w:lang w:val="en-US"/>
        </w:rPr>
        <w:t>, is to use what are known as information criteria. Information criteria embody two factors: a term which is a function of the residual sum of squares (RSS), and some penalty for the loss of degrees of freedom from adding extra parameters. So, adding a new variable or an additional lag to a model will have two competing effects on the information criteria: the residual sum of squares will fall but the value of the penalty term will increase.</w:t>
      </w:r>
    </w:p>
    <w:p w:rsidR="00D63E7E" w:rsidRDefault="00FB5D1C" w:rsidP="00D63E7E">
      <w:pPr>
        <w:pStyle w:val="OfficialNormal"/>
        <w:rPr>
          <w:lang w:val="en-US"/>
        </w:rPr>
      </w:pPr>
      <w:r w:rsidRPr="00FF0C30">
        <w:rPr>
          <w:lang w:val="en-US"/>
        </w:rPr>
        <w:t xml:space="preserve">The object is to choose the number of parameters which </w:t>
      </w:r>
      <w:r w:rsidR="0024006E" w:rsidRPr="00FF0C30">
        <w:rPr>
          <w:lang w:val="en-US"/>
        </w:rPr>
        <w:t>minimizes</w:t>
      </w:r>
      <w:r w:rsidRPr="00FF0C30">
        <w:rPr>
          <w:lang w:val="en-US"/>
        </w:rPr>
        <w:t xml:space="preserve"> the value of the information criteria. So, adding an extra term will reduce the value of the criteria only if the fall in the residual sum of squares is sufficient to more than outweigh the increased value of the penalty term. There are several different criteria, which vary according to how stiff the penalty term is. The three most popular inf</w:t>
      </w:r>
      <w:r w:rsidR="004D0B24">
        <w:rPr>
          <w:lang w:val="en-US"/>
        </w:rPr>
        <w:t xml:space="preserve">ormation criteria are Akaike’s </w:t>
      </w:r>
      <w:r w:rsidRPr="00FF0C30">
        <w:rPr>
          <w:lang w:val="en-US"/>
        </w:rPr>
        <w:t xml:space="preserve"> informat</w:t>
      </w:r>
      <w:r w:rsidR="004D0B24">
        <w:rPr>
          <w:lang w:val="en-US"/>
        </w:rPr>
        <w:t>ion criterion (AIC)</w:t>
      </w:r>
      <w:r w:rsidR="00026DF5">
        <w:rPr>
          <w:lang w:val="en-US"/>
        </w:rPr>
        <w:t xml:space="preserve"> </w:t>
      </w:r>
      <w:r w:rsidR="00026DF5">
        <w:rPr>
          <w:lang w:val="en-US"/>
        </w:rPr>
        <w:fldChar w:fldCharType="begin" w:fldLock="1"/>
      </w:r>
      <w:r w:rsidR="00587F48">
        <w:rPr>
          <w:lang w:val="en-US"/>
        </w:rPr>
        <w:instrText>ADDIN CSL_CITATION { "citationItems" : [ { "id" : "ITEM-1", "itemData" : { "DOI" : "10.1109/TAC.1974.1100705", "ISBN" : "0018-9286 VO - 19", "ISSN" : "0018-9286", "PMID" : "1100705", "abstract" : "The history of the development of statistical hypothesis testing in time series analysis is reviewed briefly and it is pointed out that the hypothesis testing procedure is not adequately defined as the procedure for statistical model identification. The classical maximum likelihood estimation procedure is reviewed and a new estimate minimum information theoretical criterion (AIC) estimate (MAICE) which is designed for the purpose of statistical identification is introduced. When there are several competing models the MAICE is defined by the model and the maximum likelihood estimates of the parameters which give the minimum of AIC defined by AIC = (-2)log-(maximum likelihood) + 2(number of independently adjusted parameters within the model). MAICE provides a versatile procedure for statistical model identification which is free from the ambiguities inherent in the application of conventional hypothesis testing procedure. The practical utility of MAICE in time series analysis is demonstrated with some numerical examples.", "author" : [ { "dropping-particle" : "", "family" : "Akaike", "given" : "H.", "non-dropping-particle" : "", "parse-names" : false, "suffix" : "" } ], "container-title" : "IEEE Transactions on Automatic Control", "id" : "ITEM-1", "issue" : "6", "issued" : { "date-parts" : [ [ "1974" ] ] }, "title" : "A new look at the statistical model identification", "type" : "article-journal", "volume" : "19" }, "uris" : [ "http://www.mendeley.com/documents/?uuid=2bb33be1-937b-45cf-9dec-7a6ff7a7ea38" ] } ], "mendeley" : { "formattedCitation" : "(Akaike 1974)", "plainTextFormattedCitation" : "(Akaike 1974)", "previouslyFormattedCitation" : "(Akaike 1974)" }, "properties" : { "noteIndex" : 0 }, "schema" : "https://github.com/citation-style-language/schema/raw/master/csl-citation.json" }</w:instrText>
      </w:r>
      <w:r w:rsidR="00026DF5">
        <w:rPr>
          <w:lang w:val="en-US"/>
        </w:rPr>
        <w:fldChar w:fldCharType="separate"/>
      </w:r>
      <w:r w:rsidR="00587F48" w:rsidRPr="00587F48">
        <w:rPr>
          <w:noProof/>
          <w:lang w:val="en-US"/>
        </w:rPr>
        <w:t>(Akaike 1974)</w:t>
      </w:r>
      <w:r w:rsidR="00026DF5">
        <w:rPr>
          <w:lang w:val="en-US"/>
        </w:rPr>
        <w:fldChar w:fldCharType="end"/>
      </w:r>
      <w:r w:rsidR="004D0B24">
        <w:rPr>
          <w:lang w:val="en-US"/>
        </w:rPr>
        <w:t xml:space="preserve">, Schwarz’s </w:t>
      </w:r>
      <w:r w:rsidRPr="00FF0C30">
        <w:rPr>
          <w:lang w:val="en-US"/>
        </w:rPr>
        <w:t xml:space="preserve"> </w:t>
      </w:r>
      <w:r w:rsidR="00026DF5">
        <w:rPr>
          <w:lang w:val="en-US"/>
        </w:rPr>
        <w:t xml:space="preserve"> </w:t>
      </w:r>
      <w:r w:rsidRPr="00FF0C30">
        <w:rPr>
          <w:lang w:val="en-US"/>
        </w:rPr>
        <w:t>Bayesian information criterion (SBIC)</w:t>
      </w:r>
      <w:r w:rsidR="00026DF5">
        <w:rPr>
          <w:lang w:val="en-US"/>
        </w:rPr>
        <w:t xml:space="preserve"> </w:t>
      </w:r>
      <w:r w:rsidR="00026DF5">
        <w:rPr>
          <w:lang w:val="en-US"/>
        </w:rPr>
        <w:fldChar w:fldCharType="begin" w:fldLock="1"/>
      </w:r>
      <w:r w:rsidR="00587F48">
        <w:rPr>
          <w:lang w:val="en-US"/>
        </w:rPr>
        <w:instrText>ADDIN CSL_CITATION { "citationItems" : [ { "id" : "ITEM-1", "itemData" : { "DOI" : "10.1214/aos/1176344136", "ISBN" : "0780394224", "ISSN" : "0090-5364", "PMID" : "2958889", "abstract" : "The problem of selecting one of a number of models of different dimensions is treated by finding its Bayes solution, and evaluating the leading terms of its asymptotic expansion. These terms are a valid large-sample criterion beyond the Bayesian context, since they do not depend on the a priori distribution.", "author" : [ { "dropping-particle" : "", "family" : "Schwarz", "given" : "Gideon", "non-dropping-particle" : "", "parse-names" : false, "suffix" : "" } ], "container-title" : "The Annals of Statistics", "id" : "ITEM-1", "issue" : "2", "issued" : { "date-parts" : [ [ "1978" ] ] }, "page" : "461-464", "title" : "Estimating the Dimension of a Model", "type" : "article", "volume" : "6" }, "uris" : [ "http://www.mendeley.com/documents/?uuid=0f4ade9c-e0d1-4fa3-8322-71a3964b4434" ] } ], "mendeley" : { "formattedCitation" : "(Schwarz 1978)", "plainTextFormattedCitation" : "(Schwarz 1978)", "previouslyFormattedCitation" : "(Schwarz 1978)" }, "properties" : { "noteIndex" : 0 }, "schema" : "https://github.com/citation-style-language/schema/raw/master/csl-citation.json" }</w:instrText>
      </w:r>
      <w:r w:rsidR="00026DF5">
        <w:rPr>
          <w:lang w:val="en-US"/>
        </w:rPr>
        <w:fldChar w:fldCharType="separate"/>
      </w:r>
      <w:r w:rsidR="00587F48" w:rsidRPr="00587F48">
        <w:rPr>
          <w:noProof/>
          <w:lang w:val="en-US"/>
        </w:rPr>
        <w:t>(Schwarz 1978)</w:t>
      </w:r>
      <w:r w:rsidR="00026DF5">
        <w:rPr>
          <w:lang w:val="en-US"/>
        </w:rPr>
        <w:fldChar w:fldCharType="end"/>
      </w:r>
      <w:r w:rsidRPr="00FF0C30">
        <w:rPr>
          <w:lang w:val="en-US"/>
        </w:rPr>
        <w:t>, and the Hannan-Quinn criterion (HQIC)</w:t>
      </w:r>
      <w:r w:rsidR="004D0B24">
        <w:rPr>
          <w:lang w:val="en-US"/>
        </w:rPr>
        <w:t xml:space="preserve"> </w:t>
      </w:r>
      <w:r w:rsidR="004D0B24">
        <w:rPr>
          <w:lang w:val="en-US"/>
        </w:rPr>
        <w:fldChar w:fldCharType="begin" w:fldLock="1"/>
      </w:r>
      <w:r w:rsidR="00587F48">
        <w:rPr>
          <w:lang w:val="en-US"/>
        </w:rPr>
        <w:instrText>ADDIN CSL_CITATION { "citationItems" : [ { "id" : "ITEM-1", "itemData" : { "DOI" : "10.2307/2985032", "ISBN" : "00359246", "ISSN" : "00359246",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SUMMARY It is shown that a strongly consistent estimation procedure for the order of an auto-regression can be based on the law of the iterated logarithm for the partial auto-correlations. As compared to other strongly consistent procedures this procedure will", "author" : [ { "dropping-particle" : "", "family" : "Hannan", "given" : "E J", "non-dropping-particle" : "", "parse-names" : false, "suffix" : "" }, { "dropping-particle" : "", "family" : "Quinn", "given" : "B G", "non-dropping-particle" : "", "parse-names" : false, "suffix" : "" } ], "container-title" : "Journal of the Royal Statistical Society", "id" : "ITEM-1", "issue" : "2", "issued" : { "date-parts" : [ [ "1979" ] ] }, "page" : "190-195", "title" : "The Determination of the Order of an Autoregression", "type" : "article-journal", "volume" : "41" }, "uris" : [ "http://www.mendeley.com/documents/?uuid=7de0a105-13a1-4469-b7b9-1ca5d2e88e3a" ] } ], "mendeley" : { "formattedCitation" : "(Hannan and Quinn 1979)", "plainTextFormattedCitation" : "(Hannan and Quinn 1979)", "previouslyFormattedCitation" : "(Hannan and Quinn 1979)" }, "properties" : { "noteIndex" : 0 }, "schema" : "https://github.com/citation-style-language/schema/raw/master/csl-citation.json" }</w:instrText>
      </w:r>
      <w:r w:rsidR="004D0B24">
        <w:rPr>
          <w:lang w:val="en-US"/>
        </w:rPr>
        <w:fldChar w:fldCharType="separate"/>
      </w:r>
      <w:r w:rsidR="00587F48" w:rsidRPr="00587F48">
        <w:rPr>
          <w:noProof/>
          <w:lang w:val="en-US"/>
        </w:rPr>
        <w:t>(Hannan and Quinn 1979)</w:t>
      </w:r>
      <w:r w:rsidR="004D0B24">
        <w:rPr>
          <w:lang w:val="en-US"/>
        </w:rPr>
        <w:fldChar w:fldCharType="end"/>
      </w:r>
      <w:r w:rsidRPr="00FF0C30">
        <w:rPr>
          <w:lang w:val="en-US"/>
        </w:rPr>
        <w:t>.</w:t>
      </w:r>
    </w:p>
    <w:p w:rsidR="00026DF5" w:rsidRPr="00FF0C30" w:rsidRDefault="00026DF5" w:rsidP="00D63E7E">
      <w:pPr>
        <w:pStyle w:val="4"/>
      </w:pPr>
      <w:r w:rsidRPr="00FF0C30">
        <w:t>Qualitative</w:t>
      </w:r>
    </w:p>
    <w:p w:rsidR="00026DF5" w:rsidRPr="00FF0C30" w:rsidRDefault="00026DF5" w:rsidP="00026DF5">
      <w:pPr>
        <w:pStyle w:val="OfficialNormal"/>
        <w:rPr>
          <w:rFonts w:cs="Times New Roman"/>
          <w:szCs w:val="24"/>
          <w:lang w:val="en-US"/>
        </w:rPr>
      </w:pPr>
      <w:r w:rsidRPr="00026DF5">
        <w:rPr>
          <w:lang w:val="en-US"/>
        </w:rPr>
        <w:t>Qualitative</w:t>
      </w:r>
      <w:r>
        <w:rPr>
          <w:lang w:val="en-US"/>
        </w:rPr>
        <w:t xml:space="preserve"> forecasting u</w:t>
      </w:r>
      <w:r w:rsidRPr="00FF0C30">
        <w:rPr>
          <w:lang w:val="en-US"/>
        </w:rPr>
        <w:t xml:space="preserve">ses subjective judgment and expert opinion to forecast results. </w:t>
      </w:r>
      <w:r>
        <w:rPr>
          <w:lang w:val="en-US"/>
        </w:rPr>
        <w:t xml:space="preserve">Qualitative forecasting is widely used in industry, relying on experts in estimation of inputs for the models. </w:t>
      </w:r>
      <w:r w:rsidRPr="00FF0C30">
        <w:rPr>
          <w:lang w:val="en-US"/>
        </w:rPr>
        <w:t>Applied for oil and gas project this type of forecasting is used widely for estimation of the extractable resources of an oil field.</w:t>
      </w:r>
      <w:r w:rsidRPr="00026DF5">
        <w:rPr>
          <w:lang w:val="en-US"/>
        </w:rPr>
        <w:t xml:space="preserve"> </w:t>
      </w:r>
      <w:r w:rsidRPr="00FF0C30">
        <w:rPr>
          <w:lang w:val="en-US"/>
        </w:rPr>
        <w:t>These methods work best for situations for which there are no historical data or models available.</w:t>
      </w:r>
    </w:p>
    <w:p w:rsidR="00120088" w:rsidRPr="00FF0C30" w:rsidRDefault="002D2C0C" w:rsidP="0024006E">
      <w:pPr>
        <w:pStyle w:val="4"/>
      </w:pPr>
      <w:r w:rsidRPr="00FF0C30">
        <w:t>Simulation</w:t>
      </w:r>
    </w:p>
    <w:p w:rsidR="00026DF5" w:rsidRDefault="00026DF5" w:rsidP="00026DF5">
      <w:pPr>
        <w:pStyle w:val="OfficialNormal"/>
        <w:rPr>
          <w:lang w:val="en-US"/>
        </w:rPr>
      </w:pPr>
      <w:r w:rsidRPr="000F7EC6">
        <w:rPr>
          <w:lang w:val="en-US"/>
        </w:rPr>
        <w:t>Simulation</w:t>
      </w:r>
      <w:r>
        <w:rPr>
          <w:lang w:val="en-US"/>
        </w:rPr>
        <w:t xml:space="preserve"> provides insight not only on expected value of the forecasted variable, but also on its distribution and probabilities. </w:t>
      </w:r>
      <w:r>
        <w:rPr>
          <w:lang w:val="en-US"/>
        </w:rPr>
        <w:fldChar w:fldCharType="begin" w:fldLock="1"/>
      </w:r>
      <w:r w:rsidR="00587F48">
        <w:rPr>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Pr>
          <w:lang w:val="en-US"/>
        </w:rPr>
        <w:fldChar w:fldCharType="separate"/>
      </w:r>
      <w:r w:rsidR="00587F48" w:rsidRPr="00587F48">
        <w:rPr>
          <w:noProof/>
          <w:lang w:val="en-US"/>
        </w:rPr>
        <w:t>(Mun 2002)</w:t>
      </w:r>
      <w:r>
        <w:rPr>
          <w:lang w:val="en-US"/>
        </w:rPr>
        <w:fldChar w:fldCharType="end"/>
      </w:r>
      <w:r>
        <w:rPr>
          <w:lang w:val="en-US"/>
        </w:rPr>
        <w:t xml:space="preserve"> </w:t>
      </w:r>
      <w:r w:rsidR="00C136D3">
        <w:rPr>
          <w:lang w:val="en-US"/>
        </w:rPr>
        <w:t xml:space="preserve">determines simulation as one of the forecasting types, </w:t>
      </w:r>
      <w:r w:rsidR="00C136D3">
        <w:rPr>
          <w:lang w:val="en-US"/>
        </w:rPr>
        <w:lastRenderedPageBreak/>
        <w:t>but for logic of this thesis simulation is considered also an enhancement of linear regression forecasting, which is fully described later.</w:t>
      </w:r>
    </w:p>
    <w:p w:rsidR="000F7EC6" w:rsidRPr="00FF0C30" w:rsidRDefault="000F7EC6" w:rsidP="000F7EC6">
      <w:pPr>
        <w:pStyle w:val="OfficialNormal"/>
        <w:rPr>
          <w:lang w:val="en-US"/>
        </w:rPr>
      </w:pPr>
      <w:r w:rsidRPr="000F7EC6">
        <w:rPr>
          <w:lang w:val="en-US"/>
        </w:rPr>
        <w:t xml:space="preserve">Simulation </w:t>
      </w:r>
      <w:r w:rsidR="00026DF5">
        <w:rPr>
          <w:lang w:val="en-US"/>
        </w:rPr>
        <w:t xml:space="preserve">in general </w:t>
      </w:r>
      <w:r w:rsidRPr="000F7EC6">
        <w:rPr>
          <w:lang w:val="en-US"/>
        </w:rPr>
        <w:t>is any analytical method that is meant to imitate a real-life system</w:t>
      </w:r>
      <w:r w:rsidR="00026DF5">
        <w:rPr>
          <w:lang w:val="en-US"/>
        </w:rPr>
        <w:t>. It is usually used when analytical methods cannot be applied to the problem due to its complexity or lack of the methodology</w:t>
      </w:r>
      <w:r w:rsidRPr="000F7EC6">
        <w:rPr>
          <w:lang w:val="en-US"/>
        </w:rPr>
        <w:t xml:space="preserve">. </w:t>
      </w:r>
      <w:r w:rsidRPr="00FF0C30">
        <w:rPr>
          <w:lang w:val="en-US"/>
        </w:rPr>
        <w:t>This method works best where historical data is not available</w:t>
      </w:r>
      <w:r w:rsidR="00026DF5">
        <w:rPr>
          <w:lang w:val="en-US"/>
        </w:rPr>
        <w:t xml:space="preserve"> or not enough,</w:t>
      </w:r>
      <w:r w:rsidRPr="00FF0C30">
        <w:rPr>
          <w:lang w:val="en-US"/>
        </w:rPr>
        <w:t xml:space="preserve"> but </w:t>
      </w:r>
      <w:r>
        <w:rPr>
          <w:lang w:val="en-US"/>
        </w:rPr>
        <w:t>it is possible to</w:t>
      </w:r>
      <w:r w:rsidRPr="00FF0C30">
        <w:rPr>
          <w:lang w:val="en-US"/>
        </w:rPr>
        <w:t xml:space="preserve"> build the model of </w:t>
      </w:r>
      <w:r>
        <w:rPr>
          <w:lang w:val="en-US"/>
        </w:rPr>
        <w:t>the</w:t>
      </w:r>
      <w:r w:rsidRPr="00FF0C30">
        <w:rPr>
          <w:lang w:val="en-US"/>
        </w:rPr>
        <w:t xml:space="preserve"> situation to analyze its behavior. </w:t>
      </w:r>
    </w:p>
    <w:p w:rsidR="000F7EC6" w:rsidRDefault="000F7EC6" w:rsidP="000F7EC6">
      <w:pPr>
        <w:pStyle w:val="OfficialNormal"/>
        <w:rPr>
          <w:lang w:val="en-US"/>
        </w:rPr>
      </w:pPr>
      <w:r>
        <w:rPr>
          <w:lang w:val="en-US"/>
        </w:rPr>
        <w:t>Monte Carlo simulation r</w:t>
      </w:r>
      <w:r w:rsidR="002D2C0C" w:rsidRPr="00FF0C30">
        <w:rPr>
          <w:lang w:val="en-US"/>
        </w:rPr>
        <w:t>andomly generates many different scenarios for a model</w:t>
      </w:r>
      <w:r w:rsidR="00B2639F" w:rsidRPr="00FF0C30">
        <w:rPr>
          <w:lang w:val="en-US"/>
        </w:rPr>
        <w:t xml:space="preserve"> </w:t>
      </w:r>
      <w:r w:rsidR="002D2C0C" w:rsidRPr="00FF0C30">
        <w:rPr>
          <w:lang w:val="en-US"/>
        </w:rPr>
        <w:t>to forecas</w:t>
      </w:r>
      <w:r>
        <w:rPr>
          <w:lang w:val="en-US"/>
        </w:rPr>
        <w:t xml:space="preserve">t the possible outcomes </w:t>
      </w:r>
      <w:r w:rsidRPr="000F7EC6">
        <w:rPr>
          <w:lang w:val="en-US"/>
        </w:rPr>
        <w:t>by repeatedly picking values from the probability distribution</w:t>
      </w:r>
      <w:r>
        <w:rPr>
          <w:lang w:val="en-US"/>
        </w:rPr>
        <w:t xml:space="preserve"> </w:t>
      </w:r>
      <w:r w:rsidRPr="000F7EC6">
        <w:rPr>
          <w:lang w:val="en-US"/>
        </w:rPr>
        <w:t>for the uncertain variables and using those values for the event</w:t>
      </w:r>
      <w:r w:rsidR="00026DF5">
        <w:rPr>
          <w:lang w:val="en-US"/>
        </w:rPr>
        <w:t xml:space="preserve"> through a predetermined model</w:t>
      </w:r>
      <w:r w:rsidRPr="000F7EC6">
        <w:rPr>
          <w:lang w:val="en-US"/>
        </w:rPr>
        <w:t xml:space="preserve">. </w:t>
      </w:r>
      <w:r w:rsidR="00026DF5">
        <w:rPr>
          <w:lang w:val="en-US"/>
        </w:rPr>
        <w:t>Latin hypercube – a more profound analogue of Monte Carlo method is used in this thesis.</w:t>
      </w:r>
    </w:p>
    <w:p w:rsidR="000F7EC6" w:rsidRPr="00FF0C30" w:rsidRDefault="000F7EC6" w:rsidP="000F7EC6">
      <w:pPr>
        <w:pStyle w:val="OfficialNormal"/>
        <w:rPr>
          <w:lang w:val="en-US"/>
        </w:rPr>
      </w:pPr>
      <w:r w:rsidRPr="000F7EC6">
        <w:rPr>
          <w:lang w:val="en-US"/>
        </w:rPr>
        <w:t>As all those</w:t>
      </w:r>
      <w:r>
        <w:rPr>
          <w:lang w:val="en-US"/>
        </w:rPr>
        <w:t xml:space="preserve"> </w:t>
      </w:r>
      <w:r w:rsidRPr="000F7EC6">
        <w:rPr>
          <w:lang w:val="en-US"/>
        </w:rPr>
        <w:t xml:space="preserve">scenarios produce associated results, each scenario can have a </w:t>
      </w:r>
      <w:r w:rsidR="00026DF5">
        <w:rPr>
          <w:lang w:val="en-US"/>
        </w:rPr>
        <w:t xml:space="preserve">single </w:t>
      </w:r>
      <w:r w:rsidRPr="000F7EC6">
        <w:rPr>
          <w:lang w:val="en-US"/>
        </w:rPr>
        <w:t>forecast. Forecasts</w:t>
      </w:r>
      <w:r>
        <w:rPr>
          <w:lang w:val="en-US"/>
        </w:rPr>
        <w:t xml:space="preserve"> </w:t>
      </w:r>
      <w:r w:rsidRPr="000F7EC6">
        <w:rPr>
          <w:lang w:val="en-US"/>
        </w:rPr>
        <w:t xml:space="preserve">are events (usually with formulas or functions) that </w:t>
      </w:r>
      <w:r>
        <w:rPr>
          <w:lang w:val="en-US"/>
        </w:rPr>
        <w:t xml:space="preserve">are defined </w:t>
      </w:r>
      <w:r w:rsidRPr="000F7EC6">
        <w:rPr>
          <w:lang w:val="en-US"/>
        </w:rPr>
        <w:t>as outputs of the model. These usually are events such as totals, net profit,</w:t>
      </w:r>
      <w:r>
        <w:rPr>
          <w:lang w:val="en-US"/>
        </w:rPr>
        <w:t xml:space="preserve"> </w:t>
      </w:r>
      <w:r w:rsidRPr="000F7EC6">
        <w:rPr>
          <w:lang w:val="en-US"/>
        </w:rPr>
        <w:t>or gross expenses.</w:t>
      </w:r>
      <w:r>
        <w:rPr>
          <w:lang w:val="en-US"/>
        </w:rPr>
        <w:t xml:space="preserve"> However, in </w:t>
      </w:r>
      <w:r w:rsidR="00317C7C">
        <w:rPr>
          <w:lang w:val="en-US"/>
        </w:rPr>
        <w:t>real options analysis</w:t>
      </w:r>
      <w:r>
        <w:rPr>
          <w:lang w:val="en-US"/>
        </w:rPr>
        <w:t xml:space="preserve"> it is used in</w:t>
      </w:r>
      <w:r w:rsidRPr="00FF0C30">
        <w:rPr>
          <w:lang w:val="en-US"/>
        </w:rPr>
        <w:t xml:space="preserve"> order to determine the value of real options through modelling the </w:t>
      </w:r>
      <w:r w:rsidRPr="00026DF5">
        <w:rPr>
          <w:i/>
          <w:lang w:val="en-US"/>
        </w:rPr>
        <w:t>volatility</w:t>
      </w:r>
      <w:r w:rsidRPr="00FF0C30">
        <w:rPr>
          <w:lang w:val="en-US"/>
        </w:rPr>
        <w:t xml:space="preserve"> of an underlying asset. It will be described in details in the following section on Monte Carlo simulation</w:t>
      </w:r>
      <w:r w:rsidR="00026DF5">
        <w:rPr>
          <w:lang w:val="en-US"/>
        </w:rPr>
        <w:t>.</w:t>
      </w:r>
    </w:p>
    <w:p w:rsidR="008F073B" w:rsidRPr="00FF0C30" w:rsidRDefault="008F073B" w:rsidP="0024006E">
      <w:pPr>
        <w:pStyle w:val="3"/>
      </w:pPr>
      <w:bookmarkStart w:id="49" w:name="_Toc482548309"/>
      <w:bookmarkStart w:id="50" w:name="_Toc482644852"/>
      <w:bookmarkStart w:id="51" w:name="_Toc482651451"/>
      <w:bookmarkStart w:id="52" w:name="_Toc482660477"/>
      <w:r w:rsidRPr="00FF0C30">
        <w:t>Base case NPV model</w:t>
      </w:r>
      <w:bookmarkEnd w:id="49"/>
      <w:bookmarkEnd w:id="50"/>
      <w:bookmarkEnd w:id="51"/>
      <w:bookmarkEnd w:id="52"/>
    </w:p>
    <w:p w:rsidR="008F073B" w:rsidRDefault="008F073B" w:rsidP="006B15B8">
      <w:pPr>
        <w:rPr>
          <w:rFonts w:cs="Times New Roman"/>
          <w:szCs w:val="24"/>
          <w:lang w:val="en-US"/>
        </w:rPr>
      </w:pPr>
      <w:r w:rsidRPr="00FF0C30">
        <w:rPr>
          <w:rFonts w:cs="Times New Roman"/>
          <w:szCs w:val="24"/>
          <w:lang w:val="en-US"/>
        </w:rPr>
        <w:t xml:space="preserve">Base case NPV model transforms inputs from previous two steps into an estimation of expected net present value of the project. It accounts for the riskiness in terms of WACC, however, it </w:t>
      </w:r>
      <w:r w:rsidR="002D2C0C" w:rsidRPr="00FF0C30">
        <w:rPr>
          <w:rFonts w:cs="Times New Roman"/>
          <w:szCs w:val="24"/>
          <w:lang w:val="en-US"/>
        </w:rPr>
        <w:t>cannot</w:t>
      </w:r>
      <w:r w:rsidRPr="00FF0C30">
        <w:rPr>
          <w:rFonts w:cs="Times New Roman"/>
          <w:szCs w:val="24"/>
          <w:lang w:val="en-US"/>
        </w:rPr>
        <w:t xml:space="preserve"> capture the flexibilities. This is the last step of traditional valuation approach.</w:t>
      </w:r>
    </w:p>
    <w:p w:rsidR="000F7EC6" w:rsidRPr="000F7EC6" w:rsidRDefault="00BE3F76" w:rsidP="000F7EC6">
      <w:pPr>
        <w:rPr>
          <w:rFonts w:cs="Times New Roman"/>
          <w:szCs w:val="24"/>
          <w:lang w:val="en-US"/>
        </w:rPr>
      </w:pPr>
      <w:r>
        <w:rPr>
          <w:rFonts w:cs="Times New Roman"/>
          <w:szCs w:val="24"/>
          <w:lang w:val="en-US"/>
        </w:rPr>
        <w:t>Discounted cash flow model</w:t>
      </w:r>
      <w:r w:rsidRPr="00FF0C30">
        <w:rPr>
          <w:rFonts w:cs="Times New Roman"/>
          <w:szCs w:val="24"/>
          <w:lang w:val="en-US"/>
        </w:rPr>
        <w:t xml:space="preserve"> </w:t>
      </w:r>
      <w:r w:rsidR="000F7EC6" w:rsidRPr="000F7EC6">
        <w:rPr>
          <w:rFonts w:cs="Times New Roman"/>
          <w:szCs w:val="24"/>
          <w:lang w:val="en-US"/>
        </w:rPr>
        <w:t>serves as the base case</w:t>
      </w:r>
      <w:r w:rsidR="000F7EC6">
        <w:rPr>
          <w:rFonts w:cs="Times New Roman"/>
          <w:szCs w:val="24"/>
          <w:lang w:val="en-US"/>
        </w:rPr>
        <w:t xml:space="preserve"> </w:t>
      </w:r>
      <w:r w:rsidR="000F7EC6" w:rsidRPr="000F7EC6">
        <w:rPr>
          <w:rFonts w:cs="Times New Roman"/>
          <w:szCs w:val="24"/>
          <w:lang w:val="en-US"/>
        </w:rPr>
        <w:t xml:space="preserve">analysis, where a net present value is calculated for </w:t>
      </w:r>
      <w:r>
        <w:rPr>
          <w:rFonts w:cs="Times New Roman"/>
          <w:szCs w:val="24"/>
          <w:lang w:val="en-US"/>
        </w:rPr>
        <w:t>the</w:t>
      </w:r>
      <w:r w:rsidR="000F7EC6" w:rsidRPr="000F7EC6">
        <w:rPr>
          <w:rFonts w:cs="Times New Roman"/>
          <w:szCs w:val="24"/>
          <w:lang w:val="en-US"/>
        </w:rPr>
        <w:t xml:space="preserve"> project. This net present value is</w:t>
      </w:r>
      <w:r w:rsidR="000F7EC6">
        <w:rPr>
          <w:rFonts w:cs="Times New Roman"/>
          <w:szCs w:val="24"/>
          <w:lang w:val="en-US"/>
        </w:rPr>
        <w:t xml:space="preserve"> </w:t>
      </w:r>
      <w:r w:rsidR="000F7EC6" w:rsidRPr="000F7EC6">
        <w:rPr>
          <w:rFonts w:cs="Times New Roman"/>
          <w:szCs w:val="24"/>
          <w:lang w:val="en-US"/>
        </w:rPr>
        <w:t>calculated using the traditional approach of forecasting revenues and costs,</w:t>
      </w:r>
      <w:r w:rsidR="000F7EC6">
        <w:rPr>
          <w:rFonts w:cs="Times New Roman"/>
          <w:szCs w:val="24"/>
          <w:lang w:val="en-US"/>
        </w:rPr>
        <w:t xml:space="preserve"> </w:t>
      </w:r>
      <w:r w:rsidR="000F7EC6" w:rsidRPr="000F7EC6">
        <w:rPr>
          <w:rFonts w:cs="Times New Roman"/>
          <w:szCs w:val="24"/>
          <w:lang w:val="en-US"/>
        </w:rPr>
        <w:t xml:space="preserve">and discounting the net of these revenues and costs at an appropriate </w:t>
      </w:r>
      <w:r w:rsidR="00C136D3">
        <w:rPr>
          <w:rFonts w:cs="Times New Roman"/>
          <w:szCs w:val="24"/>
          <w:lang w:val="en-US"/>
        </w:rPr>
        <w:t xml:space="preserve">discounting </w:t>
      </w:r>
      <w:r w:rsidR="000F7EC6" w:rsidRPr="000F7EC6">
        <w:rPr>
          <w:rFonts w:cs="Times New Roman"/>
          <w:szCs w:val="24"/>
          <w:lang w:val="en-US"/>
        </w:rPr>
        <w:t>rate.</w:t>
      </w:r>
    </w:p>
    <w:p w:rsidR="000F7EC6" w:rsidRDefault="00C136D3" w:rsidP="000F7EC6">
      <w:pPr>
        <w:rPr>
          <w:rFonts w:cs="Times New Roman"/>
          <w:szCs w:val="24"/>
          <w:lang w:val="en-US"/>
        </w:rPr>
      </w:pPr>
      <w:r>
        <w:rPr>
          <w:rFonts w:cs="Times New Roman"/>
          <w:szCs w:val="24"/>
          <w:lang w:val="en-US"/>
        </w:rPr>
        <w:t>The data for the model is obtained from time series forecasting, in case it is possible, or management</w:t>
      </w:r>
      <w:r w:rsidR="000F7EC6" w:rsidRPr="000F7EC6">
        <w:rPr>
          <w:rFonts w:cs="Times New Roman"/>
          <w:szCs w:val="24"/>
          <w:lang w:val="en-US"/>
        </w:rPr>
        <w:t xml:space="preserve"> a</w:t>
      </w:r>
      <w:r w:rsidR="00BE3F76">
        <w:rPr>
          <w:rFonts w:cs="Times New Roman"/>
          <w:szCs w:val="24"/>
          <w:lang w:val="en-US"/>
        </w:rPr>
        <w:t>ssumptions may have to be used</w:t>
      </w:r>
      <w:r>
        <w:rPr>
          <w:rFonts w:cs="Times New Roman"/>
          <w:szCs w:val="24"/>
          <w:lang w:val="en-US"/>
        </w:rPr>
        <w:t xml:space="preserve"> if environment is extremely unpredictable or there is no developed methodology that could describe the external factors of the project.</w:t>
      </w:r>
    </w:p>
    <w:p w:rsidR="00313122" w:rsidRDefault="00313122" w:rsidP="000F7EC6">
      <w:pPr>
        <w:rPr>
          <w:rFonts w:cs="Times New Roman"/>
          <w:szCs w:val="24"/>
          <w:lang w:val="en-US"/>
        </w:rPr>
      </w:pPr>
      <w:r>
        <w:rPr>
          <w:rFonts w:cs="Times New Roman"/>
          <w:szCs w:val="24"/>
          <w:lang w:val="en-US"/>
        </w:rPr>
        <w:t>NPV approach cannot capture managerial flexibilities built into the project. It assumes passive management in static and predictable environment. In other words, management follows the predefined plan of the project, which was developed before the realization and is not to be changed to adopt actual realization of underlying uncertainties, such as oil price or currency exchange rate.</w:t>
      </w:r>
    </w:p>
    <w:p w:rsidR="00313122" w:rsidRPr="00FF0C30" w:rsidRDefault="00313122" w:rsidP="000F7EC6">
      <w:pPr>
        <w:rPr>
          <w:rFonts w:cs="Times New Roman"/>
          <w:szCs w:val="24"/>
          <w:lang w:val="en-US"/>
        </w:rPr>
      </w:pPr>
      <w:r>
        <w:rPr>
          <w:rFonts w:cs="Times New Roman"/>
          <w:szCs w:val="24"/>
          <w:lang w:val="en-US"/>
        </w:rPr>
        <w:lastRenderedPageBreak/>
        <w:t>Following steps are performed in order to estimate value of managerial decisions and assume active management – changing the actions throu</w:t>
      </w:r>
      <w:r w:rsidR="007270A6">
        <w:rPr>
          <w:rFonts w:cs="Times New Roman"/>
          <w:szCs w:val="24"/>
          <w:lang w:val="en-US"/>
        </w:rPr>
        <w:t>ghout the project life span.</w:t>
      </w:r>
    </w:p>
    <w:p w:rsidR="008F073B" w:rsidRPr="00FF0C30" w:rsidRDefault="008F073B" w:rsidP="0024006E">
      <w:pPr>
        <w:pStyle w:val="3"/>
      </w:pPr>
      <w:bookmarkStart w:id="53" w:name="_Toc482548310"/>
      <w:bookmarkStart w:id="54" w:name="_Toc482644853"/>
      <w:bookmarkStart w:id="55" w:name="_Toc482651452"/>
      <w:bookmarkStart w:id="56" w:name="_Toc482660478"/>
      <w:r w:rsidRPr="00FF0C30">
        <w:t>Monte Carlo simulation</w:t>
      </w:r>
      <w:bookmarkEnd w:id="53"/>
      <w:bookmarkEnd w:id="54"/>
      <w:bookmarkEnd w:id="55"/>
      <w:bookmarkEnd w:id="56"/>
    </w:p>
    <w:p w:rsidR="00BE3F76" w:rsidRDefault="00BE3F76" w:rsidP="00BE3F76">
      <w:pPr>
        <w:rPr>
          <w:rFonts w:cs="Times New Roman"/>
          <w:szCs w:val="24"/>
          <w:lang w:val="en-US"/>
        </w:rPr>
      </w:pPr>
      <w:r w:rsidRPr="00BE3F76">
        <w:rPr>
          <w:rFonts w:cs="Times New Roman"/>
          <w:szCs w:val="24"/>
          <w:lang w:val="en-US"/>
        </w:rPr>
        <w:t>Because the static discounted cash flow produces only a single-point estimate</w:t>
      </w:r>
      <w:r>
        <w:rPr>
          <w:rFonts w:cs="Times New Roman"/>
          <w:szCs w:val="24"/>
          <w:lang w:val="en-US"/>
        </w:rPr>
        <w:t xml:space="preserve"> </w:t>
      </w:r>
      <w:r w:rsidRPr="00BE3F76">
        <w:rPr>
          <w:rFonts w:cs="Times New Roman"/>
          <w:szCs w:val="24"/>
          <w:lang w:val="en-US"/>
        </w:rPr>
        <w:t>result, there is often</w:t>
      </w:r>
      <w:r w:rsidR="00C136D3">
        <w:rPr>
          <w:rFonts w:cs="Times New Roman"/>
          <w:szCs w:val="24"/>
          <w:lang w:val="en-US"/>
        </w:rPr>
        <w:t xml:space="preserve"> </w:t>
      </w:r>
      <w:r w:rsidRPr="00BE3F76">
        <w:rPr>
          <w:rFonts w:cs="Times New Roman"/>
          <w:szCs w:val="24"/>
          <w:lang w:val="en-US"/>
        </w:rPr>
        <w:t>little confidence in its accuracy given that future</w:t>
      </w:r>
      <w:r>
        <w:rPr>
          <w:rFonts w:cs="Times New Roman"/>
          <w:szCs w:val="24"/>
          <w:lang w:val="en-US"/>
        </w:rPr>
        <w:t xml:space="preserve"> </w:t>
      </w:r>
      <w:r w:rsidRPr="00BE3F76">
        <w:rPr>
          <w:rFonts w:cs="Times New Roman"/>
          <w:szCs w:val="24"/>
          <w:lang w:val="en-US"/>
        </w:rPr>
        <w:t>events that affect forecast cash flows are highly uncertain. To better estimate</w:t>
      </w:r>
      <w:r>
        <w:rPr>
          <w:rFonts w:cs="Times New Roman"/>
          <w:szCs w:val="24"/>
          <w:lang w:val="en-US"/>
        </w:rPr>
        <w:t xml:space="preserve"> </w:t>
      </w:r>
      <w:r w:rsidRPr="00BE3F76">
        <w:rPr>
          <w:rFonts w:cs="Times New Roman"/>
          <w:szCs w:val="24"/>
          <w:lang w:val="en-US"/>
        </w:rPr>
        <w:t>the actual value of a particular project, Monte Carlo simulation may be</w:t>
      </w:r>
      <w:r>
        <w:rPr>
          <w:rFonts w:cs="Times New Roman"/>
          <w:szCs w:val="24"/>
          <w:lang w:val="en-US"/>
        </w:rPr>
        <w:t xml:space="preserve"> employed.</w:t>
      </w:r>
    </w:p>
    <w:p w:rsidR="007270A6" w:rsidRPr="00C136D3" w:rsidRDefault="008F073B" w:rsidP="00BE3F76">
      <w:pPr>
        <w:rPr>
          <w:rFonts w:cs="Times New Roman"/>
          <w:szCs w:val="24"/>
          <w:lang w:val="en-US"/>
        </w:rPr>
      </w:pPr>
      <w:r w:rsidRPr="00FF0C30">
        <w:rPr>
          <w:rFonts w:cs="Times New Roman"/>
          <w:szCs w:val="24"/>
          <w:lang w:val="en-US"/>
        </w:rPr>
        <w:t>Monte Carlo simulation is the first step of dynamic approach. It uses results of the first three steps as inputs and is conducted in order to estimate riskiness of the project not in terms of discount rate, but as a simulated standard deviation of the returns of project’s cash flows.</w:t>
      </w:r>
    </w:p>
    <w:p w:rsidR="00BE3F76" w:rsidRDefault="00BE3F76" w:rsidP="00BE3F76">
      <w:pPr>
        <w:rPr>
          <w:lang w:val="en-US"/>
        </w:rPr>
      </w:pPr>
      <w:bookmarkStart w:id="57" w:name="_Toc482548311"/>
      <w:r w:rsidRPr="00BE3F76">
        <w:rPr>
          <w:lang w:val="en-US"/>
        </w:rPr>
        <w:t>The uncertain key variables that drive</w:t>
      </w:r>
      <w:r>
        <w:rPr>
          <w:lang w:val="en-US"/>
        </w:rPr>
        <w:t xml:space="preserve"> </w:t>
      </w:r>
      <w:r w:rsidRPr="00BE3F76">
        <w:rPr>
          <w:lang w:val="en-US"/>
        </w:rPr>
        <w:t>the net present value and hence the decision are called critical success drivers.</w:t>
      </w:r>
      <w:r>
        <w:rPr>
          <w:lang w:val="en-US"/>
        </w:rPr>
        <w:t xml:space="preserve"> </w:t>
      </w:r>
      <w:r w:rsidR="00C136D3">
        <w:rPr>
          <w:lang w:val="en-US"/>
        </w:rPr>
        <w:t xml:space="preserve">According to </w:t>
      </w:r>
      <w:r w:rsidR="00C136D3">
        <w:rPr>
          <w:lang w:val="en-US"/>
        </w:rPr>
        <w:fldChar w:fldCharType="begin" w:fldLock="1"/>
      </w:r>
      <w:r w:rsidR="00587F48">
        <w:rPr>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00C136D3">
        <w:rPr>
          <w:lang w:val="en-US"/>
        </w:rPr>
        <w:fldChar w:fldCharType="separate"/>
      </w:r>
      <w:r w:rsidR="00587F48" w:rsidRPr="00587F48">
        <w:rPr>
          <w:noProof/>
          <w:lang w:val="en-US"/>
        </w:rPr>
        <w:t>(Mun 2002)</w:t>
      </w:r>
      <w:r w:rsidR="00C136D3">
        <w:rPr>
          <w:lang w:val="en-US"/>
        </w:rPr>
        <w:fldChar w:fldCharType="end"/>
      </w:r>
      <w:r w:rsidR="00C136D3">
        <w:rPr>
          <w:lang w:val="en-US"/>
        </w:rPr>
        <w:t xml:space="preserve"> t</w:t>
      </w:r>
      <w:r w:rsidRPr="00BE3F76">
        <w:rPr>
          <w:lang w:val="en-US"/>
        </w:rPr>
        <w:t>hese critical success drivers are prime candidates for Monte Carlo</w:t>
      </w:r>
      <w:r>
        <w:rPr>
          <w:lang w:val="en-US"/>
        </w:rPr>
        <w:t xml:space="preserve"> simulation.</w:t>
      </w:r>
      <w:r w:rsidRPr="00BE3F76">
        <w:rPr>
          <w:sz w:val="14"/>
          <w:szCs w:val="14"/>
          <w:lang w:val="en-US"/>
        </w:rPr>
        <w:t xml:space="preserve"> </w:t>
      </w:r>
      <w:r w:rsidRPr="00BE3F76">
        <w:rPr>
          <w:lang w:val="en-US"/>
        </w:rPr>
        <w:t>Because some of these critical success drivers may be correlated</w:t>
      </w:r>
      <w:r w:rsidR="007270A6">
        <w:rPr>
          <w:lang w:val="en-US"/>
        </w:rPr>
        <w:t xml:space="preserve"> – </w:t>
      </w:r>
      <w:r w:rsidRPr="00BE3F76">
        <w:rPr>
          <w:lang w:val="en-US"/>
        </w:rPr>
        <w:t>for example, operating costs may increase in proportion to quantity</w:t>
      </w:r>
      <w:r>
        <w:rPr>
          <w:lang w:val="en-US"/>
        </w:rPr>
        <w:t xml:space="preserve"> </w:t>
      </w:r>
      <w:r w:rsidRPr="00BE3F76">
        <w:rPr>
          <w:lang w:val="en-US"/>
        </w:rPr>
        <w:t>sold of a particular product, or prices may be inversely correlated to quantity</w:t>
      </w:r>
      <w:r>
        <w:rPr>
          <w:lang w:val="en-US"/>
        </w:rPr>
        <w:t xml:space="preserve"> </w:t>
      </w:r>
      <w:r w:rsidRPr="00BE3F76">
        <w:rPr>
          <w:lang w:val="en-US"/>
        </w:rPr>
        <w:t>sold</w:t>
      </w:r>
      <w:r w:rsidR="007270A6">
        <w:rPr>
          <w:lang w:val="en-US"/>
        </w:rPr>
        <w:t xml:space="preserve"> – </w:t>
      </w:r>
      <w:r w:rsidRPr="00BE3F76">
        <w:rPr>
          <w:lang w:val="en-US"/>
        </w:rPr>
        <w:t>a correlated Monte Carlo simulation may be required. Typically,</w:t>
      </w:r>
      <w:r>
        <w:rPr>
          <w:lang w:val="en-US"/>
        </w:rPr>
        <w:t xml:space="preserve"> </w:t>
      </w:r>
      <w:r w:rsidRPr="00BE3F76">
        <w:rPr>
          <w:lang w:val="en-US"/>
        </w:rPr>
        <w:t>these correlations can be obtained through historical data. Running correlated</w:t>
      </w:r>
      <w:r>
        <w:rPr>
          <w:lang w:val="en-US"/>
        </w:rPr>
        <w:t xml:space="preserve"> </w:t>
      </w:r>
      <w:r w:rsidRPr="00BE3F76">
        <w:rPr>
          <w:lang w:val="en-US"/>
        </w:rPr>
        <w:t>simulations provides a much closer approximation to the variables’</w:t>
      </w:r>
      <w:r>
        <w:rPr>
          <w:lang w:val="en-US"/>
        </w:rPr>
        <w:t xml:space="preserve"> </w:t>
      </w:r>
      <w:r w:rsidRPr="00BE3F76">
        <w:rPr>
          <w:lang w:val="en-US"/>
        </w:rPr>
        <w:t>real-life behaviors.</w:t>
      </w:r>
    </w:p>
    <w:p w:rsidR="008F073B" w:rsidRPr="00FF0C30" w:rsidRDefault="008F073B" w:rsidP="00BE3F76">
      <w:pPr>
        <w:pStyle w:val="3"/>
      </w:pPr>
      <w:bookmarkStart w:id="58" w:name="_Toc482644854"/>
      <w:bookmarkStart w:id="59" w:name="_Toc482651453"/>
      <w:bookmarkStart w:id="60" w:name="_Toc482660479"/>
      <w:r w:rsidRPr="00FF0C30">
        <w:t>Description of real options</w:t>
      </w:r>
      <w:bookmarkEnd w:id="57"/>
      <w:bookmarkEnd w:id="58"/>
      <w:bookmarkEnd w:id="59"/>
      <w:bookmarkEnd w:id="60"/>
    </w:p>
    <w:p w:rsidR="008F073B" w:rsidRPr="00FF0C30" w:rsidRDefault="008F073B" w:rsidP="00BE3F76">
      <w:pPr>
        <w:rPr>
          <w:rFonts w:cs="Times New Roman"/>
          <w:szCs w:val="24"/>
          <w:lang w:val="en-US"/>
        </w:rPr>
      </w:pPr>
      <w:r w:rsidRPr="00FF0C30">
        <w:rPr>
          <w:rFonts w:cs="Times New Roman"/>
          <w:szCs w:val="24"/>
          <w:lang w:val="en-US"/>
        </w:rPr>
        <w:t>After simulation modeling we possess all the necessary data to estimate the value of real options. At this step real options should be identified and linked to the built in flexibilities and uncertainties of the project.</w:t>
      </w:r>
      <w:r w:rsidR="00BE3F76">
        <w:rPr>
          <w:rFonts w:cs="Times New Roman"/>
          <w:szCs w:val="24"/>
          <w:lang w:val="en-US"/>
        </w:rPr>
        <w:t xml:space="preserve"> </w:t>
      </w:r>
      <w:r w:rsidR="00BE3F76" w:rsidRPr="00BE3F76">
        <w:rPr>
          <w:rFonts w:cs="Times New Roman"/>
          <w:szCs w:val="24"/>
          <w:lang w:val="en-US"/>
        </w:rPr>
        <w:t>The strategic optionalities may include, among other</w:t>
      </w:r>
      <w:r w:rsidR="00BE3F76">
        <w:rPr>
          <w:rFonts w:cs="Times New Roman"/>
          <w:szCs w:val="24"/>
          <w:lang w:val="en-US"/>
        </w:rPr>
        <w:t xml:space="preserve"> </w:t>
      </w:r>
      <w:r w:rsidR="00BE3F76" w:rsidRPr="00BE3F76">
        <w:rPr>
          <w:rFonts w:cs="Times New Roman"/>
          <w:szCs w:val="24"/>
          <w:lang w:val="en-US"/>
        </w:rPr>
        <w:t>things, the option to expand, contract, abandon, switch, choose, and so</w:t>
      </w:r>
      <w:r w:rsidR="00BE3F76">
        <w:rPr>
          <w:rFonts w:cs="Times New Roman"/>
          <w:szCs w:val="24"/>
          <w:lang w:val="en-US"/>
        </w:rPr>
        <w:t xml:space="preserve"> </w:t>
      </w:r>
      <w:r w:rsidR="00BE3F76" w:rsidRPr="00BE3F76">
        <w:rPr>
          <w:rFonts w:cs="Times New Roman"/>
          <w:szCs w:val="24"/>
          <w:lang w:val="en-US"/>
        </w:rPr>
        <w:t>forth. Based on the identification of strategic optionalities that exist for each</w:t>
      </w:r>
      <w:r w:rsidR="00BE3F76">
        <w:rPr>
          <w:rFonts w:cs="Times New Roman"/>
          <w:szCs w:val="24"/>
          <w:lang w:val="en-US"/>
        </w:rPr>
        <w:t xml:space="preserve"> </w:t>
      </w:r>
      <w:r w:rsidR="00BE3F76" w:rsidRPr="00BE3F76">
        <w:rPr>
          <w:rFonts w:cs="Times New Roman"/>
          <w:szCs w:val="24"/>
          <w:lang w:val="en-US"/>
        </w:rPr>
        <w:t>project or at each stage of the project</w:t>
      </w:r>
      <w:r w:rsidR="00BE3F76">
        <w:rPr>
          <w:rFonts w:cs="Times New Roman"/>
          <w:szCs w:val="24"/>
          <w:lang w:val="en-US"/>
        </w:rPr>
        <w:t>, real options can be described for the later estimation.</w:t>
      </w:r>
    </w:p>
    <w:p w:rsidR="008F073B" w:rsidRPr="00FF0C30" w:rsidRDefault="008F073B" w:rsidP="0024006E">
      <w:pPr>
        <w:pStyle w:val="3"/>
      </w:pPr>
      <w:bookmarkStart w:id="61" w:name="_Toc482548312"/>
      <w:bookmarkStart w:id="62" w:name="_Toc482644855"/>
      <w:bookmarkStart w:id="63" w:name="_Toc482651454"/>
      <w:bookmarkStart w:id="64" w:name="_Toc482660480"/>
      <w:r w:rsidRPr="00FF0C30">
        <w:t>Valuation of real options</w:t>
      </w:r>
      <w:bookmarkEnd w:id="61"/>
      <w:r w:rsidR="00F722ED">
        <w:t xml:space="preserve"> and </w:t>
      </w:r>
      <w:bookmarkStart w:id="65" w:name="_Toc482548313"/>
      <w:r w:rsidR="00F722ED">
        <w:t>a</w:t>
      </w:r>
      <w:r w:rsidR="00F722ED" w:rsidRPr="00FF0C30">
        <w:t>djustment of the base case NPV</w:t>
      </w:r>
      <w:bookmarkEnd w:id="62"/>
      <w:bookmarkEnd w:id="63"/>
      <w:bookmarkEnd w:id="64"/>
      <w:bookmarkEnd w:id="65"/>
    </w:p>
    <w:p w:rsidR="008F073B" w:rsidRDefault="008F073B" w:rsidP="006B15B8">
      <w:pPr>
        <w:rPr>
          <w:rFonts w:cs="Times New Roman"/>
          <w:szCs w:val="24"/>
          <w:lang w:val="en-US"/>
        </w:rPr>
      </w:pPr>
      <w:r w:rsidRPr="00FF0C30">
        <w:rPr>
          <w:rFonts w:cs="Times New Roman"/>
          <w:szCs w:val="24"/>
          <w:lang w:val="en-US"/>
        </w:rPr>
        <w:t xml:space="preserve">Valuation of real options use all the previous steps as inputs in order to estimate the value of managerial flexibility. Black and </w:t>
      </w:r>
      <w:r w:rsidR="0019295E" w:rsidRPr="00FF0C30">
        <w:rPr>
          <w:rFonts w:cs="Times New Roman"/>
          <w:szCs w:val="24"/>
          <w:lang w:val="en-US"/>
        </w:rPr>
        <w:t>Scholes</w:t>
      </w:r>
      <w:r w:rsidRPr="00FF0C30">
        <w:rPr>
          <w:rFonts w:cs="Times New Roman"/>
          <w:szCs w:val="24"/>
          <w:lang w:val="en-US"/>
        </w:rPr>
        <w:t xml:space="preserve"> formula along with binomial trees are used to get the final estimation.</w:t>
      </w:r>
    </w:p>
    <w:p w:rsidR="00BE3F76" w:rsidRDefault="00BE3F76" w:rsidP="00BE3F76">
      <w:pPr>
        <w:rPr>
          <w:rFonts w:cs="Times New Roman"/>
          <w:szCs w:val="24"/>
          <w:lang w:val="en-US"/>
        </w:rPr>
      </w:pPr>
      <w:r w:rsidRPr="00BE3F76">
        <w:rPr>
          <w:rFonts w:cs="Times New Roman"/>
          <w:szCs w:val="24"/>
          <w:lang w:val="en-US"/>
        </w:rPr>
        <w:t>In real options,</w:t>
      </w:r>
      <w:r>
        <w:rPr>
          <w:rFonts w:cs="Times New Roman"/>
          <w:szCs w:val="24"/>
          <w:lang w:val="en-US"/>
        </w:rPr>
        <w:t xml:space="preserve"> </w:t>
      </w:r>
      <w:r w:rsidRPr="00BE3F76">
        <w:rPr>
          <w:rFonts w:cs="Times New Roman"/>
          <w:szCs w:val="24"/>
          <w:lang w:val="en-US"/>
        </w:rPr>
        <w:t>we assume that the underlying variable is the future profitability of the project,</w:t>
      </w:r>
      <w:r>
        <w:rPr>
          <w:rFonts w:cs="Times New Roman"/>
          <w:szCs w:val="24"/>
          <w:lang w:val="en-US"/>
        </w:rPr>
        <w:t xml:space="preserve"> </w:t>
      </w:r>
      <w:r w:rsidRPr="00BE3F76">
        <w:rPr>
          <w:rFonts w:cs="Times New Roman"/>
          <w:szCs w:val="24"/>
          <w:lang w:val="en-US"/>
        </w:rPr>
        <w:t>which is the future cash flow series. An implied volatility of the future</w:t>
      </w:r>
      <w:r>
        <w:rPr>
          <w:rFonts w:cs="Times New Roman"/>
          <w:szCs w:val="24"/>
          <w:lang w:val="en-US"/>
        </w:rPr>
        <w:t xml:space="preserve"> </w:t>
      </w:r>
      <w:r w:rsidRPr="00BE3F76">
        <w:rPr>
          <w:rFonts w:cs="Times New Roman"/>
          <w:szCs w:val="24"/>
          <w:lang w:val="en-US"/>
        </w:rPr>
        <w:t>free cash flow or underlying variable can be calculated through the results</w:t>
      </w:r>
      <w:r>
        <w:rPr>
          <w:rFonts w:cs="Times New Roman"/>
          <w:szCs w:val="24"/>
          <w:lang w:val="en-US"/>
        </w:rPr>
        <w:t xml:space="preserve"> </w:t>
      </w:r>
      <w:r w:rsidRPr="00BE3F76">
        <w:rPr>
          <w:rFonts w:cs="Times New Roman"/>
          <w:szCs w:val="24"/>
          <w:lang w:val="en-US"/>
        </w:rPr>
        <w:t xml:space="preserve">of a Monte Carlo simulation previously performed. </w:t>
      </w:r>
    </w:p>
    <w:p w:rsidR="00BE3F76" w:rsidRPr="00FF0C30" w:rsidRDefault="00BE3F76" w:rsidP="00BE3F76">
      <w:pPr>
        <w:rPr>
          <w:rFonts w:cs="Times New Roman"/>
          <w:szCs w:val="24"/>
          <w:lang w:val="en-US"/>
        </w:rPr>
      </w:pPr>
      <w:r w:rsidRPr="00BE3F76">
        <w:rPr>
          <w:rFonts w:cs="Times New Roman"/>
          <w:szCs w:val="24"/>
          <w:lang w:val="en-US"/>
        </w:rPr>
        <w:lastRenderedPageBreak/>
        <w:t>Usually, the volatility is</w:t>
      </w:r>
      <w:r>
        <w:rPr>
          <w:rFonts w:cs="Times New Roman"/>
          <w:szCs w:val="24"/>
          <w:lang w:val="en-US"/>
        </w:rPr>
        <w:t xml:space="preserve"> </w:t>
      </w:r>
      <w:r w:rsidRPr="00BE3F76">
        <w:rPr>
          <w:rFonts w:cs="Times New Roman"/>
          <w:szCs w:val="24"/>
          <w:lang w:val="en-US"/>
        </w:rPr>
        <w:t>measured as the standard deviation of the logarithmic returns on the free</w:t>
      </w:r>
      <w:r w:rsidR="00EE0498">
        <w:rPr>
          <w:rFonts w:cs="Times New Roman"/>
          <w:szCs w:val="24"/>
          <w:lang w:val="en-US"/>
        </w:rPr>
        <w:t xml:space="preserve"> </w:t>
      </w:r>
      <w:r w:rsidRPr="00BE3F76">
        <w:rPr>
          <w:rFonts w:cs="Times New Roman"/>
          <w:szCs w:val="24"/>
          <w:lang w:val="en-US"/>
        </w:rPr>
        <w:t>cash flows stream. In addition, the present value of future cash flows for</w:t>
      </w:r>
      <w:r>
        <w:rPr>
          <w:rFonts w:cs="Times New Roman"/>
          <w:szCs w:val="24"/>
          <w:lang w:val="en-US"/>
        </w:rPr>
        <w:t xml:space="preserve"> </w:t>
      </w:r>
      <w:r w:rsidRPr="00BE3F76">
        <w:rPr>
          <w:rFonts w:cs="Times New Roman"/>
          <w:szCs w:val="24"/>
          <w:lang w:val="en-US"/>
        </w:rPr>
        <w:t>the base case discounted cash flow model is used as the initial underlying</w:t>
      </w:r>
      <w:r>
        <w:rPr>
          <w:rFonts w:cs="Times New Roman"/>
          <w:szCs w:val="24"/>
          <w:lang w:val="en-US"/>
        </w:rPr>
        <w:t xml:space="preserve"> </w:t>
      </w:r>
      <w:r w:rsidRPr="00BE3F76">
        <w:rPr>
          <w:rFonts w:cs="Times New Roman"/>
          <w:szCs w:val="24"/>
          <w:lang w:val="en-US"/>
        </w:rPr>
        <w:t>asset value in real options modeling</w:t>
      </w:r>
      <w:r>
        <w:rPr>
          <w:rFonts w:cs="Times New Roman"/>
          <w:szCs w:val="24"/>
          <w:lang w:val="en-US"/>
        </w:rPr>
        <w:t>.</w:t>
      </w:r>
    </w:p>
    <w:p w:rsidR="008F073B" w:rsidRPr="00FF0C30" w:rsidRDefault="008F073B" w:rsidP="006B15B8">
      <w:pPr>
        <w:rPr>
          <w:rFonts w:cs="Times New Roman"/>
          <w:szCs w:val="24"/>
          <w:lang w:val="en-US"/>
        </w:rPr>
      </w:pPr>
      <w:r w:rsidRPr="00FF0C30">
        <w:rPr>
          <w:rFonts w:cs="Times New Roman"/>
          <w:szCs w:val="24"/>
          <w:lang w:val="en-US"/>
        </w:rPr>
        <w:t>Real options analysis does not substitute the traditional NPV approach, it rather enhances it through adding the value of managerial flexibilities under assumption of active management. Thus the NPV estimation from the third step is adjusted to the value of real option.</w:t>
      </w:r>
    </w:p>
    <w:p w:rsidR="008F073B" w:rsidRPr="00FF0C30" w:rsidRDefault="008F073B" w:rsidP="0024006E">
      <w:pPr>
        <w:pStyle w:val="3"/>
      </w:pPr>
      <w:bookmarkStart w:id="66" w:name="_Toc482548314"/>
      <w:bookmarkStart w:id="67" w:name="_Toc482644856"/>
      <w:bookmarkStart w:id="68" w:name="_Toc482651455"/>
      <w:bookmarkStart w:id="69" w:name="_Toc482660481"/>
      <w:r w:rsidRPr="00FF0C30">
        <w:t>Formulating risk management recommendations</w:t>
      </w:r>
      <w:bookmarkEnd w:id="66"/>
      <w:bookmarkEnd w:id="67"/>
      <w:bookmarkEnd w:id="68"/>
      <w:bookmarkEnd w:id="69"/>
    </w:p>
    <w:p w:rsidR="008F073B" w:rsidRDefault="00317C7C" w:rsidP="006B15B8">
      <w:pPr>
        <w:rPr>
          <w:rFonts w:cs="Times New Roman"/>
          <w:szCs w:val="24"/>
          <w:lang w:val="en-US"/>
        </w:rPr>
      </w:pPr>
      <w:r>
        <w:rPr>
          <w:rFonts w:cs="Times New Roman"/>
          <w:szCs w:val="24"/>
          <w:lang w:val="en-US"/>
        </w:rPr>
        <w:t>Real options analysis</w:t>
      </w:r>
      <w:r w:rsidR="008F073B" w:rsidRPr="00FF0C30">
        <w:rPr>
          <w:rFonts w:cs="Times New Roman"/>
          <w:szCs w:val="24"/>
          <w:lang w:val="en-US"/>
        </w:rPr>
        <w:t xml:space="preserve"> allows not only to estimate the value of active management under uncertainty but also to formulate recommendations for specific actions, such as leaving the project or expanding the capacity.</w:t>
      </w:r>
    </w:p>
    <w:p w:rsidR="00F722ED" w:rsidRPr="00FF0C30" w:rsidRDefault="00F722ED" w:rsidP="00F722ED">
      <w:pPr>
        <w:rPr>
          <w:rFonts w:cs="Times New Roman"/>
          <w:szCs w:val="24"/>
          <w:lang w:val="en-US"/>
        </w:rPr>
      </w:pPr>
      <w:r w:rsidRPr="00F722ED">
        <w:rPr>
          <w:rFonts w:cs="Times New Roman"/>
          <w:szCs w:val="24"/>
          <w:lang w:val="en-US"/>
        </w:rPr>
        <w:t>Real options analysis assumes that the future is uncertain and that management</w:t>
      </w:r>
      <w:r>
        <w:rPr>
          <w:rFonts w:cs="Times New Roman"/>
          <w:szCs w:val="24"/>
          <w:lang w:val="en-US"/>
        </w:rPr>
        <w:t xml:space="preserve"> </w:t>
      </w:r>
      <w:r w:rsidRPr="00F722ED">
        <w:rPr>
          <w:rFonts w:cs="Times New Roman"/>
          <w:szCs w:val="24"/>
          <w:lang w:val="en-US"/>
        </w:rPr>
        <w:t>has the right to make midcourse corrections when these uncertainties</w:t>
      </w:r>
      <w:r>
        <w:rPr>
          <w:rFonts w:cs="Times New Roman"/>
          <w:szCs w:val="24"/>
          <w:lang w:val="en-US"/>
        </w:rPr>
        <w:t xml:space="preserve"> become</w:t>
      </w:r>
      <w:r w:rsidRPr="00F722ED">
        <w:rPr>
          <w:rFonts w:cs="Times New Roman"/>
          <w:szCs w:val="24"/>
          <w:lang w:val="en-US"/>
        </w:rPr>
        <w:t xml:space="preserve"> resolved or risks become known; the analysis is usually done ahead</w:t>
      </w:r>
      <w:r>
        <w:rPr>
          <w:rFonts w:cs="Times New Roman"/>
          <w:szCs w:val="24"/>
          <w:lang w:val="en-US"/>
        </w:rPr>
        <w:t xml:space="preserve"> </w:t>
      </w:r>
      <w:r w:rsidRPr="00F722ED">
        <w:rPr>
          <w:rFonts w:cs="Times New Roman"/>
          <w:szCs w:val="24"/>
          <w:lang w:val="en-US"/>
        </w:rPr>
        <w:t>of time and thus, ahead of such uncertainty and risks. Therefore, when these</w:t>
      </w:r>
      <w:r>
        <w:rPr>
          <w:rFonts w:cs="Times New Roman"/>
          <w:szCs w:val="24"/>
          <w:lang w:val="en-US"/>
        </w:rPr>
        <w:t xml:space="preserve"> </w:t>
      </w:r>
      <w:r w:rsidRPr="00F722ED">
        <w:rPr>
          <w:rFonts w:cs="Times New Roman"/>
          <w:szCs w:val="24"/>
          <w:lang w:val="en-US"/>
        </w:rPr>
        <w:t>risks become known, the analysis should be revisited to incorporate the decisions</w:t>
      </w:r>
      <w:r>
        <w:rPr>
          <w:rFonts w:cs="Times New Roman"/>
          <w:szCs w:val="24"/>
          <w:lang w:val="en-US"/>
        </w:rPr>
        <w:t xml:space="preserve"> </w:t>
      </w:r>
      <w:r w:rsidRPr="00F722ED">
        <w:rPr>
          <w:rFonts w:cs="Times New Roman"/>
          <w:szCs w:val="24"/>
          <w:lang w:val="en-US"/>
        </w:rPr>
        <w:t>made or revising any input assumptions. Sometimes, for long-horizon</w:t>
      </w:r>
      <w:r>
        <w:rPr>
          <w:rFonts w:cs="Times New Roman"/>
          <w:szCs w:val="24"/>
          <w:lang w:val="en-US"/>
        </w:rPr>
        <w:t xml:space="preserve"> </w:t>
      </w:r>
      <w:r w:rsidRPr="00F722ED">
        <w:rPr>
          <w:rFonts w:cs="Times New Roman"/>
          <w:szCs w:val="24"/>
          <w:lang w:val="en-US"/>
        </w:rPr>
        <w:t>projects, several iterations of the real options analysis should be performed,</w:t>
      </w:r>
      <w:r>
        <w:rPr>
          <w:rFonts w:cs="Times New Roman"/>
          <w:szCs w:val="24"/>
          <w:lang w:val="en-US"/>
        </w:rPr>
        <w:t xml:space="preserve"> </w:t>
      </w:r>
      <w:r w:rsidRPr="00F722ED">
        <w:rPr>
          <w:rFonts w:cs="Times New Roman"/>
          <w:szCs w:val="24"/>
          <w:lang w:val="en-US"/>
        </w:rPr>
        <w:t>where future iterations are updated with the latest data and assumptions.</w:t>
      </w:r>
    </w:p>
    <w:p w:rsidR="000E69A9" w:rsidRPr="00FF0C30" w:rsidRDefault="000E69A9" w:rsidP="000E69A9">
      <w:pPr>
        <w:pStyle w:val="2"/>
      </w:pPr>
      <w:bookmarkStart w:id="70" w:name="_Toc484036305"/>
      <w:r>
        <w:t>Chapter summary</w:t>
      </w:r>
      <w:bookmarkEnd w:id="70"/>
    </w:p>
    <w:p w:rsidR="00155609" w:rsidRDefault="00155609" w:rsidP="00155609">
      <w:pPr>
        <w:rPr>
          <w:lang w:val="en-US"/>
        </w:rPr>
      </w:pPr>
      <w:r>
        <w:rPr>
          <w:lang w:val="en-US"/>
        </w:rPr>
        <w:t>Oil and gas industry remain</w:t>
      </w:r>
      <w:r w:rsidR="008F0CCC">
        <w:rPr>
          <w:lang w:val="en-US"/>
        </w:rPr>
        <w:t>s</w:t>
      </w:r>
      <w:r>
        <w:rPr>
          <w:lang w:val="en-US"/>
        </w:rPr>
        <w:t xml:space="preserve"> </w:t>
      </w:r>
      <w:r w:rsidR="008F0CCC">
        <w:rPr>
          <w:lang w:val="en-US"/>
        </w:rPr>
        <w:t>a</w:t>
      </w:r>
      <w:r>
        <w:rPr>
          <w:lang w:val="en-US"/>
        </w:rPr>
        <w:t xml:space="preserve"> core part of Russian economy. Specifics of natural resources allow Russian market participants to enjoy favorable upstream cost structure. However, location of oil and gas fields require complex and expansive infrastructural investments and profound technologies, that often require participation of foreign investors.</w:t>
      </w:r>
    </w:p>
    <w:p w:rsidR="00155609" w:rsidRDefault="00155609" w:rsidP="00155609">
      <w:pPr>
        <w:rPr>
          <w:lang w:val="en-US"/>
        </w:rPr>
      </w:pPr>
      <w:r>
        <w:rPr>
          <w:lang w:val="en-US"/>
        </w:rPr>
        <w:t>Projects in oil and gas in general are very capital intensive and differ from many others with their extremely long lifespan. Due to complexity and broad planning horizon projects in oil and gas industry are subject to wide range of uncertainties, which can be grouped into three main categories.</w:t>
      </w:r>
    </w:p>
    <w:p w:rsidR="000543A1" w:rsidRDefault="00155609" w:rsidP="00155609">
      <w:pPr>
        <w:rPr>
          <w:lang w:val="en-US"/>
        </w:rPr>
      </w:pPr>
      <w:r>
        <w:rPr>
          <w:lang w:val="en-US"/>
        </w:rPr>
        <w:t xml:space="preserve">Economic uncertainty includes all </w:t>
      </w:r>
      <w:r w:rsidR="000543A1">
        <w:rPr>
          <w:lang w:val="en-US"/>
        </w:rPr>
        <w:t>market variables that influence the projects inflows. Volatile world oil price is main contributor to overall risk level in oil and gas projects. However, operations in Russia lead to increase in economic uncertainty due to high variance of Russian ruble exchange rate and fluctuations of debt interest rates.</w:t>
      </w:r>
    </w:p>
    <w:p w:rsidR="000543A1" w:rsidRDefault="000543A1" w:rsidP="00155609">
      <w:pPr>
        <w:rPr>
          <w:lang w:val="en-US"/>
        </w:rPr>
      </w:pPr>
      <w:r>
        <w:rPr>
          <w:lang w:val="en-US"/>
        </w:rPr>
        <w:t xml:space="preserve">Technical uncertainty includes uncertainty in exploration and extractable reserves forecast and uncertainty connected to accidents. While the second one is purely unfavorable for the project and </w:t>
      </w:r>
      <w:r>
        <w:rPr>
          <w:lang w:val="en-US"/>
        </w:rPr>
        <w:lastRenderedPageBreak/>
        <w:t>can lead to environmental threats, the first can be both positive and negative and requires according adjustment of the project.</w:t>
      </w:r>
    </w:p>
    <w:p w:rsidR="008C3AB9" w:rsidRDefault="000543A1" w:rsidP="00155609">
      <w:pPr>
        <w:rPr>
          <w:lang w:val="en-US"/>
        </w:rPr>
      </w:pPr>
      <w:r>
        <w:rPr>
          <w:lang w:val="en-US"/>
        </w:rPr>
        <w:t>Political uncertainty contributes to overall volatility of oil and gas investment project and remain one of driving factors in industry development. Russian specifics increase this type of uncertainty if compared to developed countries</w:t>
      </w:r>
      <w:r w:rsidR="008C3AB9">
        <w:rPr>
          <w:lang w:val="en-US"/>
        </w:rPr>
        <w:t xml:space="preserve"> due to many factors, including the fact that</w:t>
      </w:r>
      <w:r>
        <w:rPr>
          <w:lang w:val="en-US"/>
        </w:rPr>
        <w:t xml:space="preserve"> major market players are state owned companies that follow </w:t>
      </w:r>
      <w:r w:rsidR="008C3AB9">
        <w:rPr>
          <w:lang w:val="en-US"/>
        </w:rPr>
        <w:t xml:space="preserve">guidance of </w:t>
      </w:r>
      <w:r>
        <w:rPr>
          <w:lang w:val="en-US"/>
        </w:rPr>
        <w:t xml:space="preserve">the </w:t>
      </w:r>
      <w:r w:rsidR="008C3AB9">
        <w:rPr>
          <w:lang w:val="en-US"/>
        </w:rPr>
        <w:t>top level of government.</w:t>
      </w:r>
    </w:p>
    <w:p w:rsidR="008C3AB9" w:rsidRDefault="008C3AB9" w:rsidP="00155609">
      <w:pPr>
        <w:rPr>
          <w:lang w:val="en-US"/>
        </w:rPr>
      </w:pPr>
      <w:r>
        <w:rPr>
          <w:lang w:val="en-US"/>
        </w:rPr>
        <w:t>An important tool for managing uncertainties is real options analysis. It can offer recommendations for managing economic and partially technical risk, however, political risks are not within the scope of the method.</w:t>
      </w:r>
    </w:p>
    <w:p w:rsidR="008C3AB9" w:rsidRDefault="008C3AB9" w:rsidP="00155609">
      <w:pPr>
        <w:rPr>
          <w:lang w:val="en-US"/>
        </w:rPr>
      </w:pPr>
      <w:r>
        <w:rPr>
          <w:lang w:val="en-US"/>
        </w:rPr>
        <w:t>Real options analysis helps to identify flexibilities built into the projects. Those include ability to defer the investment, to stage investment, to adjust capacity during lifespan, to temporarily shut down, to exit for salvage value, etc.</w:t>
      </w:r>
    </w:p>
    <w:p w:rsidR="008C3AB9" w:rsidRDefault="008C3AB9" w:rsidP="00155609">
      <w:pPr>
        <w:rPr>
          <w:lang w:val="en-US"/>
        </w:rPr>
      </w:pPr>
      <w:r>
        <w:rPr>
          <w:lang w:val="en-US"/>
        </w:rPr>
        <w:t>Identification of real options contribute to both increasing overall expected cash flows and decreasing risk of the investment. Done in advance real options analysis provide valuable insight on how project could be changed in order to increase its flexibility (i.e. managers’ ability to adjus</w:t>
      </w:r>
      <w:r w:rsidR="00FE096D">
        <w:rPr>
          <w:lang w:val="en-US"/>
        </w:rPr>
        <w:t>t it) and therefore its value fo</w:t>
      </w:r>
      <w:r>
        <w:rPr>
          <w:lang w:val="en-US"/>
        </w:rPr>
        <w:t>r the investor.</w:t>
      </w:r>
    </w:p>
    <w:p w:rsidR="00FE096D" w:rsidRDefault="00FE096D" w:rsidP="00155609">
      <w:pPr>
        <w:rPr>
          <w:rFonts w:cs="Times New Roman"/>
          <w:szCs w:val="24"/>
          <w:lang w:val="en-US"/>
        </w:rPr>
      </w:pPr>
      <w:r>
        <w:rPr>
          <w:rFonts w:cs="Times New Roman"/>
          <w:szCs w:val="24"/>
          <w:lang w:val="en-US"/>
        </w:rPr>
        <w:t>Real option analysis can be performed in 7 stages, which include steps of traditional analysis (project description, forecasting, base case NPV) and specific for real options approach (simulation, description of real options, valuation of real options, formulating risk management recommendations).</w:t>
      </w:r>
    </w:p>
    <w:p w:rsidR="008F073B" w:rsidRPr="00FF0C30" w:rsidRDefault="00FE096D" w:rsidP="00155609">
      <w:pPr>
        <w:rPr>
          <w:rFonts w:cs="Times New Roman"/>
          <w:szCs w:val="24"/>
          <w:lang w:val="en-US"/>
        </w:rPr>
      </w:pPr>
      <w:r>
        <w:rPr>
          <w:rFonts w:cs="Times New Roman"/>
          <w:szCs w:val="24"/>
          <w:lang w:val="en-US"/>
        </w:rPr>
        <w:t xml:space="preserve">Application of real options analysis to oil and gas projects allow to evaluate flexibilities under assumption of active management of the project and adjust base case NPV with this value. It provides recommendations on risk management – </w:t>
      </w:r>
      <w:r w:rsidR="00301A0A">
        <w:rPr>
          <w:rFonts w:cs="Times New Roman"/>
          <w:szCs w:val="24"/>
          <w:lang w:val="en-US"/>
        </w:rPr>
        <w:t xml:space="preserve">describe </w:t>
      </w:r>
      <w:r>
        <w:rPr>
          <w:rFonts w:cs="Times New Roman"/>
          <w:szCs w:val="24"/>
          <w:lang w:val="en-US"/>
        </w:rPr>
        <w:t>actions that should be undertaken throughout the project, determine conditions when options should and should not be executed.</w:t>
      </w:r>
      <w:r w:rsidR="008F073B" w:rsidRPr="00FF0C30">
        <w:rPr>
          <w:rFonts w:cs="Times New Roman"/>
          <w:szCs w:val="24"/>
          <w:lang w:val="en-US"/>
        </w:rPr>
        <w:br w:type="page"/>
      </w:r>
    </w:p>
    <w:p w:rsidR="008F073B" w:rsidRPr="00FF0C30" w:rsidRDefault="008F073B" w:rsidP="0024006E">
      <w:pPr>
        <w:pStyle w:val="1"/>
      </w:pPr>
      <w:bookmarkStart w:id="71" w:name="_Toc484036306"/>
      <w:r w:rsidRPr="00FF0C30">
        <w:lastRenderedPageBreak/>
        <w:t>Case Study</w:t>
      </w:r>
      <w:bookmarkEnd w:id="71"/>
    </w:p>
    <w:p w:rsidR="00301A0A" w:rsidRDefault="00301A0A" w:rsidP="00301A0A">
      <w:pPr>
        <w:rPr>
          <w:lang w:val="en-US"/>
        </w:rPr>
      </w:pPr>
    </w:p>
    <w:p w:rsidR="00301A0A" w:rsidRDefault="00301A0A" w:rsidP="008F073B">
      <w:pPr>
        <w:rPr>
          <w:i/>
          <w:lang w:val="en-US"/>
        </w:rPr>
      </w:pPr>
      <w:r w:rsidRPr="009E7598">
        <w:rPr>
          <w:i/>
          <w:lang w:val="en-US"/>
        </w:rPr>
        <w:t xml:space="preserve">This chapter </w:t>
      </w:r>
      <w:r>
        <w:rPr>
          <w:i/>
          <w:lang w:val="en-US"/>
        </w:rPr>
        <w:t>provides an illustrative example of real option analysis applied to a specific case of shelf oil field in Russia</w:t>
      </w:r>
      <w:r w:rsidRPr="00301A0A">
        <w:rPr>
          <w:i/>
          <w:lang w:val="en-US"/>
        </w:rPr>
        <w:t>.</w:t>
      </w:r>
      <w:r>
        <w:rPr>
          <w:i/>
          <w:lang w:val="en-US"/>
        </w:rPr>
        <w:t xml:space="preserve"> It consists of 8 parts. First 7 follow the 7-step approach of real options analysis adopted from </w:t>
      </w:r>
      <w:r w:rsidRPr="00D358F0">
        <w:rPr>
          <w:i/>
          <w:lang w:val="en-US"/>
        </w:rPr>
        <w:fldChar w:fldCharType="begin" w:fldLock="1"/>
      </w:r>
      <w:r w:rsidR="00587F48">
        <w:rPr>
          <w:i/>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Pr="00D358F0">
        <w:rPr>
          <w:i/>
          <w:lang w:val="en-US"/>
        </w:rPr>
        <w:fldChar w:fldCharType="separate"/>
      </w:r>
      <w:r w:rsidR="00587F48" w:rsidRPr="00587F48">
        <w:rPr>
          <w:noProof/>
          <w:lang w:val="en-US"/>
        </w:rPr>
        <w:t>(Mun 2002)</w:t>
      </w:r>
      <w:r w:rsidRPr="00D358F0">
        <w:rPr>
          <w:i/>
          <w:lang w:val="en-US"/>
        </w:rPr>
        <w:fldChar w:fldCharType="end"/>
      </w:r>
      <w:r>
        <w:rPr>
          <w:i/>
          <w:lang w:val="en-US"/>
        </w:rPr>
        <w:t xml:space="preserve"> and described in Chapter 2. They provide detailed description of real option analysis application to a specific project. The 8</w:t>
      </w:r>
      <w:r w:rsidRPr="00301A0A">
        <w:rPr>
          <w:i/>
          <w:vertAlign w:val="superscript"/>
          <w:lang w:val="en-US"/>
        </w:rPr>
        <w:t>th</w:t>
      </w:r>
      <w:r>
        <w:rPr>
          <w:i/>
          <w:lang w:val="en-US"/>
        </w:rPr>
        <w:t xml:space="preserve"> part summarize the contents of the chapter and provide conclusions.</w:t>
      </w:r>
    </w:p>
    <w:p w:rsidR="00301A0A" w:rsidRPr="00FF0C30" w:rsidRDefault="00301A0A" w:rsidP="00301A0A">
      <w:pPr>
        <w:rPr>
          <w:lang w:val="en-US"/>
        </w:rPr>
      </w:pPr>
    </w:p>
    <w:p w:rsidR="008F073B" w:rsidRPr="00301A0A" w:rsidRDefault="008F073B" w:rsidP="00301A0A">
      <w:pPr>
        <w:pStyle w:val="2"/>
      </w:pPr>
      <w:bookmarkStart w:id="72" w:name="_Toc484036307"/>
      <w:r w:rsidRPr="00301A0A">
        <w:t>Project description</w:t>
      </w:r>
      <w:bookmarkEnd w:id="72"/>
      <w:r w:rsidRPr="00301A0A">
        <w:t xml:space="preserve"> </w:t>
      </w:r>
    </w:p>
    <w:p w:rsidR="008F073B" w:rsidRPr="00FF0C30" w:rsidRDefault="008F073B" w:rsidP="008F073B">
      <w:pPr>
        <w:rPr>
          <w:lang w:val="en-US"/>
        </w:rPr>
      </w:pPr>
      <w:r w:rsidRPr="00FF0C30">
        <w:rPr>
          <w:lang w:val="en-US"/>
        </w:rPr>
        <w:t>The project is an oil field located on the sea shelf 50 kilometers off the shore. Sea depth at the site is about 20 meters. Total recoverable reserves are 7</w:t>
      </w:r>
      <w:r w:rsidR="00790DFB">
        <w:rPr>
          <w:lang w:val="en-US"/>
        </w:rPr>
        <w:t>4</w:t>
      </w:r>
      <w:r w:rsidRPr="00FF0C30">
        <w:rPr>
          <w:lang w:val="en-US"/>
        </w:rPr>
        <w:t xml:space="preserve"> million tons, i.e., some 540 million barrels. Crude oil will be shipped from the platform year-round with a peak-period production level of around 120,000 </w:t>
      </w:r>
      <w:r w:rsidR="008A7AF1">
        <w:rPr>
          <w:lang w:val="en-US"/>
        </w:rPr>
        <w:t>barrels</w:t>
      </w:r>
      <w:r w:rsidRPr="00FF0C30">
        <w:rPr>
          <w:lang w:val="en-US"/>
        </w:rPr>
        <w:t xml:space="preserve"> per day. </w:t>
      </w:r>
    </w:p>
    <w:p w:rsidR="008F073B" w:rsidRPr="00FF0C30" w:rsidRDefault="008F073B" w:rsidP="008F073B">
      <w:pPr>
        <w:rPr>
          <w:lang w:val="en-US"/>
        </w:rPr>
      </w:pPr>
      <w:r w:rsidRPr="00FF0C30">
        <w:rPr>
          <w:lang w:val="en-US"/>
        </w:rPr>
        <w:t xml:space="preserve">The platform used to develop the field is an Offshore Ice-Resistant Fixed Platform. Production starts three years later. The platform measures 126 by 126 meters and has an un-ballasted weight of 117,000 tons. A total of 40 wells are planned to be drilled from the platform, which has a storage capacity of 855,000 barrels of oil, i.e., just over six days during the peak production period. Oil and gas company owns and operates the field while the contractor for construction of the platform is a government-owned shipyard, which traditionally has constructed military vessels such as nuclear submarines. </w:t>
      </w:r>
    </w:p>
    <w:p w:rsidR="008F073B" w:rsidRPr="00FF0C30" w:rsidRDefault="008F073B" w:rsidP="008F073B">
      <w:pPr>
        <w:rPr>
          <w:lang w:val="en-US"/>
        </w:rPr>
      </w:pPr>
      <w:r w:rsidRPr="00FF0C30">
        <w:rPr>
          <w:lang w:val="en-US"/>
        </w:rPr>
        <w:t xml:space="preserve">Onshore infrastructure includes a base camp and helipad near the oil terminal on the sea shore, an office and amenity compound as well as an offshore supply base. </w:t>
      </w:r>
    </w:p>
    <w:p w:rsidR="008F073B" w:rsidRDefault="008F073B" w:rsidP="008F073B">
      <w:pPr>
        <w:rPr>
          <w:lang w:val="en-US"/>
        </w:rPr>
      </w:pPr>
      <w:r w:rsidRPr="00FF0C30">
        <w:rPr>
          <w:lang w:val="en-US"/>
        </w:rPr>
        <w:t>The platform is reportedly designed to be able to serve other fields in the area and would thus serve as a production hub for the area and consequently provide economic ripple effects for other fields.</w:t>
      </w:r>
    </w:p>
    <w:p w:rsidR="00A06120" w:rsidRDefault="0038075B" w:rsidP="00C12A08">
      <w:pPr>
        <w:pStyle w:val="ac"/>
      </w:pPr>
      <w:r w:rsidRPr="00197E93">
        <w:rPr>
          <w:rFonts w:cs="Times New Roman"/>
          <w:noProof/>
          <w:szCs w:val="24"/>
          <w:lang w:val="ru-RU" w:eastAsia="ru-RU"/>
        </w:rPr>
        <w:lastRenderedPageBreak/>
        <w:drawing>
          <wp:inline distT="0" distB="0" distL="0" distR="0" wp14:anchorId="36390990" wp14:editId="4530BACB">
            <wp:extent cx="5155454" cy="3258247"/>
            <wp:effectExtent l="0" t="0" r="762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osta\YandexDisk\ВШМ\Магистратура\2 курс\Весна\Диплом\platforms-prirazlomnaya-w1400.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55454" cy="3258247"/>
                    </a:xfrm>
                    <a:prstGeom prst="rect">
                      <a:avLst/>
                    </a:prstGeom>
                    <a:noFill/>
                    <a:ln>
                      <a:noFill/>
                    </a:ln>
                    <a:extLst>
                      <a:ext uri="{53640926-AAD7-44D8-BBD7-CCE9431645EC}">
                        <a14:shadowObscured xmlns:a14="http://schemas.microsoft.com/office/drawing/2010/main"/>
                      </a:ext>
                    </a:extLst>
                  </pic:spPr>
                </pic:pic>
              </a:graphicData>
            </a:graphic>
          </wp:inline>
        </w:drawing>
      </w:r>
    </w:p>
    <w:p w:rsidR="00D63E7E" w:rsidRPr="00481A23" w:rsidRDefault="0038075B" w:rsidP="00D63E7E">
      <w:pPr>
        <w:pStyle w:val="ac"/>
        <w:rPr>
          <w:rFonts w:cs="Times New Roman"/>
        </w:rPr>
      </w:pPr>
      <w:bookmarkStart w:id="73" w:name="_Toc484036520"/>
      <w:r>
        <w:t xml:space="preserve">Figure </w:t>
      </w:r>
      <w:r w:rsidR="00A1168F">
        <w:fldChar w:fldCharType="begin"/>
      </w:r>
      <w:r w:rsidR="00A1168F">
        <w:instrText xml:space="preserve"> SEQ Figure \* ARABIC </w:instrText>
      </w:r>
      <w:r w:rsidR="00A1168F">
        <w:fldChar w:fldCharType="separate"/>
      </w:r>
      <w:r w:rsidR="008324C6">
        <w:rPr>
          <w:noProof/>
        </w:rPr>
        <w:t>6</w:t>
      </w:r>
      <w:r w:rsidR="00A1168F">
        <w:fldChar w:fldCharType="end"/>
      </w:r>
      <w:r w:rsidR="00D5795B">
        <w:t>.</w:t>
      </w:r>
      <w:r w:rsidRPr="00197E93">
        <w:t xml:space="preserve"> </w:t>
      </w:r>
      <w:r w:rsidRPr="00FF0C30">
        <w:t>Offshore Ice-Resistant Fixed Platform</w:t>
      </w:r>
      <w:r w:rsidR="00D63E7E">
        <w:t xml:space="preserve">. </w:t>
      </w:r>
      <w:r w:rsidR="00D63E7E" w:rsidRPr="00481A23">
        <w:t>Source:</w:t>
      </w:r>
      <w:r w:rsidR="00D63E7E" w:rsidRPr="00D63E7E">
        <w:t xml:space="preserve"> http://www.gazprom.ru</w:t>
      </w:r>
      <w:bookmarkEnd w:id="73"/>
      <w:r w:rsidR="00D63E7E" w:rsidRPr="00481A23">
        <w:rPr>
          <w:rFonts w:cs="Times New Roman"/>
        </w:rPr>
        <w:t xml:space="preserve"> </w:t>
      </w:r>
    </w:p>
    <w:p w:rsidR="0038075B" w:rsidRPr="000909BF" w:rsidRDefault="0038075B" w:rsidP="00C12A08">
      <w:pPr>
        <w:pStyle w:val="ac"/>
        <w:rPr>
          <w:rFonts w:cs="Times New Roman"/>
          <w:szCs w:val="24"/>
        </w:rPr>
      </w:pPr>
    </w:p>
    <w:p w:rsidR="008F073B" w:rsidRPr="00FF0C30" w:rsidRDefault="008F073B" w:rsidP="0024006E">
      <w:pPr>
        <w:pStyle w:val="2"/>
        <w:rPr>
          <w:lang w:eastAsia="ru-RU"/>
        </w:rPr>
      </w:pPr>
      <w:bookmarkStart w:id="74" w:name="_Toc484036308"/>
      <w:r w:rsidRPr="00FF0C30">
        <w:rPr>
          <w:lang w:eastAsia="ru-RU"/>
        </w:rPr>
        <w:t>Time series forecast</w:t>
      </w:r>
      <w:bookmarkEnd w:id="74"/>
    </w:p>
    <w:p w:rsidR="008F073B" w:rsidRPr="00FF0C30" w:rsidRDefault="008F073B" w:rsidP="008F073B">
      <w:pPr>
        <w:rPr>
          <w:rFonts w:cs="Times New Roman"/>
          <w:szCs w:val="24"/>
          <w:lang w:val="en-US"/>
        </w:rPr>
      </w:pPr>
      <w:r w:rsidRPr="00FF0C30">
        <w:rPr>
          <w:rFonts w:cs="Times New Roman"/>
          <w:szCs w:val="24"/>
          <w:lang w:val="en-US"/>
        </w:rPr>
        <w:t>In order to determine the cash flows of the project it is necessary to project the future state of the economy. Main drivers of the project inflows and outflows are world oil prices and Russian ruble to US dollar exchange rate. Both of them were considered in the forecast.</w:t>
      </w:r>
    </w:p>
    <w:p w:rsidR="008F073B" w:rsidRPr="00FF0C30" w:rsidRDefault="008F073B" w:rsidP="008F073B">
      <w:pPr>
        <w:rPr>
          <w:rFonts w:cs="Times New Roman"/>
          <w:szCs w:val="24"/>
          <w:lang w:val="en-US"/>
        </w:rPr>
      </w:pPr>
      <w:r w:rsidRPr="00FF0C30">
        <w:rPr>
          <w:rFonts w:cs="Times New Roman"/>
          <w:szCs w:val="24"/>
          <w:lang w:val="en-US"/>
        </w:rPr>
        <w:t>Applied time series analysis follows the algorithm below:</w:t>
      </w:r>
    </w:p>
    <w:p w:rsidR="008F073B" w:rsidRPr="00FF0C30" w:rsidRDefault="008F073B" w:rsidP="00B7274B">
      <w:pPr>
        <w:pStyle w:val="a3"/>
        <w:numPr>
          <w:ilvl w:val="0"/>
          <w:numId w:val="1"/>
        </w:numPr>
        <w:rPr>
          <w:rFonts w:cs="Times New Roman"/>
          <w:szCs w:val="24"/>
          <w:lang w:val="en-US"/>
        </w:rPr>
      </w:pPr>
      <w:r w:rsidRPr="00FF0C30">
        <w:rPr>
          <w:rFonts w:cs="Times New Roman"/>
          <w:szCs w:val="24"/>
          <w:lang w:val="en-US"/>
        </w:rPr>
        <w:t>Stationarity tests of time series</w:t>
      </w:r>
    </w:p>
    <w:p w:rsidR="008F073B" w:rsidRPr="00FF0C30" w:rsidRDefault="008F073B" w:rsidP="00B7274B">
      <w:pPr>
        <w:pStyle w:val="a3"/>
        <w:numPr>
          <w:ilvl w:val="0"/>
          <w:numId w:val="1"/>
        </w:numPr>
        <w:rPr>
          <w:rFonts w:cs="Times New Roman"/>
          <w:szCs w:val="24"/>
          <w:lang w:val="en-US"/>
        </w:rPr>
      </w:pPr>
      <w:r w:rsidRPr="00FF0C30">
        <w:rPr>
          <w:rFonts w:cs="Times New Roman"/>
          <w:szCs w:val="24"/>
          <w:lang w:val="en-US"/>
        </w:rPr>
        <w:t>Box Jenkins model fitting approach for ARIMA (p, d, q) model</w:t>
      </w:r>
    </w:p>
    <w:p w:rsidR="008F073B" w:rsidRPr="00FF0C30" w:rsidRDefault="008F073B" w:rsidP="00B7274B">
      <w:pPr>
        <w:pStyle w:val="a3"/>
        <w:numPr>
          <w:ilvl w:val="1"/>
          <w:numId w:val="1"/>
        </w:numPr>
        <w:rPr>
          <w:rFonts w:cs="Times New Roman"/>
          <w:szCs w:val="24"/>
          <w:lang w:val="en-US"/>
        </w:rPr>
      </w:pPr>
      <w:r w:rsidRPr="00FF0C30">
        <w:rPr>
          <w:rFonts w:cs="Times New Roman"/>
          <w:szCs w:val="24"/>
          <w:lang w:val="en-US"/>
        </w:rPr>
        <w:t>Identification</w:t>
      </w:r>
    </w:p>
    <w:p w:rsidR="008F073B" w:rsidRPr="00FF0C30" w:rsidRDefault="008F073B" w:rsidP="00B7274B">
      <w:pPr>
        <w:pStyle w:val="a3"/>
        <w:numPr>
          <w:ilvl w:val="1"/>
          <w:numId w:val="1"/>
        </w:numPr>
        <w:rPr>
          <w:rFonts w:cs="Times New Roman"/>
          <w:szCs w:val="24"/>
          <w:lang w:val="en-US"/>
        </w:rPr>
      </w:pPr>
      <w:r w:rsidRPr="00FF0C30">
        <w:rPr>
          <w:rFonts w:cs="Times New Roman"/>
          <w:szCs w:val="24"/>
          <w:lang w:val="en-US"/>
        </w:rPr>
        <w:t>Fitting</w:t>
      </w:r>
    </w:p>
    <w:p w:rsidR="008F073B" w:rsidRPr="00FF0C30" w:rsidRDefault="008F073B" w:rsidP="00B7274B">
      <w:pPr>
        <w:pStyle w:val="a3"/>
        <w:numPr>
          <w:ilvl w:val="1"/>
          <w:numId w:val="1"/>
        </w:numPr>
        <w:rPr>
          <w:rFonts w:cs="Times New Roman"/>
          <w:szCs w:val="24"/>
          <w:lang w:val="en-US"/>
        </w:rPr>
      </w:pPr>
      <w:r w:rsidRPr="00FF0C30">
        <w:rPr>
          <w:rFonts w:cs="Times New Roman"/>
          <w:szCs w:val="24"/>
          <w:lang w:val="en-US"/>
        </w:rPr>
        <w:t>Check</w:t>
      </w:r>
    </w:p>
    <w:p w:rsidR="008F073B" w:rsidRPr="00FF0C30" w:rsidRDefault="008F073B" w:rsidP="00B7274B">
      <w:pPr>
        <w:pStyle w:val="a3"/>
        <w:numPr>
          <w:ilvl w:val="0"/>
          <w:numId w:val="1"/>
        </w:numPr>
        <w:rPr>
          <w:rFonts w:cs="Times New Roman"/>
          <w:szCs w:val="24"/>
          <w:lang w:val="en-US"/>
        </w:rPr>
      </w:pPr>
      <w:r w:rsidRPr="00FF0C30">
        <w:rPr>
          <w:rFonts w:cs="Times New Roman"/>
          <w:szCs w:val="24"/>
          <w:lang w:val="en-US"/>
        </w:rPr>
        <w:t>Choice of best model using information criteria</w:t>
      </w:r>
    </w:p>
    <w:p w:rsidR="00D04A48" w:rsidRPr="00D04A48" w:rsidRDefault="00D04A48" w:rsidP="008F073B">
      <w:pPr>
        <w:rPr>
          <w:rFonts w:cs="Times New Roman"/>
          <w:szCs w:val="24"/>
          <w:lang w:val="en-US"/>
        </w:rPr>
      </w:pPr>
      <w:r>
        <w:rPr>
          <w:rFonts w:cs="Times New Roman"/>
          <w:szCs w:val="24"/>
          <w:lang w:val="en-US"/>
        </w:rPr>
        <w:t>Model fitting was conducted in Palisade @RISK software, which automatically follows the process described above in order to choose the best model for the data. Forecasted time series – logarithms of monthly URALS price, which in the first differences equal to the logarithmic return on the asset.</w:t>
      </w:r>
    </w:p>
    <w:p w:rsidR="008F073B" w:rsidRDefault="008F073B" w:rsidP="00D04A48">
      <w:pPr>
        <w:rPr>
          <w:rFonts w:cs="Times New Roman"/>
          <w:szCs w:val="24"/>
          <w:lang w:val="en-US"/>
        </w:rPr>
      </w:pPr>
      <w:r w:rsidRPr="00FF0C30">
        <w:rPr>
          <w:rFonts w:cs="Times New Roman"/>
          <w:szCs w:val="24"/>
          <w:lang w:val="en-US"/>
        </w:rPr>
        <w:t xml:space="preserve">The forecast of oil prices was conducted based on the </w:t>
      </w:r>
      <w:r w:rsidR="00D04A48">
        <w:rPr>
          <w:rFonts w:cs="Times New Roman"/>
          <w:szCs w:val="24"/>
          <w:lang w:val="en-US"/>
        </w:rPr>
        <w:t xml:space="preserve">monthly </w:t>
      </w:r>
      <w:r w:rsidRPr="00FF0C30">
        <w:rPr>
          <w:rFonts w:cs="Times New Roman"/>
          <w:szCs w:val="24"/>
          <w:lang w:val="en-US"/>
        </w:rPr>
        <w:t xml:space="preserve">URALS spot prices from 01.01.1985 till </w:t>
      </w:r>
      <w:r w:rsidR="00790DFB">
        <w:rPr>
          <w:rFonts w:cs="Times New Roman"/>
          <w:szCs w:val="24"/>
          <w:lang w:val="en-US"/>
        </w:rPr>
        <w:t>01.01.2017</w:t>
      </w:r>
      <w:r w:rsidRPr="00FF0C30">
        <w:rPr>
          <w:rFonts w:cs="Times New Roman"/>
          <w:szCs w:val="24"/>
          <w:lang w:val="en-US"/>
        </w:rPr>
        <w:t>. ARIMA (</w:t>
      </w:r>
      <w:r w:rsidR="00D04A48">
        <w:rPr>
          <w:rFonts w:cs="Times New Roman"/>
          <w:szCs w:val="24"/>
          <w:lang w:val="en-US"/>
        </w:rPr>
        <w:t>0</w:t>
      </w:r>
      <w:r w:rsidRPr="00FF0C30">
        <w:rPr>
          <w:rFonts w:cs="Times New Roman"/>
          <w:szCs w:val="24"/>
          <w:lang w:val="en-US"/>
        </w:rPr>
        <w:t xml:space="preserve">, 1, </w:t>
      </w:r>
      <w:r w:rsidR="00D04A48">
        <w:rPr>
          <w:rFonts w:cs="Times New Roman"/>
          <w:szCs w:val="24"/>
          <w:lang w:val="en-US"/>
        </w:rPr>
        <w:t>1</w:t>
      </w:r>
      <w:r w:rsidRPr="00FF0C30">
        <w:rPr>
          <w:rFonts w:cs="Times New Roman"/>
          <w:szCs w:val="24"/>
          <w:lang w:val="en-US"/>
        </w:rPr>
        <w:t xml:space="preserve">) for logarithms demonstrated best performance and </w:t>
      </w:r>
      <w:r w:rsidRPr="00FF0C30">
        <w:rPr>
          <w:rFonts w:cs="Times New Roman"/>
          <w:szCs w:val="24"/>
          <w:lang w:val="en-US"/>
        </w:rPr>
        <w:lastRenderedPageBreak/>
        <w:t xml:space="preserve">was chosen according to BIC criteria. </w:t>
      </w:r>
      <w:r w:rsidR="00D04A48">
        <w:rPr>
          <w:rFonts w:cs="Times New Roman"/>
          <w:szCs w:val="24"/>
          <w:lang w:val="en-US"/>
        </w:rPr>
        <w:t xml:space="preserve">This process is equal to MA (1) process on the first differences </w:t>
      </w:r>
      <w:r w:rsidR="00D04A48" w:rsidRPr="00FF0C30">
        <w:rPr>
          <w:rFonts w:cs="Times New Roman"/>
          <w:szCs w:val="24"/>
          <w:lang w:val="en-US"/>
        </w:rPr>
        <w:t>for logarithms</w:t>
      </w:r>
      <w:r w:rsidR="00D04A48">
        <w:rPr>
          <w:rFonts w:cs="Times New Roman"/>
          <w:szCs w:val="24"/>
          <w:lang w:val="en-US"/>
        </w:rPr>
        <w:t xml:space="preserve"> of the URALS price.</w:t>
      </w:r>
    </w:p>
    <w:p w:rsidR="00120DE7" w:rsidRDefault="00790DFB" w:rsidP="00120DE7">
      <w:pPr>
        <w:keepNext/>
      </w:pPr>
      <w:r>
        <w:rPr>
          <w:noProof/>
          <w:lang w:eastAsia="ru-RU"/>
        </w:rPr>
        <w:drawing>
          <wp:inline distT="0" distB="0" distL="0" distR="0" wp14:anchorId="797AE3A5" wp14:editId="7A7C3257">
            <wp:extent cx="5940425" cy="2623820"/>
            <wp:effectExtent l="0" t="0" r="3175" b="508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0DE7" w:rsidRPr="0063490B" w:rsidRDefault="00120DE7" w:rsidP="00C12A08">
      <w:pPr>
        <w:pStyle w:val="ac"/>
        <w:rPr>
          <w:rFonts w:cs="Times New Roman"/>
          <w:szCs w:val="24"/>
        </w:rPr>
      </w:pPr>
      <w:bookmarkStart w:id="75" w:name="_Ref482646604"/>
      <w:bookmarkStart w:id="76" w:name="_Toc484036521"/>
      <w:r w:rsidRPr="0063490B">
        <w:t xml:space="preserve">Figure </w:t>
      </w:r>
      <w:r w:rsidR="00A1168F" w:rsidRPr="0063490B">
        <w:fldChar w:fldCharType="begin"/>
      </w:r>
      <w:r w:rsidR="00A1168F" w:rsidRPr="0063490B">
        <w:instrText xml:space="preserve"> SEQ Figure \* ARABIC </w:instrText>
      </w:r>
      <w:r w:rsidR="00A1168F" w:rsidRPr="0063490B">
        <w:fldChar w:fldCharType="separate"/>
      </w:r>
      <w:r w:rsidR="008324C6">
        <w:rPr>
          <w:noProof/>
        </w:rPr>
        <w:t>7</w:t>
      </w:r>
      <w:r w:rsidR="00A1168F" w:rsidRPr="0063490B">
        <w:fldChar w:fldCharType="end"/>
      </w:r>
      <w:bookmarkEnd w:id="75"/>
      <w:r w:rsidRPr="0063490B">
        <w:t>. Results of forecasting of main external variables</w:t>
      </w:r>
      <w:r w:rsidR="00E52557" w:rsidRPr="0063490B">
        <w:t>, USD</w:t>
      </w:r>
      <w:r w:rsidRPr="0063490B">
        <w:t>.</w:t>
      </w:r>
      <w:r w:rsidR="0063490B" w:rsidRPr="0063490B">
        <w:t xml:space="preserve"> Source: Author´s figure.</w:t>
      </w:r>
      <w:bookmarkEnd w:id="76"/>
    </w:p>
    <w:p w:rsidR="00E52557" w:rsidRDefault="0063490B" w:rsidP="00D04A48">
      <w:pPr>
        <w:rPr>
          <w:rFonts w:cs="Times New Roman"/>
          <w:szCs w:val="24"/>
          <w:lang w:val="en-US"/>
        </w:rPr>
      </w:pPr>
      <w:r w:rsidRPr="0063490B">
        <w:rPr>
          <w:rFonts w:cs="Times New Roman"/>
          <w:szCs w:val="24"/>
          <w:lang w:val="en-US"/>
        </w:rPr>
        <w:fldChar w:fldCharType="begin"/>
      </w:r>
      <w:r w:rsidRPr="0063490B">
        <w:rPr>
          <w:rFonts w:cs="Times New Roman"/>
          <w:szCs w:val="24"/>
          <w:lang w:val="en-US"/>
        </w:rPr>
        <w:instrText xml:space="preserve"> REF _Ref482646604 \h </w:instrText>
      </w:r>
      <w:r w:rsidRPr="0063490B">
        <w:rPr>
          <w:rFonts w:cs="Times New Roman"/>
          <w:szCs w:val="24"/>
          <w:lang w:val="en-US"/>
        </w:rPr>
      </w:r>
      <w:r>
        <w:rPr>
          <w:rFonts w:cs="Times New Roman"/>
          <w:szCs w:val="24"/>
          <w:lang w:val="en-US"/>
        </w:rPr>
        <w:instrText xml:space="preserve"> \* MERGEFORMAT </w:instrText>
      </w:r>
      <w:r w:rsidRPr="0063490B">
        <w:rPr>
          <w:rFonts w:cs="Times New Roman"/>
          <w:szCs w:val="24"/>
          <w:lang w:val="en-US"/>
        </w:rPr>
        <w:fldChar w:fldCharType="separate"/>
      </w:r>
      <w:r w:rsidR="008324C6" w:rsidRPr="008324C6">
        <w:rPr>
          <w:lang w:val="en-US"/>
        </w:rPr>
        <w:t xml:space="preserve">Figure </w:t>
      </w:r>
      <w:r w:rsidR="008324C6" w:rsidRPr="008324C6">
        <w:rPr>
          <w:noProof/>
          <w:lang w:val="en-US"/>
        </w:rPr>
        <w:t>7</w:t>
      </w:r>
      <w:r w:rsidRPr="0063490B">
        <w:rPr>
          <w:rFonts w:cs="Times New Roman"/>
          <w:szCs w:val="24"/>
          <w:lang w:val="en-US"/>
        </w:rPr>
        <w:fldChar w:fldCharType="end"/>
      </w:r>
      <w:r w:rsidRPr="0063490B">
        <w:rPr>
          <w:rFonts w:cs="Times New Roman"/>
          <w:szCs w:val="24"/>
          <w:lang w:val="en-US"/>
        </w:rPr>
        <w:t xml:space="preserve"> </w:t>
      </w:r>
      <w:r w:rsidR="00E52557" w:rsidRPr="0063490B">
        <w:rPr>
          <w:rFonts w:cs="Times New Roman"/>
          <w:szCs w:val="24"/>
          <w:lang w:val="en-US"/>
        </w:rPr>
        <w:t xml:space="preserve">describes the results of time series forecast and contains average forecasted values. URALS price is expected to have a roughly </w:t>
      </w:r>
      <w:r w:rsidR="00790DFB">
        <w:rPr>
          <w:rFonts w:cs="Times New Roman"/>
          <w:szCs w:val="24"/>
          <w:lang w:val="en-US"/>
        </w:rPr>
        <w:t>2</w:t>
      </w:r>
      <w:r w:rsidR="00E52557" w:rsidRPr="0063490B">
        <w:rPr>
          <w:rFonts w:cs="Times New Roman"/>
          <w:szCs w:val="24"/>
          <w:lang w:val="en-US"/>
        </w:rPr>
        <w:t xml:space="preserve">% annual growth rate throughout the period. Average price is </w:t>
      </w:r>
      <w:r w:rsidR="00790DFB">
        <w:rPr>
          <w:rFonts w:cs="Times New Roman"/>
          <w:szCs w:val="24"/>
          <w:lang w:val="en-US"/>
        </w:rPr>
        <w:t>above</w:t>
      </w:r>
      <w:r w:rsidR="00E52557" w:rsidRPr="0063490B">
        <w:rPr>
          <w:rFonts w:cs="Times New Roman"/>
          <w:szCs w:val="24"/>
          <w:lang w:val="en-US"/>
        </w:rPr>
        <w:t xml:space="preserve"> $50 per barrel, while Russian ruble exchange rate is </w:t>
      </w:r>
      <w:r w:rsidR="00790DFB">
        <w:rPr>
          <w:rFonts w:cs="Times New Roman"/>
          <w:szCs w:val="24"/>
          <w:lang w:val="en-US"/>
        </w:rPr>
        <w:t xml:space="preserve">below </w:t>
      </w:r>
      <w:r w:rsidR="00E52557" w:rsidRPr="0063490B">
        <w:rPr>
          <w:rFonts w:cs="Times New Roman"/>
          <w:szCs w:val="24"/>
          <w:lang w:val="en-US"/>
        </w:rPr>
        <w:t>60 rubles per US dollar.</w:t>
      </w:r>
    </w:p>
    <w:p w:rsidR="00D04A48" w:rsidRDefault="00D04A48" w:rsidP="00D04A48">
      <w:pPr>
        <w:rPr>
          <w:rFonts w:cs="Times New Roman"/>
          <w:szCs w:val="24"/>
          <w:lang w:val="en-US"/>
        </w:rPr>
      </w:pPr>
      <w:r w:rsidRPr="00FF0C30">
        <w:rPr>
          <w:rFonts w:cs="Times New Roman"/>
          <w:szCs w:val="24"/>
          <w:lang w:val="en-US"/>
        </w:rPr>
        <w:t xml:space="preserve">World oil prices directly affect the revenue, generated by the project while the volume of production is predetermined. </w:t>
      </w:r>
      <w:r>
        <w:rPr>
          <w:rFonts w:cs="Times New Roman"/>
          <w:szCs w:val="24"/>
          <w:lang w:val="en-US"/>
        </w:rPr>
        <w:t>However, i</w:t>
      </w:r>
      <w:r w:rsidRPr="00FF0C30">
        <w:rPr>
          <w:rFonts w:cs="Times New Roman"/>
          <w:szCs w:val="24"/>
          <w:lang w:val="en-US"/>
        </w:rPr>
        <w:t>t is important to note that the actual level of production may significantly differ from the projections due to imperfections of estimation methods</w:t>
      </w:r>
      <w:r>
        <w:rPr>
          <w:rFonts w:cs="Times New Roman"/>
          <w:szCs w:val="24"/>
          <w:lang w:val="en-US"/>
        </w:rPr>
        <w:t xml:space="preserve"> and is thus simulated later in this section</w:t>
      </w:r>
      <w:r w:rsidRPr="00FF0C30">
        <w:rPr>
          <w:rFonts w:cs="Times New Roman"/>
          <w:szCs w:val="24"/>
          <w:lang w:val="en-US"/>
        </w:rPr>
        <w:t>.</w:t>
      </w:r>
    </w:p>
    <w:p w:rsidR="008F073B" w:rsidRPr="00B91880" w:rsidRDefault="00D04A48" w:rsidP="008F073B">
      <w:pPr>
        <w:rPr>
          <w:rFonts w:cs="Times New Roman"/>
          <w:szCs w:val="24"/>
          <w:lang w:val="en-US"/>
        </w:rPr>
      </w:pPr>
      <w:r>
        <w:rPr>
          <w:rFonts w:cs="Times New Roman"/>
          <w:szCs w:val="24"/>
          <w:lang w:val="en-US"/>
        </w:rPr>
        <w:t>A</w:t>
      </w:r>
      <w:r w:rsidRPr="00FF0C30">
        <w:rPr>
          <w:rFonts w:cs="Times New Roman"/>
          <w:szCs w:val="24"/>
          <w:lang w:val="en-US"/>
        </w:rPr>
        <w:t>ctual level of extractable reserves</w:t>
      </w:r>
      <w:r>
        <w:rPr>
          <w:rFonts w:cs="Times New Roman"/>
          <w:szCs w:val="24"/>
          <w:lang w:val="en-US"/>
        </w:rPr>
        <w:t>, and linked to it production volume, is a</w:t>
      </w:r>
      <w:r w:rsidR="008F073B" w:rsidRPr="00FF0C30">
        <w:rPr>
          <w:rFonts w:cs="Times New Roman"/>
          <w:szCs w:val="24"/>
          <w:lang w:val="en-US"/>
        </w:rPr>
        <w:t xml:space="preserve"> major risk for any oil field project is that directly affects annual capacity and thus revenues. The estimation was modeled using triangular distrib</w:t>
      </w:r>
      <w:r w:rsidR="00E52557">
        <w:rPr>
          <w:rFonts w:cs="Times New Roman"/>
          <w:szCs w:val="24"/>
          <w:lang w:val="en-US"/>
        </w:rPr>
        <w:t>ution based on expert estimates later in this chapter.</w:t>
      </w:r>
    </w:p>
    <w:p w:rsidR="008F073B" w:rsidRPr="00FF0C30" w:rsidRDefault="008F073B" w:rsidP="0024006E">
      <w:pPr>
        <w:pStyle w:val="2"/>
        <w:rPr>
          <w:szCs w:val="24"/>
        </w:rPr>
      </w:pPr>
      <w:bookmarkStart w:id="77" w:name="_Toc484036309"/>
      <w:r w:rsidRPr="00FF0C30">
        <w:rPr>
          <w:lang w:eastAsia="ru-RU"/>
        </w:rPr>
        <w:t>Base case NPV model</w:t>
      </w:r>
      <w:bookmarkEnd w:id="77"/>
      <w:r w:rsidRPr="00FF0C30">
        <w:rPr>
          <w:szCs w:val="24"/>
        </w:rPr>
        <w:t xml:space="preserve"> </w:t>
      </w:r>
    </w:p>
    <w:p w:rsidR="008F073B" w:rsidRDefault="008F073B" w:rsidP="008F073B">
      <w:pPr>
        <w:rPr>
          <w:rFonts w:cs="Times New Roman"/>
          <w:szCs w:val="24"/>
          <w:lang w:val="en-US"/>
        </w:rPr>
      </w:pPr>
      <w:r w:rsidRPr="00FF0C30">
        <w:rPr>
          <w:rFonts w:cs="Times New Roman"/>
          <w:szCs w:val="24"/>
          <w:lang w:val="en-US"/>
        </w:rPr>
        <w:t>Base case NPV model transforms inputs from previous two steps</w:t>
      </w:r>
      <w:r w:rsidR="004F7A19">
        <w:rPr>
          <w:rFonts w:cs="Times New Roman"/>
          <w:szCs w:val="24"/>
          <w:lang w:val="en-US"/>
        </w:rPr>
        <w:t xml:space="preserve"> (i.e. assumptions and projections of time series and underlying uncertainty factors of the project)</w:t>
      </w:r>
      <w:r w:rsidRPr="00FF0C30">
        <w:rPr>
          <w:rFonts w:cs="Times New Roman"/>
          <w:szCs w:val="24"/>
          <w:lang w:val="en-US"/>
        </w:rPr>
        <w:t xml:space="preserve"> into an estimation of expected net present value of the project. It accounts for</w:t>
      </w:r>
      <w:r w:rsidR="004F7A19">
        <w:rPr>
          <w:rFonts w:cs="Times New Roman"/>
          <w:szCs w:val="24"/>
          <w:lang w:val="en-US"/>
        </w:rPr>
        <w:t xml:space="preserve"> the riskiness in terms of WACC through discounting cash flows,</w:t>
      </w:r>
      <w:r w:rsidRPr="00FF0C30">
        <w:rPr>
          <w:rFonts w:cs="Times New Roman"/>
          <w:szCs w:val="24"/>
          <w:lang w:val="en-US"/>
        </w:rPr>
        <w:t xml:space="preserve"> however, it cannot capture the flexibilities. This is the last step of traditional valuation approach.</w:t>
      </w:r>
    </w:p>
    <w:p w:rsidR="00120DE7" w:rsidRPr="00FF0C30" w:rsidRDefault="00120DE7" w:rsidP="00120DE7">
      <w:pPr>
        <w:rPr>
          <w:rFonts w:cs="Times New Roman"/>
          <w:szCs w:val="24"/>
          <w:lang w:val="en-US"/>
        </w:rPr>
      </w:pPr>
      <w:r w:rsidRPr="00FF0C30">
        <w:rPr>
          <w:rFonts w:cs="Times New Roman"/>
          <w:szCs w:val="24"/>
          <w:lang w:val="en-US"/>
        </w:rPr>
        <w:t>NPV model for the project follows standard approach of estimation FCF and use forecast data on URALS price and ruble exchange rate as inputs along with all the data an</w:t>
      </w:r>
      <w:r w:rsidR="00E52557">
        <w:rPr>
          <w:rFonts w:cs="Times New Roman"/>
          <w:szCs w:val="24"/>
          <w:lang w:val="en-US"/>
        </w:rPr>
        <w:t xml:space="preserve">d assumptions on the project </w:t>
      </w:r>
      <w:r>
        <w:rPr>
          <w:rFonts w:cs="Times New Roman"/>
          <w:szCs w:val="24"/>
          <w:lang w:val="en-US"/>
        </w:rPr>
        <w:t>(Appendix 4)</w:t>
      </w:r>
      <w:r w:rsidRPr="00FF0C30">
        <w:rPr>
          <w:rFonts w:cs="Times New Roman"/>
          <w:szCs w:val="24"/>
          <w:lang w:val="en-US"/>
        </w:rPr>
        <w:t>.</w:t>
      </w:r>
    </w:p>
    <w:p w:rsidR="00120DE7" w:rsidRDefault="00120DE7" w:rsidP="008F073B">
      <w:pPr>
        <w:rPr>
          <w:rFonts w:cs="Times New Roman"/>
          <w:szCs w:val="24"/>
          <w:lang w:val="en-US"/>
        </w:rPr>
      </w:pPr>
      <w:r>
        <w:rPr>
          <w:rFonts w:cs="Times New Roman"/>
          <w:szCs w:val="24"/>
          <w:lang w:val="en-US"/>
        </w:rPr>
        <w:lastRenderedPageBreak/>
        <w:t>This section provides in-details description of cash infl</w:t>
      </w:r>
      <w:r w:rsidR="004F7A19">
        <w:rPr>
          <w:rFonts w:cs="Times New Roman"/>
          <w:szCs w:val="24"/>
          <w:lang w:val="en-US"/>
        </w:rPr>
        <w:t xml:space="preserve">ows and outflows of the </w:t>
      </w:r>
      <w:r w:rsidR="0019295E">
        <w:rPr>
          <w:rFonts w:cs="Times New Roman"/>
          <w:szCs w:val="24"/>
          <w:lang w:val="en-US"/>
        </w:rPr>
        <w:t>project, states</w:t>
      </w:r>
      <w:r>
        <w:rPr>
          <w:rFonts w:cs="Times New Roman"/>
          <w:szCs w:val="24"/>
          <w:lang w:val="en-US"/>
        </w:rPr>
        <w:t xml:space="preserve"> the methodology of their estimation</w:t>
      </w:r>
      <w:r w:rsidR="004F7A19">
        <w:rPr>
          <w:rFonts w:cs="Times New Roman"/>
          <w:szCs w:val="24"/>
          <w:lang w:val="en-US"/>
        </w:rPr>
        <w:t>, and represents results of the modeling</w:t>
      </w:r>
      <w:r>
        <w:rPr>
          <w:rFonts w:cs="Times New Roman"/>
          <w:szCs w:val="24"/>
          <w:lang w:val="en-US"/>
        </w:rPr>
        <w:t xml:space="preserve"> </w:t>
      </w:r>
      <w:r w:rsidR="00E52557">
        <w:rPr>
          <w:rFonts w:cs="Times New Roman"/>
          <w:szCs w:val="24"/>
          <w:lang w:val="en-US"/>
        </w:rPr>
        <w:t>according to</w:t>
      </w:r>
      <w:r>
        <w:rPr>
          <w:rFonts w:cs="Times New Roman"/>
          <w:szCs w:val="24"/>
          <w:lang w:val="en-US"/>
        </w:rPr>
        <w:t xml:space="preserve"> the following structure:</w:t>
      </w:r>
    </w:p>
    <w:p w:rsidR="00120DE7" w:rsidRPr="00120DE7" w:rsidRDefault="00120DE7" w:rsidP="00B7274B">
      <w:pPr>
        <w:pStyle w:val="a3"/>
        <w:numPr>
          <w:ilvl w:val="0"/>
          <w:numId w:val="5"/>
        </w:numPr>
        <w:rPr>
          <w:rFonts w:cs="Times New Roman"/>
          <w:szCs w:val="24"/>
          <w:lang w:val="en-US"/>
        </w:rPr>
      </w:pPr>
      <w:r w:rsidRPr="00120DE7">
        <w:rPr>
          <w:rFonts w:cs="Times New Roman"/>
          <w:szCs w:val="24"/>
          <w:lang w:val="en-US"/>
        </w:rPr>
        <w:t>Production</w:t>
      </w:r>
    </w:p>
    <w:p w:rsidR="00120DE7" w:rsidRPr="00120DE7" w:rsidRDefault="00120DE7" w:rsidP="00B7274B">
      <w:pPr>
        <w:pStyle w:val="a3"/>
        <w:numPr>
          <w:ilvl w:val="0"/>
          <w:numId w:val="5"/>
        </w:numPr>
        <w:rPr>
          <w:rFonts w:cs="Times New Roman"/>
          <w:szCs w:val="24"/>
          <w:lang w:val="en-US"/>
        </w:rPr>
      </w:pPr>
      <w:r w:rsidRPr="00120DE7">
        <w:rPr>
          <w:rFonts w:cs="Times New Roman"/>
          <w:szCs w:val="24"/>
          <w:lang w:val="en-US"/>
        </w:rPr>
        <w:t>Revenue</w:t>
      </w:r>
    </w:p>
    <w:p w:rsidR="00120DE7" w:rsidRPr="00120DE7" w:rsidRDefault="00120DE7" w:rsidP="00B7274B">
      <w:pPr>
        <w:pStyle w:val="a3"/>
        <w:numPr>
          <w:ilvl w:val="0"/>
          <w:numId w:val="5"/>
        </w:numPr>
        <w:rPr>
          <w:rFonts w:cs="Times New Roman"/>
          <w:szCs w:val="24"/>
          <w:lang w:val="en-US"/>
        </w:rPr>
      </w:pPr>
      <w:r w:rsidRPr="00120DE7">
        <w:rPr>
          <w:rFonts w:cs="Times New Roman"/>
          <w:szCs w:val="24"/>
          <w:lang w:val="en-US"/>
        </w:rPr>
        <w:t>Costs</w:t>
      </w:r>
    </w:p>
    <w:p w:rsidR="00120DE7" w:rsidRPr="00120DE7" w:rsidRDefault="00120DE7" w:rsidP="00B7274B">
      <w:pPr>
        <w:pStyle w:val="a3"/>
        <w:numPr>
          <w:ilvl w:val="1"/>
          <w:numId w:val="5"/>
        </w:numPr>
        <w:rPr>
          <w:rFonts w:cs="Times New Roman"/>
          <w:szCs w:val="24"/>
          <w:lang w:val="en-US"/>
        </w:rPr>
      </w:pPr>
      <w:r w:rsidRPr="00120DE7">
        <w:rPr>
          <w:rFonts w:cs="Times New Roman"/>
          <w:szCs w:val="24"/>
          <w:lang w:val="en-US"/>
        </w:rPr>
        <w:t>CAPEX</w:t>
      </w:r>
    </w:p>
    <w:p w:rsidR="00120DE7" w:rsidRPr="00120DE7" w:rsidRDefault="00120DE7" w:rsidP="00B7274B">
      <w:pPr>
        <w:pStyle w:val="a3"/>
        <w:numPr>
          <w:ilvl w:val="1"/>
          <w:numId w:val="5"/>
        </w:numPr>
        <w:rPr>
          <w:rFonts w:cs="Times New Roman"/>
          <w:szCs w:val="24"/>
          <w:lang w:val="en-US"/>
        </w:rPr>
      </w:pPr>
      <w:r w:rsidRPr="00120DE7">
        <w:rPr>
          <w:rFonts w:cs="Times New Roman"/>
          <w:szCs w:val="24"/>
          <w:lang w:val="en-US"/>
        </w:rPr>
        <w:t>OPEX</w:t>
      </w:r>
    </w:p>
    <w:p w:rsidR="00120DE7" w:rsidRPr="00120DE7" w:rsidRDefault="00120DE7" w:rsidP="00B7274B">
      <w:pPr>
        <w:pStyle w:val="a3"/>
        <w:numPr>
          <w:ilvl w:val="0"/>
          <w:numId w:val="5"/>
        </w:numPr>
        <w:rPr>
          <w:rFonts w:cs="Times New Roman"/>
          <w:szCs w:val="24"/>
          <w:lang w:val="en-US"/>
        </w:rPr>
      </w:pPr>
      <w:r w:rsidRPr="00120DE7">
        <w:rPr>
          <w:rFonts w:cs="Times New Roman"/>
          <w:szCs w:val="24"/>
          <w:lang w:val="en-US"/>
        </w:rPr>
        <w:t>Taxation</w:t>
      </w:r>
    </w:p>
    <w:p w:rsidR="00120DE7" w:rsidRPr="00120DE7" w:rsidRDefault="00120DE7" w:rsidP="00B7274B">
      <w:pPr>
        <w:pStyle w:val="a3"/>
        <w:numPr>
          <w:ilvl w:val="1"/>
          <w:numId w:val="5"/>
        </w:numPr>
        <w:rPr>
          <w:rFonts w:cs="Times New Roman"/>
          <w:szCs w:val="24"/>
          <w:lang w:val="en-US"/>
        </w:rPr>
      </w:pPr>
      <w:r w:rsidRPr="00120DE7">
        <w:rPr>
          <w:rFonts w:cs="Times New Roman"/>
          <w:szCs w:val="24"/>
          <w:lang w:val="en-US"/>
        </w:rPr>
        <w:t>Mineral extraction tax</w:t>
      </w:r>
    </w:p>
    <w:p w:rsidR="00120DE7" w:rsidRDefault="00120DE7" w:rsidP="00B7274B">
      <w:pPr>
        <w:pStyle w:val="a3"/>
        <w:numPr>
          <w:ilvl w:val="1"/>
          <w:numId w:val="5"/>
        </w:numPr>
        <w:rPr>
          <w:rFonts w:cs="Times New Roman"/>
          <w:szCs w:val="24"/>
          <w:lang w:val="en-US"/>
        </w:rPr>
      </w:pPr>
      <w:r w:rsidRPr="00120DE7">
        <w:rPr>
          <w:rFonts w:cs="Times New Roman"/>
          <w:szCs w:val="24"/>
          <w:lang w:val="en-US"/>
        </w:rPr>
        <w:t>Export duties</w:t>
      </w:r>
    </w:p>
    <w:p w:rsidR="00917369" w:rsidRPr="00120DE7" w:rsidRDefault="00917369" w:rsidP="00B7274B">
      <w:pPr>
        <w:pStyle w:val="a3"/>
        <w:numPr>
          <w:ilvl w:val="0"/>
          <w:numId w:val="5"/>
        </w:numPr>
        <w:rPr>
          <w:rFonts w:cs="Times New Roman"/>
          <w:szCs w:val="24"/>
          <w:lang w:val="en-US"/>
        </w:rPr>
      </w:pPr>
      <w:r>
        <w:rPr>
          <w:rFonts w:cs="Times New Roman"/>
          <w:szCs w:val="24"/>
          <w:lang w:val="en-US"/>
        </w:rPr>
        <w:t>Free cash flows and NPV</w:t>
      </w:r>
    </w:p>
    <w:p w:rsidR="00120DE7" w:rsidRDefault="00120DE7" w:rsidP="00B91880">
      <w:pPr>
        <w:pStyle w:val="3"/>
      </w:pPr>
      <w:r>
        <w:t>Production</w:t>
      </w:r>
    </w:p>
    <w:p w:rsidR="00E52557" w:rsidRDefault="00E52557" w:rsidP="00E52557">
      <w:pPr>
        <w:rPr>
          <w:rFonts w:cs="Times New Roman"/>
          <w:szCs w:val="24"/>
          <w:lang w:val="en-US"/>
        </w:rPr>
      </w:pPr>
      <w:r>
        <w:rPr>
          <w:rFonts w:cs="Times New Roman"/>
          <w:szCs w:val="24"/>
          <w:lang w:val="en-US"/>
        </w:rPr>
        <w:t>A</w:t>
      </w:r>
      <w:r w:rsidRPr="00FF0C30">
        <w:rPr>
          <w:rFonts w:cs="Times New Roman"/>
          <w:szCs w:val="24"/>
          <w:lang w:val="en-US"/>
        </w:rPr>
        <w:t>ctual</w:t>
      </w:r>
      <w:r>
        <w:rPr>
          <w:rFonts w:cs="Times New Roman"/>
          <w:szCs w:val="24"/>
          <w:lang w:val="en-US"/>
        </w:rPr>
        <w:t xml:space="preserve"> production volume depends on actual</w:t>
      </w:r>
      <w:r w:rsidRPr="00FF0C30">
        <w:rPr>
          <w:rFonts w:cs="Times New Roman"/>
          <w:szCs w:val="24"/>
          <w:lang w:val="en-US"/>
        </w:rPr>
        <w:t xml:space="preserve"> level of extractable reserves</w:t>
      </w:r>
      <w:r>
        <w:rPr>
          <w:rFonts w:cs="Times New Roman"/>
          <w:szCs w:val="24"/>
          <w:lang w:val="en-US"/>
        </w:rPr>
        <w:t xml:space="preserve"> and is a</w:t>
      </w:r>
      <w:r w:rsidRPr="00FF0C30">
        <w:rPr>
          <w:rFonts w:cs="Times New Roman"/>
          <w:szCs w:val="24"/>
          <w:lang w:val="en-US"/>
        </w:rPr>
        <w:t xml:space="preserve"> major risk for any oil field project </w:t>
      </w:r>
      <w:r>
        <w:rPr>
          <w:rFonts w:cs="Times New Roman"/>
          <w:szCs w:val="24"/>
          <w:lang w:val="en-US"/>
        </w:rPr>
        <w:t>as it</w:t>
      </w:r>
      <w:r w:rsidRPr="00FF0C30">
        <w:rPr>
          <w:rFonts w:cs="Times New Roman"/>
          <w:szCs w:val="24"/>
          <w:lang w:val="en-US"/>
        </w:rPr>
        <w:t xml:space="preserve"> directly affects revenues. </w:t>
      </w:r>
      <w:r>
        <w:rPr>
          <w:rFonts w:cs="Times New Roman"/>
          <w:szCs w:val="24"/>
          <w:lang w:val="en-US"/>
        </w:rPr>
        <w:t>NPV model use expert estimation (i.e. most probable) value of the extractable reserves for FCF calculation.</w:t>
      </w:r>
    </w:p>
    <w:p w:rsidR="006103C4" w:rsidRDefault="00790DFB" w:rsidP="006103C4">
      <w:pPr>
        <w:pStyle w:val="ac"/>
        <w:jc w:val="both"/>
      </w:pPr>
      <w:r>
        <w:rPr>
          <w:noProof/>
          <w:lang w:eastAsia="ru-RU"/>
        </w:rPr>
        <w:drawing>
          <wp:inline distT="0" distB="0" distL="0" distR="0" wp14:anchorId="09A4281F" wp14:editId="79A3F21E">
            <wp:extent cx="59436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03C4" w:rsidRPr="00120DE7" w:rsidRDefault="006103C4" w:rsidP="00C12A08">
      <w:pPr>
        <w:pStyle w:val="ac"/>
      </w:pPr>
      <w:bookmarkStart w:id="78" w:name="_Ref482646633"/>
      <w:bookmarkStart w:id="79" w:name="_Toc484036522"/>
      <w:r>
        <w:t xml:space="preserve">Figure </w:t>
      </w:r>
      <w:r w:rsidR="00A1168F">
        <w:fldChar w:fldCharType="begin"/>
      </w:r>
      <w:r w:rsidR="00A1168F">
        <w:instrText xml:space="preserve"> SEQ Figure \* ARABIC </w:instrText>
      </w:r>
      <w:r w:rsidR="00A1168F">
        <w:fldChar w:fldCharType="separate"/>
      </w:r>
      <w:r w:rsidR="008324C6">
        <w:rPr>
          <w:noProof/>
        </w:rPr>
        <w:t>8</w:t>
      </w:r>
      <w:r w:rsidR="00A1168F">
        <w:fldChar w:fldCharType="end"/>
      </w:r>
      <w:bookmarkEnd w:id="78"/>
      <w:r>
        <w:t>. Oil production profile of the project, million tons/year</w:t>
      </w:r>
      <w:r w:rsidR="0063490B">
        <w:t xml:space="preserve">. </w:t>
      </w:r>
      <w:r w:rsidR="0063490B" w:rsidRPr="00481A23">
        <w:t>Source: Author´s figure</w:t>
      </w:r>
      <w:r w:rsidR="0063490B">
        <w:t>.</w:t>
      </w:r>
      <w:bookmarkEnd w:id="79"/>
    </w:p>
    <w:p w:rsidR="00EE0498" w:rsidRDefault="00E52557" w:rsidP="00EE0498">
      <w:pPr>
        <w:rPr>
          <w:rFonts w:cs="Times New Roman"/>
          <w:szCs w:val="24"/>
          <w:lang w:val="en-US"/>
        </w:rPr>
      </w:pPr>
      <w:r>
        <w:rPr>
          <w:rFonts w:cs="Times New Roman"/>
          <w:szCs w:val="24"/>
          <w:lang w:val="en-US"/>
        </w:rPr>
        <w:t xml:space="preserve">Total extractable reserves are </w:t>
      </w:r>
      <w:r w:rsidR="00EE0498">
        <w:rPr>
          <w:rFonts w:cs="Times New Roman"/>
          <w:szCs w:val="24"/>
          <w:lang w:val="en-US"/>
        </w:rPr>
        <w:t>7</w:t>
      </w:r>
      <w:r w:rsidR="00790DFB">
        <w:rPr>
          <w:rFonts w:cs="Times New Roman"/>
          <w:szCs w:val="24"/>
          <w:lang w:val="en-US"/>
        </w:rPr>
        <w:t>4</w:t>
      </w:r>
      <w:r w:rsidR="00EE0498">
        <w:rPr>
          <w:rFonts w:cs="Times New Roman"/>
          <w:szCs w:val="24"/>
          <w:lang w:val="en-US"/>
        </w:rPr>
        <w:t xml:space="preserve"> million tons. With roughly 6 million tons of maximal annual capacity of the platform it leads to </w:t>
      </w:r>
      <w:r w:rsidR="00790DFB">
        <w:rPr>
          <w:rFonts w:cs="Times New Roman"/>
          <w:szCs w:val="24"/>
          <w:lang w:val="en-US"/>
        </w:rPr>
        <w:t xml:space="preserve">22 </w:t>
      </w:r>
      <w:r w:rsidR="00EE0498">
        <w:rPr>
          <w:rFonts w:cs="Times New Roman"/>
          <w:szCs w:val="24"/>
          <w:lang w:val="en-US"/>
        </w:rPr>
        <w:t xml:space="preserve">years of operations. </w:t>
      </w:r>
      <w:r w:rsidR="006103C4">
        <w:rPr>
          <w:rFonts w:cs="Times New Roman"/>
          <w:szCs w:val="24"/>
          <w:lang w:val="en-US"/>
        </w:rPr>
        <w:fldChar w:fldCharType="begin"/>
      </w:r>
      <w:r w:rsidR="006103C4">
        <w:rPr>
          <w:rFonts w:cs="Times New Roman"/>
          <w:szCs w:val="24"/>
          <w:lang w:val="en-US"/>
        </w:rPr>
        <w:instrText xml:space="preserve"> REF _Ref482646633 \h </w:instrText>
      </w:r>
      <w:r w:rsidR="006103C4">
        <w:rPr>
          <w:rFonts w:cs="Times New Roman"/>
          <w:szCs w:val="24"/>
          <w:lang w:val="en-US"/>
        </w:rPr>
      </w:r>
      <w:r w:rsidR="006103C4">
        <w:rPr>
          <w:rFonts w:cs="Times New Roman"/>
          <w:szCs w:val="24"/>
          <w:lang w:val="en-US"/>
        </w:rPr>
        <w:fldChar w:fldCharType="separate"/>
      </w:r>
      <w:r w:rsidR="008324C6" w:rsidRPr="00B34A8F">
        <w:rPr>
          <w:lang w:val="en-US"/>
        </w:rPr>
        <w:t xml:space="preserve">Figure </w:t>
      </w:r>
      <w:r w:rsidR="008324C6" w:rsidRPr="00B34A8F">
        <w:rPr>
          <w:noProof/>
          <w:lang w:val="en-US"/>
        </w:rPr>
        <w:t>8</w:t>
      </w:r>
      <w:r w:rsidR="006103C4">
        <w:rPr>
          <w:rFonts w:cs="Times New Roman"/>
          <w:szCs w:val="24"/>
          <w:lang w:val="en-US"/>
        </w:rPr>
        <w:fldChar w:fldCharType="end"/>
      </w:r>
      <w:r w:rsidR="00EE0498">
        <w:rPr>
          <w:rFonts w:cs="Times New Roman"/>
          <w:szCs w:val="24"/>
          <w:lang w:val="en-US"/>
        </w:rPr>
        <w:t xml:space="preserve"> describes the production profile of the oil field throughout the planning horizon.</w:t>
      </w:r>
    </w:p>
    <w:p w:rsidR="006103C4" w:rsidRDefault="007342BD" w:rsidP="00EE0498">
      <w:pPr>
        <w:rPr>
          <w:rFonts w:cs="Times New Roman"/>
          <w:b/>
          <w:szCs w:val="24"/>
          <w:lang w:val="en-US"/>
        </w:rPr>
      </w:pPr>
      <w:r>
        <w:rPr>
          <w:rFonts w:cs="Times New Roman"/>
          <w:szCs w:val="24"/>
          <w:lang w:val="en-US"/>
        </w:rPr>
        <w:t xml:space="preserve">Actual level of production will be determined after the beginning of operations. However, </w:t>
      </w:r>
      <w:r w:rsidR="006103C4">
        <w:rPr>
          <w:rFonts w:cs="Times New Roman"/>
          <w:szCs w:val="24"/>
          <w:lang w:val="en-US"/>
        </w:rPr>
        <w:t xml:space="preserve">basic </w:t>
      </w:r>
      <w:r>
        <w:rPr>
          <w:rFonts w:cs="Times New Roman"/>
          <w:szCs w:val="24"/>
          <w:lang w:val="en-US"/>
        </w:rPr>
        <w:t xml:space="preserve">NPV approach cannot capture this flexibility and assumes that it is predetermined and cannot </w:t>
      </w:r>
      <w:r>
        <w:rPr>
          <w:rFonts w:cs="Times New Roman"/>
          <w:szCs w:val="24"/>
          <w:lang w:val="en-US"/>
        </w:rPr>
        <w:lastRenderedPageBreak/>
        <w:t xml:space="preserve">neither decrease nor increase. </w:t>
      </w:r>
      <w:r w:rsidR="00317C7C">
        <w:rPr>
          <w:rFonts w:cs="Times New Roman"/>
          <w:szCs w:val="24"/>
          <w:lang w:val="en-US"/>
        </w:rPr>
        <w:t>Real options analysis</w:t>
      </w:r>
      <w:r>
        <w:rPr>
          <w:rFonts w:cs="Times New Roman"/>
          <w:szCs w:val="24"/>
          <w:lang w:val="en-US"/>
        </w:rPr>
        <w:t xml:space="preserve"> allows to handle this uncertainty through Monte Carlo simulation of cash flows volatility caused by variability of the oil field actual extractable reserves.</w:t>
      </w:r>
    </w:p>
    <w:p w:rsidR="007342BD" w:rsidRDefault="007342BD" w:rsidP="00A14CDD">
      <w:pPr>
        <w:pStyle w:val="3"/>
      </w:pPr>
      <w:r w:rsidRPr="007342BD">
        <w:t>Revenue</w:t>
      </w:r>
    </w:p>
    <w:p w:rsidR="007342BD" w:rsidRDefault="007342BD" w:rsidP="00EE0498">
      <w:pPr>
        <w:rPr>
          <w:rFonts w:cs="Times New Roman"/>
          <w:szCs w:val="24"/>
          <w:lang w:val="en-US"/>
        </w:rPr>
      </w:pPr>
      <w:r w:rsidRPr="007342BD">
        <w:rPr>
          <w:rFonts w:cs="Times New Roman"/>
          <w:szCs w:val="24"/>
          <w:lang w:val="en-US"/>
        </w:rPr>
        <w:t xml:space="preserve">Revenue of </w:t>
      </w:r>
      <w:r>
        <w:rPr>
          <w:rFonts w:cs="Times New Roman"/>
          <w:szCs w:val="24"/>
          <w:lang w:val="en-US"/>
        </w:rPr>
        <w:t>t</w:t>
      </w:r>
      <w:r w:rsidRPr="007342BD">
        <w:rPr>
          <w:rFonts w:cs="Times New Roman"/>
          <w:szCs w:val="24"/>
          <w:lang w:val="en-US"/>
        </w:rPr>
        <w:t xml:space="preserve">he project </w:t>
      </w:r>
      <w:r w:rsidR="006103C4">
        <w:rPr>
          <w:rFonts w:cs="Times New Roman"/>
          <w:szCs w:val="24"/>
          <w:lang w:val="en-US"/>
        </w:rPr>
        <w:t xml:space="preserve">are fully determined by level of production, world oil prices, and Russian ruble exchange rate. </w:t>
      </w:r>
      <w:r w:rsidR="004F7A19">
        <w:rPr>
          <w:rFonts w:cs="Times New Roman"/>
          <w:szCs w:val="24"/>
          <w:lang w:val="en-US"/>
        </w:rPr>
        <w:t>Their distribution during the project is mainly linked to the production levels from the previous section.</w:t>
      </w:r>
    </w:p>
    <w:p w:rsidR="004F7A19" w:rsidRPr="007342BD" w:rsidRDefault="004F7A19" w:rsidP="00EE0498">
      <w:pPr>
        <w:rPr>
          <w:rFonts w:cs="Times New Roman"/>
          <w:szCs w:val="24"/>
          <w:lang w:val="en-US"/>
        </w:rPr>
      </w:pPr>
      <w:r>
        <w:rPr>
          <w:rFonts w:cs="Times New Roman"/>
          <w:szCs w:val="24"/>
          <w:lang w:val="en-US"/>
        </w:rPr>
        <w:t>There is a slight difference between growth of cash inflows in terms of USD and RUR due to the forecasted value of Russian ruble exchange rate, which is expected to strengthen during the period as it depends on URALS price which is expected to increase as well.</w:t>
      </w:r>
    </w:p>
    <w:p w:rsidR="004F7A19" w:rsidRPr="004F7A19" w:rsidRDefault="00790DFB" w:rsidP="004F7A19">
      <w:pPr>
        <w:keepNext/>
        <w:rPr>
          <w:lang w:val="en-US"/>
        </w:rPr>
      </w:pPr>
      <w:r>
        <w:rPr>
          <w:noProof/>
          <w:lang w:eastAsia="ru-RU"/>
        </w:rPr>
        <w:drawing>
          <wp:inline distT="0" distB="0" distL="0" distR="0" wp14:anchorId="218C6655" wp14:editId="223E810E">
            <wp:extent cx="5952067" cy="2782570"/>
            <wp:effectExtent l="0" t="0" r="10795" b="1778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7A19" w:rsidRPr="00EE0498" w:rsidRDefault="004F7A19" w:rsidP="00C12A08">
      <w:pPr>
        <w:pStyle w:val="ac"/>
      </w:pPr>
      <w:bookmarkStart w:id="80" w:name="_Toc484036523"/>
      <w:r>
        <w:t xml:space="preserve">Figure </w:t>
      </w:r>
      <w:r w:rsidR="00A1168F">
        <w:fldChar w:fldCharType="begin"/>
      </w:r>
      <w:r w:rsidR="00A1168F">
        <w:instrText xml:space="preserve"> SEQ Figure \* ARABIC </w:instrText>
      </w:r>
      <w:r w:rsidR="00A1168F">
        <w:fldChar w:fldCharType="separate"/>
      </w:r>
      <w:r w:rsidR="008324C6">
        <w:rPr>
          <w:noProof/>
        </w:rPr>
        <w:t>9</w:t>
      </w:r>
      <w:r w:rsidR="00A1168F">
        <w:fldChar w:fldCharType="end"/>
      </w:r>
      <w:r>
        <w:t>. Revenues of the project</w:t>
      </w:r>
      <w:r w:rsidR="0063490B">
        <w:t xml:space="preserve">. </w:t>
      </w:r>
      <w:r w:rsidR="0063490B" w:rsidRPr="00481A23">
        <w:t>Source: Author´s figure</w:t>
      </w:r>
      <w:r w:rsidR="0063490B">
        <w:t>.</w:t>
      </w:r>
      <w:bookmarkEnd w:id="80"/>
    </w:p>
    <w:p w:rsidR="000B1FB3" w:rsidRDefault="000B1FB3" w:rsidP="000B1FB3">
      <w:pPr>
        <w:rPr>
          <w:lang w:val="en-US"/>
        </w:rPr>
      </w:pPr>
      <w:r w:rsidRPr="000B1FB3">
        <w:rPr>
          <w:lang w:val="en-US"/>
        </w:rPr>
        <w:t xml:space="preserve">The project </w:t>
      </w:r>
      <w:r>
        <w:rPr>
          <w:lang w:val="en-US"/>
        </w:rPr>
        <w:t xml:space="preserve">starts to generate the highest revenue inflows from the end of seventh year. First three periods generate zero revenue as this is a time of construction </w:t>
      </w:r>
      <w:r w:rsidR="0038075B">
        <w:rPr>
          <w:lang w:val="en-US"/>
        </w:rPr>
        <w:t>process, required to build the i</w:t>
      </w:r>
      <w:r>
        <w:rPr>
          <w:lang w:val="en-US"/>
        </w:rPr>
        <w:t xml:space="preserve">nfrastructure, move and install the platform and start the production. </w:t>
      </w:r>
      <w:r w:rsidR="00301A0A">
        <w:rPr>
          <w:lang w:val="en-US"/>
        </w:rPr>
        <w:t>First inflows start from year 4 and continue till year 2</w:t>
      </w:r>
      <w:r w:rsidR="00BD299A">
        <w:rPr>
          <w:lang w:val="en-US"/>
        </w:rPr>
        <w:t>5</w:t>
      </w:r>
      <w:r w:rsidR="00301A0A">
        <w:rPr>
          <w:lang w:val="en-US"/>
        </w:rPr>
        <w:t>.</w:t>
      </w:r>
    </w:p>
    <w:p w:rsidR="004F7A19" w:rsidRDefault="000B1FB3" w:rsidP="004F7A19">
      <w:pPr>
        <w:keepNext/>
        <w:rPr>
          <w:noProof/>
          <w:lang w:val="en-US" w:eastAsia="ru-RU"/>
        </w:rPr>
      </w:pPr>
      <w:r>
        <w:rPr>
          <w:lang w:val="en-US"/>
        </w:rPr>
        <w:t xml:space="preserve">Years 4 – 7 form a period of exponential increase of revenue inflows from </w:t>
      </w:r>
      <w:r w:rsidR="00BD299A">
        <w:rPr>
          <w:lang w:val="en-US"/>
        </w:rPr>
        <w:t>1</w:t>
      </w:r>
      <w:r>
        <w:rPr>
          <w:lang w:val="en-US"/>
        </w:rPr>
        <w:t>0 billion rubles in period 4 to roughly 1</w:t>
      </w:r>
      <w:r w:rsidR="00BD299A">
        <w:rPr>
          <w:lang w:val="en-US"/>
        </w:rPr>
        <w:t>3</w:t>
      </w:r>
      <w:r>
        <w:rPr>
          <w:lang w:val="en-US"/>
        </w:rPr>
        <w:t>0 billion rubles in period 7. This increase is limited naturally by the capacity of the oil platform and extractable reserves of the oil field.</w:t>
      </w:r>
      <w:r w:rsidR="004F7A19" w:rsidRPr="004F7A19">
        <w:rPr>
          <w:noProof/>
          <w:lang w:val="en-US" w:eastAsia="ru-RU"/>
        </w:rPr>
        <w:t xml:space="preserve"> </w:t>
      </w:r>
    </w:p>
    <w:p w:rsidR="000B1FB3" w:rsidRDefault="000B1FB3" w:rsidP="000B1FB3">
      <w:pPr>
        <w:rPr>
          <w:lang w:val="en-US"/>
        </w:rPr>
      </w:pPr>
      <w:r>
        <w:rPr>
          <w:lang w:val="en-US"/>
        </w:rPr>
        <w:t>Years 7 – 1</w:t>
      </w:r>
      <w:r w:rsidR="00BD299A">
        <w:rPr>
          <w:lang w:val="en-US"/>
        </w:rPr>
        <w:t>3</w:t>
      </w:r>
      <w:r>
        <w:rPr>
          <w:lang w:val="en-US"/>
        </w:rPr>
        <w:t xml:space="preserve"> form a period of stable inflows of about </w:t>
      </w:r>
      <w:r w:rsidR="00BD299A">
        <w:rPr>
          <w:lang w:val="en-US"/>
        </w:rPr>
        <w:t xml:space="preserve">130 – </w:t>
      </w:r>
      <w:r>
        <w:rPr>
          <w:lang w:val="en-US"/>
        </w:rPr>
        <w:t>1</w:t>
      </w:r>
      <w:r w:rsidR="00BD299A">
        <w:rPr>
          <w:lang w:val="en-US"/>
        </w:rPr>
        <w:t>6</w:t>
      </w:r>
      <w:r>
        <w:rPr>
          <w:lang w:val="en-US"/>
        </w:rPr>
        <w:t>0 billion rubles annually when the production is h</w:t>
      </w:r>
      <w:r w:rsidR="00BD299A">
        <w:rPr>
          <w:lang w:val="en-US"/>
        </w:rPr>
        <w:t>eld at full capacity levels or close to them.</w:t>
      </w:r>
    </w:p>
    <w:p w:rsidR="000B1FB3" w:rsidRPr="000B1FB3" w:rsidRDefault="000B1FB3" w:rsidP="00E915C2">
      <w:pPr>
        <w:rPr>
          <w:lang w:val="en-US"/>
        </w:rPr>
      </w:pPr>
      <w:r>
        <w:rPr>
          <w:lang w:val="en-US"/>
        </w:rPr>
        <w:lastRenderedPageBreak/>
        <w:t>Years 1</w:t>
      </w:r>
      <w:r w:rsidR="00BD299A">
        <w:rPr>
          <w:lang w:val="en-US"/>
        </w:rPr>
        <w:t>3 – 25</w:t>
      </w:r>
      <w:r>
        <w:rPr>
          <w:lang w:val="en-US"/>
        </w:rPr>
        <w:t xml:space="preserve"> form a period of exponential decline in revenues </w:t>
      </w:r>
      <w:r w:rsidR="00E915C2">
        <w:rPr>
          <w:lang w:val="en-US"/>
        </w:rPr>
        <w:t xml:space="preserve">from roughly 140 billion rubles to zero due to rising </w:t>
      </w:r>
      <w:r w:rsidR="00E915C2" w:rsidRPr="00E915C2">
        <w:rPr>
          <w:lang w:val="en-US"/>
        </w:rPr>
        <w:t>level of depletion</w:t>
      </w:r>
      <w:r w:rsidR="00E915C2">
        <w:rPr>
          <w:lang w:val="en-US"/>
        </w:rPr>
        <w:t xml:space="preserve"> of the site’s reserves.</w:t>
      </w:r>
    </w:p>
    <w:p w:rsidR="00E915C2" w:rsidRPr="000909BF" w:rsidRDefault="00E915C2" w:rsidP="000909BF">
      <w:pPr>
        <w:pStyle w:val="3"/>
      </w:pPr>
      <w:r w:rsidRPr="000909BF">
        <w:t>Costs</w:t>
      </w:r>
    </w:p>
    <w:p w:rsidR="00E915C2" w:rsidRPr="000909BF" w:rsidRDefault="00E915C2" w:rsidP="000909BF">
      <w:pPr>
        <w:pStyle w:val="4"/>
      </w:pPr>
      <w:r w:rsidRPr="000909BF">
        <w:t>CAPEX</w:t>
      </w:r>
    </w:p>
    <w:p w:rsidR="000909BF" w:rsidRDefault="000909BF" w:rsidP="000909BF">
      <w:pPr>
        <w:rPr>
          <w:rFonts w:cs="Times New Roman"/>
          <w:szCs w:val="24"/>
          <w:lang w:val="en-US"/>
        </w:rPr>
      </w:pPr>
      <w:r>
        <w:rPr>
          <w:rFonts w:cs="Times New Roman"/>
          <w:szCs w:val="24"/>
          <w:lang w:val="en-US"/>
        </w:rPr>
        <w:t>Shelf projects require m</w:t>
      </w:r>
      <w:r w:rsidRPr="000909BF">
        <w:rPr>
          <w:rFonts w:cs="Times New Roman"/>
          <w:szCs w:val="24"/>
          <w:lang w:val="en-US"/>
        </w:rPr>
        <w:t xml:space="preserve">ajor investments in exploration, field development, transport infrastructure and onshore facilities </w:t>
      </w:r>
      <w:r>
        <w:rPr>
          <w:rFonts w:cs="Times New Roman"/>
          <w:szCs w:val="24"/>
          <w:lang w:val="en-US"/>
        </w:rPr>
        <w:t>before oil extraction can be started on</w:t>
      </w:r>
      <w:r w:rsidRPr="000909BF">
        <w:rPr>
          <w:rFonts w:cs="Times New Roman"/>
          <w:szCs w:val="24"/>
          <w:lang w:val="en-US"/>
        </w:rPr>
        <w:t xml:space="preserve"> the continental shelf. </w:t>
      </w:r>
    </w:p>
    <w:p w:rsidR="0038075B" w:rsidRDefault="0038075B" w:rsidP="00197E93">
      <w:pPr>
        <w:rPr>
          <w:rFonts w:cs="Times New Roman"/>
          <w:szCs w:val="24"/>
          <w:lang w:val="en-US"/>
        </w:rPr>
      </w:pPr>
      <w:r>
        <w:rPr>
          <w:rFonts w:cs="Times New Roman"/>
          <w:szCs w:val="24"/>
          <w:lang w:val="en-US"/>
        </w:rPr>
        <w:t xml:space="preserve">Total CAPEX of the project is $5 700. It is distributed equally throughout first </w:t>
      </w:r>
      <w:r w:rsidR="00BD299A">
        <w:rPr>
          <w:rFonts w:cs="Times New Roman"/>
          <w:szCs w:val="24"/>
          <w:lang w:val="en-US"/>
        </w:rPr>
        <w:t>6</w:t>
      </w:r>
      <w:r>
        <w:rPr>
          <w:rFonts w:cs="Times New Roman"/>
          <w:szCs w:val="24"/>
          <w:lang w:val="en-US"/>
        </w:rPr>
        <w:t xml:space="preserve"> years of construction. </w:t>
      </w:r>
    </w:p>
    <w:p w:rsidR="00197E93" w:rsidRPr="00197E93" w:rsidRDefault="00197E93" w:rsidP="00197E93">
      <w:pPr>
        <w:rPr>
          <w:rFonts w:cs="Times New Roman"/>
          <w:szCs w:val="24"/>
          <w:lang w:val="en-US"/>
        </w:rPr>
      </w:pPr>
      <w:r w:rsidRPr="00197E93">
        <w:rPr>
          <w:rFonts w:cs="Times New Roman"/>
          <w:szCs w:val="24"/>
          <w:lang w:val="en-US"/>
        </w:rPr>
        <w:t xml:space="preserve">The </w:t>
      </w:r>
      <w:r w:rsidR="0038075B" w:rsidRPr="00FF0C30">
        <w:rPr>
          <w:lang w:val="en-US"/>
        </w:rPr>
        <w:t>offshore ice-resistant fixed platform</w:t>
      </w:r>
      <w:r w:rsidR="0038075B" w:rsidRPr="00197E93">
        <w:rPr>
          <w:rFonts w:cs="Times New Roman"/>
          <w:szCs w:val="24"/>
          <w:lang w:val="en-US"/>
        </w:rPr>
        <w:t xml:space="preserve"> </w:t>
      </w:r>
      <w:r w:rsidRPr="00197E93">
        <w:rPr>
          <w:rFonts w:cs="Times New Roman"/>
          <w:szCs w:val="24"/>
          <w:lang w:val="en-US"/>
        </w:rPr>
        <w:t>is the main cost driver of the project</w:t>
      </w:r>
      <w:r>
        <w:rPr>
          <w:rFonts w:cs="Times New Roman"/>
          <w:szCs w:val="24"/>
          <w:lang w:val="en-US"/>
        </w:rPr>
        <w:t xml:space="preserve">. It is built </w:t>
      </w:r>
      <w:r w:rsidRPr="00197E93">
        <w:rPr>
          <w:rFonts w:cs="Times New Roman"/>
          <w:szCs w:val="24"/>
          <w:lang w:val="en-US"/>
        </w:rPr>
        <w:t>specifically for the oil field</w:t>
      </w:r>
      <w:r w:rsidR="0038075B">
        <w:rPr>
          <w:rFonts w:cs="Times New Roman"/>
          <w:szCs w:val="24"/>
          <w:lang w:val="en-US"/>
        </w:rPr>
        <w:t>, although it can be moved to another sites if required</w:t>
      </w:r>
      <w:r w:rsidRPr="00197E93">
        <w:rPr>
          <w:rFonts w:cs="Times New Roman"/>
          <w:szCs w:val="24"/>
          <w:lang w:val="en-US"/>
        </w:rPr>
        <w:t xml:space="preserve">. The platform is used for all production operations, namely well drilling, oil extraction, storage, treatment and offloading. </w:t>
      </w:r>
      <w:r>
        <w:rPr>
          <w:rFonts w:cs="Times New Roman"/>
          <w:szCs w:val="24"/>
          <w:lang w:val="en-US"/>
        </w:rPr>
        <w:t>T</w:t>
      </w:r>
      <w:r w:rsidRPr="00197E93">
        <w:rPr>
          <w:rFonts w:cs="Times New Roman"/>
          <w:szCs w:val="24"/>
          <w:lang w:val="en-US"/>
        </w:rPr>
        <w:t xml:space="preserve">he platform can be used in extreme weather conditions; it is compliant with the strictest safety requirements and </w:t>
      </w:r>
      <w:r>
        <w:rPr>
          <w:rFonts w:cs="Times New Roman"/>
          <w:szCs w:val="24"/>
          <w:lang w:val="en-US"/>
        </w:rPr>
        <w:t>resistant to maximum ice loads.</w:t>
      </w:r>
    </w:p>
    <w:p w:rsidR="00197E93" w:rsidRDefault="00197E93" w:rsidP="00197E93">
      <w:pPr>
        <w:rPr>
          <w:rFonts w:cs="Times New Roman"/>
          <w:szCs w:val="24"/>
          <w:lang w:val="en-US"/>
        </w:rPr>
      </w:pPr>
      <w:r w:rsidRPr="00197E93">
        <w:rPr>
          <w:rFonts w:cs="Times New Roman"/>
          <w:szCs w:val="24"/>
          <w:lang w:val="en-US"/>
        </w:rPr>
        <w:t xml:space="preserve">The wellheads of all wells to be drilled at the field are located within the platform, while its foundation serves as a buffer zone between the well and the open sea. In addition, the equipment installed at the wells is meant to prevent blowouts of oil or gas. The offloading line used for transferring oil to tankers is </w:t>
      </w:r>
      <w:r>
        <w:rPr>
          <w:rFonts w:cs="Times New Roman"/>
          <w:szCs w:val="24"/>
          <w:lang w:val="en-US"/>
        </w:rPr>
        <w:t>used to ship oil right from the platform.</w:t>
      </w:r>
    </w:p>
    <w:p w:rsidR="00E915C2" w:rsidRPr="000909BF" w:rsidRDefault="00E915C2" w:rsidP="000909BF">
      <w:pPr>
        <w:pStyle w:val="4"/>
      </w:pPr>
      <w:r w:rsidRPr="000909BF">
        <w:t>OPEX</w:t>
      </w:r>
    </w:p>
    <w:p w:rsidR="00E915C2" w:rsidRPr="00E915C2" w:rsidRDefault="00E915C2" w:rsidP="00E915C2">
      <w:pPr>
        <w:rPr>
          <w:rFonts w:cs="Times New Roman"/>
          <w:szCs w:val="24"/>
          <w:lang w:val="en-US"/>
        </w:rPr>
      </w:pPr>
      <w:r w:rsidRPr="00E915C2">
        <w:rPr>
          <w:rFonts w:cs="Times New Roman"/>
          <w:szCs w:val="24"/>
          <w:lang w:val="en-US"/>
        </w:rPr>
        <w:t xml:space="preserve">The main types of operating costs on the shelf are those related to the maintenance of platforms and wells and the costs of day-to-day operation of the facilities. These include </w:t>
      </w:r>
      <w:r w:rsidR="000909BF" w:rsidRPr="00E915C2">
        <w:rPr>
          <w:rFonts w:cs="Times New Roman"/>
          <w:szCs w:val="24"/>
          <w:lang w:val="en-US"/>
        </w:rPr>
        <w:t>labor</w:t>
      </w:r>
      <w:r w:rsidRPr="00E915C2">
        <w:rPr>
          <w:rFonts w:cs="Times New Roman"/>
          <w:szCs w:val="24"/>
          <w:lang w:val="en-US"/>
        </w:rPr>
        <w:t xml:space="preserve"> costs for all personnel who are involved in running modifications and maintenance of machinery and other equipment</w:t>
      </w:r>
      <w:r w:rsidR="0038075B">
        <w:rPr>
          <w:rFonts w:cs="Times New Roman"/>
          <w:szCs w:val="24"/>
          <w:lang w:val="en-US"/>
        </w:rPr>
        <w:t xml:space="preserve"> that</w:t>
      </w:r>
      <w:r w:rsidRPr="00E915C2">
        <w:rPr>
          <w:rFonts w:cs="Times New Roman"/>
          <w:szCs w:val="24"/>
          <w:lang w:val="en-US"/>
        </w:rPr>
        <w:t xml:space="preserve"> is essential if costly stoppages are to be avoided.</w:t>
      </w:r>
      <w:r w:rsidR="0038075B">
        <w:rPr>
          <w:rFonts w:cs="Times New Roman"/>
          <w:szCs w:val="24"/>
          <w:lang w:val="en-US"/>
        </w:rPr>
        <w:t xml:space="preserve"> And all other associated costs. It equals to 3% of CAPEX annually for the period of a full capacity production, and varies accordingly within the project life</w:t>
      </w:r>
      <w:r w:rsidR="00A14CDD">
        <w:rPr>
          <w:rFonts w:cs="Times New Roman"/>
          <w:szCs w:val="24"/>
          <w:lang w:val="en-US"/>
        </w:rPr>
        <w:t>span.</w:t>
      </w:r>
    </w:p>
    <w:p w:rsidR="00B91880" w:rsidRDefault="00B91880" w:rsidP="00B91880">
      <w:pPr>
        <w:pStyle w:val="3"/>
      </w:pPr>
      <w:r>
        <w:t>Taxation</w:t>
      </w:r>
    </w:p>
    <w:p w:rsidR="008F073B" w:rsidRDefault="008F073B" w:rsidP="008F073B">
      <w:pPr>
        <w:rPr>
          <w:rFonts w:cs="Times New Roman"/>
          <w:szCs w:val="24"/>
          <w:lang w:val="en-US"/>
        </w:rPr>
      </w:pPr>
      <w:r w:rsidRPr="00FF0C30">
        <w:rPr>
          <w:rFonts w:cs="Times New Roman"/>
          <w:szCs w:val="24"/>
          <w:lang w:val="en-US"/>
        </w:rPr>
        <w:t>Taxation is a tricky part as it comes to oil and gas projects. Russian tax system ensures that government will get maximal tax inflow no matter what external factors turn out to be. Tax rates depend on world oil prices, Russian ruble exchange rate, extractable reserves, location of the oil field, and share of the reserves left to extract.</w:t>
      </w:r>
      <w:r w:rsidR="00CF3C06">
        <w:rPr>
          <w:rFonts w:cs="Times New Roman"/>
          <w:szCs w:val="24"/>
          <w:lang w:val="en-US"/>
        </w:rPr>
        <w:t xml:space="preserve"> This section is mainly adopted from a report by EY </w:t>
      </w:r>
      <w:r w:rsidR="00CF3C06">
        <w:rPr>
          <w:rFonts w:cs="Times New Roman"/>
          <w:szCs w:val="24"/>
          <w:lang w:val="en-US"/>
        </w:rPr>
        <w:fldChar w:fldCharType="begin" w:fldLock="1"/>
      </w:r>
      <w:r w:rsidR="009F2A67">
        <w:rPr>
          <w:rFonts w:cs="Times New Roman"/>
          <w:szCs w:val="24"/>
          <w:lang w:val="en-US"/>
        </w:rPr>
        <w:instrText>ADDIN CSL_CITATION { "citationItems" : [ { "id" : "ITEM-1", "itemData" : { "author" : [ { "dropping-particle" : "", "family" : "Ernst &amp; Young Global Limited", "given" : "", "non-dropping-particle" : "", "parse-names" : false, "suffix" : "" } ], "id" : "ITEM-1", "issued" : { "date-parts" : [ [ "2014" ] ] }, "number-of-pages" : "6", "title" : "Oil and Gas Tax Alert: \u0422ax maneuver Parameters and impact assessment", "type" : "report" }, "uris" : [ "http://www.mendeley.com/documents/?uuid=fe880dd8-8449-4ab5-8883-c2ec7c72854c" ] } ], "mendeley" : { "formattedCitation" : "(Ernst &amp; Young Global Limited 2014)", "plainTextFormattedCitation" : "(Ernst &amp; Young Global Limited 2014)", "previouslyFormattedCitation" : "(Ernst &amp; Young Global Limited 2014)" }, "properties" : { "noteIndex" : 0 }, "schema" : "https://github.com/citation-style-language/schema/raw/master/csl-citation.json" }</w:instrText>
      </w:r>
      <w:r w:rsidR="00CF3C06">
        <w:rPr>
          <w:rFonts w:cs="Times New Roman"/>
          <w:szCs w:val="24"/>
          <w:lang w:val="en-US"/>
        </w:rPr>
        <w:fldChar w:fldCharType="separate"/>
      </w:r>
      <w:r w:rsidR="00CF3C06" w:rsidRPr="00CF3C06">
        <w:rPr>
          <w:rFonts w:cs="Times New Roman"/>
          <w:noProof/>
          <w:szCs w:val="24"/>
          <w:lang w:val="en-US"/>
        </w:rPr>
        <w:t>(Ernst &amp; Young Global Limited 2014)</w:t>
      </w:r>
      <w:r w:rsidR="00CF3C06">
        <w:rPr>
          <w:rFonts w:cs="Times New Roman"/>
          <w:szCs w:val="24"/>
          <w:lang w:val="en-US"/>
        </w:rPr>
        <w:fldChar w:fldCharType="end"/>
      </w:r>
    </w:p>
    <w:p w:rsidR="00B91880" w:rsidRPr="00B91880" w:rsidRDefault="00B91880" w:rsidP="00B91880">
      <w:pPr>
        <w:rPr>
          <w:lang w:val="en-US"/>
        </w:rPr>
      </w:pPr>
      <w:r w:rsidRPr="00B91880">
        <w:rPr>
          <w:lang w:val="en-US"/>
        </w:rPr>
        <w:t>Russian oil and gas producers pay the</w:t>
      </w:r>
      <w:r>
        <w:rPr>
          <w:lang w:val="en-US"/>
        </w:rPr>
        <w:t xml:space="preserve"> </w:t>
      </w:r>
      <w:r w:rsidRPr="00B91880">
        <w:rPr>
          <w:lang w:val="en-US"/>
        </w:rPr>
        <w:t>following taxes:</w:t>
      </w:r>
    </w:p>
    <w:p w:rsidR="00E915C2" w:rsidRPr="005A11E3" w:rsidRDefault="00E915C2" w:rsidP="00B7274B">
      <w:pPr>
        <w:pStyle w:val="a3"/>
        <w:numPr>
          <w:ilvl w:val="0"/>
          <w:numId w:val="13"/>
        </w:numPr>
        <w:rPr>
          <w:i/>
          <w:lang w:val="en-US"/>
        </w:rPr>
      </w:pPr>
      <w:r w:rsidRPr="005A11E3">
        <w:rPr>
          <w:i/>
          <w:lang w:val="en-US"/>
        </w:rPr>
        <w:t>Mineral extraction tax (MET)</w:t>
      </w:r>
    </w:p>
    <w:p w:rsidR="00E915C2" w:rsidRPr="005A11E3" w:rsidRDefault="00E915C2" w:rsidP="00B7274B">
      <w:pPr>
        <w:pStyle w:val="a3"/>
        <w:numPr>
          <w:ilvl w:val="0"/>
          <w:numId w:val="13"/>
        </w:numPr>
        <w:rPr>
          <w:i/>
          <w:lang w:val="en-US"/>
        </w:rPr>
      </w:pPr>
      <w:r w:rsidRPr="005A11E3">
        <w:rPr>
          <w:i/>
          <w:lang w:val="en-US"/>
        </w:rPr>
        <w:lastRenderedPageBreak/>
        <w:t>Customs payments</w:t>
      </w:r>
    </w:p>
    <w:p w:rsidR="00B91880" w:rsidRPr="005A11E3" w:rsidRDefault="00E915C2" w:rsidP="00B7274B">
      <w:pPr>
        <w:pStyle w:val="a3"/>
        <w:numPr>
          <w:ilvl w:val="0"/>
          <w:numId w:val="13"/>
        </w:numPr>
        <w:rPr>
          <w:lang w:val="en-US"/>
        </w:rPr>
      </w:pPr>
      <w:r w:rsidRPr="005A11E3">
        <w:rPr>
          <w:lang w:val="en-US"/>
        </w:rPr>
        <w:t>20% profits tax</w:t>
      </w:r>
    </w:p>
    <w:p w:rsidR="00B91880" w:rsidRPr="005A11E3" w:rsidRDefault="00E915C2" w:rsidP="00B7274B">
      <w:pPr>
        <w:pStyle w:val="a3"/>
        <w:numPr>
          <w:ilvl w:val="0"/>
          <w:numId w:val="13"/>
        </w:numPr>
        <w:rPr>
          <w:lang w:val="en-US"/>
        </w:rPr>
      </w:pPr>
      <w:r w:rsidRPr="005A11E3">
        <w:rPr>
          <w:lang w:val="en-US"/>
        </w:rPr>
        <w:t>18% value added tax</w:t>
      </w:r>
    </w:p>
    <w:p w:rsidR="00B91880" w:rsidRPr="005A11E3" w:rsidRDefault="00B91880" w:rsidP="00B7274B">
      <w:pPr>
        <w:pStyle w:val="a3"/>
        <w:numPr>
          <w:ilvl w:val="0"/>
          <w:numId w:val="13"/>
        </w:numPr>
        <w:rPr>
          <w:lang w:val="en-US"/>
        </w:rPr>
      </w:pPr>
      <w:r w:rsidRPr="005A11E3">
        <w:rPr>
          <w:lang w:val="en-US"/>
        </w:rPr>
        <w:t>Payments for the use of mineral resources</w:t>
      </w:r>
    </w:p>
    <w:p w:rsidR="00B91880" w:rsidRPr="005A11E3" w:rsidRDefault="00B91880" w:rsidP="00B7274B">
      <w:pPr>
        <w:pStyle w:val="a3"/>
        <w:numPr>
          <w:ilvl w:val="0"/>
          <w:numId w:val="13"/>
        </w:numPr>
        <w:rPr>
          <w:lang w:val="en-US"/>
        </w:rPr>
      </w:pPr>
      <w:r w:rsidRPr="005A11E3">
        <w:rPr>
          <w:lang w:val="en-US"/>
        </w:rPr>
        <w:t>Other taxe</w:t>
      </w:r>
      <w:r w:rsidR="00E915C2" w:rsidRPr="005A11E3">
        <w:rPr>
          <w:lang w:val="en-US"/>
        </w:rPr>
        <w:t>s applicable to legal entities</w:t>
      </w:r>
    </w:p>
    <w:p w:rsidR="00B91880" w:rsidRPr="005A11E3" w:rsidRDefault="00B91880" w:rsidP="00B7274B">
      <w:pPr>
        <w:pStyle w:val="a3"/>
        <w:numPr>
          <w:ilvl w:val="0"/>
          <w:numId w:val="13"/>
        </w:numPr>
        <w:rPr>
          <w:lang w:val="en-US"/>
        </w:rPr>
      </w:pPr>
      <w:r w:rsidRPr="005A11E3">
        <w:rPr>
          <w:lang w:val="en-US"/>
        </w:rPr>
        <w:t xml:space="preserve">Excise duties </w:t>
      </w:r>
    </w:p>
    <w:p w:rsidR="00B91880" w:rsidRDefault="00B91880" w:rsidP="00B91880">
      <w:pPr>
        <w:rPr>
          <w:lang w:val="en-US"/>
        </w:rPr>
      </w:pPr>
      <w:r w:rsidRPr="00B91880">
        <w:rPr>
          <w:lang w:val="en-US"/>
        </w:rPr>
        <w:t>The main tax burden on Russian companies</w:t>
      </w:r>
      <w:r>
        <w:rPr>
          <w:lang w:val="en-US"/>
        </w:rPr>
        <w:t xml:space="preserve"> </w:t>
      </w:r>
      <w:r w:rsidRPr="00B91880">
        <w:rPr>
          <w:lang w:val="en-US"/>
        </w:rPr>
        <w:t>in the upstream segment consists of MET</w:t>
      </w:r>
      <w:r>
        <w:rPr>
          <w:lang w:val="en-US"/>
        </w:rPr>
        <w:t xml:space="preserve"> </w:t>
      </w:r>
      <w:r w:rsidRPr="00B91880">
        <w:rPr>
          <w:lang w:val="en-US"/>
        </w:rPr>
        <w:t>and export duties, which, at the current</w:t>
      </w:r>
      <w:r>
        <w:rPr>
          <w:lang w:val="en-US"/>
        </w:rPr>
        <w:t xml:space="preserve"> </w:t>
      </w:r>
      <w:r w:rsidRPr="00B91880">
        <w:rPr>
          <w:lang w:val="en-US"/>
        </w:rPr>
        <w:t>price for oil, account for more than 90% of</w:t>
      </w:r>
      <w:r>
        <w:rPr>
          <w:lang w:val="en-US"/>
        </w:rPr>
        <w:t xml:space="preserve"> </w:t>
      </w:r>
      <w:r w:rsidRPr="00B91880">
        <w:rPr>
          <w:lang w:val="en-US"/>
        </w:rPr>
        <w:t>tax payments in that segment. Companies</w:t>
      </w:r>
      <w:r>
        <w:rPr>
          <w:lang w:val="en-US"/>
        </w:rPr>
        <w:t xml:space="preserve"> </w:t>
      </w:r>
      <w:r w:rsidRPr="00B91880">
        <w:rPr>
          <w:lang w:val="en-US"/>
        </w:rPr>
        <w:t>in the downstream segment do not pay MET</w:t>
      </w:r>
      <w:r>
        <w:rPr>
          <w:lang w:val="en-US"/>
        </w:rPr>
        <w:t xml:space="preserve"> </w:t>
      </w:r>
      <w:r w:rsidRPr="00B91880">
        <w:rPr>
          <w:lang w:val="en-US"/>
        </w:rPr>
        <w:t>or make payments for the use of mineral</w:t>
      </w:r>
      <w:r>
        <w:rPr>
          <w:lang w:val="en-US"/>
        </w:rPr>
        <w:t xml:space="preserve"> </w:t>
      </w:r>
      <w:r w:rsidRPr="00B91880">
        <w:rPr>
          <w:lang w:val="en-US"/>
        </w:rPr>
        <w:t>resources, but do pay excise duties on</w:t>
      </w:r>
      <w:r>
        <w:rPr>
          <w:lang w:val="en-US"/>
        </w:rPr>
        <w:t xml:space="preserve"> </w:t>
      </w:r>
      <w:r w:rsidRPr="00B91880">
        <w:rPr>
          <w:lang w:val="en-US"/>
        </w:rPr>
        <w:t>petroleum products.</w:t>
      </w:r>
    </w:p>
    <w:p w:rsidR="00B91880" w:rsidRPr="00B91880" w:rsidRDefault="00B91880" w:rsidP="00B91880">
      <w:pPr>
        <w:pStyle w:val="4"/>
      </w:pPr>
      <w:r w:rsidRPr="00B91880">
        <w:t>Export duties for crude oil</w:t>
      </w:r>
      <w:r>
        <w:t xml:space="preserve"> </w:t>
      </w:r>
      <w:r w:rsidRPr="00B91880">
        <w:t>and petroleum products</w:t>
      </w:r>
    </w:p>
    <w:p w:rsidR="00B91880" w:rsidRPr="00B91880" w:rsidRDefault="00B91880" w:rsidP="00B91880">
      <w:pPr>
        <w:rPr>
          <w:lang w:val="en-US"/>
        </w:rPr>
      </w:pPr>
      <w:r w:rsidRPr="00B91880">
        <w:rPr>
          <w:lang w:val="en-US"/>
        </w:rPr>
        <w:t>The rates of customs duties are set by the</w:t>
      </w:r>
      <w:r>
        <w:rPr>
          <w:lang w:val="en-US"/>
        </w:rPr>
        <w:t xml:space="preserve"> </w:t>
      </w:r>
      <w:r w:rsidRPr="00B91880">
        <w:rPr>
          <w:lang w:val="en-US"/>
        </w:rPr>
        <w:t>Ministry of Economic Development on a</w:t>
      </w:r>
      <w:r>
        <w:rPr>
          <w:lang w:val="en-US"/>
        </w:rPr>
        <w:t xml:space="preserve"> </w:t>
      </w:r>
      <w:r w:rsidRPr="00B91880">
        <w:rPr>
          <w:lang w:val="en-US"/>
        </w:rPr>
        <w:t>monthly basis, using average prices for</w:t>
      </w:r>
      <w:r>
        <w:rPr>
          <w:lang w:val="en-US"/>
        </w:rPr>
        <w:t xml:space="preserve"> </w:t>
      </w:r>
      <w:r w:rsidRPr="00B91880">
        <w:rPr>
          <w:lang w:val="en-US"/>
        </w:rPr>
        <w:t>Urals crude oil on world crude markets</w:t>
      </w:r>
      <w:r>
        <w:rPr>
          <w:lang w:val="en-US"/>
        </w:rPr>
        <w:t xml:space="preserve"> </w:t>
      </w:r>
      <w:r w:rsidRPr="00B91880">
        <w:rPr>
          <w:lang w:val="en-US"/>
        </w:rPr>
        <w:t>(Mediterranean and Rotterdam) during the</w:t>
      </w:r>
      <w:r>
        <w:rPr>
          <w:lang w:val="en-US"/>
        </w:rPr>
        <w:t xml:space="preserve"> </w:t>
      </w:r>
      <w:r w:rsidRPr="00B91880">
        <w:rPr>
          <w:lang w:val="en-US"/>
        </w:rPr>
        <w:t>monitoring period (from the 15th of each</w:t>
      </w:r>
      <w:r>
        <w:rPr>
          <w:lang w:val="en-US"/>
        </w:rPr>
        <w:t xml:space="preserve"> </w:t>
      </w:r>
      <w:r w:rsidRPr="00B91880">
        <w:rPr>
          <w:lang w:val="en-US"/>
        </w:rPr>
        <w:t>calendar month through the 14th of the</w:t>
      </w:r>
      <w:r>
        <w:rPr>
          <w:lang w:val="en-US"/>
        </w:rPr>
        <w:t xml:space="preserve"> </w:t>
      </w:r>
      <w:r w:rsidRPr="00B91880">
        <w:rPr>
          <w:lang w:val="en-US"/>
        </w:rPr>
        <w:t>following calendar month).</w:t>
      </w:r>
      <w:r>
        <w:rPr>
          <w:lang w:val="en-US"/>
        </w:rPr>
        <w:t xml:space="preserve"> </w:t>
      </w:r>
      <w:r w:rsidRPr="00B91880">
        <w:rPr>
          <w:lang w:val="en-US"/>
        </w:rPr>
        <w:t>The maximum rate of export duty on crude</w:t>
      </w:r>
      <w:r>
        <w:rPr>
          <w:lang w:val="en-US"/>
        </w:rPr>
        <w:t xml:space="preserve"> </w:t>
      </w:r>
      <w:r w:rsidRPr="00B91880">
        <w:rPr>
          <w:lang w:val="en-US"/>
        </w:rPr>
        <w:t>oil is calculated as indicated in the following</w:t>
      </w:r>
      <w:r>
        <w:rPr>
          <w:lang w:val="en-US"/>
        </w:rPr>
        <w:t xml:space="preserve"> </w:t>
      </w:r>
      <w:r w:rsidRPr="00B91880">
        <w:rPr>
          <w:lang w:val="en-US"/>
        </w:rPr>
        <w:t>able, in accordance with the provisions of</w:t>
      </w:r>
      <w:r>
        <w:rPr>
          <w:lang w:val="en-US"/>
        </w:rPr>
        <w:t xml:space="preserve"> </w:t>
      </w:r>
      <w:r w:rsidRPr="00B91880">
        <w:rPr>
          <w:lang w:val="en-US"/>
        </w:rPr>
        <w:t>the Law of the Russian Federation “On the</w:t>
      </w:r>
      <w:r>
        <w:rPr>
          <w:lang w:val="en-US"/>
        </w:rPr>
        <w:t xml:space="preserve"> </w:t>
      </w:r>
      <w:r w:rsidRPr="00B91880">
        <w:rPr>
          <w:lang w:val="en-US"/>
        </w:rPr>
        <w:t>Customs Tariff”:</w:t>
      </w:r>
    </w:p>
    <w:tbl>
      <w:tblPr>
        <w:tblStyle w:val="41"/>
        <w:tblW w:w="0" w:type="auto"/>
        <w:tblLook w:val="04A0" w:firstRow="1" w:lastRow="0" w:firstColumn="1" w:lastColumn="0" w:noHBand="0" w:noVBand="1"/>
      </w:tblPr>
      <w:tblGrid>
        <w:gridCol w:w="4672"/>
        <w:gridCol w:w="4673"/>
      </w:tblGrid>
      <w:tr w:rsidR="00791A7B" w:rsidRPr="002356D7" w:rsidTr="00562299">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4672" w:type="dxa"/>
            <w:tcBorders>
              <w:bottom w:val="single" w:sz="24" w:space="0" w:color="C00000"/>
            </w:tcBorders>
            <w:shd w:val="clear" w:color="auto" w:fill="FFFFFF" w:themeFill="background1"/>
          </w:tcPr>
          <w:p w:rsidR="00791A7B" w:rsidRPr="000E7529" w:rsidRDefault="00791A7B" w:rsidP="006103C4">
            <w:pPr>
              <w:autoSpaceDE w:val="0"/>
              <w:autoSpaceDN w:val="0"/>
              <w:adjustRightInd w:val="0"/>
              <w:spacing w:line="240" w:lineRule="auto"/>
              <w:jc w:val="center"/>
              <w:rPr>
                <w:rFonts w:cs="Times New Roman"/>
                <w:color w:val="000000" w:themeColor="text1"/>
                <w:sz w:val="20"/>
                <w:szCs w:val="20"/>
                <w:lang w:val="en-US"/>
              </w:rPr>
            </w:pPr>
            <w:r w:rsidRPr="000E7529">
              <w:rPr>
                <w:rFonts w:cs="Times New Roman"/>
                <w:color w:val="000000" w:themeColor="text1"/>
                <w:sz w:val="20"/>
                <w:szCs w:val="20"/>
                <w:lang w:val="en-US"/>
              </w:rPr>
              <w:t>Actual oil price in world markets per barrel (US</w:t>
            </w:r>
            <w:r w:rsidR="00D66B8A" w:rsidRPr="000E7529">
              <w:rPr>
                <w:rFonts w:cs="Times New Roman"/>
                <w:color w:val="000000" w:themeColor="text1"/>
                <w:sz w:val="20"/>
                <w:szCs w:val="20"/>
                <w:lang w:val="en-US"/>
              </w:rPr>
              <w:t>D</w:t>
            </w:r>
            <w:r w:rsidRPr="000E7529">
              <w:rPr>
                <w:rFonts w:cs="Times New Roman"/>
                <w:color w:val="000000" w:themeColor="text1"/>
                <w:sz w:val="20"/>
                <w:szCs w:val="20"/>
                <w:lang w:val="en-US"/>
              </w:rPr>
              <w:t>)</w:t>
            </w:r>
          </w:p>
        </w:tc>
        <w:tc>
          <w:tcPr>
            <w:tcW w:w="4673" w:type="dxa"/>
            <w:tcBorders>
              <w:bottom w:val="single" w:sz="24" w:space="0" w:color="C00000"/>
            </w:tcBorders>
            <w:shd w:val="clear" w:color="auto" w:fill="FFFFFF" w:themeFill="background1"/>
          </w:tcPr>
          <w:p w:rsidR="00791A7B" w:rsidRPr="000E7529" w:rsidRDefault="00791A7B" w:rsidP="006103C4">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0"/>
                <w:szCs w:val="20"/>
                <w:lang w:val="en-US"/>
              </w:rPr>
            </w:pPr>
            <w:r w:rsidRPr="000E7529">
              <w:rPr>
                <w:rFonts w:cs="Times New Roman"/>
                <w:color w:val="000000" w:themeColor="text1"/>
                <w:sz w:val="20"/>
                <w:szCs w:val="20"/>
                <w:lang w:val="en-US"/>
              </w:rPr>
              <w:t>Rates of export duty per barrel (US</w:t>
            </w:r>
            <w:r w:rsidR="00D66B8A" w:rsidRPr="000E7529">
              <w:rPr>
                <w:rFonts w:cs="Times New Roman"/>
                <w:color w:val="000000" w:themeColor="text1"/>
                <w:sz w:val="20"/>
                <w:szCs w:val="20"/>
                <w:lang w:val="en-US"/>
              </w:rPr>
              <w:t>D</w:t>
            </w:r>
            <w:r w:rsidRPr="000E7529">
              <w:rPr>
                <w:rFonts w:cs="Times New Roman"/>
                <w:color w:val="000000" w:themeColor="text1"/>
                <w:sz w:val="20"/>
                <w:szCs w:val="20"/>
                <w:lang w:val="en-US"/>
              </w:rPr>
              <w:t>)</w:t>
            </w:r>
          </w:p>
        </w:tc>
      </w:tr>
      <w:tr w:rsidR="00791A7B" w:rsidRPr="000E7529" w:rsidTr="00562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Borders>
              <w:top w:val="single" w:sz="24" w:space="0" w:color="C00000"/>
            </w:tcBorders>
          </w:tcPr>
          <w:p w:rsidR="00791A7B" w:rsidRPr="000E7529" w:rsidRDefault="00D66B8A" w:rsidP="00B91880">
            <w:pPr>
              <w:rPr>
                <w:rFonts w:cs="Times New Roman"/>
                <w:sz w:val="20"/>
                <w:szCs w:val="20"/>
                <w:lang w:val="en-US"/>
              </w:rPr>
            </w:pPr>
            <w:r w:rsidRPr="000E7529">
              <w:rPr>
                <w:rFonts w:cs="Times New Roman"/>
                <w:color w:val="1D1D1B"/>
                <w:sz w:val="20"/>
                <w:szCs w:val="20"/>
              </w:rPr>
              <w:t xml:space="preserve">Up to </w:t>
            </w:r>
            <w:r w:rsidR="00791A7B" w:rsidRPr="000E7529">
              <w:rPr>
                <w:rFonts w:cs="Times New Roman"/>
                <w:color w:val="1D1D1B"/>
                <w:sz w:val="20"/>
                <w:szCs w:val="20"/>
              </w:rPr>
              <w:t>$15</w:t>
            </w:r>
          </w:p>
        </w:tc>
        <w:tc>
          <w:tcPr>
            <w:tcW w:w="4673" w:type="dxa"/>
            <w:tcBorders>
              <w:top w:val="single" w:sz="24" w:space="0" w:color="C00000"/>
            </w:tcBorders>
          </w:tcPr>
          <w:p w:rsidR="00791A7B" w:rsidRPr="000E7529" w:rsidRDefault="00791A7B" w:rsidP="00B91880">
            <w:pP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0E7529">
              <w:rPr>
                <w:rFonts w:cs="Times New Roman"/>
                <w:color w:val="1D1D1B"/>
                <w:sz w:val="20"/>
                <w:szCs w:val="20"/>
              </w:rPr>
              <w:t>0%</w:t>
            </w:r>
          </w:p>
        </w:tc>
      </w:tr>
      <w:tr w:rsidR="00791A7B" w:rsidRPr="000E7529" w:rsidTr="006103C4">
        <w:tc>
          <w:tcPr>
            <w:cnfStyle w:val="001000000000" w:firstRow="0" w:lastRow="0" w:firstColumn="1" w:lastColumn="0" w:oddVBand="0" w:evenVBand="0" w:oddHBand="0" w:evenHBand="0" w:firstRowFirstColumn="0" w:firstRowLastColumn="0" w:lastRowFirstColumn="0" w:lastRowLastColumn="0"/>
            <w:tcW w:w="4672" w:type="dxa"/>
          </w:tcPr>
          <w:p w:rsidR="00791A7B" w:rsidRPr="000E7529" w:rsidRDefault="00D66B8A" w:rsidP="00B91880">
            <w:pPr>
              <w:rPr>
                <w:rFonts w:cs="Times New Roman"/>
                <w:sz w:val="20"/>
                <w:szCs w:val="20"/>
                <w:lang w:val="en-US"/>
              </w:rPr>
            </w:pPr>
            <w:r w:rsidRPr="000E7529">
              <w:rPr>
                <w:rFonts w:cs="Times New Roman"/>
                <w:color w:val="1D1D1B"/>
                <w:sz w:val="20"/>
                <w:szCs w:val="20"/>
              </w:rPr>
              <w:t xml:space="preserve">From $15 to </w:t>
            </w:r>
            <w:r w:rsidR="00791A7B" w:rsidRPr="000E7529">
              <w:rPr>
                <w:rFonts w:cs="Times New Roman"/>
                <w:color w:val="1D1D1B"/>
                <w:sz w:val="20"/>
                <w:szCs w:val="20"/>
              </w:rPr>
              <w:t>$20</w:t>
            </w:r>
          </w:p>
        </w:tc>
        <w:tc>
          <w:tcPr>
            <w:tcW w:w="4673" w:type="dxa"/>
          </w:tcPr>
          <w:p w:rsidR="00791A7B" w:rsidRPr="000E7529" w:rsidRDefault="00791A7B" w:rsidP="00791A7B">
            <w:pP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color w:val="1D1D1B"/>
                <w:sz w:val="20"/>
                <w:szCs w:val="20"/>
              </w:rPr>
              <w:t xml:space="preserve">35% </w:t>
            </w:r>
            <w:r w:rsidRPr="000E7529">
              <w:rPr>
                <w:rFonts w:cs="Times New Roman"/>
                <w:color w:val="1D1D1B"/>
                <w:sz w:val="20"/>
                <w:szCs w:val="20"/>
                <w:lang w:val="en-US"/>
              </w:rPr>
              <w:t>*</w:t>
            </w:r>
            <w:r w:rsidRPr="000E7529">
              <w:rPr>
                <w:rFonts w:cs="Times New Roman"/>
                <w:color w:val="1D1D1B"/>
                <w:sz w:val="20"/>
                <w:szCs w:val="20"/>
              </w:rPr>
              <w:t xml:space="preserve"> (actual price – </w:t>
            </w:r>
            <w:r w:rsidR="00D66B8A" w:rsidRPr="000E7529">
              <w:rPr>
                <w:rFonts w:cs="Times New Roman"/>
                <w:color w:val="1D1D1B"/>
                <w:sz w:val="20"/>
                <w:szCs w:val="20"/>
                <w:lang w:val="en-US"/>
              </w:rPr>
              <w:t>$</w:t>
            </w:r>
            <w:r w:rsidRPr="000E7529">
              <w:rPr>
                <w:rFonts w:cs="Times New Roman"/>
                <w:color w:val="1D1D1B"/>
                <w:sz w:val="20"/>
                <w:szCs w:val="20"/>
              </w:rPr>
              <w:t>15)</w:t>
            </w:r>
          </w:p>
        </w:tc>
      </w:tr>
      <w:tr w:rsidR="00791A7B" w:rsidRPr="000E7529" w:rsidTr="00610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791A7B" w:rsidRPr="000E7529" w:rsidRDefault="00D66B8A" w:rsidP="00B91880">
            <w:pPr>
              <w:rPr>
                <w:rFonts w:cs="Times New Roman"/>
                <w:sz w:val="20"/>
                <w:szCs w:val="20"/>
                <w:lang w:val="en-US"/>
              </w:rPr>
            </w:pPr>
            <w:r w:rsidRPr="000E7529">
              <w:rPr>
                <w:rFonts w:cs="Times New Roman"/>
                <w:color w:val="1D1D1B"/>
                <w:sz w:val="20"/>
                <w:szCs w:val="20"/>
              </w:rPr>
              <w:t xml:space="preserve">From $20 to </w:t>
            </w:r>
            <w:r w:rsidR="00791A7B" w:rsidRPr="000E7529">
              <w:rPr>
                <w:rFonts w:cs="Times New Roman"/>
                <w:color w:val="1D1D1B"/>
                <w:sz w:val="20"/>
                <w:szCs w:val="20"/>
              </w:rPr>
              <w:t>$25</w:t>
            </w:r>
          </w:p>
        </w:tc>
        <w:tc>
          <w:tcPr>
            <w:tcW w:w="4673" w:type="dxa"/>
          </w:tcPr>
          <w:p w:rsidR="00791A7B" w:rsidRPr="000E7529" w:rsidRDefault="00D13583" w:rsidP="00D13583">
            <w:pP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0E7529">
              <w:rPr>
                <w:rFonts w:cs="Times New Roman"/>
                <w:color w:val="1D1D1B"/>
                <w:sz w:val="20"/>
                <w:szCs w:val="20"/>
              </w:rPr>
              <w:t xml:space="preserve">$1.75 + </w:t>
            </w:r>
            <w:r w:rsidRPr="000E7529">
              <w:rPr>
                <w:rFonts w:cs="Times New Roman"/>
                <w:color w:val="1D1D1B"/>
                <w:sz w:val="20"/>
                <w:szCs w:val="20"/>
                <w:lang w:val="en-US"/>
              </w:rPr>
              <w:t>30</w:t>
            </w:r>
            <w:r w:rsidR="00791A7B" w:rsidRPr="000E7529">
              <w:rPr>
                <w:rFonts w:cs="Times New Roman"/>
                <w:color w:val="1D1D1B"/>
                <w:sz w:val="20"/>
                <w:szCs w:val="20"/>
              </w:rPr>
              <w:t xml:space="preserve">% </w:t>
            </w:r>
            <w:r w:rsidR="00791A7B" w:rsidRPr="000E7529">
              <w:rPr>
                <w:rFonts w:cs="Times New Roman"/>
                <w:color w:val="1D1D1B"/>
                <w:sz w:val="20"/>
                <w:szCs w:val="20"/>
                <w:lang w:val="en-US"/>
              </w:rPr>
              <w:t>*</w:t>
            </w:r>
            <w:r w:rsidR="00791A7B" w:rsidRPr="000E7529">
              <w:rPr>
                <w:rFonts w:cs="Times New Roman"/>
                <w:color w:val="1D1D1B"/>
                <w:sz w:val="20"/>
                <w:szCs w:val="20"/>
              </w:rPr>
              <w:t xml:space="preserve"> (actual price – </w:t>
            </w:r>
            <w:r w:rsidR="00D66B8A" w:rsidRPr="000E7529">
              <w:rPr>
                <w:rFonts w:cs="Times New Roman"/>
                <w:color w:val="1D1D1B"/>
                <w:sz w:val="20"/>
                <w:szCs w:val="20"/>
                <w:lang w:val="en-US"/>
              </w:rPr>
              <w:t>$</w:t>
            </w:r>
            <w:r w:rsidR="00791A7B" w:rsidRPr="000E7529">
              <w:rPr>
                <w:rFonts w:cs="Times New Roman"/>
                <w:color w:val="1D1D1B"/>
                <w:sz w:val="20"/>
                <w:szCs w:val="20"/>
              </w:rPr>
              <w:t>20)</w:t>
            </w:r>
          </w:p>
        </w:tc>
      </w:tr>
      <w:tr w:rsidR="00791A7B" w:rsidRPr="000E7529" w:rsidTr="006103C4">
        <w:tc>
          <w:tcPr>
            <w:cnfStyle w:val="001000000000" w:firstRow="0" w:lastRow="0" w:firstColumn="1" w:lastColumn="0" w:oddVBand="0" w:evenVBand="0" w:oddHBand="0" w:evenHBand="0" w:firstRowFirstColumn="0" w:firstRowLastColumn="0" w:lastRowFirstColumn="0" w:lastRowLastColumn="0"/>
            <w:tcW w:w="4672" w:type="dxa"/>
          </w:tcPr>
          <w:p w:rsidR="00791A7B" w:rsidRPr="000E7529" w:rsidRDefault="00D66B8A" w:rsidP="00B91880">
            <w:pPr>
              <w:rPr>
                <w:rFonts w:cs="Times New Roman"/>
                <w:sz w:val="20"/>
                <w:szCs w:val="20"/>
                <w:lang w:val="en-US"/>
              </w:rPr>
            </w:pPr>
            <w:r w:rsidRPr="000E7529">
              <w:rPr>
                <w:rFonts w:cs="Times New Roman"/>
                <w:color w:val="1D1D1B"/>
                <w:sz w:val="20"/>
                <w:szCs w:val="20"/>
              </w:rPr>
              <w:t xml:space="preserve">Above </w:t>
            </w:r>
            <w:r w:rsidR="00791A7B" w:rsidRPr="000E7529">
              <w:rPr>
                <w:rFonts w:cs="Times New Roman"/>
                <w:color w:val="1D1D1B"/>
                <w:sz w:val="20"/>
                <w:szCs w:val="20"/>
              </w:rPr>
              <w:t>$25</w:t>
            </w:r>
          </w:p>
        </w:tc>
        <w:tc>
          <w:tcPr>
            <w:tcW w:w="4673" w:type="dxa"/>
          </w:tcPr>
          <w:p w:rsidR="00791A7B" w:rsidRPr="000E7529" w:rsidRDefault="00791A7B" w:rsidP="00D13583">
            <w:pPr>
              <w:keepNext/>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0E7529">
              <w:rPr>
                <w:rFonts w:cs="Times New Roman"/>
                <w:color w:val="1D1D1B"/>
                <w:sz w:val="20"/>
                <w:szCs w:val="20"/>
              </w:rPr>
              <w:t xml:space="preserve">$4 + </w:t>
            </w:r>
            <w:r w:rsidR="00D13583" w:rsidRPr="000E7529">
              <w:rPr>
                <w:rFonts w:cs="Times New Roman"/>
                <w:color w:val="1D1D1B"/>
                <w:sz w:val="20"/>
                <w:szCs w:val="20"/>
                <w:lang w:val="en-US"/>
              </w:rPr>
              <w:t>30</w:t>
            </w:r>
            <w:r w:rsidRPr="000E7529">
              <w:rPr>
                <w:rFonts w:cs="Times New Roman"/>
                <w:color w:val="1D1D1B"/>
                <w:sz w:val="20"/>
                <w:szCs w:val="20"/>
              </w:rPr>
              <w:t xml:space="preserve">% </w:t>
            </w:r>
            <w:r w:rsidRPr="000E7529">
              <w:rPr>
                <w:rFonts w:cs="Times New Roman"/>
                <w:color w:val="1D1D1B"/>
                <w:sz w:val="20"/>
                <w:szCs w:val="20"/>
                <w:lang w:val="en-US"/>
              </w:rPr>
              <w:t>*</w:t>
            </w:r>
            <w:r w:rsidRPr="000E7529">
              <w:rPr>
                <w:rFonts w:cs="Times New Roman"/>
                <w:color w:val="1D1D1B"/>
                <w:sz w:val="20"/>
                <w:szCs w:val="20"/>
              </w:rPr>
              <w:t xml:space="preserve"> (actual price – </w:t>
            </w:r>
            <w:r w:rsidR="00D66B8A" w:rsidRPr="000E7529">
              <w:rPr>
                <w:rFonts w:cs="Times New Roman"/>
                <w:color w:val="1D1D1B"/>
                <w:sz w:val="20"/>
                <w:szCs w:val="20"/>
                <w:lang w:val="en-US"/>
              </w:rPr>
              <w:t>$</w:t>
            </w:r>
            <w:r w:rsidRPr="000E7529">
              <w:rPr>
                <w:rFonts w:cs="Times New Roman"/>
                <w:color w:val="1D1D1B"/>
                <w:sz w:val="20"/>
                <w:szCs w:val="20"/>
              </w:rPr>
              <w:t>25)</w:t>
            </w:r>
          </w:p>
        </w:tc>
      </w:tr>
    </w:tbl>
    <w:p w:rsidR="00B91880" w:rsidRDefault="00D66B8A" w:rsidP="00C12A08">
      <w:pPr>
        <w:pStyle w:val="ac"/>
        <w:rPr>
          <w:rFonts w:ascii="EYInterstate-Regular" w:hAnsi="EYInterstate-Regular" w:cs="EYInterstate-Regular"/>
        </w:rPr>
      </w:pPr>
      <w:bookmarkStart w:id="81" w:name="_Toc484036524"/>
      <w:r>
        <w:t xml:space="preserve">Figure </w:t>
      </w:r>
      <w:r w:rsidR="00A1168F">
        <w:fldChar w:fldCharType="begin"/>
      </w:r>
      <w:r w:rsidR="00A1168F">
        <w:instrText xml:space="preserve"> SEQ Figure \* ARABIC </w:instrText>
      </w:r>
      <w:r w:rsidR="00A1168F">
        <w:fldChar w:fldCharType="separate"/>
      </w:r>
      <w:r w:rsidR="008324C6">
        <w:rPr>
          <w:noProof/>
        </w:rPr>
        <w:t>10</w:t>
      </w:r>
      <w:r w:rsidR="00A1168F">
        <w:fldChar w:fldCharType="end"/>
      </w:r>
      <w:r>
        <w:t>. The maximum rate of export duty on crude, in accordance with the provisions of the Law of the Russian Federation “On the Customs Tariff”</w:t>
      </w:r>
      <w:r w:rsidR="0063490B">
        <w:t xml:space="preserve">. </w:t>
      </w:r>
      <w:r w:rsidR="0063490B" w:rsidRPr="00481A23">
        <w:t>Source</w:t>
      </w:r>
      <w:r w:rsidR="0063490B" w:rsidRPr="0063490B">
        <w:t xml:space="preserve">: </w:t>
      </w:r>
      <w:r w:rsidR="0063490B" w:rsidRPr="0063490B">
        <w:fldChar w:fldCharType="begin" w:fldLock="1"/>
      </w:r>
      <w:r w:rsidR="009F64EB">
        <w:instrText>ADDIN CSL_CITATION { "citationItems" : [ { "id" : "ITEM-1", "itemData" : { "author" : [ { "dropping-particle" : "", "family" : "Ernst &amp; Young Global Limited", "given" : "", "non-dropping-particle" : "", "parse-names" : false, "suffix" : "" } ], "id" : "ITEM-1", "issued" : { "date-parts" : [ [ "2014" ] ] }, "number-of-pages" : "6", "title" : "Oil and Gas Tax Alert: \u0422ax maneuver Parameters and impact assessment", "type" : "report" }, "uris" : [ "http://www.mendeley.com/documents/?uuid=fe880dd8-8449-4ab5-8883-c2ec7c72854c" ] } ], "mendeley" : { "formattedCitation" : "(Ernst &amp; Young Global Limited 2014)", "plainTextFormattedCitation" : "(Ernst &amp; Young Global Limited 2014)", "previouslyFormattedCitation" : "(Ernst &amp; Young Global Limited 2014)" }, "properties" : { "noteIndex" : 0 }, "schema" : "https://github.com/citation-style-language/schema/raw/master/csl-citation.json" }</w:instrText>
      </w:r>
      <w:r w:rsidR="0063490B" w:rsidRPr="0063490B">
        <w:fldChar w:fldCharType="separate"/>
      </w:r>
      <w:r w:rsidR="0063490B" w:rsidRPr="0063490B">
        <w:rPr>
          <w:noProof/>
        </w:rPr>
        <w:t>(Ernst &amp; Young Global Limited 2014)</w:t>
      </w:r>
      <w:bookmarkEnd w:id="81"/>
      <w:r w:rsidR="0063490B" w:rsidRPr="0063490B">
        <w:fldChar w:fldCharType="end"/>
      </w:r>
    </w:p>
    <w:p w:rsidR="00B91880" w:rsidRPr="00B91880" w:rsidRDefault="00B91880" w:rsidP="00B91880">
      <w:pPr>
        <w:rPr>
          <w:lang w:val="en-US"/>
        </w:rPr>
      </w:pPr>
      <w:r w:rsidRPr="00B91880">
        <w:rPr>
          <w:lang w:val="en-US"/>
        </w:rPr>
        <w:t>Special reduced rates of export duty are</w:t>
      </w:r>
      <w:r>
        <w:rPr>
          <w:lang w:val="en-US"/>
        </w:rPr>
        <w:t xml:space="preserve"> </w:t>
      </w:r>
      <w:r w:rsidRPr="00B91880">
        <w:rPr>
          <w:lang w:val="en-US"/>
        </w:rPr>
        <w:t>introduced for:</w:t>
      </w:r>
    </w:p>
    <w:p w:rsidR="00B91880" w:rsidRPr="005A11E3" w:rsidRDefault="00B91880" w:rsidP="00B7274B">
      <w:pPr>
        <w:pStyle w:val="a3"/>
        <w:numPr>
          <w:ilvl w:val="0"/>
          <w:numId w:val="18"/>
        </w:numPr>
        <w:rPr>
          <w:lang w:val="en-US"/>
        </w:rPr>
      </w:pPr>
      <w:r w:rsidRPr="005A11E3">
        <w:rPr>
          <w:lang w:val="en-US"/>
        </w:rPr>
        <w:t>Super viscous oil with a viscosity under formation conditions of not less than 10,000 mPa·s</w:t>
      </w:r>
    </w:p>
    <w:p w:rsidR="00B91880" w:rsidRPr="005A11E3" w:rsidRDefault="00B91880" w:rsidP="00B7274B">
      <w:pPr>
        <w:pStyle w:val="a3"/>
        <w:numPr>
          <w:ilvl w:val="0"/>
          <w:numId w:val="18"/>
        </w:numPr>
        <w:rPr>
          <w:lang w:val="en-US"/>
        </w:rPr>
      </w:pPr>
      <w:r w:rsidRPr="005A11E3">
        <w:rPr>
          <w:lang w:val="en-US"/>
        </w:rPr>
        <w:t>Oil with special physical and chemical properties produced in new oilfields in a number of remote and hard-to-reach areas, using methods that take project economy into account</w:t>
      </w:r>
    </w:p>
    <w:p w:rsidR="00B91880" w:rsidRPr="005A11E3" w:rsidRDefault="00B91880" w:rsidP="00B7274B">
      <w:pPr>
        <w:pStyle w:val="a3"/>
        <w:numPr>
          <w:ilvl w:val="0"/>
          <w:numId w:val="18"/>
        </w:numPr>
        <w:rPr>
          <w:lang w:val="en-US"/>
        </w:rPr>
      </w:pPr>
      <w:r w:rsidRPr="005A11E3">
        <w:rPr>
          <w:lang w:val="en-US"/>
        </w:rPr>
        <w:t xml:space="preserve">Oil from fields on the Russian continental shelf </w:t>
      </w:r>
    </w:p>
    <w:p w:rsidR="00B91880" w:rsidRPr="00B91880" w:rsidRDefault="00B91880" w:rsidP="00B91880">
      <w:pPr>
        <w:rPr>
          <w:lang w:val="en-US"/>
        </w:rPr>
      </w:pPr>
      <w:r w:rsidRPr="00B91880">
        <w:rPr>
          <w:lang w:val="en-US"/>
        </w:rPr>
        <w:lastRenderedPageBreak/>
        <w:t>Export duty rates on petroleum products</w:t>
      </w:r>
      <w:r>
        <w:rPr>
          <w:lang w:val="en-US"/>
        </w:rPr>
        <w:t xml:space="preserve"> </w:t>
      </w:r>
      <w:r w:rsidRPr="00B91880">
        <w:rPr>
          <w:lang w:val="en-US"/>
        </w:rPr>
        <w:t>are set by the Ministry of Economic</w:t>
      </w:r>
      <w:r>
        <w:rPr>
          <w:lang w:val="en-US"/>
        </w:rPr>
        <w:t xml:space="preserve"> </w:t>
      </w:r>
      <w:r w:rsidRPr="00B91880">
        <w:rPr>
          <w:lang w:val="en-US"/>
        </w:rPr>
        <w:t>Development of the Russian Federation as a</w:t>
      </w:r>
      <w:r>
        <w:rPr>
          <w:lang w:val="en-US"/>
        </w:rPr>
        <w:t xml:space="preserve"> </w:t>
      </w:r>
      <w:r w:rsidRPr="00B91880">
        <w:rPr>
          <w:lang w:val="en-US"/>
        </w:rPr>
        <w:t>percentage of the rate for crude oil.</w:t>
      </w:r>
      <w:r>
        <w:rPr>
          <w:lang w:val="en-US"/>
        </w:rPr>
        <w:t xml:space="preserve"> </w:t>
      </w:r>
      <w:r w:rsidRPr="00B91880">
        <w:rPr>
          <w:lang w:val="en-US"/>
        </w:rPr>
        <w:t>Current maximum coefficients for certain</w:t>
      </w:r>
      <w:r>
        <w:rPr>
          <w:lang w:val="en-US"/>
        </w:rPr>
        <w:t xml:space="preserve"> </w:t>
      </w:r>
      <w:r w:rsidRPr="00B91880">
        <w:rPr>
          <w:lang w:val="en-US"/>
        </w:rPr>
        <w:t>listed categories are:</w:t>
      </w:r>
    </w:p>
    <w:p w:rsidR="00B91880" w:rsidRPr="005A11E3" w:rsidRDefault="00B91880" w:rsidP="00B7274B">
      <w:pPr>
        <w:pStyle w:val="a3"/>
        <w:numPr>
          <w:ilvl w:val="0"/>
          <w:numId w:val="17"/>
        </w:numPr>
        <w:rPr>
          <w:szCs w:val="24"/>
          <w:lang w:val="en-US"/>
        </w:rPr>
      </w:pPr>
      <w:r w:rsidRPr="005A11E3">
        <w:rPr>
          <w:szCs w:val="24"/>
          <w:lang w:val="en-US"/>
        </w:rPr>
        <w:t>Light petroleum products (with the exception of gasoline)</w:t>
      </w:r>
      <w:r w:rsidR="007270A6" w:rsidRPr="005A11E3">
        <w:rPr>
          <w:szCs w:val="24"/>
          <w:lang w:val="en-US"/>
        </w:rPr>
        <w:t xml:space="preserve"> – </w:t>
      </w:r>
      <w:r w:rsidRPr="005A11E3">
        <w:rPr>
          <w:szCs w:val="24"/>
          <w:lang w:val="en-US"/>
        </w:rPr>
        <w:t>65%</w:t>
      </w:r>
    </w:p>
    <w:p w:rsidR="00B91880" w:rsidRPr="005A11E3" w:rsidRDefault="00B91880" w:rsidP="00B7274B">
      <w:pPr>
        <w:pStyle w:val="a3"/>
        <w:numPr>
          <w:ilvl w:val="0"/>
          <w:numId w:val="17"/>
        </w:numPr>
        <w:rPr>
          <w:szCs w:val="24"/>
          <w:lang w:val="en-US"/>
        </w:rPr>
      </w:pPr>
      <w:r w:rsidRPr="005A11E3">
        <w:rPr>
          <w:szCs w:val="24"/>
          <w:lang w:val="en-US"/>
        </w:rPr>
        <w:t>Dark petroleum products</w:t>
      </w:r>
      <w:r w:rsidR="007270A6" w:rsidRPr="005A11E3">
        <w:rPr>
          <w:szCs w:val="24"/>
          <w:lang w:val="en-US"/>
        </w:rPr>
        <w:t xml:space="preserve"> – </w:t>
      </w:r>
      <w:r w:rsidRPr="005A11E3">
        <w:rPr>
          <w:szCs w:val="24"/>
          <w:lang w:val="en-US"/>
        </w:rPr>
        <w:t>66%</w:t>
      </w:r>
    </w:p>
    <w:p w:rsidR="00B91880" w:rsidRPr="005A11E3" w:rsidRDefault="00B91880" w:rsidP="00B7274B">
      <w:pPr>
        <w:pStyle w:val="a3"/>
        <w:numPr>
          <w:ilvl w:val="0"/>
          <w:numId w:val="17"/>
        </w:numPr>
        <w:rPr>
          <w:szCs w:val="24"/>
          <w:lang w:val="en-US"/>
        </w:rPr>
      </w:pPr>
      <w:r w:rsidRPr="005A11E3">
        <w:rPr>
          <w:szCs w:val="24"/>
          <w:lang w:val="en-US"/>
        </w:rPr>
        <w:t>Gasoline (including naphta)</w:t>
      </w:r>
      <w:r w:rsidR="007270A6" w:rsidRPr="005A11E3">
        <w:rPr>
          <w:szCs w:val="24"/>
          <w:lang w:val="en-US"/>
        </w:rPr>
        <w:t xml:space="preserve"> – </w:t>
      </w:r>
      <w:r w:rsidRPr="005A11E3">
        <w:rPr>
          <w:szCs w:val="24"/>
          <w:lang w:val="en-US"/>
        </w:rPr>
        <w:t>90%</w:t>
      </w:r>
    </w:p>
    <w:p w:rsidR="00B91880" w:rsidRPr="00B91880" w:rsidRDefault="00B91880" w:rsidP="00B91880">
      <w:pPr>
        <w:rPr>
          <w:lang w:val="en-US"/>
        </w:rPr>
      </w:pPr>
      <w:r w:rsidRPr="00B91880">
        <w:rPr>
          <w:lang w:val="en-US"/>
        </w:rPr>
        <w:t>Export duty is not charged on oil or oil</w:t>
      </w:r>
      <w:r>
        <w:rPr>
          <w:lang w:val="en-US"/>
        </w:rPr>
        <w:t xml:space="preserve"> </w:t>
      </w:r>
      <w:r w:rsidRPr="00B91880">
        <w:rPr>
          <w:lang w:val="en-US"/>
        </w:rPr>
        <w:t>products exported to Customs Union</w:t>
      </w:r>
      <w:r>
        <w:rPr>
          <w:lang w:val="en-US"/>
        </w:rPr>
        <w:t xml:space="preserve"> </w:t>
      </w:r>
      <w:r w:rsidRPr="00B91880">
        <w:rPr>
          <w:lang w:val="en-US"/>
        </w:rPr>
        <w:t>countries (Kazakhstan and Belarus).</w:t>
      </w:r>
    </w:p>
    <w:p w:rsidR="00B91880" w:rsidRDefault="00B91880" w:rsidP="00B91880">
      <w:pPr>
        <w:rPr>
          <w:lang w:val="en-US"/>
        </w:rPr>
      </w:pPr>
      <w:r w:rsidRPr="00B91880">
        <w:rPr>
          <w:lang w:val="en-US"/>
        </w:rPr>
        <w:t>Federal Law No. 268-FZ of 30 September</w:t>
      </w:r>
      <w:r>
        <w:rPr>
          <w:lang w:val="en-US"/>
        </w:rPr>
        <w:t xml:space="preserve"> </w:t>
      </w:r>
      <w:r w:rsidRPr="00B91880">
        <w:rPr>
          <w:lang w:val="en-US"/>
        </w:rPr>
        <w:t>introduced a special tax regime for</w:t>
      </w:r>
      <w:r>
        <w:rPr>
          <w:lang w:val="en-US"/>
        </w:rPr>
        <w:t xml:space="preserve"> </w:t>
      </w:r>
      <w:r w:rsidRPr="00B91880">
        <w:rPr>
          <w:lang w:val="en-US"/>
        </w:rPr>
        <w:t>export duties on products extracted from</w:t>
      </w:r>
      <w:r>
        <w:rPr>
          <w:lang w:val="en-US"/>
        </w:rPr>
        <w:t xml:space="preserve"> </w:t>
      </w:r>
      <w:r w:rsidRPr="00B91880">
        <w:rPr>
          <w:lang w:val="en-US"/>
        </w:rPr>
        <w:t>continental offshore projects. This regime</w:t>
      </w:r>
      <w:r>
        <w:rPr>
          <w:lang w:val="en-US"/>
        </w:rPr>
        <w:t xml:space="preserve"> </w:t>
      </w:r>
      <w:r w:rsidRPr="00B91880">
        <w:rPr>
          <w:lang w:val="en-US"/>
        </w:rPr>
        <w:t>provides for an exemption from paying</w:t>
      </w:r>
      <w:r>
        <w:rPr>
          <w:lang w:val="en-US"/>
        </w:rPr>
        <w:t xml:space="preserve"> </w:t>
      </w:r>
      <w:r w:rsidRPr="00B91880">
        <w:rPr>
          <w:lang w:val="en-US"/>
        </w:rPr>
        <w:t>export duties during a specified period.</w:t>
      </w:r>
    </w:p>
    <w:p w:rsidR="00B91880" w:rsidRPr="00B91880" w:rsidRDefault="00B91880" w:rsidP="00791A7B">
      <w:pPr>
        <w:pStyle w:val="4"/>
      </w:pPr>
      <w:r w:rsidRPr="00B91880">
        <w:t>Mineral extraction tax</w:t>
      </w:r>
    </w:p>
    <w:p w:rsidR="00B91880" w:rsidRPr="00B91880" w:rsidRDefault="00B91880" w:rsidP="00B91880">
      <w:pPr>
        <w:rPr>
          <w:lang w:val="en-US"/>
        </w:rPr>
      </w:pPr>
      <w:r w:rsidRPr="00B91880">
        <w:rPr>
          <w:lang w:val="en-US"/>
        </w:rPr>
        <w:t>MET is charged on mineral resources,</w:t>
      </w:r>
      <w:r>
        <w:rPr>
          <w:lang w:val="en-US"/>
        </w:rPr>
        <w:t xml:space="preserve"> </w:t>
      </w:r>
      <w:r w:rsidRPr="00B91880">
        <w:rPr>
          <w:lang w:val="en-US"/>
        </w:rPr>
        <w:t>including natural fuel gas, gas condensate</w:t>
      </w:r>
      <w:r>
        <w:rPr>
          <w:lang w:val="en-US"/>
        </w:rPr>
        <w:t xml:space="preserve"> </w:t>
      </w:r>
      <w:r w:rsidRPr="00B91880">
        <w:rPr>
          <w:lang w:val="en-US"/>
        </w:rPr>
        <w:t>and commercial oil.</w:t>
      </w:r>
    </w:p>
    <w:p w:rsidR="00B91880" w:rsidRPr="00B91880" w:rsidRDefault="00B91880" w:rsidP="00791A7B">
      <w:pPr>
        <w:pStyle w:val="5"/>
        <w:rPr>
          <w:lang w:val="en-US"/>
        </w:rPr>
      </w:pPr>
      <w:r w:rsidRPr="00B91880">
        <w:rPr>
          <w:lang w:val="en-US"/>
        </w:rPr>
        <w:t>Oil taxation</w:t>
      </w:r>
    </w:p>
    <w:p w:rsidR="00B91880" w:rsidRDefault="00B91880" w:rsidP="00B91880">
      <w:pPr>
        <w:rPr>
          <w:lang w:val="en-US"/>
        </w:rPr>
      </w:pPr>
      <w:r w:rsidRPr="00B91880">
        <w:rPr>
          <w:lang w:val="en-US"/>
        </w:rPr>
        <w:t>When the changes go into effect, the</w:t>
      </w:r>
      <w:r>
        <w:rPr>
          <w:lang w:val="en-US"/>
        </w:rPr>
        <w:t xml:space="preserve"> </w:t>
      </w:r>
      <w:r w:rsidRPr="00B91880">
        <w:rPr>
          <w:lang w:val="en-US"/>
        </w:rPr>
        <w:t>following formula will be used to calculate</w:t>
      </w:r>
      <w:r>
        <w:rPr>
          <w:lang w:val="en-US"/>
        </w:rPr>
        <w:t xml:space="preserve"> </w:t>
      </w:r>
      <w:r w:rsidRPr="00B91880">
        <w:rPr>
          <w:lang w:val="en-US"/>
        </w:rPr>
        <w:t>the rate of MET on oil</w:t>
      </w:r>
      <w:r w:rsidR="0063490B">
        <w:rPr>
          <w:lang w:val="en-US"/>
        </w:rPr>
        <w:t xml:space="preserve"> </w:t>
      </w:r>
      <w:r w:rsidR="0063490B">
        <w:rPr>
          <w:lang w:val="en-US"/>
        </w:rPr>
        <w:fldChar w:fldCharType="begin"/>
      </w:r>
      <w:r w:rsidR="0063490B">
        <w:rPr>
          <w:lang w:val="en-US"/>
        </w:rPr>
        <w:instrText xml:space="preserve"> REF _Ref484016030 \h </w:instrText>
      </w:r>
      <w:r w:rsidR="0063490B">
        <w:rPr>
          <w:lang w:val="en-US"/>
        </w:rPr>
      </w:r>
      <w:r w:rsidR="0063490B">
        <w:rPr>
          <w:lang w:val="en-US"/>
        </w:rPr>
        <w:fldChar w:fldCharType="separate"/>
      </w:r>
      <w:r w:rsidR="008324C6" w:rsidRPr="008324C6">
        <w:rPr>
          <w:lang w:val="en-US"/>
        </w:rPr>
        <w:t>(</w:t>
      </w:r>
      <w:r w:rsidR="008324C6" w:rsidRPr="008324C6">
        <w:rPr>
          <w:noProof/>
          <w:lang w:val="en-US"/>
        </w:rPr>
        <w:t>3</w:t>
      </w:r>
      <w:r w:rsidR="008324C6" w:rsidRPr="008324C6">
        <w:rPr>
          <w:lang w:val="en-US"/>
        </w:rPr>
        <w:t>.</w:t>
      </w:r>
      <w:r w:rsidR="008324C6" w:rsidRPr="008324C6">
        <w:rPr>
          <w:noProof/>
          <w:lang w:val="en-US"/>
        </w:rPr>
        <w:t>1</w:t>
      </w:r>
      <w:r w:rsidR="008324C6" w:rsidRPr="008324C6">
        <w:rPr>
          <w:lang w:val="en-US"/>
        </w:rPr>
        <w:t>)</w:t>
      </w:r>
      <w:r w:rsidR="0063490B">
        <w:rPr>
          <w:lang w:val="en-US"/>
        </w:rPr>
        <w:fldChar w:fldCharType="end"/>
      </w:r>
      <w:r w:rsidR="0063490B">
        <w:rPr>
          <w:lang w:val="en-US"/>
        </w:rPr>
        <w:t xml:space="preserve">, </w:t>
      </w:r>
      <w:r w:rsidR="0063490B">
        <w:rPr>
          <w:lang w:val="en-US"/>
        </w:rPr>
        <w:fldChar w:fldCharType="begin"/>
      </w:r>
      <w:r w:rsidR="0063490B">
        <w:rPr>
          <w:lang w:val="en-US"/>
        </w:rPr>
        <w:instrText xml:space="preserve"> REF _Ref484016039 \h </w:instrText>
      </w:r>
      <w:r w:rsidR="0063490B">
        <w:rPr>
          <w:lang w:val="en-US"/>
        </w:rPr>
      </w:r>
      <w:r w:rsidR="0063490B">
        <w:rPr>
          <w:lang w:val="en-US"/>
        </w:rPr>
        <w:fldChar w:fldCharType="separate"/>
      </w:r>
      <w:r w:rsidR="008324C6" w:rsidRPr="008324C6">
        <w:rPr>
          <w:lang w:val="en-US"/>
        </w:rPr>
        <w:t>(</w:t>
      </w:r>
      <w:r w:rsidR="008324C6" w:rsidRPr="008324C6">
        <w:rPr>
          <w:noProof/>
          <w:lang w:val="en-US"/>
        </w:rPr>
        <w:t>3</w:t>
      </w:r>
      <w:r w:rsidR="008324C6" w:rsidRPr="008324C6">
        <w:rPr>
          <w:lang w:val="en-US"/>
        </w:rPr>
        <w:t>.</w:t>
      </w:r>
      <w:r w:rsidR="008324C6" w:rsidRPr="008324C6">
        <w:rPr>
          <w:noProof/>
          <w:lang w:val="en-US"/>
        </w:rPr>
        <w:t>2</w:t>
      </w:r>
      <w:r w:rsidR="008324C6" w:rsidRPr="008324C6">
        <w:rPr>
          <w:lang w:val="en-US"/>
        </w:rPr>
        <w:t>)</w:t>
      </w:r>
      <w:r w:rsidR="0063490B">
        <w:rPr>
          <w:lang w:val="en-US"/>
        </w:rPr>
        <w:fldChar w:fldCharType="end"/>
      </w:r>
      <w:r w:rsidRPr="00B91880">
        <w:rPr>
          <w:lang w:val="en-US"/>
        </w:rPr>
        <w:t>:</w:t>
      </w:r>
    </w:p>
    <w:tbl>
      <w:tblPr>
        <w:tblStyle w:val="af6"/>
        <w:tblW w:w="0" w:type="auto"/>
        <w:tblLook w:val="04A0" w:firstRow="1" w:lastRow="0" w:firstColumn="1" w:lastColumn="0" w:noHBand="0" w:noVBand="1"/>
      </w:tblPr>
      <w:tblGrid>
        <w:gridCol w:w="7508"/>
        <w:gridCol w:w="1837"/>
      </w:tblGrid>
      <w:tr w:rsidR="0063490B" w:rsidTr="0063490B">
        <w:tc>
          <w:tcPr>
            <w:tcW w:w="7508" w:type="dxa"/>
          </w:tcPr>
          <w:p w:rsidR="0063490B" w:rsidRDefault="0063490B" w:rsidP="0063490B">
            <w:pPr>
              <w:rPr>
                <w:lang w:val="en-US"/>
              </w:rPr>
            </w:pPr>
            <m:oMathPara>
              <m:oMath>
                <m:r>
                  <w:rPr>
                    <w:rFonts w:ascii="Cambria Math" w:hAnsi="Cambria Math" w:cs="EYInterstate-Regular"/>
                    <w:lang w:val="en-US"/>
                  </w:rPr>
                  <m:t>MET=BR*</m:t>
                </m:r>
                <m:sSub>
                  <m:sSubPr>
                    <m:ctrlPr>
                      <w:rPr>
                        <w:rFonts w:ascii="Cambria Math" w:hAnsi="Cambria Math" w:cs="EYInterstate-Regular"/>
                        <w:i/>
                        <w:lang w:val="en-US"/>
                      </w:rPr>
                    </m:ctrlPr>
                  </m:sSubPr>
                  <m:e>
                    <m:r>
                      <w:rPr>
                        <w:rFonts w:ascii="Cambria Math" w:hAnsi="Cambria Math" w:cs="EYInterstate-Regular"/>
                        <w:lang w:val="en-US"/>
                      </w:rPr>
                      <m:t>C</m:t>
                    </m:r>
                  </m:e>
                  <m:sub>
                    <m:r>
                      <w:rPr>
                        <w:rFonts w:ascii="Cambria Math" w:hAnsi="Cambria Math" w:cs="EYInterstate-Regular"/>
                        <w:lang w:val="en-US"/>
                      </w:rPr>
                      <m:t>p</m:t>
                    </m:r>
                  </m:sub>
                </m:sSub>
                <m:r>
                  <w:rPr>
                    <w:rFonts w:ascii="Cambria Math" w:hAnsi="Cambria Math" w:cs="EYInterstate-Regular"/>
                    <w:lang w:val="en-US"/>
                  </w:rPr>
                  <m:t>-</m:t>
                </m:r>
                <m:sSub>
                  <m:sSubPr>
                    <m:ctrlPr>
                      <w:rPr>
                        <w:rFonts w:ascii="Cambria Math" w:hAnsi="Cambria Math" w:cs="EYInterstate-Regular"/>
                        <w:i/>
                        <w:lang w:val="en-US"/>
                      </w:rPr>
                    </m:ctrlPr>
                  </m:sSubPr>
                  <m:e>
                    <m:r>
                      <w:rPr>
                        <w:rFonts w:ascii="Cambria Math" w:hAnsi="Cambria Math" w:cs="EYInterstate-Regular"/>
                        <w:lang w:val="en-US"/>
                      </w:rPr>
                      <m:t>E</m:t>
                    </m:r>
                  </m:e>
                  <m:sub>
                    <m:r>
                      <w:rPr>
                        <w:rFonts w:ascii="Cambria Math" w:hAnsi="Cambria Math" w:cs="EYInterstate-Regular"/>
                        <w:lang w:val="en-US"/>
                      </w:rPr>
                      <m:t>M</m:t>
                    </m:r>
                  </m:sub>
                </m:sSub>
                <m:r>
                  <w:rPr>
                    <w:rFonts w:ascii="Cambria Math" w:hAnsi="Cambria Math" w:cs="EYInterstate-Regular"/>
                    <w:lang w:val="en-US"/>
                  </w:rPr>
                  <m:t>,</m:t>
                </m:r>
              </m:oMath>
            </m:oMathPara>
          </w:p>
        </w:tc>
        <w:tc>
          <w:tcPr>
            <w:tcW w:w="1837" w:type="dxa"/>
          </w:tcPr>
          <w:p w:rsidR="0063490B" w:rsidRDefault="0063490B" w:rsidP="0063490B">
            <w:pPr>
              <w:pStyle w:val="ac"/>
              <w:jc w:val="right"/>
            </w:pPr>
            <w:bookmarkStart w:id="82" w:name="_Ref484016030"/>
            <w:r>
              <w:t>(</w:t>
            </w:r>
            <w:r w:rsidR="008F1F91">
              <w:fldChar w:fldCharType="begin"/>
            </w:r>
            <w:r w:rsidR="008F1F91">
              <w:instrText xml:space="preserve"> STYLEREF 1 \s </w:instrText>
            </w:r>
            <w:r w:rsidR="008F1F91">
              <w:fldChar w:fldCharType="separate"/>
            </w:r>
            <w:r w:rsidR="008324C6">
              <w:rPr>
                <w:noProof/>
              </w:rPr>
              <w:t>3</w:t>
            </w:r>
            <w:r w:rsidR="008F1F91">
              <w:fldChar w:fldCharType="end"/>
            </w:r>
            <w:r w:rsidR="008F1F91">
              <w:t>.</w:t>
            </w:r>
            <w:r w:rsidR="008F1F91">
              <w:fldChar w:fldCharType="begin"/>
            </w:r>
            <w:r w:rsidR="008F1F91">
              <w:instrText xml:space="preserve"> SEQ Formula \* ARABIC \s 1 </w:instrText>
            </w:r>
            <w:r w:rsidR="008F1F91">
              <w:fldChar w:fldCharType="separate"/>
            </w:r>
            <w:r w:rsidR="008324C6">
              <w:rPr>
                <w:noProof/>
              </w:rPr>
              <w:t>1</w:t>
            </w:r>
            <w:r w:rsidR="008F1F91">
              <w:fldChar w:fldCharType="end"/>
            </w:r>
            <w:r>
              <w:t>)</w:t>
            </w:r>
            <w:bookmarkEnd w:id="82"/>
          </w:p>
        </w:tc>
      </w:tr>
      <w:tr w:rsidR="0063490B" w:rsidTr="0063490B">
        <w:tc>
          <w:tcPr>
            <w:tcW w:w="7508" w:type="dxa"/>
          </w:tcPr>
          <w:p w:rsidR="0063490B" w:rsidRDefault="0063490B" w:rsidP="0063490B">
            <w:pPr>
              <w:rPr>
                <w:lang w:val="en-US"/>
              </w:rPr>
            </w:pPr>
            <m:oMathPara>
              <m:oMath>
                <m:sSub>
                  <m:sSubPr>
                    <m:ctrlPr>
                      <w:rPr>
                        <w:rFonts w:ascii="Cambria Math" w:hAnsi="Cambria Math" w:cs="EYInterstate-Regular"/>
                        <w:i/>
                        <w:lang w:val="en-US"/>
                      </w:rPr>
                    </m:ctrlPr>
                  </m:sSubPr>
                  <m:e>
                    <m:sSub>
                      <m:sSubPr>
                        <m:ctrlPr>
                          <w:rPr>
                            <w:rFonts w:ascii="Cambria Math" w:hAnsi="Cambria Math" w:cs="EYInterstate-Regular"/>
                            <w:i/>
                            <w:lang w:val="en-US"/>
                          </w:rPr>
                        </m:ctrlPr>
                      </m:sSubPr>
                      <m:e>
                        <m:r>
                          <w:rPr>
                            <w:rFonts w:ascii="Cambria Math" w:hAnsi="Cambria Math" w:cs="EYInterstate-Regular"/>
                            <w:lang w:val="en-US"/>
                          </w:rPr>
                          <m:t>E</m:t>
                        </m:r>
                      </m:e>
                      <m:sub>
                        <m:r>
                          <w:rPr>
                            <w:rFonts w:ascii="Cambria Math" w:hAnsi="Cambria Math" w:cs="EYInterstate-Regular"/>
                            <w:lang w:val="en-US"/>
                          </w:rPr>
                          <m:t>M</m:t>
                        </m:r>
                      </m:sub>
                    </m:sSub>
                    <m:r>
                      <w:rPr>
                        <w:rFonts w:ascii="Cambria Math" w:hAnsi="Cambria Math" w:cs="EYInterstate-Regular"/>
                        <w:lang w:val="en-US"/>
                      </w:rPr>
                      <m:t>= C</m:t>
                    </m:r>
                  </m:e>
                  <m:sub>
                    <m:r>
                      <w:rPr>
                        <w:rFonts w:ascii="Cambria Math" w:hAnsi="Cambria Math" w:cs="EYInterstate-Regular"/>
                        <w:lang w:val="en-US"/>
                      </w:rPr>
                      <m:t>MET</m:t>
                    </m:r>
                  </m:sub>
                </m:sSub>
                <m:r>
                  <w:rPr>
                    <w:rFonts w:ascii="Cambria Math" w:hAnsi="Cambria Math" w:cs="EYInterstate-Regular"/>
                    <w:lang w:val="en-US"/>
                  </w:rPr>
                  <m:t>*</m:t>
                </m:r>
                <m:sSub>
                  <m:sSubPr>
                    <m:ctrlPr>
                      <w:rPr>
                        <w:rFonts w:ascii="Cambria Math" w:hAnsi="Cambria Math" w:cs="EYInterstate-Regular"/>
                        <w:i/>
                        <w:lang w:val="en-US"/>
                      </w:rPr>
                    </m:ctrlPr>
                  </m:sSubPr>
                  <m:e>
                    <m:r>
                      <w:rPr>
                        <w:rFonts w:ascii="Cambria Math" w:hAnsi="Cambria Math" w:cs="EYInterstate-Regular"/>
                        <w:lang w:val="en-US"/>
                      </w:rPr>
                      <m:t>C</m:t>
                    </m:r>
                  </m:e>
                  <m:sub>
                    <m:r>
                      <w:rPr>
                        <w:rFonts w:ascii="Cambria Math" w:hAnsi="Cambria Math" w:cs="EYInterstate-Regular"/>
                        <w:lang w:val="en-US"/>
                      </w:rPr>
                      <m:t>p</m:t>
                    </m:r>
                  </m:sub>
                </m:sSub>
                <m:r>
                  <w:rPr>
                    <w:rFonts w:ascii="Cambria Math" w:hAnsi="Cambria Math" w:cs="EYInterstate-Regular"/>
                    <w:lang w:val="en-US"/>
                  </w:rPr>
                  <m:t>*</m:t>
                </m:r>
                <m:d>
                  <m:dPr>
                    <m:ctrlPr>
                      <w:rPr>
                        <w:rFonts w:ascii="Cambria Math" w:hAnsi="Cambria Math" w:cs="EYInterstate-Regular"/>
                        <w:i/>
                        <w:lang w:val="en-US"/>
                      </w:rPr>
                    </m:ctrlPr>
                  </m:dPr>
                  <m:e>
                    <m:r>
                      <w:rPr>
                        <w:rFonts w:ascii="Cambria Math" w:hAnsi="Cambria Math" w:cs="EYInterstate-Regular"/>
                        <w:lang w:val="en-US"/>
                      </w:rPr>
                      <m:t>1-</m:t>
                    </m:r>
                    <m:sSub>
                      <m:sSubPr>
                        <m:ctrlPr>
                          <w:rPr>
                            <w:rFonts w:ascii="Cambria Math" w:hAnsi="Cambria Math" w:cs="EYInterstate-Regular"/>
                            <w:i/>
                            <w:lang w:val="en-US"/>
                          </w:rPr>
                        </m:ctrlPr>
                      </m:sSubPr>
                      <m:e>
                        <m:r>
                          <w:rPr>
                            <w:rFonts w:ascii="Cambria Math" w:hAnsi="Cambria Math" w:cs="EYInterstate-Regular"/>
                            <w:lang w:val="en-US"/>
                          </w:rPr>
                          <m:t>C</m:t>
                        </m:r>
                      </m:e>
                      <m:sub>
                        <m:r>
                          <w:rPr>
                            <w:rFonts w:ascii="Cambria Math" w:hAnsi="Cambria Math" w:cs="EYInterstate-Regular"/>
                            <w:lang w:val="en-US"/>
                          </w:rPr>
                          <m:t>D</m:t>
                        </m:r>
                      </m:sub>
                    </m:sSub>
                    <m:r>
                      <w:rPr>
                        <w:rFonts w:ascii="Cambria Math" w:hAnsi="Cambria Math" w:cs="EYInterstate-Regular"/>
                        <w:lang w:val="en-US"/>
                      </w:rPr>
                      <m:t>*</m:t>
                    </m:r>
                    <m:sSub>
                      <m:sSubPr>
                        <m:ctrlPr>
                          <w:rPr>
                            <w:rFonts w:ascii="Cambria Math" w:hAnsi="Cambria Math" w:cs="EYInterstate-Regular"/>
                            <w:i/>
                            <w:lang w:val="en-US"/>
                          </w:rPr>
                        </m:ctrlPr>
                      </m:sSubPr>
                      <m:e>
                        <m:r>
                          <w:rPr>
                            <w:rFonts w:ascii="Cambria Math" w:hAnsi="Cambria Math" w:cs="EYInterstate-Regular"/>
                            <w:lang w:val="en-US"/>
                          </w:rPr>
                          <m:t>C</m:t>
                        </m:r>
                      </m:e>
                      <m:sub>
                        <m:r>
                          <w:rPr>
                            <w:rFonts w:ascii="Cambria Math" w:hAnsi="Cambria Math" w:cs="EYInterstate-Regular"/>
                            <w:lang w:val="en-US"/>
                          </w:rPr>
                          <m:t>R</m:t>
                        </m:r>
                      </m:sub>
                    </m:sSub>
                    <m:r>
                      <w:rPr>
                        <w:rFonts w:ascii="Cambria Math" w:hAnsi="Cambria Math" w:cs="EYInterstate-Regular"/>
                        <w:lang w:val="en-US"/>
                      </w:rPr>
                      <m:t>*</m:t>
                    </m:r>
                    <m:sSub>
                      <m:sSubPr>
                        <m:ctrlPr>
                          <w:rPr>
                            <w:rFonts w:ascii="Cambria Math" w:hAnsi="Cambria Math" w:cs="EYInterstate-Regular"/>
                            <w:i/>
                            <w:lang w:val="en-US"/>
                          </w:rPr>
                        </m:ctrlPr>
                      </m:sSubPr>
                      <m:e>
                        <m:r>
                          <w:rPr>
                            <w:rFonts w:ascii="Cambria Math" w:hAnsi="Cambria Math" w:cs="EYInterstate-Regular"/>
                            <w:lang w:val="en-US"/>
                          </w:rPr>
                          <m:t>C</m:t>
                        </m:r>
                      </m:e>
                      <m:sub>
                        <m:r>
                          <w:rPr>
                            <w:rFonts w:ascii="Cambria Math" w:hAnsi="Cambria Math" w:cs="EYInterstate-Regular"/>
                            <w:lang w:val="en-US"/>
                          </w:rPr>
                          <m:t>DE</m:t>
                        </m:r>
                      </m:sub>
                    </m:sSub>
                    <m:r>
                      <w:rPr>
                        <w:rFonts w:ascii="Cambria Math" w:hAnsi="Cambria Math" w:cs="EYInterstate-Regular"/>
                        <w:lang w:val="en-US"/>
                      </w:rPr>
                      <m:t>*</m:t>
                    </m:r>
                    <m:sSub>
                      <m:sSubPr>
                        <m:ctrlPr>
                          <w:rPr>
                            <w:rFonts w:ascii="Cambria Math" w:hAnsi="Cambria Math" w:cs="EYInterstate-Regular"/>
                            <w:i/>
                            <w:lang w:val="en-US"/>
                          </w:rPr>
                        </m:ctrlPr>
                      </m:sSubPr>
                      <m:e>
                        <m:r>
                          <w:rPr>
                            <w:rFonts w:ascii="Cambria Math" w:hAnsi="Cambria Math" w:cs="EYInterstate-Regular"/>
                            <w:lang w:val="en-US"/>
                          </w:rPr>
                          <m:t>C</m:t>
                        </m:r>
                      </m:e>
                      <m:sub>
                        <m:r>
                          <w:rPr>
                            <w:rFonts w:ascii="Cambria Math" w:hAnsi="Cambria Math" w:cs="EYInterstate-Regular"/>
                            <w:lang w:val="en-US"/>
                          </w:rPr>
                          <m:t>RD</m:t>
                        </m:r>
                      </m:sub>
                    </m:sSub>
                    <m:r>
                      <w:rPr>
                        <w:rFonts w:ascii="Cambria Math" w:hAnsi="Cambria Math" w:cs="EYInterstate-Regular"/>
                        <w:lang w:val="en-US"/>
                      </w:rPr>
                      <m:t>*</m:t>
                    </m:r>
                    <m:sSub>
                      <m:sSubPr>
                        <m:ctrlPr>
                          <w:rPr>
                            <w:rFonts w:ascii="Cambria Math" w:hAnsi="Cambria Math" w:cs="EYInterstate-Regular"/>
                            <w:i/>
                            <w:lang w:val="en-US"/>
                          </w:rPr>
                        </m:ctrlPr>
                      </m:sSubPr>
                      <m:e>
                        <m:r>
                          <w:rPr>
                            <w:rFonts w:ascii="Cambria Math" w:hAnsi="Cambria Math" w:cs="EYInterstate-Regular"/>
                            <w:lang w:val="en-US"/>
                          </w:rPr>
                          <m:t>C</m:t>
                        </m:r>
                      </m:e>
                      <m:sub>
                        <m:r>
                          <w:rPr>
                            <w:rFonts w:ascii="Cambria Math" w:hAnsi="Cambria Math" w:cs="EYInterstate-Regular"/>
                            <w:lang w:val="en-US"/>
                          </w:rPr>
                          <m:t>CAN</m:t>
                        </m:r>
                      </m:sub>
                    </m:sSub>
                  </m:e>
                </m:d>
                <m:r>
                  <w:rPr>
                    <w:rFonts w:ascii="Cambria Math" w:hAnsi="Cambria Math" w:cs="EYInterstate-Regular"/>
                    <w:lang w:val="en-US"/>
                  </w:rPr>
                  <m:t xml:space="preserve">, </m:t>
                </m:r>
              </m:oMath>
            </m:oMathPara>
          </w:p>
        </w:tc>
        <w:tc>
          <w:tcPr>
            <w:tcW w:w="1837" w:type="dxa"/>
          </w:tcPr>
          <w:p w:rsidR="0063490B" w:rsidRDefault="0063490B" w:rsidP="0063490B">
            <w:pPr>
              <w:pStyle w:val="ac"/>
              <w:jc w:val="right"/>
            </w:pPr>
            <w:bookmarkStart w:id="83" w:name="_Ref484016039"/>
            <w:r>
              <w:t>(</w:t>
            </w:r>
            <w:r w:rsidR="008F1F91">
              <w:fldChar w:fldCharType="begin"/>
            </w:r>
            <w:r w:rsidR="008F1F91">
              <w:instrText xml:space="preserve"> STYLEREF 1 \s </w:instrText>
            </w:r>
            <w:r w:rsidR="008F1F91">
              <w:fldChar w:fldCharType="separate"/>
            </w:r>
            <w:r w:rsidR="008324C6">
              <w:rPr>
                <w:noProof/>
              </w:rPr>
              <w:t>3</w:t>
            </w:r>
            <w:r w:rsidR="008F1F91">
              <w:fldChar w:fldCharType="end"/>
            </w:r>
            <w:r w:rsidR="008F1F91">
              <w:t>.</w:t>
            </w:r>
            <w:r w:rsidR="008F1F91">
              <w:fldChar w:fldCharType="begin"/>
            </w:r>
            <w:r w:rsidR="008F1F91">
              <w:instrText xml:space="preserve"> SEQ Formula \* ARABIC \s 1 </w:instrText>
            </w:r>
            <w:r w:rsidR="008F1F91">
              <w:fldChar w:fldCharType="separate"/>
            </w:r>
            <w:r w:rsidR="008324C6">
              <w:rPr>
                <w:noProof/>
              </w:rPr>
              <w:t>2</w:t>
            </w:r>
            <w:r w:rsidR="008F1F91">
              <w:fldChar w:fldCharType="end"/>
            </w:r>
            <w:r>
              <w:t>)</w:t>
            </w:r>
            <w:bookmarkEnd w:id="83"/>
          </w:p>
        </w:tc>
      </w:tr>
    </w:tbl>
    <w:p w:rsidR="00B91880" w:rsidRPr="00791A7B" w:rsidRDefault="00B91880" w:rsidP="00B91880">
      <w:pPr>
        <w:rPr>
          <w:rFonts w:cs="Times New Roman"/>
          <w:i/>
          <w:szCs w:val="24"/>
          <w:lang w:val="en-US"/>
        </w:rPr>
      </w:pPr>
      <w:r w:rsidRPr="00791A7B">
        <w:rPr>
          <w:rFonts w:cs="Times New Roman"/>
          <w:i/>
          <w:szCs w:val="24"/>
          <w:lang w:val="en-US"/>
        </w:rPr>
        <w:t>where:</w:t>
      </w:r>
    </w:p>
    <w:p w:rsidR="00B91880" w:rsidRPr="0063490B" w:rsidRDefault="00B91880" w:rsidP="0063490B">
      <w:pPr>
        <w:ind w:left="708"/>
        <w:rPr>
          <w:rFonts w:cs="Times New Roman"/>
          <w:szCs w:val="24"/>
          <w:lang w:val="en-US"/>
        </w:rPr>
      </w:pPr>
      <w:r w:rsidRPr="0063490B">
        <w:rPr>
          <w:rFonts w:cs="Times New Roman"/>
          <w:i/>
          <w:szCs w:val="24"/>
          <w:lang w:val="en-US"/>
        </w:rPr>
        <w:t>BR</w:t>
      </w:r>
      <w:r w:rsidRPr="0063490B">
        <w:rPr>
          <w:rFonts w:cs="Times New Roman"/>
          <w:szCs w:val="24"/>
          <w:lang w:val="en-US"/>
        </w:rPr>
        <w:t xml:space="preserve"> is the base rate of MET. The current rate </w:t>
      </w:r>
      <w:r w:rsidR="00D66B8A" w:rsidRPr="0063490B">
        <w:rPr>
          <w:rFonts w:cs="Times New Roman"/>
          <w:szCs w:val="24"/>
          <w:lang w:val="en-US"/>
        </w:rPr>
        <w:t>is</w:t>
      </w:r>
      <w:r w:rsidRPr="0063490B">
        <w:rPr>
          <w:rFonts w:cs="Times New Roman"/>
          <w:szCs w:val="24"/>
          <w:lang w:val="en-US"/>
        </w:rPr>
        <w:t xml:space="preserve"> </w:t>
      </w:r>
      <w:r w:rsidR="00D66B8A" w:rsidRPr="0063490B">
        <w:rPr>
          <w:rFonts w:cs="Times New Roman"/>
          <w:szCs w:val="24"/>
          <w:lang w:val="en-US"/>
        </w:rPr>
        <w:t xml:space="preserve">919 </w:t>
      </w:r>
      <w:r w:rsidR="0063490B">
        <w:rPr>
          <w:rFonts w:cs="Times New Roman"/>
          <w:szCs w:val="24"/>
          <w:lang w:val="en-US"/>
        </w:rPr>
        <w:t xml:space="preserve">Russian rubles </w:t>
      </w:r>
      <w:r w:rsidR="00D66B8A" w:rsidRPr="0063490B">
        <w:rPr>
          <w:rFonts w:cs="Times New Roman"/>
          <w:szCs w:val="24"/>
          <w:lang w:val="en-US"/>
        </w:rPr>
        <w:t>per ton</w:t>
      </w:r>
      <w:r w:rsidRPr="0063490B">
        <w:rPr>
          <w:rFonts w:cs="Times New Roman"/>
          <w:szCs w:val="24"/>
          <w:lang w:val="en-US"/>
        </w:rPr>
        <w:t xml:space="preserve"> from 2017</w:t>
      </w:r>
      <w:r w:rsidR="00D66B8A" w:rsidRPr="0063490B">
        <w:rPr>
          <w:rFonts w:cs="Times New Roman"/>
          <w:szCs w:val="24"/>
          <w:lang w:val="en-US"/>
        </w:rPr>
        <w:t>.</w:t>
      </w:r>
    </w:p>
    <w:p w:rsidR="00B91880" w:rsidRDefault="00B91880" w:rsidP="0063490B">
      <w:pPr>
        <w:ind w:left="708"/>
        <w:rPr>
          <w:rFonts w:cs="Times New Roman"/>
          <w:szCs w:val="24"/>
          <w:lang w:val="en-US"/>
        </w:rPr>
      </w:pPr>
      <w:r w:rsidRPr="0063490B">
        <w:rPr>
          <w:rFonts w:cs="Times New Roman"/>
          <w:i/>
          <w:szCs w:val="24"/>
          <w:lang w:val="en-US"/>
        </w:rPr>
        <w:t>C</w:t>
      </w:r>
      <w:r w:rsidRPr="0063490B">
        <w:rPr>
          <w:rFonts w:cs="Times New Roman"/>
          <w:bCs/>
          <w:i/>
          <w:szCs w:val="24"/>
          <w:vertAlign w:val="subscript"/>
          <w:lang w:val="en-US"/>
        </w:rPr>
        <w:t>P</w:t>
      </w:r>
      <w:r w:rsidRPr="0063490B">
        <w:rPr>
          <w:rFonts w:cs="Times New Roman"/>
          <w:bCs/>
          <w:szCs w:val="24"/>
          <w:lang w:val="en-US"/>
        </w:rPr>
        <w:t xml:space="preserve"> </w:t>
      </w:r>
      <w:r w:rsidRPr="0063490B">
        <w:rPr>
          <w:rFonts w:cs="Times New Roman"/>
          <w:szCs w:val="24"/>
          <w:lang w:val="en-US"/>
        </w:rPr>
        <w:t>represents the dynamics of world oil prices, calculated by the taxpayer using the following formula</w:t>
      </w:r>
      <w:r w:rsidR="0063490B">
        <w:rPr>
          <w:rFonts w:cs="Times New Roman"/>
          <w:szCs w:val="24"/>
          <w:lang w:val="en-US"/>
        </w:rPr>
        <w:t xml:space="preserve"> </w:t>
      </w:r>
      <w:r w:rsidR="0063490B">
        <w:rPr>
          <w:rFonts w:cs="Times New Roman"/>
          <w:szCs w:val="24"/>
          <w:lang w:val="en-US"/>
        </w:rPr>
        <w:fldChar w:fldCharType="begin"/>
      </w:r>
      <w:r w:rsidR="0063490B">
        <w:rPr>
          <w:rFonts w:cs="Times New Roman"/>
          <w:szCs w:val="24"/>
          <w:lang w:val="en-US"/>
        </w:rPr>
        <w:instrText xml:space="preserve"> REF _Ref484016127 \h </w:instrText>
      </w:r>
      <w:r w:rsidR="0063490B">
        <w:rPr>
          <w:rFonts w:cs="Times New Roman"/>
          <w:szCs w:val="24"/>
          <w:lang w:val="en-US"/>
        </w:rPr>
      </w:r>
      <w:r w:rsidR="0063490B">
        <w:rPr>
          <w:rFonts w:cs="Times New Roman"/>
          <w:szCs w:val="24"/>
          <w:lang w:val="en-US"/>
        </w:rPr>
        <w:fldChar w:fldCharType="separate"/>
      </w:r>
      <w:r w:rsidR="008324C6" w:rsidRPr="0063490B">
        <w:rPr>
          <w:rFonts w:cs="Times New Roman"/>
          <w:i/>
          <w:sz w:val="20"/>
          <w:szCs w:val="24"/>
          <w:lang w:val="en-US"/>
        </w:rPr>
        <w:t>(</w:t>
      </w:r>
      <w:r w:rsidR="008324C6">
        <w:rPr>
          <w:rFonts w:cs="Times New Roman"/>
          <w:i/>
          <w:noProof/>
          <w:sz w:val="20"/>
          <w:szCs w:val="24"/>
          <w:lang w:val="en-US"/>
        </w:rPr>
        <w:t>3</w:t>
      </w:r>
      <w:r w:rsidR="008324C6">
        <w:rPr>
          <w:rFonts w:cs="Times New Roman"/>
          <w:i/>
          <w:sz w:val="20"/>
          <w:szCs w:val="24"/>
          <w:lang w:val="en-US"/>
        </w:rPr>
        <w:t>.</w:t>
      </w:r>
      <w:r w:rsidR="008324C6">
        <w:rPr>
          <w:rFonts w:cs="Times New Roman"/>
          <w:i/>
          <w:noProof/>
          <w:sz w:val="20"/>
          <w:szCs w:val="24"/>
          <w:lang w:val="en-US"/>
        </w:rPr>
        <w:t>3</w:t>
      </w:r>
      <w:r w:rsidR="008324C6" w:rsidRPr="0063490B">
        <w:rPr>
          <w:rFonts w:cs="Times New Roman"/>
          <w:i/>
          <w:sz w:val="20"/>
          <w:szCs w:val="24"/>
          <w:lang w:val="en-US"/>
        </w:rPr>
        <w:t>)</w:t>
      </w:r>
      <w:r w:rsidR="0063490B">
        <w:rPr>
          <w:rFonts w:cs="Times New Roman"/>
          <w:szCs w:val="24"/>
          <w:lang w:val="en-US"/>
        </w:rPr>
        <w:fldChar w:fldCharType="end"/>
      </w:r>
      <w:r w:rsidRPr="0063490B">
        <w:rPr>
          <w:rFonts w:cs="Times New Roman"/>
          <w:szCs w:val="24"/>
          <w:lang w:val="en-US"/>
        </w:rPr>
        <w:t>:</w:t>
      </w:r>
    </w:p>
    <w:tbl>
      <w:tblPr>
        <w:tblStyle w:val="af6"/>
        <w:tblW w:w="0" w:type="auto"/>
        <w:tblLook w:val="04A0" w:firstRow="1" w:lastRow="0" w:firstColumn="1" w:lastColumn="0" w:noHBand="0" w:noVBand="1"/>
      </w:tblPr>
      <w:tblGrid>
        <w:gridCol w:w="8755"/>
        <w:gridCol w:w="600"/>
      </w:tblGrid>
      <w:tr w:rsidR="0063490B" w:rsidTr="0063490B">
        <w:tc>
          <w:tcPr>
            <w:tcW w:w="9072" w:type="dxa"/>
          </w:tcPr>
          <w:p w:rsidR="0063490B" w:rsidRPr="0063490B" w:rsidRDefault="0063490B" w:rsidP="0063490B">
            <w:pPr>
              <w:keepNext/>
            </w:pPr>
            <m:oMathPara>
              <m:oMathParaPr>
                <m:jc m:val="center"/>
              </m:oMathParaPr>
              <m:oMath>
                <m:sSub>
                  <m:sSubPr>
                    <m:ctrlPr>
                      <w:rPr>
                        <w:rFonts w:ascii="Cambria Math" w:hAnsi="Cambria Math" w:cs="Times New Roman"/>
                        <w:i/>
                        <w:szCs w:val="24"/>
                        <w:lang w:val="en-US"/>
                      </w:rPr>
                    </m:ctrlPr>
                  </m:sSubPr>
                  <m:e>
                    <m:r>
                      <w:rPr>
                        <w:rFonts w:ascii="Cambria Math" w:hAnsi="Cambria Math" w:cs="Times New Roman"/>
                        <w:szCs w:val="24"/>
                        <w:lang w:val="en-US"/>
                      </w:rPr>
                      <m:t>C</m:t>
                    </m:r>
                  </m:e>
                  <m:sub>
                    <m:r>
                      <w:rPr>
                        <w:rFonts w:ascii="Cambria Math" w:hAnsi="Cambria Math" w:cs="Times New Roman"/>
                        <w:szCs w:val="24"/>
                        <w:lang w:val="en-US"/>
                      </w:rPr>
                      <m:t>P</m:t>
                    </m:r>
                  </m:sub>
                </m:sSub>
                <m:r>
                  <w:rPr>
                    <w:rFonts w:ascii="Cambria Math" w:hAnsi="Cambria Math" w:cs="Times New Roman"/>
                    <w:szCs w:val="24"/>
                    <w:lang w:val="en-US"/>
                  </w:rPr>
                  <m:t xml:space="preserve"> = </m:t>
                </m:r>
                <m:d>
                  <m:dPr>
                    <m:ctrlPr>
                      <w:rPr>
                        <w:rFonts w:ascii="Cambria Math" w:hAnsi="Cambria Math" w:cs="Times New Roman"/>
                        <w:i/>
                        <w:szCs w:val="24"/>
                        <w:lang w:val="en-US"/>
                      </w:rPr>
                    </m:ctrlPr>
                  </m:dPr>
                  <m:e>
                    <m:r>
                      <w:rPr>
                        <w:rFonts w:ascii="Cambria Math" w:hAnsi="Cambria Math" w:cs="Times New Roman"/>
                        <w:szCs w:val="24"/>
                        <w:lang w:val="en-US"/>
                      </w:rPr>
                      <m:t>P – 15</m:t>
                    </m:r>
                  </m:e>
                </m:d>
                <m:r>
                  <w:rPr>
                    <w:rFonts w:ascii="Cambria Math" w:hAnsi="Cambria Math" w:cs="Times New Roman"/>
                    <w:szCs w:val="24"/>
                    <w:lang w:val="en-US"/>
                  </w:rPr>
                  <m:t>*</m:t>
                </m:r>
                <m:f>
                  <m:fPr>
                    <m:ctrlPr>
                      <w:rPr>
                        <w:rFonts w:ascii="Cambria Math" w:hAnsi="Cambria Math" w:cs="Times New Roman"/>
                        <w:i/>
                        <w:szCs w:val="24"/>
                        <w:lang w:val="en-US"/>
                      </w:rPr>
                    </m:ctrlPr>
                  </m:fPr>
                  <m:num>
                    <m:r>
                      <w:rPr>
                        <w:rFonts w:ascii="Cambria Math" w:hAnsi="Cambria Math" w:cs="Times New Roman"/>
                        <w:szCs w:val="24"/>
                        <w:lang w:val="en-US"/>
                      </w:rPr>
                      <m:t>R</m:t>
                    </m:r>
                  </m:num>
                  <m:den>
                    <m:r>
                      <w:rPr>
                        <w:rFonts w:ascii="Cambria Math" w:hAnsi="Cambria Math" w:cs="Times New Roman"/>
                        <w:szCs w:val="24"/>
                        <w:lang w:val="en-US"/>
                      </w:rPr>
                      <m:t>261</m:t>
                    </m:r>
                  </m:den>
                </m:f>
                <m:r>
                  <w:rPr>
                    <w:rFonts w:ascii="Cambria Math" w:hAnsi="Cambria Math" w:cs="Times New Roman"/>
                    <w:szCs w:val="24"/>
                    <w:lang w:val="en-US"/>
                  </w:rPr>
                  <m:t>,</m:t>
                </m:r>
                <m:r>
                  <w:rPr>
                    <w:rFonts w:ascii="Cambria Math" w:eastAsiaTheme="minorEastAsia" w:hAnsi="Cambria Math" w:cs="Times New Roman"/>
                    <w:szCs w:val="24"/>
                    <w:lang w:val="en-US"/>
                  </w:rPr>
                  <m:t xml:space="preserve"> </m:t>
                </m:r>
              </m:oMath>
            </m:oMathPara>
          </w:p>
        </w:tc>
        <w:tc>
          <w:tcPr>
            <w:tcW w:w="273" w:type="dxa"/>
          </w:tcPr>
          <w:p w:rsidR="0063490B" w:rsidRPr="0063490B" w:rsidRDefault="0063490B" w:rsidP="0063490B">
            <w:pPr>
              <w:jc w:val="right"/>
              <w:rPr>
                <w:rFonts w:cs="Times New Roman"/>
                <w:i/>
                <w:szCs w:val="24"/>
                <w:lang w:val="en-US"/>
              </w:rPr>
            </w:pPr>
            <w:bookmarkStart w:id="84" w:name="_Ref484016127"/>
            <w:r w:rsidRPr="0063490B">
              <w:rPr>
                <w:rFonts w:cs="Times New Roman"/>
                <w:i/>
                <w:sz w:val="20"/>
                <w:szCs w:val="24"/>
                <w:lang w:val="en-US"/>
              </w:rPr>
              <w:t>(</w:t>
            </w:r>
            <w:r w:rsidR="008F1F91">
              <w:rPr>
                <w:rFonts w:cs="Times New Roman"/>
                <w:i/>
                <w:sz w:val="20"/>
                <w:szCs w:val="24"/>
                <w:lang w:val="en-US"/>
              </w:rPr>
              <w:fldChar w:fldCharType="begin"/>
            </w:r>
            <w:r w:rsidR="008F1F91">
              <w:rPr>
                <w:rFonts w:cs="Times New Roman"/>
                <w:i/>
                <w:sz w:val="20"/>
                <w:szCs w:val="24"/>
                <w:lang w:val="en-US"/>
              </w:rPr>
              <w:instrText xml:space="preserve"> STYLEREF 1 \s </w:instrText>
            </w:r>
            <w:r w:rsidR="008F1F91">
              <w:rPr>
                <w:rFonts w:cs="Times New Roman"/>
                <w:i/>
                <w:sz w:val="20"/>
                <w:szCs w:val="24"/>
                <w:lang w:val="en-US"/>
              </w:rPr>
              <w:fldChar w:fldCharType="separate"/>
            </w:r>
            <w:r w:rsidR="008324C6">
              <w:rPr>
                <w:rFonts w:cs="Times New Roman"/>
                <w:i/>
                <w:noProof/>
                <w:sz w:val="20"/>
                <w:szCs w:val="24"/>
                <w:lang w:val="en-US"/>
              </w:rPr>
              <w:t>3</w:t>
            </w:r>
            <w:r w:rsidR="008F1F91">
              <w:rPr>
                <w:rFonts w:cs="Times New Roman"/>
                <w:i/>
                <w:sz w:val="20"/>
                <w:szCs w:val="24"/>
                <w:lang w:val="en-US"/>
              </w:rPr>
              <w:fldChar w:fldCharType="end"/>
            </w:r>
            <w:r w:rsidR="008F1F91">
              <w:rPr>
                <w:rFonts w:cs="Times New Roman"/>
                <w:i/>
                <w:sz w:val="20"/>
                <w:szCs w:val="24"/>
                <w:lang w:val="en-US"/>
              </w:rPr>
              <w:t>.</w:t>
            </w:r>
            <w:r w:rsidR="008F1F91">
              <w:rPr>
                <w:rFonts w:cs="Times New Roman"/>
                <w:i/>
                <w:sz w:val="20"/>
                <w:szCs w:val="24"/>
                <w:lang w:val="en-US"/>
              </w:rPr>
              <w:fldChar w:fldCharType="begin"/>
            </w:r>
            <w:r w:rsidR="008F1F91">
              <w:rPr>
                <w:rFonts w:cs="Times New Roman"/>
                <w:i/>
                <w:sz w:val="20"/>
                <w:szCs w:val="24"/>
                <w:lang w:val="en-US"/>
              </w:rPr>
              <w:instrText xml:space="preserve"> SEQ Formula \* ARABIC \s 1 </w:instrText>
            </w:r>
            <w:r w:rsidR="008F1F91">
              <w:rPr>
                <w:rFonts w:cs="Times New Roman"/>
                <w:i/>
                <w:sz w:val="20"/>
                <w:szCs w:val="24"/>
                <w:lang w:val="en-US"/>
              </w:rPr>
              <w:fldChar w:fldCharType="separate"/>
            </w:r>
            <w:r w:rsidR="008324C6">
              <w:rPr>
                <w:rFonts w:cs="Times New Roman"/>
                <w:i/>
                <w:noProof/>
                <w:sz w:val="20"/>
                <w:szCs w:val="24"/>
                <w:lang w:val="en-US"/>
              </w:rPr>
              <w:t>3</w:t>
            </w:r>
            <w:r w:rsidR="008F1F91">
              <w:rPr>
                <w:rFonts w:cs="Times New Roman"/>
                <w:i/>
                <w:sz w:val="20"/>
                <w:szCs w:val="24"/>
                <w:lang w:val="en-US"/>
              </w:rPr>
              <w:fldChar w:fldCharType="end"/>
            </w:r>
            <w:r w:rsidRPr="0063490B">
              <w:rPr>
                <w:rFonts w:cs="Times New Roman"/>
                <w:i/>
                <w:sz w:val="20"/>
                <w:szCs w:val="24"/>
                <w:lang w:val="en-US"/>
              </w:rPr>
              <w:t>)</w:t>
            </w:r>
            <w:bookmarkEnd w:id="84"/>
          </w:p>
        </w:tc>
      </w:tr>
    </w:tbl>
    <w:p w:rsidR="00B91880" w:rsidRPr="00791A7B" w:rsidRDefault="00791A7B" w:rsidP="0063490B">
      <w:pPr>
        <w:ind w:left="2124"/>
        <w:rPr>
          <w:rFonts w:cs="Times New Roman"/>
          <w:i/>
          <w:szCs w:val="24"/>
          <w:lang w:val="en-US"/>
        </w:rPr>
      </w:pPr>
      <w:r w:rsidRPr="00791A7B">
        <w:rPr>
          <w:rFonts w:cs="Times New Roman"/>
          <w:i/>
          <w:szCs w:val="24"/>
          <w:lang w:val="en-US"/>
        </w:rPr>
        <w:t>w</w:t>
      </w:r>
      <w:r w:rsidR="00B91880" w:rsidRPr="00791A7B">
        <w:rPr>
          <w:rFonts w:cs="Times New Roman"/>
          <w:i/>
          <w:szCs w:val="24"/>
          <w:lang w:val="en-US"/>
        </w:rPr>
        <w:t>here</w:t>
      </w:r>
      <w:r w:rsidRPr="00791A7B">
        <w:rPr>
          <w:rFonts w:cs="Times New Roman"/>
          <w:i/>
          <w:szCs w:val="24"/>
          <w:lang w:val="en-US"/>
        </w:rPr>
        <w:t>:</w:t>
      </w:r>
    </w:p>
    <w:p w:rsidR="00B91880" w:rsidRPr="00791A7B" w:rsidRDefault="00B91880" w:rsidP="0063490B">
      <w:pPr>
        <w:ind w:left="2124"/>
        <w:rPr>
          <w:rFonts w:cs="Times New Roman"/>
          <w:szCs w:val="24"/>
          <w:lang w:val="en-US"/>
        </w:rPr>
      </w:pPr>
      <w:r w:rsidRPr="00791A7B">
        <w:rPr>
          <w:rFonts w:cs="Times New Roman"/>
          <w:i/>
          <w:szCs w:val="24"/>
          <w:lang w:val="en-US"/>
        </w:rPr>
        <w:t>P</w:t>
      </w:r>
      <w:r w:rsidRPr="00791A7B">
        <w:rPr>
          <w:rFonts w:cs="Times New Roman"/>
          <w:szCs w:val="24"/>
          <w:lang w:val="en-US"/>
        </w:rPr>
        <w:t xml:space="preserve"> is the average price of Urals oil for the tax period in US$ per barrel.</w:t>
      </w:r>
    </w:p>
    <w:p w:rsidR="00B91880" w:rsidRPr="00791A7B" w:rsidRDefault="00B91880" w:rsidP="0063490B">
      <w:pPr>
        <w:ind w:left="2124"/>
        <w:rPr>
          <w:rFonts w:cs="Times New Roman"/>
          <w:szCs w:val="24"/>
          <w:lang w:val="en-US"/>
        </w:rPr>
      </w:pPr>
      <w:r w:rsidRPr="00791A7B">
        <w:rPr>
          <w:rFonts w:cs="Times New Roman"/>
          <w:i/>
          <w:szCs w:val="24"/>
          <w:lang w:val="en-US"/>
        </w:rPr>
        <w:t>R</w:t>
      </w:r>
      <w:r w:rsidRPr="00791A7B">
        <w:rPr>
          <w:rFonts w:cs="Times New Roman"/>
          <w:szCs w:val="24"/>
          <w:lang w:val="en-US"/>
        </w:rPr>
        <w:t xml:space="preserve"> is the average exchange rate of the US dollar against the Russian ruble in the tax period, as established by the Central Bank of the Russian Federation.</w:t>
      </w:r>
    </w:p>
    <w:p w:rsidR="00B91880" w:rsidRPr="00791A7B" w:rsidRDefault="00B91880" w:rsidP="0063490B">
      <w:pPr>
        <w:ind w:left="708"/>
        <w:rPr>
          <w:rFonts w:cs="Times New Roman"/>
          <w:szCs w:val="24"/>
          <w:lang w:val="en-US"/>
        </w:rPr>
      </w:pPr>
      <w:r w:rsidRPr="00791A7B">
        <w:rPr>
          <w:rFonts w:cs="Times New Roman"/>
          <w:i/>
          <w:szCs w:val="24"/>
          <w:lang w:val="en-US"/>
        </w:rPr>
        <w:t>E</w:t>
      </w:r>
      <w:r w:rsidRPr="00D66B8A">
        <w:rPr>
          <w:rFonts w:cs="Times New Roman"/>
          <w:bCs/>
          <w:i/>
          <w:szCs w:val="24"/>
          <w:vertAlign w:val="subscript"/>
        </w:rPr>
        <w:t>М</w:t>
      </w:r>
      <w:r w:rsidRPr="00791A7B">
        <w:rPr>
          <w:rFonts w:cs="Times New Roman"/>
          <w:bCs/>
          <w:szCs w:val="24"/>
          <w:lang w:val="en-US"/>
        </w:rPr>
        <w:t xml:space="preserve"> </w:t>
      </w:r>
      <w:r w:rsidRPr="00791A7B">
        <w:rPr>
          <w:rFonts w:cs="Times New Roman"/>
          <w:szCs w:val="24"/>
          <w:lang w:val="en-US"/>
        </w:rPr>
        <w:t>represents oil extraction factors depending on the following coefficients:</w:t>
      </w:r>
    </w:p>
    <w:p w:rsidR="00B91880" w:rsidRPr="00791A7B" w:rsidRDefault="00B91880" w:rsidP="0063490B">
      <w:pPr>
        <w:ind w:left="708"/>
        <w:rPr>
          <w:rFonts w:cs="Times New Roman"/>
          <w:szCs w:val="24"/>
          <w:lang w:val="en-US"/>
        </w:rPr>
      </w:pPr>
      <w:r w:rsidRPr="00791A7B">
        <w:rPr>
          <w:rFonts w:cs="Times New Roman"/>
          <w:i/>
          <w:szCs w:val="24"/>
          <w:lang w:val="en-US"/>
        </w:rPr>
        <w:lastRenderedPageBreak/>
        <w:t>C</w:t>
      </w:r>
      <w:r w:rsidRPr="00D66B8A">
        <w:rPr>
          <w:rFonts w:cs="Times New Roman"/>
          <w:bCs/>
          <w:i/>
          <w:szCs w:val="24"/>
          <w:vertAlign w:val="subscript"/>
          <w:lang w:val="en-US"/>
        </w:rPr>
        <w:t>MET</w:t>
      </w:r>
      <w:r w:rsidRPr="00791A7B">
        <w:rPr>
          <w:rFonts w:cs="Times New Roman"/>
          <w:bCs/>
          <w:szCs w:val="24"/>
          <w:lang w:val="en-US"/>
        </w:rPr>
        <w:t xml:space="preserve"> </w:t>
      </w:r>
      <w:r w:rsidRPr="00791A7B">
        <w:rPr>
          <w:rFonts w:cs="Times New Roman"/>
          <w:szCs w:val="24"/>
          <w:lang w:val="en-US"/>
        </w:rPr>
        <w:t>is equal to 559 from 2016.</w:t>
      </w:r>
    </w:p>
    <w:p w:rsidR="00B91880" w:rsidRPr="00791A7B" w:rsidRDefault="00B91880" w:rsidP="0063490B">
      <w:pPr>
        <w:ind w:left="708"/>
        <w:rPr>
          <w:rFonts w:cs="Times New Roman"/>
          <w:szCs w:val="24"/>
          <w:lang w:val="en-US"/>
        </w:rPr>
      </w:pPr>
      <w:r w:rsidRPr="00791A7B">
        <w:rPr>
          <w:rFonts w:cs="Times New Roman"/>
          <w:szCs w:val="24"/>
          <w:lang w:val="en-US"/>
        </w:rPr>
        <w:t>C</w:t>
      </w:r>
      <w:r w:rsidRPr="00D66B8A">
        <w:rPr>
          <w:rFonts w:cs="Times New Roman"/>
          <w:bCs/>
          <w:szCs w:val="24"/>
          <w:vertAlign w:val="subscript"/>
          <w:lang w:val="en-US"/>
        </w:rPr>
        <w:t>D</w:t>
      </w:r>
      <w:r w:rsidRPr="00791A7B">
        <w:rPr>
          <w:rFonts w:cs="Times New Roman"/>
          <w:bCs/>
          <w:szCs w:val="24"/>
          <w:lang w:val="en-US"/>
        </w:rPr>
        <w:t xml:space="preserve"> </w:t>
      </w:r>
      <w:r w:rsidRPr="00791A7B">
        <w:rPr>
          <w:rFonts w:cs="Times New Roman"/>
          <w:szCs w:val="24"/>
          <w:lang w:val="en-US"/>
        </w:rPr>
        <w:t>represents the level of depletion (L</w:t>
      </w:r>
      <w:r w:rsidRPr="00D66B8A">
        <w:rPr>
          <w:rFonts w:cs="Times New Roman"/>
          <w:szCs w:val="24"/>
          <w:vertAlign w:val="subscript"/>
          <w:lang w:val="en-US"/>
        </w:rPr>
        <w:t>D</w:t>
      </w:r>
      <w:r w:rsidRPr="00791A7B">
        <w:rPr>
          <w:rFonts w:cs="Times New Roman"/>
          <w:szCs w:val="24"/>
          <w:lang w:val="en-US"/>
        </w:rPr>
        <w:t xml:space="preserve">) of a given site’s reserves. If the level of reserve depletion of a specific subsurface site is greater or equal to 0.8 and less or equal to 1, inclusive, </w:t>
      </w:r>
    </w:p>
    <w:p w:rsidR="00D5795B" w:rsidRDefault="00D5795B" w:rsidP="0063490B">
      <w:pPr>
        <w:ind w:left="708"/>
        <w:rPr>
          <w:rFonts w:cs="Times New Roman"/>
          <w:szCs w:val="24"/>
          <w:lang w:val="en-US"/>
        </w:rPr>
      </w:pPr>
    </w:p>
    <w:p w:rsidR="00B91880" w:rsidRDefault="00B91880" w:rsidP="0063490B">
      <w:pPr>
        <w:ind w:left="708"/>
        <w:rPr>
          <w:rFonts w:cs="Times New Roman"/>
          <w:szCs w:val="24"/>
          <w:lang w:val="en-US"/>
        </w:rPr>
      </w:pPr>
      <w:r w:rsidRPr="00791A7B">
        <w:rPr>
          <w:rFonts w:cs="Times New Roman"/>
          <w:szCs w:val="24"/>
          <w:lang w:val="en-US"/>
        </w:rPr>
        <w:t>C</w:t>
      </w:r>
      <w:r w:rsidRPr="00D66B8A">
        <w:rPr>
          <w:rFonts w:cs="Times New Roman"/>
          <w:szCs w:val="24"/>
          <w:vertAlign w:val="subscript"/>
          <w:lang w:val="en-US"/>
        </w:rPr>
        <w:t>D</w:t>
      </w:r>
      <w:r w:rsidRPr="00791A7B">
        <w:rPr>
          <w:rFonts w:cs="Times New Roman"/>
          <w:szCs w:val="24"/>
          <w:lang w:val="en-US"/>
        </w:rPr>
        <w:t xml:space="preserve"> is calculated according to the following formula</w:t>
      </w:r>
      <w:r w:rsidR="007A71A5">
        <w:rPr>
          <w:rFonts w:cs="Times New Roman"/>
          <w:szCs w:val="24"/>
          <w:lang w:val="en-US"/>
        </w:rPr>
        <w:t xml:space="preserve"> (3.4)</w:t>
      </w:r>
      <w:r w:rsidRPr="00791A7B">
        <w:rPr>
          <w:rFonts w:cs="Times New Roman"/>
          <w:szCs w:val="24"/>
          <w:lang w:val="en-US"/>
        </w:rPr>
        <w:t>:</w:t>
      </w:r>
    </w:p>
    <w:tbl>
      <w:tblPr>
        <w:tblStyle w:val="af6"/>
        <w:tblW w:w="0" w:type="auto"/>
        <w:tblLook w:val="04A0" w:firstRow="1" w:lastRow="0" w:firstColumn="1" w:lastColumn="0" w:noHBand="0" w:noVBand="1"/>
      </w:tblPr>
      <w:tblGrid>
        <w:gridCol w:w="8755"/>
        <w:gridCol w:w="600"/>
      </w:tblGrid>
      <w:tr w:rsidR="0063490B" w:rsidTr="0063490B">
        <w:tc>
          <w:tcPr>
            <w:tcW w:w="9072" w:type="dxa"/>
          </w:tcPr>
          <w:p w:rsidR="0063490B" w:rsidRPr="0063490B" w:rsidRDefault="0063490B" w:rsidP="0063490B">
            <w:pPr>
              <w:keepNext/>
            </w:pPr>
            <m:oMathPara>
              <m:oMathParaPr>
                <m:jc m:val="center"/>
              </m:oMathParaPr>
              <m:oMath>
                <m:sSub>
                  <m:sSubPr>
                    <m:ctrlPr>
                      <w:rPr>
                        <w:rFonts w:ascii="Cambria Math" w:hAnsi="Cambria Math" w:cs="Times New Roman"/>
                        <w:bCs/>
                        <w:szCs w:val="24"/>
                        <w:vertAlign w:val="subscript"/>
                        <w:lang w:val="en-US"/>
                      </w:rPr>
                    </m:ctrlPr>
                  </m:sSubPr>
                  <m:e>
                    <m:r>
                      <m:rPr>
                        <m:sty m:val="p"/>
                      </m:rPr>
                      <w:rPr>
                        <w:rFonts w:ascii="Cambria Math" w:hAnsi="Cambria Math" w:cs="Times New Roman"/>
                        <w:szCs w:val="24"/>
                        <w:lang w:val="en-US"/>
                      </w:rPr>
                      <m:t>C</m:t>
                    </m:r>
                    <m:ctrlPr>
                      <w:rPr>
                        <w:rFonts w:ascii="Cambria Math" w:hAnsi="Cambria Math" w:cs="Times New Roman"/>
                        <w:szCs w:val="24"/>
                        <w:lang w:val="en-US"/>
                      </w:rPr>
                    </m:ctrlPr>
                  </m:e>
                  <m:sub>
                    <m:r>
                      <m:rPr>
                        <m:sty m:val="p"/>
                      </m:rPr>
                      <w:rPr>
                        <w:rFonts w:ascii="Cambria Math" w:hAnsi="Cambria Math" w:cs="Times New Roman"/>
                        <w:szCs w:val="24"/>
                        <w:vertAlign w:val="subscript"/>
                        <w:lang w:val="en-US"/>
                      </w:rPr>
                      <m:t>D</m:t>
                    </m:r>
                  </m:sub>
                </m:sSub>
                <m:r>
                  <m:rPr>
                    <m:sty m:val="p"/>
                  </m:rPr>
                  <w:rPr>
                    <w:rFonts w:ascii="Cambria Math" w:hAnsi="Cambria Math" w:cs="Times New Roman"/>
                    <w:szCs w:val="24"/>
                    <w:lang w:val="en-US"/>
                  </w:rPr>
                  <m:t xml:space="preserve"> = 3,8 – 3,5*</m:t>
                </m:r>
                <m:f>
                  <m:fPr>
                    <m:ctrlPr>
                      <w:rPr>
                        <w:rFonts w:ascii="Cambria Math" w:hAnsi="Cambria Math" w:cs="Times New Roman"/>
                        <w:szCs w:val="24"/>
                        <w:lang w:val="en-US"/>
                      </w:rPr>
                    </m:ctrlPr>
                  </m:fPr>
                  <m:num>
                    <m:r>
                      <w:rPr>
                        <w:rFonts w:ascii="Cambria Math" w:hAnsi="Cambria Math" w:cs="Times New Roman"/>
                        <w:szCs w:val="24"/>
                        <w:lang w:val="en-US"/>
                      </w:rPr>
                      <m:t>N</m:t>
                    </m:r>
                  </m:num>
                  <m:den>
                    <m:r>
                      <w:rPr>
                        <w:rFonts w:ascii="Cambria Math" w:hAnsi="Cambria Math" w:cs="Times New Roman"/>
                        <w:szCs w:val="24"/>
                        <w:lang w:val="en-US"/>
                      </w:rPr>
                      <m:t>V</m:t>
                    </m:r>
                  </m:den>
                </m:f>
                <m:r>
                  <w:rPr>
                    <w:rFonts w:ascii="Cambria Math" w:hAnsi="Cambria Math" w:cs="Times New Roman"/>
                    <w:szCs w:val="24"/>
                    <w:lang w:val="en-US"/>
                  </w:rPr>
                  <m:t>,</m:t>
                </m:r>
              </m:oMath>
            </m:oMathPara>
          </w:p>
        </w:tc>
        <w:tc>
          <w:tcPr>
            <w:tcW w:w="273" w:type="dxa"/>
          </w:tcPr>
          <w:p w:rsidR="0063490B" w:rsidRPr="0063490B" w:rsidRDefault="0063490B" w:rsidP="0063490B">
            <w:pPr>
              <w:jc w:val="right"/>
              <w:rPr>
                <w:rFonts w:cs="Times New Roman"/>
                <w:i/>
                <w:szCs w:val="24"/>
                <w:lang w:val="en-US"/>
              </w:rPr>
            </w:pPr>
            <w:r w:rsidRPr="0063490B">
              <w:rPr>
                <w:rFonts w:cs="Times New Roman"/>
                <w:i/>
                <w:sz w:val="20"/>
                <w:szCs w:val="24"/>
                <w:lang w:val="en-US"/>
              </w:rPr>
              <w:t>(</w:t>
            </w:r>
            <w:r w:rsidR="008F1F91">
              <w:rPr>
                <w:rFonts w:cs="Times New Roman"/>
                <w:i/>
                <w:sz w:val="20"/>
                <w:szCs w:val="24"/>
                <w:lang w:val="en-US"/>
              </w:rPr>
              <w:fldChar w:fldCharType="begin"/>
            </w:r>
            <w:r w:rsidR="008F1F91">
              <w:rPr>
                <w:rFonts w:cs="Times New Roman"/>
                <w:i/>
                <w:sz w:val="20"/>
                <w:szCs w:val="24"/>
                <w:lang w:val="en-US"/>
              </w:rPr>
              <w:instrText xml:space="preserve"> STYLEREF 1 \s </w:instrText>
            </w:r>
            <w:r w:rsidR="008F1F91">
              <w:rPr>
                <w:rFonts w:cs="Times New Roman"/>
                <w:i/>
                <w:sz w:val="20"/>
                <w:szCs w:val="24"/>
                <w:lang w:val="en-US"/>
              </w:rPr>
              <w:fldChar w:fldCharType="separate"/>
            </w:r>
            <w:r w:rsidR="008324C6">
              <w:rPr>
                <w:rFonts w:cs="Times New Roman"/>
                <w:i/>
                <w:noProof/>
                <w:sz w:val="20"/>
                <w:szCs w:val="24"/>
                <w:lang w:val="en-US"/>
              </w:rPr>
              <w:t>3</w:t>
            </w:r>
            <w:r w:rsidR="008F1F91">
              <w:rPr>
                <w:rFonts w:cs="Times New Roman"/>
                <w:i/>
                <w:sz w:val="20"/>
                <w:szCs w:val="24"/>
                <w:lang w:val="en-US"/>
              </w:rPr>
              <w:fldChar w:fldCharType="end"/>
            </w:r>
            <w:r w:rsidR="008F1F91">
              <w:rPr>
                <w:rFonts w:cs="Times New Roman"/>
                <w:i/>
                <w:sz w:val="20"/>
                <w:szCs w:val="24"/>
                <w:lang w:val="en-US"/>
              </w:rPr>
              <w:t>.</w:t>
            </w:r>
            <w:r w:rsidR="008F1F91">
              <w:rPr>
                <w:rFonts w:cs="Times New Roman"/>
                <w:i/>
                <w:sz w:val="20"/>
                <w:szCs w:val="24"/>
                <w:lang w:val="en-US"/>
              </w:rPr>
              <w:fldChar w:fldCharType="begin"/>
            </w:r>
            <w:r w:rsidR="008F1F91">
              <w:rPr>
                <w:rFonts w:cs="Times New Roman"/>
                <w:i/>
                <w:sz w:val="20"/>
                <w:szCs w:val="24"/>
                <w:lang w:val="en-US"/>
              </w:rPr>
              <w:instrText xml:space="preserve"> SEQ Formula \* ARABIC \s 1 </w:instrText>
            </w:r>
            <w:r w:rsidR="008F1F91">
              <w:rPr>
                <w:rFonts w:cs="Times New Roman"/>
                <w:i/>
                <w:sz w:val="20"/>
                <w:szCs w:val="24"/>
                <w:lang w:val="en-US"/>
              </w:rPr>
              <w:fldChar w:fldCharType="separate"/>
            </w:r>
            <w:r w:rsidR="008324C6">
              <w:rPr>
                <w:rFonts w:cs="Times New Roman"/>
                <w:i/>
                <w:noProof/>
                <w:sz w:val="20"/>
                <w:szCs w:val="24"/>
                <w:lang w:val="en-US"/>
              </w:rPr>
              <w:t>4</w:t>
            </w:r>
            <w:r w:rsidR="008F1F91">
              <w:rPr>
                <w:rFonts w:cs="Times New Roman"/>
                <w:i/>
                <w:sz w:val="20"/>
                <w:szCs w:val="24"/>
                <w:lang w:val="en-US"/>
              </w:rPr>
              <w:fldChar w:fldCharType="end"/>
            </w:r>
            <w:r w:rsidRPr="0063490B">
              <w:rPr>
                <w:rFonts w:cs="Times New Roman"/>
                <w:i/>
                <w:sz w:val="20"/>
                <w:szCs w:val="24"/>
                <w:lang w:val="en-US"/>
              </w:rPr>
              <w:t>)</w:t>
            </w:r>
          </w:p>
        </w:tc>
      </w:tr>
    </w:tbl>
    <w:p w:rsidR="00B91880" w:rsidRPr="00D66B8A" w:rsidRDefault="00B91880" w:rsidP="0063490B">
      <w:pPr>
        <w:ind w:left="1416" w:firstLine="708"/>
        <w:rPr>
          <w:rFonts w:cs="Times New Roman"/>
          <w:i/>
          <w:szCs w:val="24"/>
          <w:lang w:val="en-US"/>
        </w:rPr>
      </w:pPr>
      <w:r w:rsidRPr="00D66B8A">
        <w:rPr>
          <w:rFonts w:cs="Times New Roman"/>
          <w:i/>
          <w:szCs w:val="24"/>
          <w:lang w:val="en-US"/>
        </w:rPr>
        <w:t>where</w:t>
      </w:r>
      <w:r w:rsidR="00C31CE6">
        <w:rPr>
          <w:rFonts w:cs="Times New Roman"/>
          <w:i/>
          <w:szCs w:val="24"/>
          <w:lang w:val="en-US"/>
        </w:rPr>
        <w:t>:</w:t>
      </w:r>
    </w:p>
    <w:p w:rsidR="00B91880" w:rsidRPr="00791A7B" w:rsidRDefault="00B91880" w:rsidP="0063490B">
      <w:pPr>
        <w:ind w:left="2124"/>
        <w:rPr>
          <w:rFonts w:cs="Times New Roman"/>
          <w:szCs w:val="24"/>
          <w:lang w:val="en-US"/>
        </w:rPr>
      </w:pPr>
      <w:r w:rsidRPr="00D66B8A">
        <w:rPr>
          <w:rFonts w:cs="Times New Roman"/>
          <w:i/>
          <w:szCs w:val="24"/>
          <w:lang w:val="en-US"/>
        </w:rPr>
        <w:t>N</w:t>
      </w:r>
      <w:r w:rsidRPr="00791A7B">
        <w:rPr>
          <w:rFonts w:cs="Times New Roman"/>
          <w:szCs w:val="24"/>
          <w:lang w:val="en-US"/>
        </w:rPr>
        <w:t xml:space="preserve"> is the amount of accumulated oil extraction at a specific subsurface site (including production losses), according to the state’s balance sheet of reserves of commercial minerals approved in the year preceding the year of the tax period in which C</w:t>
      </w:r>
      <w:r w:rsidRPr="00C31CE6">
        <w:rPr>
          <w:rFonts w:cs="Times New Roman"/>
          <w:szCs w:val="24"/>
          <w:vertAlign w:val="subscript"/>
          <w:lang w:val="en-US"/>
        </w:rPr>
        <w:t>D</w:t>
      </w:r>
      <w:r w:rsidRPr="00791A7B">
        <w:rPr>
          <w:rFonts w:cs="Times New Roman"/>
          <w:szCs w:val="24"/>
          <w:lang w:val="en-US"/>
        </w:rPr>
        <w:t xml:space="preserve"> is calculated. </w:t>
      </w:r>
    </w:p>
    <w:p w:rsidR="00B91880" w:rsidRPr="00791A7B" w:rsidRDefault="00B91880" w:rsidP="0063490B">
      <w:pPr>
        <w:ind w:left="2124"/>
        <w:rPr>
          <w:rFonts w:cs="Times New Roman"/>
          <w:szCs w:val="24"/>
          <w:lang w:val="en-US"/>
        </w:rPr>
      </w:pPr>
      <w:r w:rsidRPr="00D66B8A">
        <w:rPr>
          <w:rFonts w:cs="Times New Roman"/>
          <w:i/>
          <w:szCs w:val="24"/>
          <w:lang w:val="en-US"/>
        </w:rPr>
        <w:t>V</w:t>
      </w:r>
      <w:r w:rsidRPr="00791A7B">
        <w:rPr>
          <w:rFonts w:cs="Times New Roman"/>
          <w:szCs w:val="24"/>
          <w:lang w:val="en-US"/>
        </w:rPr>
        <w:t xml:space="preserve"> represents initial recoverable oil reserves.</w:t>
      </w:r>
    </w:p>
    <w:p w:rsidR="00B91880" w:rsidRPr="00791A7B" w:rsidRDefault="00B91880" w:rsidP="0063490B">
      <w:pPr>
        <w:ind w:left="708"/>
        <w:rPr>
          <w:rFonts w:cs="Times New Roman"/>
          <w:szCs w:val="24"/>
          <w:lang w:val="en-US"/>
        </w:rPr>
      </w:pPr>
      <w:r w:rsidRPr="00791A7B">
        <w:rPr>
          <w:rFonts w:cs="Times New Roman"/>
          <w:szCs w:val="24"/>
          <w:lang w:val="en-US"/>
        </w:rPr>
        <w:t>C</w:t>
      </w:r>
      <w:r w:rsidRPr="00C31CE6">
        <w:rPr>
          <w:rFonts w:cs="Times New Roman"/>
          <w:bCs/>
          <w:szCs w:val="24"/>
          <w:vertAlign w:val="subscript"/>
          <w:lang w:val="en-US"/>
        </w:rPr>
        <w:t>D</w:t>
      </w:r>
      <w:r w:rsidRPr="00791A7B">
        <w:rPr>
          <w:rFonts w:cs="Times New Roman"/>
          <w:bCs/>
          <w:szCs w:val="24"/>
          <w:lang w:val="en-US"/>
        </w:rPr>
        <w:t xml:space="preserve"> </w:t>
      </w:r>
      <w:r w:rsidRPr="00791A7B">
        <w:rPr>
          <w:rFonts w:cs="Times New Roman"/>
          <w:szCs w:val="24"/>
          <w:lang w:val="en-US"/>
        </w:rPr>
        <w:t>is 0.3 if the level of reserve depletion (L</w:t>
      </w:r>
      <w:r w:rsidRPr="00C31CE6">
        <w:rPr>
          <w:rFonts w:cs="Times New Roman"/>
          <w:szCs w:val="24"/>
          <w:vertAlign w:val="subscript"/>
          <w:lang w:val="en-US"/>
        </w:rPr>
        <w:t>D</w:t>
      </w:r>
      <w:r w:rsidRPr="00791A7B">
        <w:rPr>
          <w:rFonts w:cs="Times New Roman"/>
          <w:szCs w:val="24"/>
          <w:lang w:val="en-US"/>
        </w:rPr>
        <w:t xml:space="preserve">) of a specific subsurface </w:t>
      </w:r>
      <w:r w:rsidR="00C31CE6">
        <w:rPr>
          <w:rFonts w:cs="Times New Roman"/>
          <w:szCs w:val="24"/>
          <w:lang w:val="en-US"/>
        </w:rPr>
        <w:t xml:space="preserve">site exceeds 1. </w:t>
      </w:r>
      <w:r w:rsidRPr="00791A7B">
        <w:rPr>
          <w:rFonts w:cs="Times New Roman"/>
          <w:szCs w:val="24"/>
          <w:lang w:val="en-US"/>
        </w:rPr>
        <w:t>The coefficient C</w:t>
      </w:r>
      <w:r w:rsidRPr="00C31CE6">
        <w:rPr>
          <w:rFonts w:cs="Times New Roman"/>
          <w:szCs w:val="24"/>
          <w:vertAlign w:val="subscript"/>
          <w:lang w:val="en-US"/>
        </w:rPr>
        <w:t>D</w:t>
      </w:r>
      <w:r w:rsidRPr="00791A7B">
        <w:rPr>
          <w:rFonts w:cs="Times New Roman"/>
          <w:szCs w:val="24"/>
          <w:lang w:val="en-US"/>
        </w:rPr>
        <w:t xml:space="preserve"> is 1 if the level of reserve depletion (L</w:t>
      </w:r>
      <w:r w:rsidRPr="00C31CE6">
        <w:rPr>
          <w:rFonts w:cs="Times New Roman"/>
          <w:szCs w:val="24"/>
          <w:vertAlign w:val="subscript"/>
          <w:lang w:val="en-US"/>
        </w:rPr>
        <w:t>D</w:t>
      </w:r>
      <w:r w:rsidRPr="00791A7B">
        <w:rPr>
          <w:rFonts w:cs="Times New Roman"/>
          <w:szCs w:val="24"/>
          <w:lang w:val="en-US"/>
        </w:rPr>
        <w:t xml:space="preserve">) is less than 0.8. </w:t>
      </w:r>
    </w:p>
    <w:p w:rsidR="00B91880" w:rsidRDefault="00B91880" w:rsidP="0063490B">
      <w:pPr>
        <w:ind w:left="708"/>
        <w:rPr>
          <w:rFonts w:cs="Times New Roman"/>
          <w:szCs w:val="24"/>
          <w:lang w:val="en-US"/>
        </w:rPr>
      </w:pPr>
      <w:r w:rsidRPr="00791A7B">
        <w:rPr>
          <w:rFonts w:cs="Times New Roman"/>
          <w:szCs w:val="24"/>
          <w:lang w:val="en-US"/>
        </w:rPr>
        <w:t>C</w:t>
      </w:r>
      <w:r w:rsidRPr="00C31CE6">
        <w:rPr>
          <w:rFonts w:cs="Times New Roman"/>
          <w:bCs/>
          <w:szCs w:val="24"/>
          <w:vertAlign w:val="subscript"/>
          <w:lang w:val="en-US"/>
        </w:rPr>
        <w:t>R</w:t>
      </w:r>
      <w:r w:rsidRPr="00791A7B">
        <w:rPr>
          <w:rFonts w:cs="Times New Roman"/>
          <w:bCs/>
          <w:szCs w:val="24"/>
          <w:lang w:val="en-US"/>
        </w:rPr>
        <w:t xml:space="preserve"> </w:t>
      </w:r>
      <w:r w:rsidRPr="00791A7B">
        <w:rPr>
          <w:rFonts w:cs="Times New Roman"/>
          <w:szCs w:val="24"/>
          <w:lang w:val="en-US"/>
        </w:rPr>
        <w:t>represents the quantity of a given site’s reserves; it involves a reduction in MET for new minor sites. If a specific subsurface site has initial recoverable oil reserves of less than 5 million tons, and reserve depletion on the site is less than or equal to 0.05, C</w:t>
      </w:r>
      <w:r w:rsidRPr="00C31CE6">
        <w:rPr>
          <w:rFonts w:cs="Times New Roman"/>
          <w:szCs w:val="24"/>
          <w:vertAlign w:val="subscript"/>
          <w:lang w:val="en-US"/>
        </w:rPr>
        <w:t>R</w:t>
      </w:r>
      <w:r w:rsidRPr="00791A7B">
        <w:rPr>
          <w:rFonts w:cs="Times New Roman"/>
          <w:szCs w:val="24"/>
          <w:lang w:val="en-US"/>
        </w:rPr>
        <w:t xml:space="preserve"> is calculated using the following formula</w:t>
      </w:r>
      <w:r w:rsidR="009F64EB">
        <w:rPr>
          <w:rFonts w:cs="Times New Roman"/>
          <w:szCs w:val="24"/>
          <w:lang w:val="en-US"/>
        </w:rPr>
        <w:t xml:space="preserve"> </w:t>
      </w:r>
      <w:r w:rsidR="009F64EB">
        <w:rPr>
          <w:rFonts w:cs="Times New Roman"/>
          <w:szCs w:val="24"/>
          <w:lang w:val="en-US"/>
        </w:rPr>
        <w:fldChar w:fldCharType="begin"/>
      </w:r>
      <w:r w:rsidR="009F64EB">
        <w:rPr>
          <w:rFonts w:cs="Times New Roman"/>
          <w:szCs w:val="24"/>
          <w:lang w:val="en-US"/>
        </w:rPr>
        <w:instrText xml:space="preserve"> REF _Ref484016514 \h </w:instrText>
      </w:r>
      <w:r w:rsidR="009F64EB">
        <w:rPr>
          <w:rFonts w:cs="Times New Roman"/>
          <w:szCs w:val="24"/>
          <w:lang w:val="en-US"/>
        </w:rPr>
      </w:r>
      <w:r w:rsidR="009F64EB">
        <w:rPr>
          <w:rFonts w:cs="Times New Roman"/>
          <w:szCs w:val="24"/>
          <w:lang w:val="en-US"/>
        </w:rPr>
        <w:fldChar w:fldCharType="separate"/>
      </w:r>
      <w:r w:rsidR="008324C6" w:rsidRPr="00B34A8F">
        <w:rPr>
          <w:rFonts w:cs="Times New Roman"/>
          <w:szCs w:val="24"/>
          <w:lang w:val="en-US"/>
        </w:rPr>
        <w:t>(</w:t>
      </w:r>
      <w:r w:rsidR="008324C6" w:rsidRPr="00B34A8F">
        <w:rPr>
          <w:rFonts w:cs="Times New Roman"/>
          <w:noProof/>
          <w:szCs w:val="24"/>
          <w:lang w:val="en-US"/>
        </w:rPr>
        <w:t>3</w:t>
      </w:r>
      <w:r w:rsidR="008324C6" w:rsidRPr="00B34A8F">
        <w:rPr>
          <w:rFonts w:cs="Times New Roman"/>
          <w:szCs w:val="24"/>
          <w:lang w:val="en-US"/>
        </w:rPr>
        <w:t>.</w:t>
      </w:r>
      <w:r w:rsidR="008324C6" w:rsidRPr="00B34A8F">
        <w:rPr>
          <w:rFonts w:cs="Times New Roman"/>
          <w:noProof/>
          <w:szCs w:val="24"/>
          <w:lang w:val="en-US"/>
        </w:rPr>
        <w:t>5</w:t>
      </w:r>
      <w:r w:rsidR="008324C6" w:rsidRPr="00B34A8F">
        <w:rPr>
          <w:rFonts w:cs="Times New Roman"/>
          <w:szCs w:val="24"/>
          <w:lang w:val="en-US"/>
        </w:rPr>
        <w:t>)</w:t>
      </w:r>
      <w:r w:rsidR="009F64EB">
        <w:rPr>
          <w:rFonts w:cs="Times New Roman"/>
          <w:szCs w:val="24"/>
          <w:lang w:val="en-US"/>
        </w:rPr>
        <w:fldChar w:fldCharType="end"/>
      </w:r>
      <w:r w:rsidRPr="00791A7B">
        <w:rPr>
          <w:rFonts w:cs="Times New Roman"/>
          <w:szCs w:val="24"/>
          <w:lang w:val="en-US"/>
        </w:rPr>
        <w:t>:</w:t>
      </w:r>
    </w:p>
    <w:tbl>
      <w:tblPr>
        <w:tblStyle w:val="af6"/>
        <w:tblW w:w="0" w:type="auto"/>
        <w:tblLook w:val="04A0" w:firstRow="1" w:lastRow="0" w:firstColumn="1" w:lastColumn="0" w:noHBand="0" w:noVBand="1"/>
      </w:tblPr>
      <w:tblGrid>
        <w:gridCol w:w="8755"/>
        <w:gridCol w:w="600"/>
      </w:tblGrid>
      <w:tr w:rsidR="009F64EB" w:rsidTr="009F64EB">
        <w:tc>
          <w:tcPr>
            <w:tcW w:w="9072" w:type="dxa"/>
          </w:tcPr>
          <w:p w:rsidR="009F64EB" w:rsidRPr="009F64EB" w:rsidRDefault="009F64EB" w:rsidP="009F64EB">
            <w:pPr>
              <w:rPr>
                <w:rFonts w:cs="Times New Roman"/>
                <w:szCs w:val="24"/>
                <w:lang w:val="en-US"/>
              </w:rPr>
            </w:pPr>
            <m:oMathPara>
              <m:oMathParaPr>
                <m:jc m:val="center"/>
              </m:oMathParaPr>
              <m:oMath>
                <m:sSub>
                  <m:sSubPr>
                    <m:ctrlPr>
                      <w:rPr>
                        <w:rFonts w:ascii="Cambria Math" w:hAnsi="Cambria Math" w:cs="Times New Roman"/>
                        <w:i/>
                        <w:szCs w:val="24"/>
                        <w:lang w:val="en-US"/>
                      </w:rPr>
                    </m:ctrlPr>
                  </m:sSubPr>
                  <m:e>
                    <m:r>
                      <w:rPr>
                        <w:rFonts w:ascii="Cambria Math" w:hAnsi="Cambria Math" w:cs="Times New Roman"/>
                        <w:szCs w:val="24"/>
                        <w:lang w:val="en-US"/>
                      </w:rPr>
                      <m:t>C</m:t>
                    </m:r>
                  </m:e>
                  <m:sub>
                    <m:r>
                      <w:rPr>
                        <w:rFonts w:ascii="Cambria Math" w:hAnsi="Cambria Math" w:cs="Times New Roman"/>
                        <w:szCs w:val="24"/>
                        <w:lang w:val="en-US"/>
                      </w:rPr>
                      <m:t>R</m:t>
                    </m:r>
                  </m:sub>
                </m:sSub>
                <m:r>
                  <w:rPr>
                    <w:rFonts w:ascii="Cambria Math" w:hAnsi="Cambria Math" w:cs="Times New Roman"/>
                    <w:szCs w:val="24"/>
                    <w:lang w:val="en-US"/>
                  </w:rPr>
                  <m:t xml:space="preserve"> = 0,125* </m:t>
                </m:r>
                <m:sSub>
                  <m:sSubPr>
                    <m:ctrlPr>
                      <w:rPr>
                        <w:rFonts w:ascii="Cambria Math" w:hAnsi="Cambria Math" w:cs="Times New Roman"/>
                        <w:i/>
                        <w:szCs w:val="24"/>
                        <w:lang w:val="en-US"/>
                      </w:rPr>
                    </m:ctrlPr>
                  </m:sSubPr>
                  <m:e>
                    <m:r>
                      <w:rPr>
                        <w:rFonts w:ascii="Cambria Math" w:hAnsi="Cambria Math" w:cs="Times New Roman"/>
                        <w:szCs w:val="24"/>
                        <w:lang w:val="en-US"/>
                      </w:rPr>
                      <m:t>V</m:t>
                    </m:r>
                  </m:e>
                  <m:sub>
                    <m:r>
                      <w:rPr>
                        <w:rFonts w:ascii="Cambria Math" w:hAnsi="Cambria Math" w:cs="Times New Roman"/>
                        <w:szCs w:val="24"/>
                        <w:lang w:val="en-US"/>
                      </w:rPr>
                      <m:t>R</m:t>
                    </m:r>
                  </m:sub>
                </m:sSub>
                <m:r>
                  <w:rPr>
                    <w:rFonts w:ascii="Cambria Math" w:hAnsi="Cambria Math" w:cs="Times New Roman"/>
                    <w:szCs w:val="24"/>
                    <w:lang w:val="en-US"/>
                  </w:rPr>
                  <m:t xml:space="preserve"> + 0,375</m:t>
                </m:r>
                <m:r>
                  <w:rPr>
                    <w:rFonts w:ascii="Cambria Math" w:hAnsi="Cambria Math" w:cs="Times New Roman"/>
                    <w:szCs w:val="24"/>
                    <w:lang w:val="en-US"/>
                  </w:rPr>
                  <m:t>,</m:t>
                </m:r>
              </m:oMath>
            </m:oMathPara>
          </w:p>
        </w:tc>
        <w:tc>
          <w:tcPr>
            <w:tcW w:w="273" w:type="dxa"/>
          </w:tcPr>
          <w:p w:rsidR="009F64EB" w:rsidRDefault="009F64EB" w:rsidP="009F64EB">
            <w:pPr>
              <w:pStyle w:val="ac"/>
              <w:jc w:val="right"/>
              <w:rPr>
                <w:rFonts w:cs="Times New Roman"/>
                <w:szCs w:val="24"/>
              </w:rPr>
            </w:pPr>
            <w:bookmarkStart w:id="85" w:name="_Ref484016514"/>
            <w:r>
              <w:rPr>
                <w:rFonts w:cs="Times New Roman"/>
                <w:szCs w:val="24"/>
              </w:rPr>
              <w:t>(</w:t>
            </w:r>
            <w:r w:rsidR="008F1F91">
              <w:rPr>
                <w:rFonts w:cs="Times New Roman"/>
                <w:szCs w:val="24"/>
              </w:rPr>
              <w:fldChar w:fldCharType="begin"/>
            </w:r>
            <w:r w:rsidR="008F1F91">
              <w:rPr>
                <w:rFonts w:cs="Times New Roman"/>
                <w:szCs w:val="24"/>
              </w:rPr>
              <w:instrText xml:space="preserve"> STYLEREF 1 \s </w:instrText>
            </w:r>
            <w:r w:rsidR="008F1F91">
              <w:rPr>
                <w:rFonts w:cs="Times New Roman"/>
                <w:szCs w:val="24"/>
              </w:rPr>
              <w:fldChar w:fldCharType="separate"/>
            </w:r>
            <w:r w:rsidR="008324C6">
              <w:rPr>
                <w:rFonts w:cs="Times New Roman"/>
                <w:noProof/>
                <w:szCs w:val="24"/>
              </w:rPr>
              <w:t>3</w:t>
            </w:r>
            <w:r w:rsidR="008F1F91">
              <w:rPr>
                <w:rFonts w:cs="Times New Roman"/>
                <w:szCs w:val="24"/>
              </w:rPr>
              <w:fldChar w:fldCharType="end"/>
            </w:r>
            <w:r w:rsidR="008F1F91">
              <w:rPr>
                <w:rFonts w:cs="Times New Roman"/>
                <w:szCs w:val="24"/>
              </w:rPr>
              <w:t>.</w:t>
            </w:r>
            <w:r w:rsidR="008F1F91">
              <w:rPr>
                <w:rFonts w:cs="Times New Roman"/>
                <w:szCs w:val="24"/>
              </w:rPr>
              <w:fldChar w:fldCharType="begin"/>
            </w:r>
            <w:r w:rsidR="008F1F91">
              <w:rPr>
                <w:rFonts w:cs="Times New Roman"/>
                <w:szCs w:val="24"/>
              </w:rPr>
              <w:instrText xml:space="preserve"> SEQ Formula \* ARABIC \s 1 </w:instrText>
            </w:r>
            <w:r w:rsidR="008F1F91">
              <w:rPr>
                <w:rFonts w:cs="Times New Roman"/>
                <w:szCs w:val="24"/>
              </w:rPr>
              <w:fldChar w:fldCharType="separate"/>
            </w:r>
            <w:r w:rsidR="008324C6">
              <w:rPr>
                <w:rFonts w:cs="Times New Roman"/>
                <w:noProof/>
                <w:szCs w:val="24"/>
              </w:rPr>
              <w:t>5</w:t>
            </w:r>
            <w:r w:rsidR="008F1F91">
              <w:rPr>
                <w:rFonts w:cs="Times New Roman"/>
                <w:szCs w:val="24"/>
              </w:rPr>
              <w:fldChar w:fldCharType="end"/>
            </w:r>
            <w:r>
              <w:rPr>
                <w:rFonts w:cs="Times New Roman"/>
                <w:szCs w:val="24"/>
              </w:rPr>
              <w:t>)</w:t>
            </w:r>
            <w:bookmarkEnd w:id="85"/>
          </w:p>
        </w:tc>
      </w:tr>
    </w:tbl>
    <w:p w:rsidR="00B91880" w:rsidRPr="00C31CE6" w:rsidRDefault="00B91880" w:rsidP="0063490B">
      <w:pPr>
        <w:ind w:left="2124"/>
        <w:rPr>
          <w:rFonts w:cs="Times New Roman"/>
          <w:i/>
          <w:szCs w:val="24"/>
          <w:lang w:val="en-US"/>
        </w:rPr>
      </w:pPr>
      <w:r w:rsidRPr="00C31CE6">
        <w:rPr>
          <w:rFonts w:cs="Times New Roman"/>
          <w:i/>
          <w:szCs w:val="24"/>
          <w:lang w:val="en-US"/>
        </w:rPr>
        <w:t>where</w:t>
      </w:r>
      <w:r w:rsidR="00C31CE6">
        <w:rPr>
          <w:rFonts w:cs="Times New Roman"/>
          <w:i/>
          <w:szCs w:val="24"/>
          <w:lang w:val="en-US"/>
        </w:rPr>
        <w:t>:</w:t>
      </w:r>
    </w:p>
    <w:p w:rsidR="00B91880" w:rsidRPr="00791A7B" w:rsidRDefault="00B91880" w:rsidP="0063490B">
      <w:pPr>
        <w:ind w:left="2124"/>
        <w:rPr>
          <w:rFonts w:cs="Times New Roman"/>
          <w:szCs w:val="24"/>
          <w:lang w:val="en-US"/>
        </w:rPr>
      </w:pPr>
      <w:r w:rsidRPr="00C31CE6">
        <w:rPr>
          <w:rFonts w:cs="Times New Roman"/>
          <w:i/>
          <w:szCs w:val="24"/>
          <w:lang w:val="en-US"/>
        </w:rPr>
        <w:t>V</w:t>
      </w:r>
      <w:r w:rsidRPr="00C31CE6">
        <w:rPr>
          <w:rFonts w:cs="Times New Roman"/>
          <w:bCs/>
          <w:i/>
          <w:szCs w:val="24"/>
          <w:vertAlign w:val="subscript"/>
          <w:lang w:val="en-US"/>
        </w:rPr>
        <w:t>R</w:t>
      </w:r>
      <w:r w:rsidRPr="00791A7B">
        <w:rPr>
          <w:rFonts w:cs="Times New Roman"/>
          <w:bCs/>
          <w:szCs w:val="24"/>
          <w:lang w:val="en-US"/>
        </w:rPr>
        <w:t xml:space="preserve"> </w:t>
      </w:r>
      <w:r w:rsidRPr="00791A7B">
        <w:rPr>
          <w:rFonts w:cs="Times New Roman"/>
          <w:szCs w:val="24"/>
          <w:lang w:val="en-US"/>
        </w:rPr>
        <w:t>represents initial recoverable oil reserves.</w:t>
      </w:r>
    </w:p>
    <w:p w:rsidR="00B91880" w:rsidRPr="00791A7B" w:rsidRDefault="00B91880" w:rsidP="0063490B">
      <w:pPr>
        <w:ind w:left="708"/>
        <w:rPr>
          <w:rFonts w:cs="Times New Roman"/>
          <w:szCs w:val="24"/>
          <w:lang w:val="en-US"/>
        </w:rPr>
      </w:pPr>
      <w:r w:rsidRPr="00791A7B">
        <w:rPr>
          <w:rFonts w:cs="Times New Roman"/>
          <w:szCs w:val="24"/>
          <w:lang w:val="en-US"/>
        </w:rPr>
        <w:t>Otherwise, C</w:t>
      </w:r>
      <w:r w:rsidRPr="00C31CE6">
        <w:rPr>
          <w:rFonts w:cs="Times New Roman"/>
          <w:szCs w:val="24"/>
          <w:vertAlign w:val="subscript"/>
          <w:lang w:val="en-US"/>
        </w:rPr>
        <w:t>R</w:t>
      </w:r>
      <w:r w:rsidRPr="00791A7B">
        <w:rPr>
          <w:rFonts w:cs="Times New Roman"/>
          <w:szCs w:val="24"/>
          <w:lang w:val="en-US"/>
        </w:rPr>
        <w:t xml:space="preserve"> is equal to 1.</w:t>
      </w:r>
    </w:p>
    <w:p w:rsidR="00B91880" w:rsidRPr="00791A7B" w:rsidRDefault="00B91880" w:rsidP="0063490B">
      <w:pPr>
        <w:ind w:left="708"/>
        <w:rPr>
          <w:rFonts w:cs="Times New Roman"/>
          <w:szCs w:val="24"/>
          <w:lang w:val="en-US"/>
        </w:rPr>
      </w:pPr>
      <w:r w:rsidRPr="00791A7B">
        <w:rPr>
          <w:rFonts w:cs="Times New Roman"/>
          <w:szCs w:val="24"/>
          <w:lang w:val="en-US"/>
        </w:rPr>
        <w:t>C</w:t>
      </w:r>
      <w:r w:rsidRPr="00C31CE6">
        <w:rPr>
          <w:rFonts w:cs="Times New Roman"/>
          <w:bCs/>
          <w:szCs w:val="24"/>
          <w:vertAlign w:val="subscript"/>
          <w:lang w:val="en-US"/>
        </w:rPr>
        <w:t>DE</w:t>
      </w:r>
      <w:r w:rsidRPr="00791A7B">
        <w:rPr>
          <w:rFonts w:cs="Times New Roman"/>
          <w:bCs/>
          <w:szCs w:val="24"/>
          <w:lang w:val="en-US"/>
        </w:rPr>
        <w:t xml:space="preserve"> </w:t>
      </w:r>
      <w:r w:rsidRPr="00791A7B">
        <w:rPr>
          <w:rFonts w:cs="Times New Roman"/>
          <w:szCs w:val="24"/>
          <w:lang w:val="en-US"/>
        </w:rPr>
        <w:t>represents the difficulty involved in extracting oil (type of pay zone, permeability, maximum net oil pay). C</w:t>
      </w:r>
      <w:r w:rsidR="00C31CE6" w:rsidRPr="00C31CE6">
        <w:rPr>
          <w:rFonts w:cs="Times New Roman"/>
          <w:szCs w:val="24"/>
          <w:vertAlign w:val="subscript"/>
          <w:lang w:val="en-US"/>
        </w:rPr>
        <w:t>DE</w:t>
      </w:r>
      <w:r w:rsidRPr="00791A7B">
        <w:rPr>
          <w:rFonts w:cs="Times New Roman"/>
          <w:szCs w:val="24"/>
          <w:lang w:val="en-US"/>
        </w:rPr>
        <w:t xml:space="preserve"> may be 0.2, 0.4, 0.8 or 1, depending on a combination of factors. C</w:t>
      </w:r>
      <w:r w:rsidR="00C31CE6" w:rsidRPr="00C31CE6">
        <w:rPr>
          <w:rFonts w:cs="Times New Roman"/>
          <w:szCs w:val="24"/>
          <w:vertAlign w:val="subscript"/>
          <w:lang w:val="en-US"/>
        </w:rPr>
        <w:t>DE</w:t>
      </w:r>
      <w:r w:rsidRPr="00791A7B">
        <w:rPr>
          <w:rFonts w:cs="Times New Roman"/>
          <w:szCs w:val="24"/>
          <w:lang w:val="en-US"/>
        </w:rPr>
        <w:t xml:space="preserve"> is applicable only if the following conditions are met concurrently:</w:t>
      </w:r>
    </w:p>
    <w:p w:rsidR="00B91880" w:rsidRPr="005A11E3" w:rsidRDefault="00B91880" w:rsidP="00B7274B">
      <w:pPr>
        <w:pStyle w:val="a3"/>
        <w:numPr>
          <w:ilvl w:val="0"/>
          <w:numId w:val="16"/>
        </w:numPr>
        <w:rPr>
          <w:rFonts w:cs="Times New Roman"/>
          <w:szCs w:val="24"/>
          <w:lang w:val="en-US"/>
        </w:rPr>
      </w:pPr>
      <w:r w:rsidRPr="005A11E3">
        <w:rPr>
          <w:rFonts w:cs="Times New Roman"/>
          <w:szCs w:val="24"/>
          <w:lang w:val="en-US"/>
        </w:rPr>
        <w:t>The quantity of oil produced is recorded for each well operating on a hydrocarbon deposit.</w:t>
      </w:r>
    </w:p>
    <w:p w:rsidR="00C31CE6" w:rsidRPr="005A11E3" w:rsidRDefault="00B91880" w:rsidP="00B7274B">
      <w:pPr>
        <w:pStyle w:val="a3"/>
        <w:numPr>
          <w:ilvl w:val="0"/>
          <w:numId w:val="16"/>
        </w:numPr>
        <w:rPr>
          <w:rFonts w:cs="Times New Roman"/>
          <w:szCs w:val="24"/>
          <w:lang w:val="en-US"/>
        </w:rPr>
      </w:pPr>
      <w:r w:rsidRPr="005A11E3">
        <w:rPr>
          <w:rFonts w:cs="Times New Roman"/>
          <w:szCs w:val="24"/>
          <w:lang w:val="en-US"/>
        </w:rPr>
        <w:lastRenderedPageBreak/>
        <w:t xml:space="preserve">The quantity of well fluid extracted is measured, and its physical and chemical attributes are determined for each operating well on a hydrocarbon deposit at least four times a month. </w:t>
      </w:r>
    </w:p>
    <w:p w:rsidR="00B91880" w:rsidRPr="00791A7B" w:rsidRDefault="00B91880" w:rsidP="0063490B">
      <w:pPr>
        <w:ind w:left="708"/>
        <w:rPr>
          <w:rFonts w:cs="Times New Roman"/>
          <w:szCs w:val="24"/>
          <w:lang w:val="en-US"/>
        </w:rPr>
      </w:pPr>
      <w:r w:rsidRPr="00791A7B">
        <w:rPr>
          <w:rFonts w:cs="Times New Roman"/>
          <w:szCs w:val="24"/>
          <w:lang w:val="en-US"/>
        </w:rPr>
        <w:t>If these criteria are met, a reduced coefficient (less than 1) may be applied for within 15 years, beginning on 1</w:t>
      </w:r>
      <w:r w:rsidR="00C31CE6" w:rsidRPr="00C31CE6">
        <w:rPr>
          <w:rFonts w:cs="Times New Roman"/>
          <w:szCs w:val="24"/>
          <w:vertAlign w:val="superscript"/>
          <w:lang w:val="en-US"/>
        </w:rPr>
        <w:t>st</w:t>
      </w:r>
      <w:r w:rsidR="00C31CE6">
        <w:rPr>
          <w:rFonts w:cs="Times New Roman"/>
          <w:szCs w:val="24"/>
          <w:lang w:val="en-US"/>
        </w:rPr>
        <w:t xml:space="preserve"> </w:t>
      </w:r>
      <w:r w:rsidRPr="00791A7B">
        <w:rPr>
          <w:rFonts w:cs="Times New Roman"/>
          <w:szCs w:val="24"/>
          <w:lang w:val="en-US"/>
        </w:rPr>
        <w:t xml:space="preserve">January of the year in which the depletion of a hydrocarbon deposit’s reserves first exceeded 1%. In this case, the level of reserve depletion is determined not for a site, but for a hydrocarbon deposit. A hydrocarbon deposit is recognized as an item of accounting in the </w:t>
      </w:r>
      <w:r w:rsidR="00C31CE6" w:rsidRPr="00791A7B">
        <w:rPr>
          <w:rFonts w:cs="Times New Roman"/>
          <w:szCs w:val="24"/>
          <w:lang w:val="en-US"/>
        </w:rPr>
        <w:t>state’s balance</w:t>
      </w:r>
      <w:r w:rsidRPr="00791A7B">
        <w:rPr>
          <w:rFonts w:cs="Times New Roman"/>
          <w:szCs w:val="24"/>
          <w:lang w:val="en-US"/>
        </w:rPr>
        <w:t xml:space="preserve"> sheet of mineral reserves on a particular site, which was not found to comprise any other items of accounting for reserves. The level of depletion of a particular hydrocarbon deposit’s reserves is calculated by the taxpayer based on the cumulative amount of oil produced on a particular hydrocarbon deposit (including production losses) and initial recoverable oil reserves according to the approved state balance sheet of mineral reserves. </w:t>
      </w:r>
    </w:p>
    <w:p w:rsidR="00B91880" w:rsidRPr="00791A7B" w:rsidRDefault="00B91880" w:rsidP="0063490B">
      <w:pPr>
        <w:ind w:left="708"/>
        <w:rPr>
          <w:rFonts w:cs="Times New Roman"/>
          <w:szCs w:val="24"/>
          <w:lang w:val="en-US"/>
        </w:rPr>
      </w:pPr>
      <w:r w:rsidRPr="00791A7B">
        <w:rPr>
          <w:rFonts w:cs="Times New Roman"/>
          <w:szCs w:val="24"/>
          <w:lang w:val="en-US"/>
        </w:rPr>
        <w:t>C</w:t>
      </w:r>
      <w:r w:rsidRPr="00C31CE6">
        <w:rPr>
          <w:rFonts w:cs="Times New Roman"/>
          <w:bCs/>
          <w:szCs w:val="24"/>
          <w:vertAlign w:val="subscript"/>
          <w:lang w:val="en-US"/>
        </w:rPr>
        <w:t>RD</w:t>
      </w:r>
      <w:r w:rsidRPr="00791A7B">
        <w:rPr>
          <w:rFonts w:cs="Times New Roman"/>
          <w:bCs/>
          <w:szCs w:val="24"/>
          <w:lang w:val="en-US"/>
        </w:rPr>
        <w:t xml:space="preserve"> </w:t>
      </w:r>
      <w:r w:rsidRPr="00791A7B">
        <w:rPr>
          <w:rFonts w:cs="Times New Roman"/>
          <w:szCs w:val="24"/>
          <w:lang w:val="en-US"/>
        </w:rPr>
        <w:t>applies to hard-to-recover oil and is calculated for a deposit, depending on the level of its depletion. C</w:t>
      </w:r>
      <w:r w:rsidRPr="00C31CE6">
        <w:rPr>
          <w:rFonts w:cs="Times New Roman"/>
          <w:szCs w:val="24"/>
          <w:vertAlign w:val="subscript"/>
          <w:lang w:val="en-US"/>
        </w:rPr>
        <w:t>RD</w:t>
      </w:r>
      <w:r w:rsidRPr="00791A7B">
        <w:rPr>
          <w:rFonts w:cs="Times New Roman"/>
          <w:szCs w:val="24"/>
          <w:lang w:val="en-US"/>
        </w:rPr>
        <w:t xml:space="preserve"> may be in a range from 0.3 to 1.0. </w:t>
      </w:r>
    </w:p>
    <w:p w:rsidR="00B91880" w:rsidRPr="00791A7B" w:rsidRDefault="00B91880" w:rsidP="0063490B">
      <w:pPr>
        <w:ind w:left="708"/>
        <w:rPr>
          <w:rFonts w:cs="Times New Roman"/>
          <w:szCs w:val="24"/>
          <w:lang w:val="en-US"/>
        </w:rPr>
      </w:pPr>
      <w:r w:rsidRPr="00791A7B">
        <w:rPr>
          <w:rFonts w:cs="Times New Roman"/>
          <w:szCs w:val="24"/>
          <w:lang w:val="en-US"/>
        </w:rPr>
        <w:t>C</w:t>
      </w:r>
      <w:r w:rsidRPr="00C31CE6">
        <w:rPr>
          <w:rFonts w:cs="Times New Roman"/>
          <w:bCs/>
          <w:szCs w:val="24"/>
          <w:vertAlign w:val="subscript"/>
          <w:lang w:val="en-US"/>
        </w:rPr>
        <w:t>CAN</w:t>
      </w:r>
      <w:r w:rsidRPr="00791A7B">
        <w:rPr>
          <w:rFonts w:cs="Times New Roman"/>
          <w:bCs/>
          <w:szCs w:val="24"/>
          <w:lang w:val="en-US"/>
        </w:rPr>
        <w:t xml:space="preserve"> </w:t>
      </w:r>
      <w:r w:rsidRPr="00791A7B">
        <w:rPr>
          <w:rFonts w:cs="Times New Roman"/>
          <w:szCs w:val="24"/>
          <w:lang w:val="en-US"/>
        </w:rPr>
        <w:t>represents oil extraction region and properties. It will equal zero for oil produced on sites that are located wholly or partially within the borders of the Republic of Sakha (Yakutia), the Irkutsk Region, the Krasnoyarsk Territory, the north of the Arctic Circle, in the Sea of Azov, the Sea of Okhotsk, the Black Sea or the Caspian Sea, in the Nenets Autonomous District or on the Yamal Peninsula in the Yamalo-Nenets Autonomous District.</w:t>
      </w:r>
    </w:p>
    <w:p w:rsidR="00B91880" w:rsidRPr="00791A7B" w:rsidRDefault="00B91880" w:rsidP="0063490B">
      <w:pPr>
        <w:ind w:left="708"/>
        <w:rPr>
          <w:rFonts w:cs="Times New Roman"/>
          <w:szCs w:val="24"/>
          <w:lang w:val="en-US"/>
        </w:rPr>
      </w:pPr>
      <w:r w:rsidRPr="00791A7B">
        <w:rPr>
          <w:rFonts w:cs="Times New Roman"/>
          <w:szCs w:val="24"/>
          <w:lang w:val="en-US"/>
        </w:rPr>
        <w:t>C</w:t>
      </w:r>
      <w:r w:rsidRPr="00C31CE6">
        <w:rPr>
          <w:rFonts w:cs="Times New Roman"/>
          <w:szCs w:val="24"/>
          <w:vertAlign w:val="subscript"/>
          <w:lang w:val="en-US"/>
        </w:rPr>
        <w:t>CAN</w:t>
      </w:r>
      <w:r w:rsidRPr="00791A7B">
        <w:rPr>
          <w:rFonts w:cs="Times New Roman"/>
          <w:szCs w:val="24"/>
          <w:lang w:val="en-US"/>
        </w:rPr>
        <w:t xml:space="preserve"> is applicable if at least one of the following conditions is met: </w:t>
      </w:r>
    </w:p>
    <w:p w:rsidR="00B91880" w:rsidRPr="005A11E3" w:rsidRDefault="00B91880" w:rsidP="00B7274B">
      <w:pPr>
        <w:pStyle w:val="a3"/>
        <w:numPr>
          <w:ilvl w:val="0"/>
          <w:numId w:val="14"/>
        </w:numPr>
        <w:rPr>
          <w:rFonts w:cs="Times New Roman"/>
          <w:szCs w:val="24"/>
          <w:lang w:val="en-US"/>
        </w:rPr>
      </w:pPr>
      <w:r w:rsidRPr="005A11E3">
        <w:rPr>
          <w:rFonts w:cs="Times New Roman"/>
          <w:szCs w:val="24"/>
          <w:lang w:val="en-US"/>
        </w:rPr>
        <w:t xml:space="preserve">If the established cumulative level of oil production is not exceeded </w:t>
      </w:r>
    </w:p>
    <w:p w:rsidR="00B91880" w:rsidRPr="005A11E3" w:rsidRDefault="00B91880" w:rsidP="00B7274B">
      <w:pPr>
        <w:pStyle w:val="a3"/>
        <w:numPr>
          <w:ilvl w:val="0"/>
          <w:numId w:val="14"/>
        </w:numPr>
        <w:rPr>
          <w:rFonts w:cs="Times New Roman"/>
          <w:szCs w:val="24"/>
          <w:lang w:val="en-US"/>
        </w:rPr>
      </w:pPr>
      <w:r w:rsidRPr="005A11E3">
        <w:rPr>
          <w:rFonts w:cs="Times New Roman"/>
          <w:szCs w:val="24"/>
          <w:lang w:val="en-US"/>
        </w:rPr>
        <w:t>If the date of issue of the license, the level of reserve depletion and the development term are within certain limits</w:t>
      </w:r>
    </w:p>
    <w:p w:rsidR="00B91880" w:rsidRPr="005A11E3" w:rsidRDefault="00B91880" w:rsidP="00B7274B">
      <w:pPr>
        <w:pStyle w:val="a3"/>
        <w:numPr>
          <w:ilvl w:val="0"/>
          <w:numId w:val="14"/>
        </w:numPr>
        <w:rPr>
          <w:rFonts w:cs="Times New Roman"/>
          <w:szCs w:val="24"/>
          <w:lang w:val="en-US"/>
        </w:rPr>
      </w:pPr>
      <w:r w:rsidRPr="005A11E3">
        <w:rPr>
          <w:rFonts w:cs="Times New Roman"/>
          <w:szCs w:val="24"/>
          <w:lang w:val="en-US"/>
        </w:rPr>
        <w:t xml:space="preserve">If the site’s reserves are developed within the established period </w:t>
      </w:r>
    </w:p>
    <w:p w:rsidR="00C31CE6" w:rsidRDefault="00B91880" w:rsidP="0063490B">
      <w:pPr>
        <w:ind w:left="708"/>
        <w:rPr>
          <w:rFonts w:cs="Times New Roman"/>
          <w:szCs w:val="24"/>
          <w:lang w:val="en-US"/>
        </w:rPr>
      </w:pPr>
      <w:r w:rsidRPr="00791A7B">
        <w:rPr>
          <w:rFonts w:cs="Times New Roman"/>
          <w:szCs w:val="24"/>
          <w:lang w:val="en-US"/>
        </w:rPr>
        <w:t>C</w:t>
      </w:r>
      <w:r w:rsidRPr="00C31CE6">
        <w:rPr>
          <w:rFonts w:cs="Times New Roman"/>
          <w:szCs w:val="24"/>
          <w:vertAlign w:val="subscript"/>
          <w:lang w:val="en-US"/>
        </w:rPr>
        <w:t>CAN</w:t>
      </w:r>
      <w:r w:rsidRPr="00791A7B">
        <w:rPr>
          <w:rFonts w:cs="Times New Roman"/>
          <w:szCs w:val="24"/>
          <w:lang w:val="en-US"/>
        </w:rPr>
        <w:t xml:space="preserve"> will also equal zero for superviscous oil that is extracted from sites containing oil of a viscosity exceeding 200 mPa</w:t>
      </w:r>
      <w:r w:rsidR="00C31CE6">
        <w:rPr>
          <w:rFonts w:cs="Times New Roman"/>
          <w:szCs w:val="24"/>
          <w:lang w:val="en-US"/>
        </w:rPr>
        <w:t>*</w:t>
      </w:r>
      <w:r w:rsidRPr="00791A7B">
        <w:rPr>
          <w:rFonts w:cs="Times New Roman"/>
          <w:szCs w:val="24"/>
          <w:lang w:val="en-US"/>
        </w:rPr>
        <w:t xml:space="preserve"> s and less than 10,000 mPa</w:t>
      </w:r>
      <w:r w:rsidR="00C31CE6">
        <w:rPr>
          <w:rFonts w:cs="Times New Roman"/>
          <w:szCs w:val="24"/>
          <w:lang w:val="en-US"/>
        </w:rPr>
        <w:t>*</w:t>
      </w:r>
      <w:r w:rsidRPr="00791A7B">
        <w:rPr>
          <w:rFonts w:cs="Times New Roman"/>
          <w:szCs w:val="24"/>
          <w:lang w:val="en-US"/>
        </w:rPr>
        <w:t xml:space="preserve"> s. Otherwise, C</w:t>
      </w:r>
      <w:r w:rsidRPr="00C31CE6">
        <w:rPr>
          <w:rFonts w:cs="Times New Roman"/>
          <w:szCs w:val="24"/>
          <w:vertAlign w:val="subscript"/>
          <w:lang w:val="en-US"/>
        </w:rPr>
        <w:t>CAN</w:t>
      </w:r>
      <w:r w:rsidRPr="00791A7B">
        <w:rPr>
          <w:rFonts w:cs="Times New Roman"/>
          <w:szCs w:val="24"/>
          <w:lang w:val="en-US"/>
        </w:rPr>
        <w:t xml:space="preserve"> is equal to 1.</w:t>
      </w:r>
      <w:r w:rsidR="00C31CE6">
        <w:rPr>
          <w:rFonts w:cs="Times New Roman"/>
          <w:szCs w:val="24"/>
          <w:lang w:val="en-US"/>
        </w:rPr>
        <w:t xml:space="preserve"> </w:t>
      </w:r>
    </w:p>
    <w:p w:rsidR="00B91880" w:rsidRPr="00791A7B" w:rsidRDefault="00B91880" w:rsidP="00D66B8A">
      <w:pPr>
        <w:rPr>
          <w:rFonts w:cs="Times New Roman"/>
          <w:szCs w:val="24"/>
          <w:lang w:val="en-US"/>
        </w:rPr>
      </w:pPr>
      <w:r w:rsidRPr="00791A7B">
        <w:rPr>
          <w:rFonts w:cs="Times New Roman"/>
          <w:szCs w:val="24"/>
          <w:lang w:val="en-US"/>
        </w:rPr>
        <w:t>A</w:t>
      </w:r>
      <w:r w:rsidR="00C31CE6">
        <w:rPr>
          <w:rFonts w:cs="Times New Roman"/>
          <w:szCs w:val="24"/>
          <w:lang w:val="en-US"/>
        </w:rPr>
        <w:t> </w:t>
      </w:r>
      <w:r w:rsidRPr="00791A7B">
        <w:rPr>
          <w:rFonts w:cs="Times New Roman"/>
          <w:szCs w:val="24"/>
          <w:lang w:val="en-US"/>
        </w:rPr>
        <w:t>zero tax rate applies to the actual amount of hydrocarbons extracted, which include:</w:t>
      </w:r>
    </w:p>
    <w:p w:rsidR="00B91880" w:rsidRPr="005A11E3" w:rsidRDefault="00B91880" w:rsidP="00B7274B">
      <w:pPr>
        <w:pStyle w:val="a3"/>
        <w:numPr>
          <w:ilvl w:val="0"/>
          <w:numId w:val="15"/>
        </w:numPr>
        <w:rPr>
          <w:rFonts w:cs="Times New Roman"/>
          <w:szCs w:val="24"/>
          <w:lang w:val="en-US"/>
        </w:rPr>
      </w:pPr>
      <w:r w:rsidRPr="005A11E3">
        <w:rPr>
          <w:rFonts w:cs="Times New Roman"/>
          <w:szCs w:val="24"/>
          <w:lang w:val="en-US"/>
        </w:rPr>
        <w:t>Superviscous oil extracted from sites containing oil</w:t>
      </w:r>
      <w:r w:rsidR="005A11E3" w:rsidRPr="005A11E3">
        <w:rPr>
          <w:rFonts w:cs="Times New Roman"/>
          <w:szCs w:val="24"/>
          <w:lang w:val="en-US"/>
        </w:rPr>
        <w:t xml:space="preserve"> of a viscosity of 10,000 mPa·</w:t>
      </w:r>
      <w:r w:rsidRPr="005A11E3">
        <w:rPr>
          <w:rFonts w:cs="Times New Roman"/>
          <w:szCs w:val="24"/>
          <w:lang w:val="en-US"/>
        </w:rPr>
        <w:t xml:space="preserve">s or more </w:t>
      </w:r>
    </w:p>
    <w:p w:rsidR="00B91880" w:rsidRPr="005A11E3" w:rsidRDefault="00B91880" w:rsidP="00B7274B">
      <w:pPr>
        <w:pStyle w:val="a3"/>
        <w:numPr>
          <w:ilvl w:val="0"/>
          <w:numId w:val="15"/>
        </w:numPr>
        <w:rPr>
          <w:rFonts w:cs="Times New Roman"/>
          <w:szCs w:val="24"/>
          <w:lang w:val="en-US"/>
        </w:rPr>
      </w:pPr>
      <w:r w:rsidRPr="005A11E3">
        <w:rPr>
          <w:rFonts w:cs="Times New Roman"/>
          <w:szCs w:val="24"/>
          <w:lang w:val="en-US"/>
        </w:rPr>
        <w:lastRenderedPageBreak/>
        <w:t xml:space="preserve">Oil extracted from a specific hydrocarbon deposit that is part of the Bazhenov, Abalak, Khadum or </w:t>
      </w:r>
      <w:r w:rsidR="00E915C2" w:rsidRPr="005A11E3">
        <w:rPr>
          <w:rFonts w:cs="Times New Roman"/>
          <w:szCs w:val="24"/>
          <w:lang w:val="en-US"/>
        </w:rPr>
        <w:t>Domanik formations</w:t>
      </w:r>
      <w:r w:rsidRPr="005A11E3">
        <w:rPr>
          <w:rFonts w:cs="Times New Roman"/>
          <w:szCs w:val="24"/>
          <w:lang w:val="en-US"/>
        </w:rPr>
        <w:t xml:space="preserve">, subject to compliance with legislative requirements. </w:t>
      </w:r>
    </w:p>
    <w:p w:rsidR="00D13583" w:rsidRDefault="00D13583" w:rsidP="00D13583">
      <w:pPr>
        <w:rPr>
          <w:lang w:val="en-US"/>
        </w:rPr>
      </w:pPr>
      <w:r>
        <w:rPr>
          <w:lang w:val="en-US"/>
        </w:rPr>
        <w:t>Appendix 4 provide information on calculation of the export duties and mineral extraction tax of the project in accordance with the rules stated above.</w:t>
      </w:r>
    </w:p>
    <w:p w:rsidR="00A14CDD" w:rsidRDefault="00A14CDD" w:rsidP="00A14CDD">
      <w:pPr>
        <w:pStyle w:val="3"/>
      </w:pPr>
      <w:r>
        <w:t>Free cash flows</w:t>
      </w:r>
      <w:r w:rsidR="00917369">
        <w:t xml:space="preserve"> and NPV</w:t>
      </w:r>
    </w:p>
    <w:p w:rsidR="008F073B" w:rsidRPr="00FF0C30" w:rsidRDefault="008F073B" w:rsidP="008F073B">
      <w:pPr>
        <w:rPr>
          <w:rFonts w:cs="Times New Roman"/>
          <w:szCs w:val="24"/>
          <w:lang w:val="en-US"/>
        </w:rPr>
      </w:pPr>
      <w:r w:rsidRPr="00FF0C30">
        <w:rPr>
          <w:rFonts w:cs="Times New Roman"/>
          <w:szCs w:val="24"/>
          <w:lang w:val="en-US"/>
        </w:rPr>
        <w:t xml:space="preserve">Free cash flows </w:t>
      </w:r>
      <w:r w:rsidR="007B10C8">
        <w:rPr>
          <w:rFonts w:cs="Times New Roman"/>
          <w:szCs w:val="24"/>
          <w:lang w:val="en-US"/>
        </w:rPr>
        <w:t xml:space="preserve">and discounted free cash flows </w:t>
      </w:r>
      <w:r w:rsidRPr="00FF0C30">
        <w:rPr>
          <w:rFonts w:cs="Times New Roman"/>
          <w:szCs w:val="24"/>
          <w:lang w:val="en-US"/>
        </w:rPr>
        <w:t>of the project are distributed in the following manner:</w:t>
      </w:r>
    </w:p>
    <w:p w:rsidR="007B10C8" w:rsidRDefault="00BD299A" w:rsidP="007B10C8">
      <w:pPr>
        <w:pStyle w:val="OfficialNormal"/>
        <w:keepNext/>
      </w:pPr>
      <w:r>
        <w:rPr>
          <w:noProof/>
          <w:lang w:eastAsia="ru-RU"/>
        </w:rPr>
        <w:drawing>
          <wp:inline distT="0" distB="0" distL="0" distR="0" wp14:anchorId="52E9B613" wp14:editId="6AFAD562">
            <wp:extent cx="5951855" cy="3286125"/>
            <wp:effectExtent l="0" t="0" r="1079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073B" w:rsidRPr="00FF0C30" w:rsidRDefault="007B10C8" w:rsidP="00C12A08">
      <w:pPr>
        <w:pStyle w:val="ac"/>
        <w:rPr>
          <w:lang w:eastAsia="ru-RU"/>
        </w:rPr>
      </w:pPr>
      <w:bookmarkStart w:id="86" w:name="_Toc484036525"/>
      <w:r>
        <w:t xml:space="preserve">Figure </w:t>
      </w:r>
      <w:r w:rsidR="00A1168F">
        <w:fldChar w:fldCharType="begin"/>
      </w:r>
      <w:r w:rsidR="00A1168F">
        <w:instrText xml:space="preserve"> SEQ Figure \* ARABIC </w:instrText>
      </w:r>
      <w:r w:rsidR="00A1168F">
        <w:fldChar w:fldCharType="separate"/>
      </w:r>
      <w:r w:rsidR="008324C6">
        <w:rPr>
          <w:noProof/>
        </w:rPr>
        <w:t>11</w:t>
      </w:r>
      <w:r w:rsidR="00A1168F">
        <w:fldChar w:fldCharType="end"/>
      </w:r>
      <w:r>
        <w:t xml:space="preserve">. Distribution of free cash flows and discounted free cash flows, million </w:t>
      </w:r>
      <w:r w:rsidR="0063490B">
        <w:t xml:space="preserve">Russian rubles. </w:t>
      </w:r>
      <w:r w:rsidR="0063490B" w:rsidRPr="00481A23">
        <w:t>Source: Author´s figure</w:t>
      </w:r>
      <w:r w:rsidR="0063490B">
        <w:t>.</w:t>
      </w:r>
      <w:bookmarkEnd w:id="86"/>
    </w:p>
    <w:p w:rsidR="00BD299A" w:rsidRDefault="007B10C8" w:rsidP="00FF0C30">
      <w:pPr>
        <w:pStyle w:val="OfficialNormal"/>
        <w:rPr>
          <w:lang w:val="en-US" w:eastAsia="ru-RU"/>
        </w:rPr>
      </w:pPr>
      <w:r>
        <w:rPr>
          <w:lang w:val="en-US" w:eastAsia="ru-RU"/>
        </w:rPr>
        <w:t>It can be noted that the distribution of the cash flows throughout projects lifespan is connected mainly with the production level. It easily explained with the underlying assumptions of NPV modeling: passive management and predetermined state of external environment, specifically oil price.</w:t>
      </w:r>
      <w:r w:rsidR="00BD299A">
        <w:rPr>
          <w:lang w:val="en-US" w:eastAsia="ru-RU"/>
        </w:rPr>
        <w:t xml:space="preserve"> Outlier cash flow of the last year include abandonment costs and is therefore negative.</w:t>
      </w:r>
    </w:p>
    <w:p w:rsidR="008F073B" w:rsidRPr="00FF0C30" w:rsidRDefault="008F073B" w:rsidP="00FF0C30">
      <w:pPr>
        <w:pStyle w:val="OfficialNormal"/>
        <w:rPr>
          <w:lang w:val="en-US" w:eastAsia="ru-RU"/>
        </w:rPr>
      </w:pPr>
      <w:r w:rsidRPr="00FF0C30">
        <w:rPr>
          <w:lang w:val="en-US" w:eastAsia="ru-RU"/>
        </w:rPr>
        <w:t>NPV of the project without value of built in flexibility is 2 018 million rubles. However, it can be significantly improved that shall be demonstrated below.</w:t>
      </w:r>
    </w:p>
    <w:p w:rsidR="008F073B" w:rsidRPr="00FF0C30" w:rsidRDefault="008F073B" w:rsidP="0024006E">
      <w:pPr>
        <w:pStyle w:val="2"/>
        <w:rPr>
          <w:lang w:eastAsia="ru-RU"/>
        </w:rPr>
      </w:pPr>
      <w:bookmarkStart w:id="87" w:name="_Toc484036310"/>
      <w:r w:rsidRPr="00FF0C30">
        <w:rPr>
          <w:lang w:eastAsia="ru-RU"/>
        </w:rPr>
        <w:t>Monte Carlo simulation</w:t>
      </w:r>
      <w:bookmarkEnd w:id="87"/>
    </w:p>
    <w:p w:rsidR="008F073B" w:rsidRDefault="008F073B" w:rsidP="00FF0C30">
      <w:pPr>
        <w:pStyle w:val="OfficialNormal"/>
        <w:rPr>
          <w:lang w:val="en-US" w:eastAsia="ru-RU"/>
        </w:rPr>
      </w:pPr>
      <w:r w:rsidRPr="00FF0C30">
        <w:rPr>
          <w:lang w:val="en-US" w:eastAsia="ru-RU"/>
        </w:rPr>
        <w:t xml:space="preserve">In order to estimate the real options built into the project the Monte Carlo simulation was applied. It allows to use actual volatility of the cash flows, which include all the uncertainties stated, in order to estimate value of the option. </w:t>
      </w:r>
    </w:p>
    <w:p w:rsidR="00917369" w:rsidRPr="00FF0C30" w:rsidRDefault="00917369" w:rsidP="00917369">
      <w:pPr>
        <w:pStyle w:val="3"/>
        <w:rPr>
          <w:lang w:eastAsia="ru-RU"/>
        </w:rPr>
      </w:pPr>
      <w:r>
        <w:rPr>
          <w:lang w:eastAsia="ru-RU"/>
        </w:rPr>
        <w:lastRenderedPageBreak/>
        <w:t>Model</w:t>
      </w:r>
      <w:r w:rsidR="00562299">
        <w:rPr>
          <w:lang w:eastAsia="ru-RU"/>
        </w:rPr>
        <w:t>ing</w:t>
      </w:r>
      <w:r>
        <w:rPr>
          <w:lang w:eastAsia="ru-RU"/>
        </w:rPr>
        <w:t xml:space="preserve"> uncertainties</w:t>
      </w:r>
    </w:p>
    <w:p w:rsidR="008F073B" w:rsidRPr="00FF0C30" w:rsidRDefault="008F073B" w:rsidP="00917369">
      <w:pPr>
        <w:pStyle w:val="4"/>
        <w:rPr>
          <w:lang w:eastAsia="ru-RU"/>
        </w:rPr>
      </w:pPr>
      <w:r w:rsidRPr="00FF0C30">
        <w:rPr>
          <w:lang w:eastAsia="ru-RU"/>
        </w:rPr>
        <w:t>URALS oil price and Russian ruble exchange rate.</w:t>
      </w:r>
    </w:p>
    <w:p w:rsidR="008F073B" w:rsidRPr="00107D45" w:rsidRDefault="008F073B" w:rsidP="00FF0C30">
      <w:pPr>
        <w:pStyle w:val="OfficialNormal"/>
        <w:rPr>
          <w:lang w:val="en-US" w:eastAsia="ru-RU"/>
        </w:rPr>
      </w:pPr>
      <w:r w:rsidRPr="00FF0C30">
        <w:rPr>
          <w:lang w:val="en-US" w:eastAsia="ru-RU"/>
        </w:rPr>
        <w:t>In order to simulate the uncertainty in oil prices ARIMA (0,1,1) model on logarithms of the time series was used. We assume a strong correlation between Russian ruble exchange rate and URALS oil prices, which is used in a simulation model</w:t>
      </w:r>
      <w:r w:rsidR="003D47F1" w:rsidRPr="003D47F1">
        <w:rPr>
          <w:lang w:val="en-US" w:eastAsia="ru-RU"/>
        </w:rPr>
        <w:t>.</w:t>
      </w:r>
    </w:p>
    <w:p w:rsidR="008F073B" w:rsidRPr="00662E04" w:rsidRDefault="008F073B" w:rsidP="00917369">
      <w:pPr>
        <w:pStyle w:val="4"/>
        <w:rPr>
          <w:lang w:eastAsia="ru-RU"/>
        </w:rPr>
      </w:pPr>
      <w:r w:rsidRPr="00FF0C30">
        <w:rPr>
          <w:lang w:eastAsia="ru-RU"/>
        </w:rPr>
        <w:t>Extractable reserves</w:t>
      </w:r>
    </w:p>
    <w:p w:rsidR="008F073B" w:rsidRDefault="008F073B" w:rsidP="00562299">
      <w:pPr>
        <w:pStyle w:val="OfficialNormal"/>
        <w:rPr>
          <w:lang w:val="en-US" w:eastAsia="ru-RU"/>
        </w:rPr>
      </w:pPr>
      <w:r w:rsidRPr="00FF0C30">
        <w:rPr>
          <w:lang w:val="en-US" w:eastAsia="ru-RU"/>
        </w:rPr>
        <w:t>Level of real extractable reserves contribute a lot to the volatility of the project cash flows. Triangular distribution based on expert estimations is used in order to model the volatility.</w:t>
      </w:r>
      <w:r w:rsidR="00562299">
        <w:rPr>
          <w:lang w:val="en-US" w:eastAsia="ru-RU"/>
        </w:rPr>
        <w:t xml:space="preserve"> With 540 million barrels most likely f</w:t>
      </w:r>
      <w:r w:rsidR="00562299" w:rsidRPr="00562299">
        <w:rPr>
          <w:lang w:val="en-US" w:eastAsia="ru-RU"/>
        </w:rPr>
        <w:t xml:space="preserve">ield </w:t>
      </w:r>
      <w:r w:rsidR="00562299">
        <w:rPr>
          <w:lang w:val="en-US" w:eastAsia="ru-RU"/>
        </w:rPr>
        <w:t>r</w:t>
      </w:r>
      <w:r w:rsidR="00562299" w:rsidRPr="00562299">
        <w:rPr>
          <w:lang w:val="en-US" w:eastAsia="ru-RU"/>
        </w:rPr>
        <w:t>eserves</w:t>
      </w:r>
      <w:r w:rsidR="00562299">
        <w:rPr>
          <w:lang w:val="en-US" w:eastAsia="ru-RU"/>
        </w:rPr>
        <w:t xml:space="preserve">, </w:t>
      </w:r>
      <w:r w:rsidR="006E210E">
        <w:rPr>
          <w:lang w:val="en-US" w:eastAsia="ru-RU"/>
        </w:rPr>
        <w:t>432</w:t>
      </w:r>
      <w:r w:rsidR="00562299">
        <w:rPr>
          <w:lang w:val="en-US" w:eastAsia="ru-RU"/>
        </w:rPr>
        <w:t xml:space="preserve"> minimum field reserves and 648 maximum field reserves levels.</w:t>
      </w:r>
      <w:r w:rsidR="00562299" w:rsidRPr="00562299">
        <w:rPr>
          <w:lang w:val="en-US" w:eastAsia="ru-RU"/>
        </w:rPr>
        <w:t xml:space="preserve">   </w:t>
      </w:r>
    </w:p>
    <w:p w:rsidR="00917369" w:rsidRDefault="00917369" w:rsidP="00917369">
      <w:pPr>
        <w:pStyle w:val="3"/>
        <w:rPr>
          <w:lang w:eastAsia="ru-RU"/>
        </w:rPr>
      </w:pPr>
      <w:r>
        <w:rPr>
          <w:lang w:eastAsia="ru-RU"/>
        </w:rPr>
        <w:t>Volatility estimation</w:t>
      </w:r>
    </w:p>
    <w:p w:rsidR="00917369" w:rsidRDefault="008E0EEA" w:rsidP="00917369">
      <w:pPr>
        <w:pStyle w:val="OfficialNormal"/>
        <w:rPr>
          <w:lang w:val="en-US"/>
        </w:rPr>
      </w:pPr>
      <w:r w:rsidRPr="00917369">
        <w:rPr>
          <w:lang w:val="en-US"/>
        </w:rPr>
        <w:t xml:space="preserve">The logarithmic present value approach </w:t>
      </w:r>
      <w:r>
        <w:rPr>
          <w:lang w:val="en-US"/>
        </w:rPr>
        <w:t xml:space="preserve">was chosen to determine volatility. </w:t>
      </w:r>
      <w:r w:rsidR="00917369" w:rsidRPr="00917369">
        <w:rPr>
          <w:lang w:val="en-US"/>
        </w:rPr>
        <w:t>The logarithmic present value approach collapses all future cash flow estimates</w:t>
      </w:r>
      <w:r w:rsidR="00917369">
        <w:rPr>
          <w:lang w:val="en-US"/>
        </w:rPr>
        <w:t xml:space="preserve"> </w:t>
      </w:r>
      <w:r w:rsidR="00917369" w:rsidRPr="00917369">
        <w:rPr>
          <w:lang w:val="en-US"/>
        </w:rPr>
        <w:t>into two sets of present values, one for the first time period and</w:t>
      </w:r>
      <w:r w:rsidR="00917369">
        <w:rPr>
          <w:lang w:val="en-US"/>
        </w:rPr>
        <w:t xml:space="preserve"> </w:t>
      </w:r>
      <w:r w:rsidR="00917369" w:rsidRPr="00917369">
        <w:rPr>
          <w:lang w:val="en-US"/>
        </w:rPr>
        <w:t>another for the present time. This approach was first introduced by Tom</w:t>
      </w:r>
      <w:r w:rsidR="00917369">
        <w:rPr>
          <w:lang w:val="en-US"/>
        </w:rPr>
        <w:t xml:space="preserve"> </w:t>
      </w:r>
      <w:r w:rsidR="00917369" w:rsidRPr="00917369">
        <w:rPr>
          <w:lang w:val="en-US"/>
        </w:rPr>
        <w:t>Copeland</w:t>
      </w:r>
      <w:r w:rsidR="007A71A5">
        <w:rPr>
          <w:lang w:val="en-US"/>
        </w:rPr>
        <w:t xml:space="preserve"> </w:t>
      </w:r>
      <w:r w:rsidR="007A71A5">
        <w:rPr>
          <w:lang w:val="en-US"/>
        </w:rPr>
        <w:fldChar w:fldCharType="begin" w:fldLock="1"/>
      </w:r>
      <w:r w:rsidR="00587F48">
        <w:rPr>
          <w:lang w:val="en-US"/>
        </w:rPr>
        <w:instrText>ADDIN CSL_CITATION { "citationItems" : [ { "id" : "ITEM-1", "itemData" : { "abstract" : "The approaches that we have described in the last three chapters for assessing the effects of risk, for the most part, are focused on the negative effects of risk. Put another way, they are all focused on the downside of risk and they miss the opportunity component that provides the upside. The real options approach is the only one that gives prominence to the upside potential for risk, based on the argument that uncertainty can sometimes be a source of additional value, especially to those who are poised to take advantage of it. We begin this chapter by describing in very general terms the argument behind the real options approach, noting its foundations in two elements \u2013 the capacity of individuals or entities to learn from what is happening around them and their willingness and the ability to modify behavior based upon that learning. We then describe the various forms that real options can take in practice and how they can affect the way we assess the value of investments and our behavior. In the last section, we consider some of the potential pitfalls in using the real options argument and how it can be best incorporated into a portfolio of risk assessment tools. The Essence of Real Options To understand the basis of the real options argument and the reasons for its allure, it is easiest to go back to risk assessment tool that we unveiled in chapter 6 \u2013 decision trees. Consider a very simple example of a decision tree in figure 8. Given the equal probabilities of up and down movements, and the larger potential loss, the expected value for this investment is negative.", "author" : [ { "dropping-particle" : "", "family" : "Copeland", "given" : "T. E.", "non-dropping-particle" : "", "parse-names" : false, "suffix" : "" }, { "dropping-particle" : "", "family" : "Antikarov", "given" : "V.", "non-dropping-particle" : "", "parse-names" : false, "suffix" : "" } ], "container-title" : "Real Options: A Practitioner\u2019s Guide", "id" : "ITEM-1", "issued" : { "date-parts" : [ [ "2003" ] ] }, "page" : "1-50", "title" : "Real Options: A Practitioner\u2019s Guide", "type" : "article-journal" }, "uris" : [ "http://www.mendeley.com/documents/?uuid=1ece3264-9bf2-4823-bb68-845d675bf8a5" ] } ], "mendeley" : { "formattedCitation" : "(Copeland and Antikarov 2003)", "plainTextFormattedCitation" : "(Copeland and Antikarov 2003)", "previouslyFormattedCitation" : "(Copeland and Antikarov 2003)" }, "properties" : { "noteIndex" : 0 }, "schema" : "https://github.com/citation-style-language/schema/raw/master/csl-citation.json" }</w:instrText>
      </w:r>
      <w:r w:rsidR="007A71A5">
        <w:rPr>
          <w:lang w:val="en-US"/>
        </w:rPr>
        <w:fldChar w:fldCharType="separate"/>
      </w:r>
      <w:r w:rsidR="00587F48" w:rsidRPr="00587F48">
        <w:rPr>
          <w:noProof/>
          <w:lang w:val="en-US"/>
        </w:rPr>
        <w:t>(Copeland and Antikarov 2003)</w:t>
      </w:r>
      <w:r w:rsidR="007A71A5">
        <w:rPr>
          <w:lang w:val="en-US"/>
        </w:rPr>
        <w:fldChar w:fldCharType="end"/>
      </w:r>
      <w:r w:rsidR="00917369" w:rsidRPr="00917369">
        <w:rPr>
          <w:lang w:val="en-US"/>
        </w:rPr>
        <w:t>.</w:t>
      </w:r>
      <w:r>
        <w:rPr>
          <w:lang w:val="en-US"/>
        </w:rPr>
        <w:t xml:space="preserve"> </w:t>
      </w:r>
      <w:r w:rsidR="00917369" w:rsidRPr="00917369">
        <w:rPr>
          <w:lang w:val="en-US"/>
        </w:rPr>
        <w:t xml:space="preserve">The steps are seen below. </w:t>
      </w:r>
      <w:r w:rsidR="007A71A5">
        <w:rPr>
          <w:lang w:val="en-US"/>
        </w:rPr>
        <w:t xml:space="preserve">The </w:t>
      </w:r>
      <w:r w:rsidR="00917369" w:rsidRPr="00917369">
        <w:rPr>
          <w:lang w:val="en-US"/>
        </w:rPr>
        <w:t>cash flows are discounted all the way to time</w:t>
      </w:r>
      <w:r w:rsidR="00917369">
        <w:rPr>
          <w:lang w:val="en-US"/>
        </w:rPr>
        <w:t xml:space="preserve"> </w:t>
      </w:r>
      <w:r w:rsidR="00917369" w:rsidRPr="00917369">
        <w:rPr>
          <w:lang w:val="en-US"/>
        </w:rPr>
        <w:t xml:space="preserve">0 and again to time 1. </w:t>
      </w:r>
      <w:r w:rsidR="00917369" w:rsidRPr="008E0EEA">
        <w:rPr>
          <w:lang w:val="en-US"/>
        </w:rPr>
        <w:t>Then the values are summed, and the following logarithmic</w:t>
      </w:r>
      <w:r>
        <w:rPr>
          <w:lang w:val="en-US"/>
        </w:rPr>
        <w:t xml:space="preserve"> ratio is calculated</w:t>
      </w:r>
      <w:r w:rsidR="007A71A5">
        <w:rPr>
          <w:lang w:val="en-US"/>
        </w:rPr>
        <w:t xml:space="preserve"> using </w:t>
      </w:r>
      <w:r w:rsidR="009F64EB" w:rsidRPr="009F64EB">
        <w:fldChar w:fldCharType="begin"/>
      </w:r>
      <w:r w:rsidR="009F64EB" w:rsidRPr="009F64EB">
        <w:rPr>
          <w:lang w:val="en-US"/>
        </w:rPr>
        <w:instrText xml:space="preserve"> REF _Ref484016635 \h </w:instrText>
      </w:r>
      <w:r w:rsidR="009F64EB" w:rsidRPr="009F64EB">
        <w:rPr>
          <w:lang w:val="en-US"/>
        </w:rPr>
        <w:instrText xml:space="preserve"> \* MERGEFORMAT </w:instrText>
      </w:r>
      <w:r w:rsidR="009F64EB" w:rsidRPr="009F64EB">
        <w:fldChar w:fldCharType="separate"/>
      </w:r>
      <w:r w:rsidR="008324C6" w:rsidRPr="008324C6">
        <w:rPr>
          <w:lang w:val="en-US"/>
        </w:rPr>
        <w:t>(3.6)</w:t>
      </w:r>
      <w:r w:rsidR="009F64EB" w:rsidRPr="009F64EB">
        <w:fldChar w:fldCharType="end"/>
      </w:r>
      <w:r w:rsidR="009F64EB" w:rsidRPr="009F64EB">
        <w:rPr>
          <w:lang w:val="en-US"/>
        </w:rPr>
        <w:t>:</w:t>
      </w:r>
    </w:p>
    <w:tbl>
      <w:tblPr>
        <w:tblStyle w:val="af6"/>
        <w:tblW w:w="0" w:type="auto"/>
        <w:tblLook w:val="04A0" w:firstRow="1" w:lastRow="0" w:firstColumn="1" w:lastColumn="0" w:noHBand="0" w:noVBand="1"/>
      </w:tblPr>
      <w:tblGrid>
        <w:gridCol w:w="8755"/>
        <w:gridCol w:w="600"/>
      </w:tblGrid>
      <w:tr w:rsidR="009F64EB" w:rsidTr="009F64EB">
        <w:tc>
          <w:tcPr>
            <w:tcW w:w="9067" w:type="dxa"/>
          </w:tcPr>
          <w:p w:rsidR="009F64EB" w:rsidRPr="009F64EB" w:rsidRDefault="009F64EB" w:rsidP="009F64EB">
            <w:pPr>
              <w:pStyle w:val="OfficialNormal"/>
              <w:keepNext/>
            </w:pPr>
            <m:oMathPara>
              <m:oMath>
                <m:r>
                  <w:rPr>
                    <w:rFonts w:ascii="Cambria Math" w:hAnsi="Cambria Math"/>
                    <w:lang w:val="en-US"/>
                  </w:rPr>
                  <m:t>X=</m:t>
                </m:r>
                <m:func>
                  <m:funcPr>
                    <m:ctrlPr>
                      <w:rPr>
                        <w:rFonts w:ascii="Cambria Math" w:hAnsi="Cambria Math"/>
                        <w:lang w:val="en-US"/>
                      </w:rPr>
                    </m:ctrlPr>
                  </m:funcPr>
                  <m:fName>
                    <m:r>
                      <m:rPr>
                        <m:sty m:val="p"/>
                      </m:rPr>
                      <w:rPr>
                        <w:rFonts w:ascii="Cambria Math" w:hAnsi="Cambria Math"/>
                        <w:lang w:val="en-US"/>
                      </w:rPr>
                      <m:t>ln</m:t>
                    </m:r>
                  </m:fName>
                  <m:e>
                    <m:d>
                      <m:dPr>
                        <m:ctrlPr>
                          <w:rPr>
                            <w:rFonts w:ascii="Cambria Math" w:hAnsi="Cambria Math"/>
                            <w:i/>
                            <w:lang w:val="en-US"/>
                          </w:rPr>
                        </m:ctrlPr>
                      </m:dPr>
                      <m:e>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r>
                                      <w:rPr>
                                        <w:rFonts w:ascii="Cambria Math" w:hAnsi="Cambria Math"/>
                                        <w:lang w:val="en-US"/>
                                      </w:rPr>
                                      <m:t>FC</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1+r</m:t>
                                            </m:r>
                                          </m:e>
                                        </m:d>
                                      </m:e>
                                      <m:sup>
                                        <m:r>
                                          <w:rPr>
                                            <w:rFonts w:ascii="Cambria Math" w:hAnsi="Cambria Math"/>
                                            <w:lang w:val="en-US"/>
                                          </w:rPr>
                                          <m:t>i</m:t>
                                        </m:r>
                                      </m:sup>
                                    </m:sSup>
                                  </m:den>
                                </m:f>
                              </m:e>
                            </m:nary>
                            <m:r>
                              <w:rPr>
                                <w:rFonts w:ascii="Cambria Math" w:hAnsi="Cambria Math"/>
                                <w:lang w:val="en-US"/>
                              </w:rPr>
                              <m:t xml:space="preserve"> </m:t>
                            </m:r>
                          </m:num>
                          <m:den>
                            <m:nary>
                              <m:naryPr>
                                <m:chr m:val="∑"/>
                                <m:limLoc m:val="undOvr"/>
                                <m:ctrlPr>
                                  <w:rPr>
                                    <w:rFonts w:ascii="Cambria Math" w:hAnsi="Cambria Math"/>
                                    <w:i/>
                                    <w:lang w:val="en-US"/>
                                  </w:rPr>
                                </m:ctrlPr>
                              </m:naryPr>
                              <m:sub>
                                <m:r>
                                  <w:rPr>
                                    <w:rFonts w:ascii="Cambria Math" w:hAnsi="Cambria Math"/>
                                    <w:lang w:val="en-US"/>
                                  </w:rPr>
                                  <m:t>i=0</m:t>
                                </m:r>
                              </m:sub>
                              <m:sup>
                                <m:r>
                                  <w:rPr>
                                    <w:rFonts w:ascii="Cambria Math" w:hAnsi="Cambria Math"/>
                                    <w:lang w:val="en-US"/>
                                  </w:rPr>
                                  <m:t>n</m:t>
                                </m:r>
                              </m:sup>
                              <m:e>
                                <m:f>
                                  <m:fPr>
                                    <m:ctrlPr>
                                      <w:rPr>
                                        <w:rFonts w:ascii="Cambria Math" w:hAnsi="Cambria Math"/>
                                        <w:i/>
                                        <w:lang w:val="en-US"/>
                                      </w:rPr>
                                    </m:ctrlPr>
                                  </m:fPr>
                                  <m:num>
                                    <m:r>
                                      <w:rPr>
                                        <w:rFonts w:ascii="Cambria Math" w:hAnsi="Cambria Math"/>
                                        <w:lang w:val="en-US"/>
                                      </w:rPr>
                                      <m:t>FC</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1+r</m:t>
                                            </m:r>
                                          </m:e>
                                        </m:d>
                                      </m:e>
                                      <m:sup>
                                        <m:r>
                                          <w:rPr>
                                            <w:rFonts w:ascii="Cambria Math" w:hAnsi="Cambria Math"/>
                                            <w:lang w:val="en-US"/>
                                          </w:rPr>
                                          <m:t>i</m:t>
                                        </m:r>
                                      </m:sup>
                                    </m:sSup>
                                  </m:den>
                                </m:f>
                              </m:e>
                            </m:nary>
                          </m:den>
                        </m:f>
                      </m:e>
                    </m:d>
                  </m:e>
                </m:func>
                <m:r>
                  <w:rPr>
                    <w:rFonts w:ascii="Cambria Math" w:hAnsi="Cambria Math"/>
                    <w:lang w:val="en-US"/>
                  </w:rPr>
                  <m:t xml:space="preserve">, </m:t>
                </m:r>
              </m:oMath>
            </m:oMathPara>
          </w:p>
        </w:tc>
        <w:tc>
          <w:tcPr>
            <w:tcW w:w="278" w:type="dxa"/>
          </w:tcPr>
          <w:p w:rsidR="009F64EB" w:rsidRPr="009F64EB" w:rsidRDefault="009F64EB" w:rsidP="009F64EB">
            <w:pPr>
              <w:pStyle w:val="OfficialNormal"/>
              <w:jc w:val="right"/>
              <w:rPr>
                <w:i/>
                <w:lang w:val="en-US"/>
              </w:rPr>
            </w:pPr>
            <w:bookmarkStart w:id="88" w:name="_Ref484016635"/>
            <w:r>
              <w:rPr>
                <w:i/>
                <w:sz w:val="20"/>
                <w:lang w:val="en-US"/>
              </w:rPr>
              <w:t>(</w:t>
            </w:r>
            <w:r w:rsidR="008F1F91">
              <w:rPr>
                <w:i/>
                <w:sz w:val="20"/>
                <w:lang w:val="en-US"/>
              </w:rPr>
              <w:fldChar w:fldCharType="begin"/>
            </w:r>
            <w:r w:rsidR="008F1F91">
              <w:rPr>
                <w:i/>
                <w:sz w:val="20"/>
                <w:lang w:val="en-US"/>
              </w:rPr>
              <w:instrText xml:space="preserve"> STYLEREF 1 \s </w:instrText>
            </w:r>
            <w:r w:rsidR="008F1F91">
              <w:rPr>
                <w:i/>
                <w:sz w:val="20"/>
                <w:lang w:val="en-US"/>
              </w:rPr>
              <w:fldChar w:fldCharType="separate"/>
            </w:r>
            <w:r w:rsidR="008324C6">
              <w:rPr>
                <w:i/>
                <w:noProof/>
                <w:sz w:val="20"/>
                <w:lang w:val="en-US"/>
              </w:rPr>
              <w:t>3</w:t>
            </w:r>
            <w:r w:rsidR="008F1F91">
              <w:rPr>
                <w:i/>
                <w:sz w:val="20"/>
                <w:lang w:val="en-US"/>
              </w:rPr>
              <w:fldChar w:fldCharType="end"/>
            </w:r>
            <w:r w:rsidR="008F1F91">
              <w:rPr>
                <w:i/>
                <w:sz w:val="20"/>
                <w:lang w:val="en-US"/>
              </w:rPr>
              <w:t>.</w:t>
            </w:r>
            <w:r w:rsidR="008F1F91">
              <w:rPr>
                <w:i/>
                <w:sz w:val="20"/>
                <w:lang w:val="en-US"/>
              </w:rPr>
              <w:fldChar w:fldCharType="begin"/>
            </w:r>
            <w:r w:rsidR="008F1F91">
              <w:rPr>
                <w:i/>
                <w:sz w:val="20"/>
                <w:lang w:val="en-US"/>
              </w:rPr>
              <w:instrText xml:space="preserve"> SEQ Formula \* ARABIC \s 1 </w:instrText>
            </w:r>
            <w:r w:rsidR="008F1F91">
              <w:rPr>
                <w:i/>
                <w:sz w:val="20"/>
                <w:lang w:val="en-US"/>
              </w:rPr>
              <w:fldChar w:fldCharType="separate"/>
            </w:r>
            <w:r w:rsidR="008324C6">
              <w:rPr>
                <w:i/>
                <w:noProof/>
                <w:sz w:val="20"/>
                <w:lang w:val="en-US"/>
              </w:rPr>
              <w:t>6</w:t>
            </w:r>
            <w:r w:rsidR="008F1F91">
              <w:rPr>
                <w:i/>
                <w:sz w:val="20"/>
                <w:lang w:val="en-US"/>
              </w:rPr>
              <w:fldChar w:fldCharType="end"/>
            </w:r>
            <w:r>
              <w:rPr>
                <w:i/>
                <w:sz w:val="20"/>
                <w:lang w:val="en-US"/>
              </w:rPr>
              <w:t>)</w:t>
            </w:r>
            <w:bookmarkEnd w:id="88"/>
          </w:p>
        </w:tc>
      </w:tr>
    </w:tbl>
    <w:p w:rsidR="008E0EEA" w:rsidRDefault="008E0EEA" w:rsidP="008E0EEA">
      <w:pPr>
        <w:pStyle w:val="OfficialNormal"/>
        <w:rPr>
          <w:lang w:val="en-US"/>
        </w:rPr>
      </w:pPr>
      <w:r w:rsidRPr="008E0EEA">
        <w:rPr>
          <w:lang w:val="en-US"/>
        </w:rPr>
        <w:t xml:space="preserve">where </w:t>
      </w:r>
      <w:r w:rsidR="009F64EB">
        <w:rPr>
          <w:i/>
          <w:lang w:val="en-US"/>
        </w:rPr>
        <w:t>F</w:t>
      </w:r>
      <w:r w:rsidRPr="008E0EEA">
        <w:rPr>
          <w:i/>
          <w:lang w:val="en-US"/>
        </w:rPr>
        <w:t>CF</w:t>
      </w:r>
      <w:r w:rsidRPr="008E0EEA">
        <w:rPr>
          <w:i/>
          <w:vertAlign w:val="subscript"/>
          <w:lang w:val="en-US"/>
        </w:rPr>
        <w:t>i</w:t>
      </w:r>
      <w:r w:rsidRPr="008E0EEA">
        <w:rPr>
          <w:lang w:val="en-US"/>
        </w:rPr>
        <w:t xml:space="preserve"> is the value of future cash flows at different time</w:t>
      </w:r>
      <w:r>
        <w:rPr>
          <w:lang w:val="en-US"/>
        </w:rPr>
        <w:t xml:space="preserve"> </w:t>
      </w:r>
      <w:r w:rsidRPr="008E0EEA">
        <w:rPr>
          <w:lang w:val="en-US"/>
        </w:rPr>
        <w:t xml:space="preserve">periods </w:t>
      </w:r>
      <w:r w:rsidRPr="008E0EEA">
        <w:rPr>
          <w:i/>
          <w:lang w:val="en-US"/>
        </w:rPr>
        <w:t>i</w:t>
      </w:r>
      <w:r w:rsidRPr="008E0EEA">
        <w:rPr>
          <w:lang w:val="en-US"/>
        </w:rPr>
        <w:t>.</w:t>
      </w:r>
      <w:r w:rsidR="007A71A5">
        <w:rPr>
          <w:lang w:val="en-US"/>
        </w:rPr>
        <w:t xml:space="preserve"> </w:t>
      </w:r>
      <w:r w:rsidR="007A71A5">
        <w:rPr>
          <w:lang w:val="en-US"/>
        </w:rPr>
        <w:fldChar w:fldCharType="begin" w:fldLock="1"/>
      </w:r>
      <w:r w:rsidR="00587F48">
        <w:rPr>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007A71A5">
        <w:rPr>
          <w:lang w:val="en-US"/>
        </w:rPr>
        <w:fldChar w:fldCharType="separate"/>
      </w:r>
      <w:r w:rsidR="00587F48" w:rsidRPr="00587F48">
        <w:rPr>
          <w:noProof/>
          <w:lang w:val="en-US"/>
        </w:rPr>
        <w:t>(Mun 2002)</w:t>
      </w:r>
      <w:r w:rsidR="007A71A5">
        <w:rPr>
          <w:lang w:val="en-US"/>
        </w:rPr>
        <w:fldChar w:fldCharType="end"/>
      </w:r>
    </w:p>
    <w:p w:rsidR="008E0EEA" w:rsidRPr="008E0EEA" w:rsidRDefault="008E0EEA" w:rsidP="008E0EEA">
      <w:pPr>
        <w:pStyle w:val="OfficialNormal"/>
        <w:rPr>
          <w:lang w:val="en-US"/>
        </w:rPr>
      </w:pPr>
      <w:r w:rsidRPr="008E0EEA">
        <w:rPr>
          <w:lang w:val="en-US"/>
        </w:rPr>
        <w:t xml:space="preserve">Using this </w:t>
      </w:r>
      <w:r w:rsidRPr="008E0EEA">
        <w:rPr>
          <w:i/>
          <w:lang w:val="en-US"/>
        </w:rPr>
        <w:t>X</w:t>
      </w:r>
      <w:r>
        <w:rPr>
          <w:lang w:val="en-US"/>
        </w:rPr>
        <w:t xml:space="preserve"> </w:t>
      </w:r>
      <w:r w:rsidRPr="008E0EEA">
        <w:rPr>
          <w:lang w:val="en-US"/>
        </w:rPr>
        <w:t xml:space="preserve">value, </w:t>
      </w:r>
      <w:r w:rsidR="009F64EB">
        <w:rPr>
          <w:lang w:val="en-US"/>
        </w:rPr>
        <w:t xml:space="preserve">it is possible to </w:t>
      </w:r>
      <w:r w:rsidRPr="008E0EEA">
        <w:rPr>
          <w:lang w:val="en-US"/>
        </w:rPr>
        <w:t>perform a Monte Carlo simulation on the discounted cash flow model</w:t>
      </w:r>
      <w:r>
        <w:rPr>
          <w:lang w:val="en-US"/>
        </w:rPr>
        <w:t xml:space="preserve"> </w:t>
      </w:r>
      <w:r w:rsidRPr="008E0EEA">
        <w:rPr>
          <w:lang w:val="en-US"/>
        </w:rPr>
        <w:t>and obtain the resulting forecast distribution of X. The standard deviation of</w:t>
      </w:r>
      <w:r>
        <w:rPr>
          <w:lang w:val="en-US"/>
        </w:rPr>
        <w:t xml:space="preserve"> </w:t>
      </w:r>
      <w:r w:rsidRPr="008E0EEA">
        <w:rPr>
          <w:lang w:val="en-US"/>
        </w:rPr>
        <w:t>the forecast distribution of X is the volatility estimate used in the real options</w:t>
      </w:r>
      <w:r>
        <w:rPr>
          <w:lang w:val="en-US"/>
        </w:rPr>
        <w:t xml:space="preserve"> </w:t>
      </w:r>
      <w:r w:rsidRPr="008E0EEA">
        <w:rPr>
          <w:lang w:val="en-US"/>
        </w:rPr>
        <w:t xml:space="preserve">analysis. It is important to note that </w:t>
      </w:r>
      <w:r w:rsidRPr="007A71A5">
        <w:rPr>
          <w:i/>
          <w:lang w:val="en-US"/>
        </w:rPr>
        <w:t>only the numerator is simulated</w:t>
      </w:r>
      <w:r w:rsidRPr="008E0EEA">
        <w:rPr>
          <w:lang w:val="en-US"/>
        </w:rPr>
        <w:t xml:space="preserve"> and the</w:t>
      </w:r>
      <w:r>
        <w:rPr>
          <w:lang w:val="en-US"/>
        </w:rPr>
        <w:t xml:space="preserve"> </w:t>
      </w:r>
      <w:r w:rsidRPr="008E0EEA">
        <w:rPr>
          <w:lang w:val="en-US"/>
        </w:rPr>
        <w:t>denominator is unchanged.</w:t>
      </w:r>
    </w:p>
    <w:p w:rsidR="008E0EEA" w:rsidRDefault="008E0EEA" w:rsidP="008E0EEA">
      <w:pPr>
        <w:pStyle w:val="OfficialNormal"/>
        <w:rPr>
          <w:lang w:val="en-US"/>
        </w:rPr>
      </w:pPr>
      <w:r w:rsidRPr="008E0EEA">
        <w:rPr>
          <w:lang w:val="en-US"/>
        </w:rPr>
        <w:t>The downside to estimating volatility this way is that Monte Carlo simulation</w:t>
      </w:r>
      <w:r>
        <w:rPr>
          <w:lang w:val="en-US"/>
        </w:rPr>
        <w:t xml:space="preserve"> </w:t>
      </w:r>
      <w:r w:rsidRPr="008E0EEA">
        <w:rPr>
          <w:lang w:val="en-US"/>
        </w:rPr>
        <w:t>is required, but the calculated volatility measure is a single-digit estimate,</w:t>
      </w:r>
      <w:r>
        <w:rPr>
          <w:lang w:val="en-US"/>
        </w:rPr>
        <w:t xml:space="preserve"> </w:t>
      </w:r>
      <w:r w:rsidRPr="008E0EEA">
        <w:rPr>
          <w:lang w:val="en-US"/>
        </w:rPr>
        <w:t>as compared to the logarithmic cash flow approach, which yields a</w:t>
      </w:r>
      <w:r>
        <w:rPr>
          <w:lang w:val="en-US"/>
        </w:rPr>
        <w:t xml:space="preserve"> </w:t>
      </w:r>
      <w:r w:rsidRPr="008E0EEA">
        <w:rPr>
          <w:lang w:val="en-US"/>
        </w:rPr>
        <w:t>distribution of volatilities, which will in turn yield a distribution of calculated</w:t>
      </w:r>
      <w:r>
        <w:rPr>
          <w:lang w:val="en-US"/>
        </w:rPr>
        <w:t xml:space="preserve"> </w:t>
      </w:r>
      <w:r w:rsidRPr="008E0EEA">
        <w:rPr>
          <w:lang w:val="en-US"/>
        </w:rPr>
        <w:t>real options values. The main objection to using this method is its dependence</w:t>
      </w:r>
      <w:r>
        <w:rPr>
          <w:lang w:val="en-US"/>
        </w:rPr>
        <w:t xml:space="preserve"> </w:t>
      </w:r>
      <w:r w:rsidRPr="008E0EEA">
        <w:rPr>
          <w:lang w:val="en-US"/>
        </w:rPr>
        <w:t>on the variability of the discount rate used.</w:t>
      </w:r>
      <w:r>
        <w:rPr>
          <w:lang w:val="en-US"/>
        </w:rPr>
        <w:t xml:space="preserve"> </w:t>
      </w:r>
      <w:r w:rsidRPr="008E0EEA">
        <w:rPr>
          <w:lang w:val="en-US"/>
        </w:rPr>
        <w:t>For instance, we can expand the</w:t>
      </w:r>
      <w:r>
        <w:rPr>
          <w:lang w:val="en-US"/>
        </w:rPr>
        <w:t xml:space="preserve"> </w:t>
      </w:r>
      <w:r w:rsidRPr="008E0EEA">
        <w:rPr>
          <w:i/>
          <w:lang w:val="en-US"/>
        </w:rPr>
        <w:t>X</w:t>
      </w:r>
      <w:r w:rsidRPr="008E0EEA">
        <w:rPr>
          <w:lang w:val="en-US"/>
        </w:rPr>
        <w:t xml:space="preserve"> equation as follows</w:t>
      </w:r>
      <w:r w:rsidR="009F64EB">
        <w:rPr>
          <w:lang w:val="en-US"/>
        </w:rPr>
        <w:t xml:space="preserve"> </w:t>
      </w:r>
      <w:r w:rsidR="009F64EB">
        <w:rPr>
          <w:lang w:val="en-US"/>
        </w:rPr>
        <w:fldChar w:fldCharType="begin"/>
      </w:r>
      <w:r w:rsidR="009F64EB">
        <w:rPr>
          <w:lang w:val="en-US"/>
        </w:rPr>
        <w:instrText xml:space="preserve"> REF _Ref484016786 \h </w:instrText>
      </w:r>
      <w:r w:rsidR="009F64EB">
        <w:rPr>
          <w:lang w:val="en-US"/>
        </w:rPr>
      </w:r>
      <w:r w:rsidR="009F64EB">
        <w:rPr>
          <w:lang w:val="en-US"/>
        </w:rPr>
        <w:fldChar w:fldCharType="separate"/>
      </w:r>
      <w:r w:rsidR="008324C6" w:rsidRPr="008324C6">
        <w:rPr>
          <w:lang w:val="en-US"/>
        </w:rPr>
        <w:t>(</w:t>
      </w:r>
      <w:r w:rsidR="008324C6" w:rsidRPr="008324C6">
        <w:rPr>
          <w:noProof/>
          <w:lang w:val="en-US"/>
        </w:rPr>
        <w:t>3</w:t>
      </w:r>
      <w:r w:rsidR="008324C6" w:rsidRPr="008324C6">
        <w:rPr>
          <w:lang w:val="en-US"/>
        </w:rPr>
        <w:t>.</w:t>
      </w:r>
      <w:r w:rsidR="008324C6" w:rsidRPr="008324C6">
        <w:rPr>
          <w:noProof/>
          <w:lang w:val="en-US"/>
        </w:rPr>
        <w:t>7</w:t>
      </w:r>
      <w:r w:rsidR="008324C6" w:rsidRPr="008324C6">
        <w:rPr>
          <w:lang w:val="en-US"/>
        </w:rPr>
        <w:t>)</w:t>
      </w:r>
      <w:r w:rsidR="009F64EB">
        <w:rPr>
          <w:lang w:val="en-US"/>
        </w:rPr>
        <w:fldChar w:fldCharType="end"/>
      </w:r>
      <w:r w:rsidRPr="008E0EEA">
        <w:rPr>
          <w:lang w:val="en-US"/>
        </w:rPr>
        <w:t>:</w:t>
      </w:r>
    </w:p>
    <w:tbl>
      <w:tblPr>
        <w:tblStyle w:val="af6"/>
        <w:tblW w:w="0" w:type="auto"/>
        <w:tblLook w:val="04A0" w:firstRow="1" w:lastRow="0" w:firstColumn="1" w:lastColumn="0" w:noHBand="0" w:noVBand="1"/>
      </w:tblPr>
      <w:tblGrid>
        <w:gridCol w:w="8500"/>
        <w:gridCol w:w="845"/>
      </w:tblGrid>
      <w:tr w:rsidR="009F64EB" w:rsidTr="009F64EB">
        <w:tc>
          <w:tcPr>
            <w:tcW w:w="8500" w:type="dxa"/>
          </w:tcPr>
          <w:p w:rsidR="009F64EB" w:rsidRDefault="009F64EB" w:rsidP="009F64EB">
            <w:pPr>
              <w:pStyle w:val="OfficialNormal"/>
              <w:rPr>
                <w:lang w:val="en-US"/>
              </w:rPr>
            </w:pPr>
            <m:oMathPara>
              <m:oMath>
                <m:r>
                  <w:rPr>
                    <w:rFonts w:ascii="Cambria Math" w:hAnsi="Cambria Math"/>
                    <w:lang w:val="en-US"/>
                  </w:rPr>
                  <w:lastRenderedPageBreak/>
                  <m:t>X=</m:t>
                </m:r>
                <m:func>
                  <m:funcPr>
                    <m:ctrlPr>
                      <w:rPr>
                        <w:rFonts w:ascii="Cambria Math" w:hAnsi="Cambria Math"/>
                        <w:lang w:val="en-US"/>
                      </w:rPr>
                    </m:ctrlPr>
                  </m:funcPr>
                  <m:fName>
                    <m:r>
                      <m:rPr>
                        <m:sty m:val="p"/>
                      </m:rPr>
                      <w:rPr>
                        <w:rFonts w:ascii="Cambria Math" w:hAnsi="Cambria Math"/>
                        <w:lang w:val="en-US"/>
                      </w:rPr>
                      <m:t>ln</m:t>
                    </m:r>
                  </m:fName>
                  <m:e>
                    <m:d>
                      <m:dPr>
                        <m:ctrlPr>
                          <w:rPr>
                            <w:rFonts w:ascii="Cambria Math" w:hAnsi="Cambria Math"/>
                            <w:i/>
                            <w:lang w:val="en-US"/>
                          </w:rPr>
                        </m:ctrlPr>
                      </m:dPr>
                      <m:e>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C</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1+r</m:t>
                                        </m:r>
                                      </m:e>
                                    </m:d>
                                  </m:e>
                                  <m:sup>
                                    <m:r>
                                      <w:rPr>
                                        <w:rFonts w:ascii="Cambria Math" w:hAnsi="Cambria Math"/>
                                        <w:lang w:val="en-US"/>
                                      </w:rPr>
                                      <m:t>0</m:t>
                                    </m:r>
                                  </m:sup>
                                </m:sSup>
                              </m:den>
                            </m:f>
                            <m:r>
                              <w:rPr>
                                <w:rFonts w:ascii="Cambria Math" w:hAnsi="Cambria Math"/>
                                <w:lang w:val="en-US"/>
                              </w:rPr>
                              <m:t>+</m:t>
                            </m:r>
                            <m:f>
                              <m:fPr>
                                <m:ctrlPr>
                                  <w:rPr>
                                    <w:rFonts w:ascii="Cambria Math" w:hAnsi="Cambria Math"/>
                                    <w:i/>
                                    <w:lang w:val="en-US"/>
                                  </w:rPr>
                                </m:ctrlPr>
                              </m:fPr>
                              <m:num>
                                <m:r>
                                  <w:rPr>
                                    <w:rFonts w:ascii="Cambria Math" w:hAnsi="Cambria Math"/>
                                    <w:lang w:val="en-US"/>
                                  </w:rPr>
                                  <m:t>C</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1+r</m:t>
                                        </m:r>
                                      </m:e>
                                    </m:d>
                                  </m:e>
                                  <m:sup>
                                    <m:r>
                                      <w:rPr>
                                        <w:rFonts w:ascii="Cambria Math" w:hAnsi="Cambria Math"/>
                                        <w:lang w:val="en-US"/>
                                      </w:rPr>
                                      <m:t>1</m:t>
                                    </m:r>
                                  </m:sup>
                                </m:sSup>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C</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N</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1+r</m:t>
                                        </m:r>
                                      </m:e>
                                    </m:d>
                                  </m:e>
                                  <m:sup>
                                    <m:r>
                                      <w:rPr>
                                        <w:rFonts w:ascii="Cambria Math" w:hAnsi="Cambria Math"/>
                                        <w:lang w:val="en-US"/>
                                      </w:rPr>
                                      <m:t>N-1</m:t>
                                    </m:r>
                                  </m:sup>
                                </m:sSup>
                              </m:den>
                            </m:f>
                          </m:num>
                          <m:den>
                            <m:f>
                              <m:fPr>
                                <m:ctrlPr>
                                  <w:rPr>
                                    <w:rFonts w:ascii="Cambria Math" w:hAnsi="Cambria Math"/>
                                    <w:i/>
                                    <w:lang w:val="en-US"/>
                                  </w:rPr>
                                </m:ctrlPr>
                              </m:fPr>
                              <m:num>
                                <m:r>
                                  <w:rPr>
                                    <w:rFonts w:ascii="Cambria Math" w:hAnsi="Cambria Math"/>
                                    <w:lang w:val="en-US"/>
                                  </w:rPr>
                                  <m:t>C</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0</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1+r</m:t>
                                        </m:r>
                                      </m:e>
                                    </m:d>
                                  </m:e>
                                  <m:sup>
                                    <m:r>
                                      <w:rPr>
                                        <w:rFonts w:ascii="Cambria Math" w:hAnsi="Cambria Math"/>
                                        <w:lang w:val="en-US"/>
                                      </w:rPr>
                                      <m:t>0</m:t>
                                    </m:r>
                                  </m:sup>
                                </m:sSup>
                              </m:den>
                            </m:f>
                            <m:r>
                              <w:rPr>
                                <w:rFonts w:ascii="Cambria Math" w:hAnsi="Cambria Math"/>
                                <w:lang w:val="en-US"/>
                              </w:rPr>
                              <m:t>+</m:t>
                            </m:r>
                            <m:f>
                              <m:fPr>
                                <m:ctrlPr>
                                  <w:rPr>
                                    <w:rFonts w:ascii="Cambria Math" w:hAnsi="Cambria Math"/>
                                    <w:i/>
                                    <w:lang w:val="en-US"/>
                                  </w:rPr>
                                </m:ctrlPr>
                              </m:fPr>
                              <m:num>
                                <m:r>
                                  <w:rPr>
                                    <w:rFonts w:ascii="Cambria Math" w:hAnsi="Cambria Math"/>
                                    <w:lang w:val="en-US"/>
                                  </w:rPr>
                                  <m:t>C</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1+r</m:t>
                                        </m:r>
                                      </m:e>
                                    </m:d>
                                  </m:e>
                                  <m:sup>
                                    <m:r>
                                      <w:rPr>
                                        <w:rFonts w:ascii="Cambria Math" w:hAnsi="Cambria Math"/>
                                        <w:lang w:val="en-US"/>
                                      </w:rPr>
                                      <m:t>1</m:t>
                                    </m:r>
                                  </m:sup>
                                </m:sSup>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C</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N</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1+r</m:t>
                                        </m:r>
                                      </m:e>
                                    </m:d>
                                  </m:e>
                                  <m:sup>
                                    <m:r>
                                      <w:rPr>
                                        <w:rFonts w:ascii="Cambria Math" w:hAnsi="Cambria Math"/>
                                        <w:lang w:val="en-US"/>
                                      </w:rPr>
                                      <m:t>N</m:t>
                                    </m:r>
                                  </m:sup>
                                </m:sSup>
                              </m:den>
                            </m:f>
                          </m:den>
                        </m:f>
                      </m:e>
                    </m:d>
                  </m:e>
                </m:func>
                <m:r>
                  <w:rPr>
                    <w:rFonts w:ascii="Cambria Math" w:hAnsi="Cambria Math"/>
                    <w:lang w:val="en-US"/>
                  </w:rPr>
                  <m:t>,</m:t>
                </m:r>
              </m:oMath>
            </m:oMathPara>
          </w:p>
        </w:tc>
        <w:tc>
          <w:tcPr>
            <w:tcW w:w="845" w:type="dxa"/>
          </w:tcPr>
          <w:p w:rsidR="009F64EB" w:rsidRDefault="009F64EB" w:rsidP="009F64EB">
            <w:pPr>
              <w:pStyle w:val="ac"/>
            </w:pPr>
            <w:bookmarkStart w:id="89" w:name="_Ref484016786"/>
            <w:r>
              <w:t>(</w:t>
            </w:r>
            <w:r w:rsidR="008F1F91">
              <w:fldChar w:fldCharType="begin"/>
            </w:r>
            <w:r w:rsidR="008F1F91">
              <w:instrText xml:space="preserve"> STYLEREF 1 \s </w:instrText>
            </w:r>
            <w:r w:rsidR="008F1F91">
              <w:fldChar w:fldCharType="separate"/>
            </w:r>
            <w:r w:rsidR="008324C6">
              <w:rPr>
                <w:noProof/>
              </w:rPr>
              <w:t>3</w:t>
            </w:r>
            <w:r w:rsidR="008F1F91">
              <w:fldChar w:fldCharType="end"/>
            </w:r>
            <w:r w:rsidR="008F1F91">
              <w:t>.</w:t>
            </w:r>
            <w:r w:rsidR="008F1F91">
              <w:fldChar w:fldCharType="begin"/>
            </w:r>
            <w:r w:rsidR="008F1F91">
              <w:instrText xml:space="preserve"> SEQ Formula \* ARABIC \s 1 </w:instrText>
            </w:r>
            <w:r w:rsidR="008F1F91">
              <w:fldChar w:fldCharType="separate"/>
            </w:r>
            <w:r w:rsidR="008324C6">
              <w:rPr>
                <w:noProof/>
              </w:rPr>
              <w:t>7</w:t>
            </w:r>
            <w:r w:rsidR="008F1F91">
              <w:fldChar w:fldCharType="end"/>
            </w:r>
            <w:r>
              <w:t>)</w:t>
            </w:r>
            <w:bookmarkEnd w:id="89"/>
          </w:p>
        </w:tc>
      </w:tr>
    </w:tbl>
    <w:p w:rsidR="005A11E3" w:rsidRDefault="005A11E3" w:rsidP="008E0EEA">
      <w:pPr>
        <w:rPr>
          <w:lang w:val="en-US"/>
        </w:rPr>
      </w:pPr>
    </w:p>
    <w:p w:rsidR="009F64EB" w:rsidRDefault="009F64EB" w:rsidP="008E0EEA">
      <w:pPr>
        <w:rPr>
          <w:lang w:val="en-US"/>
        </w:rPr>
      </w:pPr>
      <w:r>
        <w:rPr>
          <w:lang w:val="en-US"/>
        </w:rPr>
        <w:t>w</w:t>
      </w:r>
      <w:r w:rsidRPr="009F64EB">
        <w:rPr>
          <w:lang w:val="en-US"/>
        </w:rPr>
        <w:t>here</w:t>
      </w:r>
      <w:r>
        <w:rPr>
          <w:i/>
          <w:lang w:val="en-US"/>
        </w:rPr>
        <w:t xml:space="preserve"> r</w:t>
      </w:r>
      <w:r w:rsidR="008E0EEA" w:rsidRPr="00562299">
        <w:rPr>
          <w:i/>
          <w:lang w:val="en-US"/>
        </w:rPr>
        <w:t xml:space="preserve"> </w:t>
      </w:r>
      <w:r w:rsidR="008E0EEA" w:rsidRPr="00562299">
        <w:rPr>
          <w:lang w:val="en-US"/>
        </w:rPr>
        <w:t xml:space="preserve">represents the constant discount rate used. </w:t>
      </w:r>
    </w:p>
    <w:p w:rsidR="007A71A5" w:rsidRDefault="008E0EEA" w:rsidP="008E0EEA">
      <w:pPr>
        <w:rPr>
          <w:lang w:val="en-US"/>
        </w:rPr>
      </w:pPr>
      <w:r w:rsidRPr="00562299">
        <w:rPr>
          <w:lang w:val="en-US"/>
        </w:rPr>
        <w:t xml:space="preserve">Here, we see that the </w:t>
      </w:r>
      <w:r w:rsidR="00562299" w:rsidRPr="00562299">
        <w:rPr>
          <w:lang w:val="en-US"/>
        </w:rPr>
        <w:t>cash flow</w:t>
      </w:r>
      <w:r w:rsidRPr="00562299">
        <w:rPr>
          <w:lang w:val="en-US"/>
        </w:rPr>
        <w:t xml:space="preserve"> series </w:t>
      </w:r>
      <w:r w:rsidRPr="00562299">
        <w:rPr>
          <w:i/>
          <w:lang w:val="en-US"/>
        </w:rPr>
        <w:t>CF</w:t>
      </w:r>
      <w:r w:rsidRPr="00562299">
        <w:rPr>
          <w:rFonts w:ascii="ClassicalGaramondBT-Italic" w:hAnsi="ClassicalGaramondBT-Italic" w:cs="ClassicalGaramondBT-Italic"/>
          <w:iCs/>
          <w:lang w:val="en-US"/>
        </w:rPr>
        <w:t xml:space="preserve"> </w:t>
      </w:r>
      <w:r w:rsidRPr="00562299">
        <w:rPr>
          <w:lang w:val="en-US"/>
        </w:rPr>
        <w:t>for the numerator is offset by one period, and the discount</w:t>
      </w:r>
      <w:r w:rsidR="00562299">
        <w:rPr>
          <w:lang w:val="en-US"/>
        </w:rPr>
        <w:t xml:space="preserve"> </w:t>
      </w:r>
      <w:r w:rsidRPr="00562299">
        <w:rPr>
          <w:lang w:val="en-US"/>
        </w:rPr>
        <w:t>factors are also offset by one period. Therefore, by performing a Monte</w:t>
      </w:r>
      <w:r w:rsidR="00562299" w:rsidRPr="00562299">
        <w:rPr>
          <w:lang w:val="en-US"/>
        </w:rPr>
        <w:t xml:space="preserve"> </w:t>
      </w:r>
      <w:r w:rsidRPr="00562299">
        <w:rPr>
          <w:lang w:val="en-US"/>
        </w:rPr>
        <w:t>Carlo simulation on the cash flows alone versus performing a Monte Carlo</w:t>
      </w:r>
      <w:r w:rsidR="00562299" w:rsidRPr="00562299">
        <w:rPr>
          <w:lang w:val="en-US"/>
        </w:rPr>
        <w:t xml:space="preserve"> </w:t>
      </w:r>
      <w:r w:rsidRPr="00562299">
        <w:rPr>
          <w:lang w:val="en-US"/>
        </w:rPr>
        <w:t>simulation on both cash flow variables as well as the discount rate will yield</w:t>
      </w:r>
      <w:r w:rsidR="00562299" w:rsidRPr="00562299">
        <w:rPr>
          <w:lang w:val="en-US"/>
        </w:rPr>
        <w:t xml:space="preserve"> </w:t>
      </w:r>
      <w:r w:rsidRPr="00562299">
        <w:rPr>
          <w:lang w:val="en-US"/>
        </w:rPr>
        <w:t xml:space="preserve">very different </w:t>
      </w:r>
      <w:r w:rsidRPr="00562299">
        <w:rPr>
          <w:i/>
          <w:lang w:val="en-US"/>
        </w:rPr>
        <w:t>X</w:t>
      </w:r>
      <w:r w:rsidRPr="00562299">
        <w:rPr>
          <w:rFonts w:ascii="ClassicalGaramondBT-Italic" w:hAnsi="ClassicalGaramondBT-Italic" w:cs="ClassicalGaramondBT-Italic"/>
          <w:iCs/>
          <w:lang w:val="en-US"/>
        </w:rPr>
        <w:t xml:space="preserve"> </w:t>
      </w:r>
      <w:r w:rsidRPr="00562299">
        <w:rPr>
          <w:lang w:val="en-US"/>
        </w:rPr>
        <w:t xml:space="preserve">values. </w:t>
      </w:r>
    </w:p>
    <w:p w:rsidR="00BD299A" w:rsidRDefault="008E0EEA" w:rsidP="008E0EEA">
      <w:pPr>
        <w:rPr>
          <w:lang w:val="en-US"/>
        </w:rPr>
      </w:pPr>
      <w:r w:rsidRPr="00562299">
        <w:rPr>
          <w:lang w:val="en-US"/>
        </w:rPr>
        <w:t>Modifications to this method include duplicating the cash flows</w:t>
      </w:r>
      <w:r w:rsidR="00562299" w:rsidRPr="00562299">
        <w:rPr>
          <w:lang w:val="en-US"/>
        </w:rPr>
        <w:t xml:space="preserve"> </w:t>
      </w:r>
      <w:r w:rsidRPr="00562299">
        <w:rPr>
          <w:lang w:val="en-US"/>
        </w:rPr>
        <w:t xml:space="preserve">and simulating only the numerator cash flows, thereby providing different numerator values but a static denominator value for each simulated trial, while keeping the discount rate constant. This approach reduces the </w:t>
      </w:r>
      <w:r w:rsidR="00562299" w:rsidRPr="00562299">
        <w:rPr>
          <w:lang w:val="en-US"/>
        </w:rPr>
        <w:t>measurement risks</w:t>
      </w:r>
      <w:r w:rsidRPr="00562299">
        <w:rPr>
          <w:lang w:val="en-US"/>
        </w:rPr>
        <w:t xml:space="preserve"> of autocorrelated cash flows and negative cash flows</w:t>
      </w:r>
      <w:r w:rsidR="00562299" w:rsidRPr="00562299">
        <w:rPr>
          <w:lang w:val="en-US"/>
        </w:rPr>
        <w:t xml:space="preserve"> and was used </w:t>
      </w:r>
      <w:r w:rsidR="007A71A5">
        <w:rPr>
          <w:lang w:val="en-US"/>
        </w:rPr>
        <w:t xml:space="preserve">in this thesis </w:t>
      </w:r>
      <w:r w:rsidR="00562299" w:rsidRPr="00562299">
        <w:rPr>
          <w:lang w:val="en-US"/>
        </w:rPr>
        <w:t>for the project volatility estimation</w:t>
      </w:r>
      <w:r w:rsidRPr="00562299">
        <w:rPr>
          <w:lang w:val="en-US"/>
        </w:rPr>
        <w:t>.</w:t>
      </w:r>
    </w:p>
    <w:p w:rsidR="00BD299A" w:rsidRDefault="005A11E3" w:rsidP="00BD299A">
      <w:pPr>
        <w:keepNext/>
        <w:jc w:val="cent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29.75pt;height:235.5pt">
            <v:imagedata r:id="rId16" o:title="Безымянный" cropbottom="1707f" cropleft="354f" cropright="477f"/>
          </v:shape>
        </w:pict>
      </w:r>
    </w:p>
    <w:p w:rsidR="00BD299A" w:rsidRDefault="00BD299A" w:rsidP="006E210E">
      <w:pPr>
        <w:pStyle w:val="ac"/>
      </w:pPr>
      <w:bookmarkStart w:id="90" w:name="_Toc484036526"/>
      <w:r>
        <w:t xml:space="preserve">Figure </w:t>
      </w:r>
      <w:r>
        <w:fldChar w:fldCharType="begin"/>
      </w:r>
      <w:r>
        <w:instrText xml:space="preserve"> SEQ Figure \* ARABIC </w:instrText>
      </w:r>
      <w:r>
        <w:fldChar w:fldCharType="separate"/>
      </w:r>
      <w:r w:rsidR="008324C6">
        <w:rPr>
          <w:noProof/>
        </w:rPr>
        <w:t>12</w:t>
      </w:r>
      <w:r>
        <w:fldChar w:fldCharType="end"/>
      </w:r>
      <w:r>
        <w:t xml:space="preserve">. Results of simulation. </w:t>
      </w:r>
      <w:r w:rsidRPr="00481A23">
        <w:t>Source: Author´s figure</w:t>
      </w:r>
      <w:r>
        <w:t>.</w:t>
      </w:r>
      <w:bookmarkEnd w:id="90"/>
    </w:p>
    <w:p w:rsidR="006E210E" w:rsidRPr="006E210E" w:rsidRDefault="006E210E" w:rsidP="006E210E">
      <w:pPr>
        <w:rPr>
          <w:lang w:val="en-US"/>
        </w:rPr>
      </w:pPr>
      <w:r>
        <w:rPr>
          <w:lang w:val="en-US"/>
        </w:rPr>
        <w:t>Resulting standard deviation of returns is 81,2%, which is high. However, it is connected to volatile oil prices, which mostly account for the risk.</w:t>
      </w:r>
    </w:p>
    <w:p w:rsidR="008F073B" w:rsidRPr="00FF0C30" w:rsidRDefault="008F073B" w:rsidP="00917369">
      <w:pPr>
        <w:pStyle w:val="2"/>
        <w:rPr>
          <w:lang w:eastAsia="ru-RU"/>
        </w:rPr>
      </w:pPr>
      <w:bookmarkStart w:id="91" w:name="_Toc484036311"/>
      <w:r w:rsidRPr="00FF0C30">
        <w:rPr>
          <w:lang w:eastAsia="ru-RU"/>
        </w:rPr>
        <w:t>Description of real options</w:t>
      </w:r>
      <w:bookmarkEnd w:id="91"/>
    </w:p>
    <w:p w:rsidR="007B44AC" w:rsidRDefault="008F073B" w:rsidP="007B44AC">
      <w:pPr>
        <w:pStyle w:val="OfficialNormal"/>
        <w:rPr>
          <w:lang w:val="en-US"/>
        </w:rPr>
      </w:pPr>
      <w:r w:rsidRPr="00FF0C30">
        <w:rPr>
          <w:lang w:val="en-US"/>
        </w:rPr>
        <w:t xml:space="preserve">Real options of the project are directly connected to the flexibilities of the management. </w:t>
      </w:r>
      <w:r w:rsidR="007B44AC">
        <w:rPr>
          <w:lang w:val="en-US"/>
        </w:rPr>
        <w:t xml:space="preserve">The design of the project, Russian specifics and usage of </w:t>
      </w:r>
      <w:r w:rsidR="007B44AC" w:rsidRPr="00FF0C30">
        <w:rPr>
          <w:lang w:val="en-US"/>
        </w:rPr>
        <w:t>offshore ice-resistant fixed platform</w:t>
      </w:r>
      <w:r w:rsidR="007B44AC">
        <w:rPr>
          <w:lang w:val="en-US"/>
        </w:rPr>
        <w:t xml:space="preserve"> allow investor to actively manage the project during its lifespan.</w:t>
      </w:r>
    </w:p>
    <w:p w:rsidR="007B44AC" w:rsidRDefault="007B44AC" w:rsidP="007B44AC">
      <w:pPr>
        <w:pStyle w:val="3"/>
      </w:pPr>
      <w:r>
        <w:lastRenderedPageBreak/>
        <w:t>Option to wait</w:t>
      </w:r>
    </w:p>
    <w:p w:rsidR="00052521" w:rsidRDefault="008F073B" w:rsidP="00FF0C30">
      <w:pPr>
        <w:pStyle w:val="OfficialNormal"/>
        <w:rPr>
          <w:lang w:val="en-US"/>
        </w:rPr>
      </w:pPr>
      <w:r w:rsidRPr="00FF0C30">
        <w:rPr>
          <w:lang w:val="en-US"/>
        </w:rPr>
        <w:t xml:space="preserve">The project does not </w:t>
      </w:r>
      <w:r w:rsidR="00052521">
        <w:rPr>
          <w:lang w:val="en-US"/>
        </w:rPr>
        <w:t>require</w:t>
      </w:r>
      <w:r w:rsidRPr="00FF0C30">
        <w:rPr>
          <w:lang w:val="en-US"/>
        </w:rPr>
        <w:t xml:space="preserve"> the company to invest immediately, as a result management is able to wait and see how the uncertainty </w:t>
      </w:r>
      <w:r w:rsidR="00052521">
        <w:rPr>
          <w:lang w:val="en-US"/>
        </w:rPr>
        <w:t xml:space="preserve">about future world oil price </w:t>
      </w:r>
      <w:r w:rsidRPr="00FF0C30">
        <w:rPr>
          <w:lang w:val="en-US"/>
        </w:rPr>
        <w:t xml:space="preserve">is resolved. </w:t>
      </w:r>
    </w:p>
    <w:p w:rsidR="008F073B" w:rsidRPr="00FF0C30" w:rsidRDefault="008F073B" w:rsidP="00FF0C30">
      <w:pPr>
        <w:pStyle w:val="OfficialNormal"/>
        <w:rPr>
          <w:lang w:val="en-US"/>
        </w:rPr>
      </w:pPr>
      <w:r w:rsidRPr="00FF0C30">
        <w:rPr>
          <w:lang w:val="en-US"/>
        </w:rPr>
        <w:t>This flexibility</w:t>
      </w:r>
      <w:r w:rsidR="00052521">
        <w:rPr>
          <w:lang w:val="en-US"/>
        </w:rPr>
        <w:t xml:space="preserve"> adds value t the investment and</w:t>
      </w:r>
      <w:r w:rsidRPr="00FF0C30">
        <w:rPr>
          <w:lang w:val="en-US"/>
        </w:rPr>
        <w:t xml:space="preserve"> can be captured with a real option to wait.</w:t>
      </w:r>
      <w:r w:rsidR="00052521">
        <w:rPr>
          <w:lang w:val="en-US"/>
        </w:rPr>
        <w:t xml:space="preserve"> By </w:t>
      </w:r>
      <w:r w:rsidR="00C12A08">
        <w:rPr>
          <w:lang w:val="en-US"/>
        </w:rPr>
        <w:t>its</w:t>
      </w:r>
      <w:r w:rsidR="00052521">
        <w:rPr>
          <w:lang w:val="en-US"/>
        </w:rPr>
        <w:t xml:space="preserve"> design the option can be executed during unlimited timeframe. However, we assume that under conditions of real life </w:t>
      </w:r>
      <w:r w:rsidR="00C12A08">
        <w:rPr>
          <w:lang w:val="en-US"/>
        </w:rPr>
        <w:t>10</w:t>
      </w:r>
      <w:r w:rsidR="00052521">
        <w:rPr>
          <w:lang w:val="en-US"/>
        </w:rPr>
        <w:t xml:space="preserve"> years is a maximal period to make decision about participating or leaving the project.</w:t>
      </w:r>
    </w:p>
    <w:p w:rsidR="00052521" w:rsidRPr="00052521" w:rsidRDefault="00052521" w:rsidP="00052521">
      <w:pPr>
        <w:pStyle w:val="3"/>
      </w:pPr>
      <w:r>
        <w:t>Option to abandon</w:t>
      </w:r>
    </w:p>
    <w:p w:rsidR="008F073B" w:rsidRDefault="008F073B" w:rsidP="00FF0C30">
      <w:pPr>
        <w:pStyle w:val="OfficialNormal"/>
        <w:rPr>
          <w:lang w:val="en-US"/>
        </w:rPr>
      </w:pPr>
      <w:r w:rsidRPr="00FF0C30">
        <w:rPr>
          <w:lang w:val="en-US"/>
        </w:rPr>
        <w:t xml:space="preserve">The project uses an </w:t>
      </w:r>
      <w:r w:rsidR="007B44AC" w:rsidRPr="00FF0C30">
        <w:rPr>
          <w:lang w:val="en-US"/>
        </w:rPr>
        <w:t xml:space="preserve">offshore ice-resistant fixed platform </w:t>
      </w:r>
      <w:r w:rsidRPr="00FF0C30">
        <w:rPr>
          <w:lang w:val="en-US"/>
        </w:rPr>
        <w:t>to develop the field. Cost of the platform is one of the main drivers of CAPEX an is roughly 50% of the initial investment</w:t>
      </w:r>
      <w:r w:rsidR="007A71A5">
        <w:rPr>
          <w:lang w:val="en-US"/>
        </w:rPr>
        <w:t xml:space="preserve"> </w:t>
      </w:r>
      <w:r w:rsidR="007A71A5">
        <w:rPr>
          <w:lang w:val="en-US"/>
        </w:rPr>
        <w:fldChar w:fldCharType="begin" w:fldLock="1"/>
      </w:r>
      <w:r w:rsidR="00587F48">
        <w:rPr>
          <w:lang w:val="en-US"/>
        </w:rPr>
        <w:instrText>ADDIN CSL_CITATION { "citationItems" : [ { "id" : "ITEM-1", "itemData" : { "author" : [ { "dropping-particle" : "", "family" : "Lunden", "given" : "Lars Petter", "non-dropping-particle" : "", "parse-names" : false, "suffix" : "" }, { "dropping-particle" : "", "family" : "Fjaertoft", "given" : "Daniel", "non-dropping-particle" : "", "parse-names" : false, "suffix" : "" } ], "id" : "ITEM-1", "issue" : "July", "issued" : { "date-parts" : [ [ "2014" ] ] }, "number-of-pages" : "1-58", "publisher-place" : "GENEVA", "title" : "Government Support to Upstream Oil &amp; Gas in Russia - How Subsidies Influence the Yamal LNG and Prirazlomnoe Projects", "type" : "report" }, "uris" : [ "http://www.mendeley.com/documents/?uuid=182ae5d6-24e6-36a2-8073-4a7c1a7a0443" ] } ], "mendeley" : { "formattedCitation" : "(Lunden and Fjaertoft 2014)", "plainTextFormattedCitation" : "(Lunden and Fjaertoft 2014)", "previouslyFormattedCitation" : "(Lunden and Fjaertoft 2014)" }, "properties" : { "noteIndex" : 0 }, "schema" : "https://github.com/citation-style-language/schema/raw/master/csl-citation.json" }</w:instrText>
      </w:r>
      <w:r w:rsidR="007A71A5">
        <w:rPr>
          <w:lang w:val="en-US"/>
        </w:rPr>
        <w:fldChar w:fldCharType="separate"/>
      </w:r>
      <w:r w:rsidR="00587F48" w:rsidRPr="00587F48">
        <w:rPr>
          <w:noProof/>
          <w:lang w:val="en-US"/>
        </w:rPr>
        <w:t>(Lunden and Fjaertoft 2014)</w:t>
      </w:r>
      <w:r w:rsidR="007A71A5">
        <w:rPr>
          <w:lang w:val="en-US"/>
        </w:rPr>
        <w:fldChar w:fldCharType="end"/>
      </w:r>
      <w:r w:rsidRPr="00FF0C30">
        <w:rPr>
          <w:lang w:val="en-US"/>
        </w:rPr>
        <w:t>. However, the platform offers significant flexibility as is can be moved to different oil fields or sold to another company.</w:t>
      </w:r>
    </w:p>
    <w:p w:rsidR="00315D7F" w:rsidRDefault="00315D7F" w:rsidP="00FF0C30">
      <w:pPr>
        <w:pStyle w:val="OfficialNormal"/>
        <w:rPr>
          <w:lang w:val="en-US"/>
        </w:rPr>
      </w:pPr>
      <w:r>
        <w:rPr>
          <w:lang w:val="en-US"/>
        </w:rPr>
        <w:t>Another 50% of capital expenditures cannot be reused in different projects or sold to third parties as are project specific and include mainly infrastructural objects onshore, located near the platform.</w:t>
      </w:r>
      <w:r w:rsidR="00662E04">
        <w:rPr>
          <w:lang w:val="en-US"/>
        </w:rPr>
        <w:t xml:space="preserve"> This part thus does not provide any flexibilities for leaving the project and does not affect the price of the option to wait</w:t>
      </w:r>
      <w:r w:rsidR="007A71A5">
        <w:rPr>
          <w:lang w:val="en-US"/>
        </w:rPr>
        <w:t>.</w:t>
      </w:r>
    </w:p>
    <w:p w:rsidR="00315D7F" w:rsidRPr="00FF0C30" w:rsidRDefault="00315D7F" w:rsidP="00315D7F">
      <w:pPr>
        <w:pStyle w:val="OfficialNormal"/>
        <w:rPr>
          <w:lang w:val="en-US"/>
        </w:rPr>
      </w:pPr>
      <w:r>
        <w:rPr>
          <w:lang w:val="en-US"/>
        </w:rPr>
        <w:t>O</w:t>
      </w:r>
      <w:r w:rsidRPr="00FF0C30">
        <w:rPr>
          <w:lang w:val="en-US"/>
        </w:rPr>
        <w:t>ffshore ice-resistant fixed platform</w:t>
      </w:r>
      <w:r>
        <w:rPr>
          <w:lang w:val="en-US"/>
        </w:rPr>
        <w:t xml:space="preserve"> provides the investor with an opportunity to exit the project in case real present value of all the cash flows turns out to be lower than salvage value of the platform.</w:t>
      </w:r>
    </w:p>
    <w:p w:rsidR="00052521" w:rsidRDefault="00052521" w:rsidP="00315D7F">
      <w:pPr>
        <w:pStyle w:val="OfficialNormal"/>
        <w:rPr>
          <w:lang w:val="en-US"/>
        </w:rPr>
      </w:pPr>
      <w:r>
        <w:rPr>
          <w:lang w:val="en-US"/>
        </w:rPr>
        <w:t xml:space="preserve">Both platform sale and reutilization </w:t>
      </w:r>
      <w:r w:rsidR="00315D7F">
        <w:rPr>
          <w:lang w:val="en-US"/>
        </w:rPr>
        <w:t>can be treated as an exit for salvage value. In case of sale, the price of the realization</w:t>
      </w:r>
      <w:r w:rsidR="00662E04">
        <w:rPr>
          <w:lang w:val="en-US"/>
        </w:rPr>
        <w:t xml:space="preserve"> to a third party </w:t>
      </w:r>
      <w:r w:rsidR="00315D7F">
        <w:rPr>
          <w:lang w:val="en-US"/>
        </w:rPr>
        <w:t xml:space="preserve">composes the salvage value for the </w:t>
      </w:r>
      <w:r w:rsidR="00662E04">
        <w:rPr>
          <w:lang w:val="en-US"/>
        </w:rPr>
        <w:t>investment project</w:t>
      </w:r>
      <w:r w:rsidR="00315D7F">
        <w:rPr>
          <w:lang w:val="en-US"/>
        </w:rPr>
        <w:t xml:space="preserve">. In case of reutilization salvage value equals to savings on </w:t>
      </w:r>
      <w:r w:rsidR="00662E04">
        <w:rPr>
          <w:lang w:val="en-US"/>
        </w:rPr>
        <w:t>capital expenditures (specifically on construction or purchase of a new platform)</w:t>
      </w:r>
      <w:r w:rsidR="00315D7F">
        <w:rPr>
          <w:lang w:val="en-US"/>
        </w:rPr>
        <w:t xml:space="preserve"> of new investment project.</w:t>
      </w:r>
    </w:p>
    <w:p w:rsidR="00315D7F" w:rsidRDefault="00315D7F" w:rsidP="00315D7F">
      <w:pPr>
        <w:pStyle w:val="OfficialNormal"/>
        <w:rPr>
          <w:lang w:val="en-US"/>
        </w:rPr>
      </w:pPr>
      <w:r>
        <w:rPr>
          <w:lang w:val="en-US"/>
        </w:rPr>
        <w:t xml:space="preserve">For the analysis of the project salvage value is calculated as book price of the platform net of cumulated amortization and depreciation. </w:t>
      </w:r>
    </w:p>
    <w:p w:rsidR="008F073B" w:rsidRPr="00FF0C30" w:rsidRDefault="008F073B" w:rsidP="0024006E">
      <w:pPr>
        <w:pStyle w:val="2"/>
        <w:rPr>
          <w:lang w:eastAsia="ru-RU"/>
        </w:rPr>
      </w:pPr>
      <w:bookmarkStart w:id="92" w:name="_Toc484036312"/>
      <w:r w:rsidRPr="00FF0C30">
        <w:rPr>
          <w:lang w:eastAsia="ru-RU"/>
        </w:rPr>
        <w:t>Valuation of real options and adjustment of the base case NPV</w:t>
      </w:r>
      <w:bookmarkEnd w:id="92"/>
    </w:p>
    <w:p w:rsidR="008F073B" w:rsidRDefault="008F073B" w:rsidP="0024006E">
      <w:pPr>
        <w:pStyle w:val="3"/>
      </w:pPr>
      <w:r w:rsidRPr="00FF0C30">
        <w:t>Option to wait</w:t>
      </w:r>
    </w:p>
    <w:p w:rsidR="00C43DE6" w:rsidRDefault="0023615A" w:rsidP="0023615A">
      <w:pPr>
        <w:rPr>
          <w:lang w:val="en-US"/>
        </w:rPr>
      </w:pPr>
      <w:r w:rsidRPr="0023615A">
        <w:rPr>
          <w:lang w:val="en-US"/>
        </w:rPr>
        <w:t xml:space="preserve">To solve the timing option, </w:t>
      </w:r>
      <w:r w:rsidR="009F64EB">
        <w:rPr>
          <w:lang w:val="en-US"/>
        </w:rPr>
        <w:t xml:space="preserve">we follow </w:t>
      </w:r>
      <w:r w:rsidR="009F64EB">
        <w:rPr>
          <w:lang w:val="en-US"/>
        </w:rPr>
        <w:fldChar w:fldCharType="begin" w:fldLock="1"/>
      </w:r>
      <w:r w:rsidR="00666082">
        <w:rPr>
          <w:lang w:val="en-US"/>
        </w:rPr>
        <w:instrText>ADDIN CSL_CITATION { "citationItems" : [ { "id" : "ITEM-1", "itemData" : { "ISBN" : "0-471-25696-X", "author" : [ { "dropping-particle" : "", "family" : "Mun", "given" : "J", "non-dropping-particle" : "", "parse-names" : false, "suffix" : "" } ], "id" : "ITEM-1", "issued" : { "date-parts" : [ [ "2002" ] ] }, "number-of-pages" : "386", "publisher" : "John Wiley &amp; Sons, Inc.", "publisher-place" : "Hoboken, New Jersey", "title" : "Real Options Analysis: Tools and Techniques for Valuing Strategic Investments and Decisions", "type" : "book" }, "uris" : [ "http://www.mendeley.com/documents/?uuid=e04122cf-39da-49e1-a293-b642c958e9d3" ] } ], "mendeley" : { "formattedCitation" : "(Mun 2002)", "plainTextFormattedCitation" : "(Mun 2002)", "previouslyFormattedCitation" : "(Mun 2002)" }, "properties" : { "noteIndex" : 0 }, "schema" : "https://github.com/citation-style-language/schema/raw/master/csl-citation.json" }</w:instrText>
      </w:r>
      <w:r w:rsidR="009F64EB">
        <w:rPr>
          <w:lang w:val="en-US"/>
        </w:rPr>
        <w:fldChar w:fldCharType="separate"/>
      </w:r>
      <w:r w:rsidR="009F64EB" w:rsidRPr="009F64EB">
        <w:rPr>
          <w:noProof/>
          <w:lang w:val="en-US"/>
        </w:rPr>
        <w:t>(Mun 2002)</w:t>
      </w:r>
      <w:r w:rsidR="009F64EB">
        <w:rPr>
          <w:lang w:val="en-US"/>
        </w:rPr>
        <w:fldChar w:fldCharType="end"/>
      </w:r>
      <w:r w:rsidR="009F64EB">
        <w:rPr>
          <w:lang w:val="en-US"/>
        </w:rPr>
        <w:t xml:space="preserve"> and </w:t>
      </w:r>
      <w:r w:rsidRPr="0023615A">
        <w:rPr>
          <w:lang w:val="en-US"/>
        </w:rPr>
        <w:t>start by assuming that the value of an underlying</w:t>
      </w:r>
      <w:r>
        <w:rPr>
          <w:lang w:val="en-US"/>
        </w:rPr>
        <w:t xml:space="preserve"> </w:t>
      </w:r>
      <w:r w:rsidRPr="0023615A">
        <w:rPr>
          <w:lang w:val="en-US"/>
        </w:rPr>
        <w:t xml:space="preserve">asset’s </w:t>
      </w:r>
      <w:r w:rsidRPr="0023615A">
        <w:rPr>
          <w:i/>
          <w:lang w:val="en-US"/>
        </w:rPr>
        <w:t>X = (X</w:t>
      </w:r>
      <w:r w:rsidRPr="0023615A">
        <w:rPr>
          <w:i/>
          <w:vertAlign w:val="subscript"/>
          <w:lang w:val="en-US"/>
        </w:rPr>
        <w:t>t</w:t>
      </w:r>
      <w:r w:rsidRPr="0023615A">
        <w:rPr>
          <w:i/>
          <w:lang w:val="en-US"/>
        </w:rPr>
        <w:t>)</w:t>
      </w:r>
      <w:r w:rsidRPr="0023615A">
        <w:rPr>
          <w:lang w:val="en-US"/>
        </w:rPr>
        <w:t xml:space="preserve"> follows a Geometric Brownian Motion</w:t>
      </w:r>
      <w:r w:rsidRPr="0023615A">
        <w:rPr>
          <w:rFonts w:ascii="ClassicalGaramondBT-Italic" w:hAnsi="ClassicalGaramondBT-Italic" w:cs="ClassicalGaramondBT-Italic"/>
          <w:i/>
          <w:iCs/>
          <w:lang w:val="en-US"/>
        </w:rPr>
        <w:t xml:space="preserve">. </w:t>
      </w:r>
      <w:r w:rsidRPr="0023615A">
        <w:rPr>
          <w:lang w:val="en-US"/>
        </w:rPr>
        <w:t xml:space="preserve">Then </w:t>
      </w:r>
      <w:r w:rsidR="009F64EB">
        <w:rPr>
          <w:lang w:val="en-US"/>
        </w:rPr>
        <w:t xml:space="preserve">the value of a call option is </w:t>
      </w:r>
      <w:r w:rsidR="00C43DE6">
        <w:rPr>
          <w:lang w:val="en-US"/>
        </w:rPr>
        <w:t>described by</w:t>
      </w:r>
      <w:r w:rsidR="009F64EB">
        <w:rPr>
          <w:lang w:val="en-US"/>
        </w:rPr>
        <w:t xml:space="preserve"> </w:t>
      </w:r>
      <w:r w:rsidR="009F64EB">
        <w:rPr>
          <w:lang w:val="en-US"/>
        </w:rPr>
        <w:fldChar w:fldCharType="begin"/>
      </w:r>
      <w:r w:rsidR="009F64EB">
        <w:rPr>
          <w:lang w:val="en-US"/>
        </w:rPr>
        <w:instrText xml:space="preserve"> REF _Ref484016945 \h </w:instrText>
      </w:r>
      <w:r w:rsidR="009F64EB">
        <w:rPr>
          <w:lang w:val="en-US"/>
        </w:rPr>
      </w:r>
      <w:r w:rsidR="009F64EB">
        <w:rPr>
          <w:lang w:val="en-US"/>
        </w:rPr>
        <w:fldChar w:fldCharType="separate"/>
      </w:r>
      <w:r w:rsidR="008324C6" w:rsidRPr="00B34A8F">
        <w:rPr>
          <w:lang w:val="en-US"/>
        </w:rPr>
        <w:t>(</w:t>
      </w:r>
      <w:r w:rsidR="008324C6" w:rsidRPr="00B34A8F">
        <w:rPr>
          <w:noProof/>
          <w:lang w:val="en-US"/>
        </w:rPr>
        <w:t>3</w:t>
      </w:r>
      <w:r w:rsidR="008324C6" w:rsidRPr="00B34A8F">
        <w:rPr>
          <w:lang w:val="en-US"/>
        </w:rPr>
        <w:t>.</w:t>
      </w:r>
      <w:r w:rsidR="008324C6" w:rsidRPr="00B34A8F">
        <w:rPr>
          <w:noProof/>
          <w:lang w:val="en-US"/>
        </w:rPr>
        <w:t>8</w:t>
      </w:r>
      <w:r w:rsidR="008324C6" w:rsidRPr="00B34A8F">
        <w:rPr>
          <w:lang w:val="en-US"/>
        </w:rPr>
        <w:t>)</w:t>
      </w:r>
      <w:r w:rsidR="009F64EB">
        <w:rPr>
          <w:lang w:val="en-US"/>
        </w:rPr>
        <w:fldChar w:fldCharType="end"/>
      </w:r>
      <w:r w:rsidR="00C43DE6">
        <w:rPr>
          <w:lang w:val="en-US"/>
        </w:rPr>
        <w:t>:</w:t>
      </w:r>
    </w:p>
    <w:tbl>
      <w:tblPr>
        <w:tblStyle w:val="af6"/>
        <w:tblW w:w="0" w:type="auto"/>
        <w:tblLook w:val="04A0" w:firstRow="1" w:lastRow="0" w:firstColumn="1" w:lastColumn="0" w:noHBand="0" w:noVBand="1"/>
      </w:tblPr>
      <w:tblGrid>
        <w:gridCol w:w="4672"/>
        <w:gridCol w:w="4673"/>
      </w:tblGrid>
      <w:tr w:rsidR="009F64EB" w:rsidTr="009F64EB">
        <w:tc>
          <w:tcPr>
            <w:tcW w:w="4672" w:type="dxa"/>
          </w:tcPr>
          <w:p w:rsidR="009F64EB" w:rsidRDefault="009F64EB" w:rsidP="009F64EB">
            <w:pPr>
              <w:rPr>
                <w:lang w:val="en-US"/>
              </w:rPr>
            </w:pPr>
            <m:oMathPara>
              <m:oMath>
                <m:r>
                  <w:rPr>
                    <w:rFonts w:ascii="Cambria Math" w:hAnsi="Cambria Math" w:cs="Times New Roman"/>
                    <w:szCs w:val="24"/>
                    <w:lang w:val="en-US"/>
                  </w:rPr>
                  <w:lastRenderedPageBreak/>
                  <m:t>Φ</m:t>
                </m:r>
                <m:d>
                  <m:dPr>
                    <m:ctrlPr>
                      <w:rPr>
                        <w:rFonts w:ascii="Cambria Math" w:hAnsi="Cambria Math" w:cs="Times New Roman"/>
                        <w:i/>
                        <w:szCs w:val="24"/>
                        <w:lang w:val="en-US"/>
                      </w:rPr>
                    </m:ctrlPr>
                  </m:dPr>
                  <m:e>
                    <m:r>
                      <w:rPr>
                        <w:rFonts w:ascii="Cambria Math" w:hAnsi="Cambria Math" w:cs="Times New Roman"/>
                        <w:szCs w:val="24"/>
                        <w:lang w:val="en-US"/>
                      </w:rPr>
                      <m:t>X</m:t>
                    </m:r>
                  </m:e>
                </m:d>
                <m:r>
                  <w:rPr>
                    <w:rFonts w:ascii="Cambria Math" w:hAnsi="Cambria Math" w:cs="Times New Roman"/>
                    <w:szCs w:val="24"/>
                    <w:lang w:val="en-US"/>
                  </w:rPr>
                  <m:t>= Emax</m:t>
                </m:r>
                <m:d>
                  <m:dPr>
                    <m:begChr m:val="["/>
                    <m:endChr m:val="]"/>
                    <m:ctrlPr>
                      <w:rPr>
                        <w:rFonts w:ascii="Cambria Math" w:hAnsi="Cambria Math" w:cs="Times New Roman"/>
                        <w:i/>
                        <w:szCs w:val="24"/>
                        <w:lang w:val="en-US"/>
                      </w:rPr>
                    </m:ctrlPr>
                  </m:dPr>
                  <m:e>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X</m:t>
                            </m:r>
                          </m:e>
                          <m:sub>
                            <m:r>
                              <w:rPr>
                                <w:rFonts w:ascii="Cambria Math" w:hAnsi="Cambria Math" w:cs="Times New Roman"/>
                                <w:szCs w:val="24"/>
                                <w:vertAlign w:val="subscript"/>
                                <w:lang w:val="en-US"/>
                              </w:rPr>
                              <m:t>T</m:t>
                            </m:r>
                          </m:sub>
                        </m:sSub>
                        <m:r>
                          <w:rPr>
                            <w:rFonts w:ascii="Cambria Math" w:hAnsi="Cambria Math" w:cs="Times New Roman"/>
                            <w:szCs w:val="24"/>
                            <w:lang w:val="en-US"/>
                          </w:rPr>
                          <m:t xml:space="preserve">  – I</m:t>
                        </m:r>
                      </m:e>
                    </m:d>
                    <m:r>
                      <w:rPr>
                        <w:rFonts w:ascii="Cambria Math" w:hAnsi="Cambria Math" w:cs="Times New Roman"/>
                        <w:szCs w:val="24"/>
                        <w:lang w:val="en-US"/>
                      </w:rPr>
                      <m:t>e</m:t>
                    </m:r>
                    <m:r>
                      <w:rPr>
                        <w:rFonts w:ascii="Cambria Math" w:hAnsi="Cambria Math" w:cs="Times New Roman"/>
                        <w:szCs w:val="24"/>
                        <w:vertAlign w:val="superscript"/>
                        <w:lang w:val="en-US"/>
                      </w:rPr>
                      <m:t>-</m:t>
                    </m:r>
                    <m:r>
                      <w:rPr>
                        <w:rFonts w:ascii="Cambria Math" w:hAnsi="Cambria Math" w:cs="Times New Roman"/>
                        <w:szCs w:val="24"/>
                        <w:vertAlign w:val="superscript"/>
                        <w:lang w:val="en-US"/>
                      </w:rPr>
                      <m:t>rT</m:t>
                    </m:r>
                    <m:r>
                      <w:rPr>
                        <w:rFonts w:ascii="Cambria Math" w:hAnsi="Cambria Math" w:cs="Times New Roman"/>
                        <w:szCs w:val="24"/>
                        <w:lang w:val="en-US"/>
                      </w:rPr>
                      <m:t>,</m:t>
                    </m:r>
                    <m:r>
                      <w:rPr>
                        <w:rFonts w:ascii="Cambria Math" w:hAnsi="Cambria Math" w:cs="Times New Roman"/>
                        <w:szCs w:val="24"/>
                        <w:lang w:val="en-US"/>
                      </w:rPr>
                      <m:t xml:space="preserve"> 0</m:t>
                    </m:r>
                  </m:e>
                </m:d>
                <m:r>
                  <m:rPr>
                    <m:sty m:val="p"/>
                  </m:rPr>
                  <w:rPr>
                    <w:rFonts w:ascii="Cambria Math" w:hAnsi="Cambria Math" w:cs="Times New Roman"/>
                    <w:szCs w:val="24"/>
                    <w:lang w:val="en-US"/>
                  </w:rPr>
                  <m:t>,</m:t>
                </m:r>
              </m:oMath>
            </m:oMathPara>
          </w:p>
        </w:tc>
        <w:tc>
          <w:tcPr>
            <w:tcW w:w="4673" w:type="dxa"/>
          </w:tcPr>
          <w:p w:rsidR="009F64EB" w:rsidRDefault="009F64EB" w:rsidP="009F64EB">
            <w:pPr>
              <w:pStyle w:val="ac"/>
              <w:jc w:val="right"/>
            </w:pPr>
            <w:bookmarkStart w:id="93" w:name="_Ref484016945"/>
            <w:r>
              <w:t>(</w:t>
            </w:r>
            <w:r w:rsidR="008F1F91">
              <w:fldChar w:fldCharType="begin"/>
            </w:r>
            <w:r w:rsidR="008F1F91">
              <w:instrText xml:space="preserve"> STYLEREF 1 \s </w:instrText>
            </w:r>
            <w:r w:rsidR="008F1F91">
              <w:fldChar w:fldCharType="separate"/>
            </w:r>
            <w:r w:rsidR="008324C6">
              <w:rPr>
                <w:noProof/>
              </w:rPr>
              <w:t>3</w:t>
            </w:r>
            <w:r w:rsidR="008F1F91">
              <w:fldChar w:fldCharType="end"/>
            </w:r>
            <w:r w:rsidR="008F1F91">
              <w:t>.</w:t>
            </w:r>
            <w:r w:rsidR="008F1F91">
              <w:fldChar w:fldCharType="begin"/>
            </w:r>
            <w:r w:rsidR="008F1F91">
              <w:instrText xml:space="preserve"> SEQ Formula \* ARABIC \s 1 </w:instrText>
            </w:r>
            <w:r w:rsidR="008F1F91">
              <w:fldChar w:fldCharType="separate"/>
            </w:r>
            <w:r w:rsidR="008324C6">
              <w:rPr>
                <w:noProof/>
              </w:rPr>
              <w:t>8</w:t>
            </w:r>
            <w:r w:rsidR="008F1F91">
              <w:fldChar w:fldCharType="end"/>
            </w:r>
            <w:r>
              <w:t>)</w:t>
            </w:r>
            <w:bookmarkEnd w:id="93"/>
          </w:p>
        </w:tc>
      </w:tr>
    </w:tbl>
    <w:p w:rsidR="00C43DE6" w:rsidRPr="00D5795B" w:rsidRDefault="00C43DE6" w:rsidP="00D5795B">
      <w:pPr>
        <w:pStyle w:val="a4"/>
        <w:ind w:left="708"/>
        <w:rPr>
          <w:i/>
          <w:lang w:val="en-US"/>
        </w:rPr>
      </w:pPr>
      <w:r w:rsidRPr="00D5795B">
        <w:rPr>
          <w:i/>
          <w:lang w:val="en-US"/>
        </w:rPr>
        <w:t>where:</w:t>
      </w:r>
    </w:p>
    <w:p w:rsidR="00C43DE6" w:rsidRDefault="0023615A" w:rsidP="00D5795B">
      <w:pPr>
        <w:pStyle w:val="a4"/>
        <w:ind w:left="1416"/>
        <w:rPr>
          <w:lang w:val="en-US"/>
        </w:rPr>
      </w:pPr>
      <w:r w:rsidRPr="00C43DE6">
        <w:rPr>
          <w:i/>
          <w:iCs/>
          <w:lang w:val="en-US"/>
        </w:rPr>
        <w:t xml:space="preserve">I </w:t>
      </w:r>
      <w:r w:rsidRPr="00C43DE6">
        <w:rPr>
          <w:lang w:val="en-US"/>
        </w:rPr>
        <w:t xml:space="preserve">is the initial capital investment outlay, </w:t>
      </w:r>
    </w:p>
    <w:p w:rsidR="00C43DE6" w:rsidRDefault="0023615A" w:rsidP="00D5795B">
      <w:pPr>
        <w:pStyle w:val="a4"/>
        <w:ind w:left="1416"/>
        <w:rPr>
          <w:lang w:val="en-US"/>
        </w:rPr>
      </w:pPr>
      <w:r w:rsidRPr="00C43DE6">
        <w:rPr>
          <w:i/>
          <w:iCs/>
          <w:lang w:val="en-US"/>
        </w:rPr>
        <w:t>X</w:t>
      </w:r>
      <w:r w:rsidRPr="00C43DE6">
        <w:rPr>
          <w:i/>
          <w:iCs/>
          <w:vertAlign w:val="subscript"/>
          <w:lang w:val="en-US"/>
        </w:rPr>
        <w:t>T</w:t>
      </w:r>
      <w:r w:rsidRPr="00C43DE6">
        <w:rPr>
          <w:i/>
          <w:iCs/>
          <w:lang w:val="en-US"/>
        </w:rPr>
        <w:t xml:space="preserve"> </w:t>
      </w:r>
      <w:r w:rsidRPr="00C43DE6">
        <w:rPr>
          <w:lang w:val="en-US"/>
        </w:rPr>
        <w:t xml:space="preserve">is the time value of the underlying asset at the terminal time </w:t>
      </w:r>
      <w:r w:rsidRPr="00C43DE6">
        <w:rPr>
          <w:i/>
          <w:iCs/>
          <w:lang w:val="en-US"/>
        </w:rPr>
        <w:t xml:space="preserve">T, </w:t>
      </w:r>
    </w:p>
    <w:p w:rsidR="00C43DE6" w:rsidRDefault="009F64EB" w:rsidP="00D5795B">
      <w:pPr>
        <w:ind w:left="708" w:firstLine="708"/>
        <w:rPr>
          <w:lang w:val="en-US"/>
        </w:rPr>
      </w:pPr>
      <w:r>
        <w:rPr>
          <w:i/>
          <w:iCs/>
          <w:lang w:val="en-US"/>
        </w:rPr>
        <w:t>r</w:t>
      </w:r>
      <w:r w:rsidR="0023615A" w:rsidRPr="00C43DE6">
        <w:rPr>
          <w:i/>
          <w:iCs/>
          <w:lang w:val="en-US"/>
        </w:rPr>
        <w:t xml:space="preserve"> </w:t>
      </w:r>
      <w:r w:rsidR="0023615A" w:rsidRPr="00C43DE6">
        <w:rPr>
          <w:lang w:val="en-US"/>
        </w:rPr>
        <w:t xml:space="preserve">is the discount rate. </w:t>
      </w:r>
    </w:p>
    <w:p w:rsidR="0023615A" w:rsidRDefault="0023615A" w:rsidP="0023615A">
      <w:pPr>
        <w:rPr>
          <w:rFonts w:cs="Times New Roman"/>
          <w:szCs w:val="24"/>
          <w:lang w:val="en-US"/>
        </w:rPr>
      </w:pPr>
      <w:r w:rsidRPr="00C43DE6">
        <w:rPr>
          <w:rFonts w:cs="Times New Roman"/>
          <w:szCs w:val="24"/>
          <w:lang w:val="en-US"/>
        </w:rPr>
        <w:t xml:space="preserve">The optimal investment strategy is to maximize the value of the option with respect to time </w:t>
      </w:r>
      <w:r w:rsidRPr="00C43DE6">
        <w:rPr>
          <w:rFonts w:cs="Times New Roman"/>
          <w:i/>
          <w:iCs/>
          <w:szCs w:val="24"/>
          <w:lang w:val="en-US"/>
        </w:rPr>
        <w:t xml:space="preserve">T </w:t>
      </w:r>
      <w:r w:rsidRPr="00C43DE6">
        <w:rPr>
          <w:rFonts w:cs="Times New Roman"/>
          <w:szCs w:val="24"/>
          <w:lang w:val="en-US"/>
        </w:rPr>
        <w:t xml:space="preserve">given the underlying stochastic investment process </w:t>
      </w:r>
      <w:r w:rsidRPr="00C43DE6">
        <w:rPr>
          <w:rFonts w:cs="Times New Roman"/>
          <w:i/>
          <w:iCs/>
          <w:szCs w:val="24"/>
          <w:lang w:val="en-US"/>
        </w:rPr>
        <w:t>X</w:t>
      </w:r>
      <w:r w:rsidR="00C43DE6">
        <w:rPr>
          <w:rFonts w:cs="Times New Roman"/>
          <w:szCs w:val="24"/>
          <w:lang w:val="en-US"/>
        </w:rPr>
        <w:t>. The following formula provides</w:t>
      </w:r>
      <w:r w:rsidR="008F1F91">
        <w:rPr>
          <w:rFonts w:cs="Times New Roman"/>
          <w:szCs w:val="24"/>
          <w:lang w:val="en-US"/>
        </w:rPr>
        <w:t xml:space="preserve"> the solution of this problem </w:t>
      </w:r>
      <w:r w:rsidR="008F1F91">
        <w:rPr>
          <w:rFonts w:cs="Times New Roman"/>
          <w:szCs w:val="24"/>
          <w:lang w:val="en-US"/>
        </w:rPr>
        <w:fldChar w:fldCharType="begin"/>
      </w:r>
      <w:r w:rsidR="008F1F91">
        <w:rPr>
          <w:rFonts w:cs="Times New Roman"/>
          <w:szCs w:val="24"/>
          <w:lang w:val="en-US"/>
        </w:rPr>
        <w:instrText xml:space="preserve"> REF _Ref484017970 \h </w:instrText>
      </w:r>
      <w:r w:rsidR="008F1F91">
        <w:rPr>
          <w:rFonts w:cs="Times New Roman"/>
          <w:szCs w:val="24"/>
          <w:lang w:val="en-US"/>
        </w:rPr>
      </w:r>
      <w:r w:rsidR="008F1F91">
        <w:rPr>
          <w:rFonts w:cs="Times New Roman"/>
          <w:szCs w:val="24"/>
          <w:lang w:val="en-US"/>
        </w:rPr>
        <w:fldChar w:fldCharType="separate"/>
      </w:r>
      <w:r w:rsidR="008324C6" w:rsidRPr="00B34A8F">
        <w:rPr>
          <w:rFonts w:cs="Times New Roman"/>
          <w:szCs w:val="24"/>
          <w:lang w:val="en-US"/>
        </w:rPr>
        <w:t>(</w:t>
      </w:r>
      <w:r w:rsidR="008324C6" w:rsidRPr="00B34A8F">
        <w:rPr>
          <w:rFonts w:cs="Times New Roman"/>
          <w:noProof/>
          <w:szCs w:val="24"/>
          <w:lang w:val="en-US"/>
        </w:rPr>
        <w:t>3</w:t>
      </w:r>
      <w:r w:rsidR="008324C6" w:rsidRPr="00B34A8F">
        <w:rPr>
          <w:rFonts w:cs="Times New Roman"/>
          <w:szCs w:val="24"/>
          <w:lang w:val="en-US"/>
        </w:rPr>
        <w:t>.</w:t>
      </w:r>
      <w:r w:rsidR="008324C6" w:rsidRPr="00B34A8F">
        <w:rPr>
          <w:rFonts w:cs="Times New Roman"/>
          <w:noProof/>
          <w:szCs w:val="24"/>
          <w:lang w:val="en-US"/>
        </w:rPr>
        <w:t>9</w:t>
      </w:r>
      <w:r w:rsidR="008324C6" w:rsidRPr="00B34A8F">
        <w:rPr>
          <w:rFonts w:cs="Times New Roman"/>
          <w:szCs w:val="24"/>
          <w:lang w:val="en-US"/>
        </w:rPr>
        <w:t>)</w:t>
      </w:r>
      <w:r w:rsidR="008F1F91">
        <w:rPr>
          <w:rFonts w:cs="Times New Roman"/>
          <w:szCs w:val="24"/>
          <w:lang w:val="en-US"/>
        </w:rPr>
        <w:fldChar w:fldCharType="end"/>
      </w:r>
      <w:r w:rsidR="008F1F91">
        <w:rPr>
          <w:rFonts w:cs="Times New Roman"/>
          <w:szCs w:val="24"/>
          <w:lang w:val="en-US"/>
        </w:rPr>
        <w:t xml:space="preserve">: </w:t>
      </w:r>
    </w:p>
    <w:tbl>
      <w:tblPr>
        <w:tblStyle w:val="af6"/>
        <w:tblW w:w="0" w:type="auto"/>
        <w:tblLook w:val="04A0" w:firstRow="1" w:lastRow="0" w:firstColumn="1" w:lastColumn="0" w:noHBand="0" w:noVBand="1"/>
      </w:tblPr>
      <w:tblGrid>
        <w:gridCol w:w="8755"/>
        <w:gridCol w:w="600"/>
      </w:tblGrid>
      <w:tr w:rsidR="008F1F91" w:rsidTr="008F1F91">
        <w:tc>
          <w:tcPr>
            <w:tcW w:w="9072" w:type="dxa"/>
          </w:tcPr>
          <w:p w:rsidR="008F1F91" w:rsidRDefault="008F1F91" w:rsidP="008F1F91">
            <w:pPr>
              <w:rPr>
                <w:rFonts w:cs="Times New Roman"/>
                <w:szCs w:val="24"/>
                <w:lang w:val="en-US"/>
              </w:rPr>
            </w:pPr>
            <m:oMathPara>
              <m:oMath>
                <m:sSup>
                  <m:sSupPr>
                    <m:ctrlPr>
                      <w:rPr>
                        <w:rFonts w:ascii="Cambria Math" w:hAnsi="Cambria Math" w:cs="Times New Roman"/>
                        <w:i/>
                        <w:szCs w:val="24"/>
                        <w:lang w:val="en-US"/>
                      </w:rPr>
                    </m:ctrlPr>
                  </m:sSupPr>
                  <m:e>
                    <m:r>
                      <w:rPr>
                        <w:rFonts w:ascii="Cambria Math" w:hAnsi="Cambria Math" w:cs="Times New Roman"/>
                        <w:szCs w:val="24"/>
                        <w:lang w:val="en-US"/>
                      </w:rPr>
                      <m:t>T</m:t>
                    </m:r>
                  </m:e>
                  <m:sup>
                    <m:r>
                      <w:rPr>
                        <w:rFonts w:ascii="Cambria Math" w:hAnsi="Cambria Math" w:cs="Times New Roman"/>
                        <w:szCs w:val="24"/>
                        <w:lang w:val="en-US"/>
                      </w:rPr>
                      <m:t>*</m:t>
                    </m:r>
                  </m:sup>
                </m:sSup>
                <m:r>
                  <w:rPr>
                    <w:rFonts w:ascii="Cambria Math" w:hAnsi="Cambria Math" w:cs="Times New Roman"/>
                    <w:szCs w:val="24"/>
                    <w:lang w:val="en-US"/>
                  </w:rPr>
                  <m:t>=</m:t>
                </m:r>
                <m:func>
                  <m:funcPr>
                    <m:ctrlPr>
                      <w:rPr>
                        <w:rFonts w:ascii="Cambria Math" w:hAnsi="Cambria Math" w:cs="Times New Roman"/>
                        <w:i/>
                        <w:szCs w:val="24"/>
                        <w:lang w:val="en-US"/>
                      </w:rPr>
                    </m:ctrlPr>
                  </m:funcPr>
                  <m:fName>
                    <m:r>
                      <m:rPr>
                        <m:sty m:val="p"/>
                      </m:rPr>
                      <w:rPr>
                        <w:rFonts w:ascii="Cambria Math" w:hAnsi="Cambria Math" w:cs="Times New Roman"/>
                        <w:szCs w:val="24"/>
                        <w:lang w:val="en-US"/>
                      </w:rPr>
                      <m:t>max</m:t>
                    </m:r>
                  </m:fName>
                  <m:e>
                    <m:d>
                      <m:dPr>
                        <m:ctrlPr>
                          <w:rPr>
                            <w:rFonts w:ascii="Cambria Math" w:hAnsi="Cambria Math" w:cs="Times New Roman"/>
                            <w:i/>
                            <w:szCs w:val="24"/>
                            <w:lang w:val="en-US"/>
                          </w:rPr>
                        </m:ctrlPr>
                      </m:dPr>
                      <m:e>
                        <m:f>
                          <m:fPr>
                            <m:ctrlPr>
                              <w:rPr>
                                <w:rFonts w:ascii="Cambria Math" w:hAnsi="Cambria Math" w:cs="Times New Roman"/>
                                <w:i/>
                                <w:szCs w:val="24"/>
                                <w:lang w:val="en-US"/>
                              </w:rPr>
                            </m:ctrlPr>
                          </m:fPr>
                          <m:num>
                            <m:r>
                              <w:rPr>
                                <w:rFonts w:ascii="Cambria Math" w:hAnsi="Cambria Math" w:cs="Times New Roman"/>
                                <w:szCs w:val="24"/>
                                <w:lang w:val="en-US"/>
                              </w:rPr>
                              <m:t>1</m:t>
                            </m:r>
                          </m:num>
                          <m:den>
                            <m:r>
                              <w:rPr>
                                <w:rFonts w:ascii="Cambria Math" w:hAnsi="Cambria Math" w:cs="Times New Roman"/>
                                <w:szCs w:val="24"/>
                                <w:lang w:val="en-US"/>
                              </w:rPr>
                              <m:t>α</m:t>
                            </m:r>
                          </m:den>
                        </m:f>
                        <m:func>
                          <m:funcPr>
                            <m:ctrlPr>
                              <w:rPr>
                                <w:rFonts w:ascii="Cambria Math" w:hAnsi="Cambria Math" w:cs="Times New Roman"/>
                                <w:i/>
                                <w:szCs w:val="24"/>
                                <w:lang w:val="en-US"/>
                              </w:rPr>
                            </m:ctrlPr>
                          </m:funcPr>
                          <m:fName>
                            <m:r>
                              <w:rPr>
                                <w:rFonts w:ascii="Cambria Math" w:hAnsi="Cambria Math" w:cs="Times New Roman"/>
                                <w:szCs w:val="24"/>
                                <w:lang w:val="en-US"/>
                              </w:rPr>
                              <m:t>ln</m:t>
                            </m:r>
                          </m:fName>
                          <m:e>
                            <m:d>
                              <m:dPr>
                                <m:ctrlPr>
                                  <w:rPr>
                                    <w:rFonts w:ascii="Cambria Math" w:hAnsi="Cambria Math" w:cs="Times New Roman"/>
                                    <w:i/>
                                    <w:szCs w:val="24"/>
                                    <w:lang w:val="en-US"/>
                                  </w:rPr>
                                </m:ctrlPr>
                              </m:dPr>
                              <m:e>
                                <m:f>
                                  <m:fPr>
                                    <m:ctrlPr>
                                      <w:rPr>
                                        <w:rFonts w:ascii="Cambria Math" w:hAnsi="Cambria Math" w:cs="Times New Roman"/>
                                        <w:i/>
                                        <w:szCs w:val="24"/>
                                        <w:lang w:val="en-US"/>
                                      </w:rPr>
                                    </m:ctrlPr>
                                  </m:fPr>
                                  <m:num>
                                    <m:r>
                                      <w:rPr>
                                        <w:rFonts w:ascii="Cambria Math" w:hAnsi="Cambria Math" w:cs="Times New Roman"/>
                                        <w:szCs w:val="24"/>
                                        <w:lang w:val="en-US"/>
                                      </w:rPr>
                                      <m:t>rI</m:t>
                                    </m:r>
                                  </m:num>
                                  <m:den>
                                    <m:d>
                                      <m:dPr>
                                        <m:ctrlPr>
                                          <w:rPr>
                                            <w:rFonts w:ascii="Cambria Math" w:hAnsi="Cambria Math" w:cs="Times New Roman"/>
                                            <w:i/>
                                            <w:szCs w:val="24"/>
                                            <w:lang w:val="en-US"/>
                                          </w:rPr>
                                        </m:ctrlPr>
                                      </m:dPr>
                                      <m:e>
                                        <m:r>
                                          <w:rPr>
                                            <w:rFonts w:ascii="Cambria Math" w:hAnsi="Cambria Math" w:cs="Times New Roman"/>
                                            <w:szCs w:val="24"/>
                                            <w:lang w:val="en-US"/>
                                          </w:rPr>
                                          <m:t>r-α</m:t>
                                        </m:r>
                                      </m:e>
                                    </m:d>
                                    <m:sSub>
                                      <m:sSubPr>
                                        <m:ctrlPr>
                                          <w:rPr>
                                            <w:rFonts w:ascii="Cambria Math" w:hAnsi="Cambria Math" w:cs="Times New Roman"/>
                                            <w:i/>
                                            <w:szCs w:val="24"/>
                                            <w:lang w:val="en-US"/>
                                          </w:rPr>
                                        </m:ctrlPr>
                                      </m:sSubPr>
                                      <m:e>
                                        <m:r>
                                          <w:rPr>
                                            <w:rFonts w:ascii="Cambria Math" w:hAnsi="Cambria Math" w:cs="Times New Roman"/>
                                            <w:szCs w:val="24"/>
                                            <w:lang w:val="en-US"/>
                                          </w:rPr>
                                          <m:t>X</m:t>
                                        </m:r>
                                      </m:e>
                                      <m:sub>
                                        <m:r>
                                          <w:rPr>
                                            <w:rFonts w:ascii="Cambria Math" w:hAnsi="Cambria Math" w:cs="Times New Roman"/>
                                            <w:szCs w:val="24"/>
                                            <w:lang w:val="en-US"/>
                                          </w:rPr>
                                          <m:t>0</m:t>
                                        </m:r>
                                      </m:sub>
                                    </m:sSub>
                                  </m:den>
                                </m:f>
                              </m:e>
                            </m:d>
                          </m:e>
                        </m:func>
                        <m:r>
                          <w:rPr>
                            <w:rFonts w:ascii="Cambria Math" w:hAnsi="Cambria Math" w:cs="Times New Roman"/>
                            <w:szCs w:val="24"/>
                            <w:lang w:val="en-US"/>
                          </w:rPr>
                          <m:t>;0</m:t>
                        </m:r>
                      </m:e>
                    </m:d>
                  </m:e>
                </m:func>
                <m:r>
                  <w:rPr>
                    <w:rFonts w:ascii="Cambria Math" w:hAnsi="Cambria Math" w:cs="Times New Roman"/>
                    <w:szCs w:val="24"/>
                    <w:lang w:val="en-US"/>
                  </w:rPr>
                  <m:t xml:space="preserve">, </m:t>
                </m:r>
              </m:oMath>
            </m:oMathPara>
          </w:p>
        </w:tc>
        <w:tc>
          <w:tcPr>
            <w:tcW w:w="273" w:type="dxa"/>
          </w:tcPr>
          <w:p w:rsidR="008F1F91" w:rsidRDefault="008F1F91" w:rsidP="008F1F91">
            <w:pPr>
              <w:pStyle w:val="ac"/>
              <w:jc w:val="right"/>
              <w:rPr>
                <w:rFonts w:cs="Times New Roman"/>
                <w:szCs w:val="24"/>
              </w:rPr>
            </w:pPr>
            <w:bookmarkStart w:id="94" w:name="_Ref484017970"/>
            <w:r>
              <w:rPr>
                <w:rFonts w:cs="Times New Roman"/>
                <w:szCs w:val="24"/>
              </w:rPr>
              <w:t>(</w:t>
            </w:r>
            <w:r>
              <w:rPr>
                <w:rFonts w:cs="Times New Roman"/>
                <w:szCs w:val="24"/>
              </w:rPr>
              <w:fldChar w:fldCharType="begin"/>
            </w:r>
            <w:r>
              <w:rPr>
                <w:rFonts w:cs="Times New Roman"/>
                <w:szCs w:val="24"/>
              </w:rPr>
              <w:instrText xml:space="preserve"> STYLEREF 1 \s </w:instrText>
            </w:r>
            <w:r>
              <w:rPr>
                <w:rFonts w:cs="Times New Roman"/>
                <w:szCs w:val="24"/>
              </w:rPr>
              <w:fldChar w:fldCharType="separate"/>
            </w:r>
            <w:r w:rsidR="008324C6">
              <w:rPr>
                <w:rFonts w:cs="Times New Roman"/>
                <w:noProof/>
                <w:szCs w:val="24"/>
              </w:rPr>
              <w:t>3</w:t>
            </w:r>
            <w:r>
              <w:rPr>
                <w:rFonts w:cs="Times New Roman"/>
                <w:szCs w:val="24"/>
              </w:rPr>
              <w:fldChar w:fldCharType="end"/>
            </w:r>
            <w:r>
              <w:rPr>
                <w:rFonts w:cs="Times New Roman"/>
                <w:szCs w:val="24"/>
              </w:rPr>
              <w:t>.</w:t>
            </w:r>
            <w:r>
              <w:rPr>
                <w:rFonts w:cs="Times New Roman"/>
                <w:szCs w:val="24"/>
              </w:rPr>
              <w:fldChar w:fldCharType="begin"/>
            </w:r>
            <w:r>
              <w:rPr>
                <w:rFonts w:cs="Times New Roman"/>
                <w:szCs w:val="24"/>
              </w:rPr>
              <w:instrText xml:space="preserve"> SEQ Formula \* ARABIC \s 1 </w:instrText>
            </w:r>
            <w:r>
              <w:rPr>
                <w:rFonts w:cs="Times New Roman"/>
                <w:szCs w:val="24"/>
              </w:rPr>
              <w:fldChar w:fldCharType="separate"/>
            </w:r>
            <w:r w:rsidR="008324C6">
              <w:rPr>
                <w:rFonts w:cs="Times New Roman"/>
                <w:noProof/>
                <w:szCs w:val="24"/>
              </w:rPr>
              <w:t>9</w:t>
            </w:r>
            <w:r>
              <w:rPr>
                <w:rFonts w:cs="Times New Roman"/>
                <w:szCs w:val="24"/>
              </w:rPr>
              <w:fldChar w:fldCharType="end"/>
            </w:r>
            <w:r>
              <w:rPr>
                <w:rFonts w:cs="Times New Roman"/>
                <w:szCs w:val="24"/>
              </w:rPr>
              <w:t>)</w:t>
            </w:r>
            <w:bookmarkEnd w:id="94"/>
          </w:p>
        </w:tc>
      </w:tr>
    </w:tbl>
    <w:p w:rsidR="00C43DE6" w:rsidRDefault="00C43DE6" w:rsidP="008F073B">
      <w:pPr>
        <w:rPr>
          <w:rFonts w:cs="Times New Roman"/>
          <w:szCs w:val="24"/>
          <w:lang w:val="en-US"/>
        </w:rPr>
      </w:pPr>
      <w:r>
        <w:rPr>
          <w:rFonts w:cs="Times New Roman"/>
          <w:szCs w:val="24"/>
          <w:lang w:val="en-US"/>
        </w:rPr>
        <w:t xml:space="preserve">where </w:t>
      </w:r>
      <w:r w:rsidRPr="00C43DE6">
        <w:rPr>
          <w:rFonts w:cs="Times New Roman"/>
          <w:i/>
          <w:szCs w:val="24"/>
          <w:lang w:val="en-US"/>
        </w:rPr>
        <w:t>α</w:t>
      </w:r>
      <w:r>
        <w:rPr>
          <w:rFonts w:cs="Times New Roman"/>
          <w:szCs w:val="24"/>
          <w:lang w:val="en-US"/>
        </w:rPr>
        <w:t xml:space="preserve"> is growth rate (drift) of underlying asset.</w:t>
      </w:r>
    </w:p>
    <w:p w:rsidR="008F073B" w:rsidRPr="00FF0C30" w:rsidRDefault="008F073B" w:rsidP="008F073B">
      <w:pPr>
        <w:rPr>
          <w:rFonts w:cs="Times New Roman"/>
          <w:szCs w:val="24"/>
          <w:lang w:val="en-US"/>
        </w:rPr>
      </w:pPr>
      <w:r w:rsidRPr="00FF0C30">
        <w:rPr>
          <w:rFonts w:cs="Times New Roman"/>
          <w:szCs w:val="24"/>
          <w:lang w:val="en-US"/>
        </w:rPr>
        <w:t xml:space="preserve">Option to wait captures managerial ability to postpone investment decision in order to resolve the uncertainties, mainly URALS price. Its value depends on expiration date. It is maximal in </w:t>
      </w:r>
      <w:r w:rsidR="006E210E">
        <w:rPr>
          <w:rFonts w:cs="Times New Roman"/>
          <w:b/>
          <w:bCs/>
          <w:szCs w:val="24"/>
          <w:lang w:val="en-US"/>
        </w:rPr>
        <w:t>7</w:t>
      </w:r>
      <w:r w:rsidRPr="00FF0C30">
        <w:rPr>
          <w:rFonts w:cs="Times New Roman"/>
          <w:b/>
          <w:bCs/>
          <w:szCs w:val="24"/>
          <w:lang w:val="en-US"/>
        </w:rPr>
        <w:t xml:space="preserve"> years </w:t>
      </w:r>
      <w:r w:rsidR="006E210E">
        <w:rPr>
          <w:rFonts w:cs="Times New Roman"/>
          <w:b/>
          <w:bCs/>
          <w:szCs w:val="24"/>
          <w:lang w:val="en-US"/>
        </w:rPr>
        <w:t>11</w:t>
      </w:r>
      <w:r w:rsidRPr="00FF0C30">
        <w:rPr>
          <w:rFonts w:cs="Times New Roman"/>
          <w:b/>
          <w:bCs/>
          <w:szCs w:val="24"/>
          <w:lang w:val="en-US"/>
        </w:rPr>
        <w:t xml:space="preserve"> months</w:t>
      </w:r>
      <w:r w:rsidRPr="00FF0C30">
        <w:rPr>
          <w:rFonts w:cs="Times New Roman"/>
          <w:szCs w:val="24"/>
          <w:lang w:val="en-US"/>
        </w:rPr>
        <w:t>.</w:t>
      </w:r>
    </w:p>
    <w:p w:rsidR="00C12A08" w:rsidRPr="00B61E59" w:rsidRDefault="006E210E" w:rsidP="00C12A08">
      <w:pPr>
        <w:keepNext/>
        <w:jc w:val="center"/>
        <w:rPr>
          <w:lang w:val="en-US"/>
        </w:rPr>
      </w:pPr>
      <w:r w:rsidRPr="006E210E">
        <w:drawing>
          <wp:inline distT="0" distB="0" distL="0" distR="0" wp14:anchorId="33D912AE" wp14:editId="29AE5D47">
            <wp:extent cx="3838575" cy="20668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4953" cy="2086402"/>
                    </a:xfrm>
                    <a:prstGeom prst="rect">
                      <a:avLst/>
                    </a:prstGeom>
                    <a:noFill/>
                    <a:ln>
                      <a:noFill/>
                    </a:ln>
                  </pic:spPr>
                </pic:pic>
              </a:graphicData>
            </a:graphic>
          </wp:inline>
        </w:drawing>
      </w:r>
      <w:r w:rsidRPr="00B61E59">
        <w:rPr>
          <w:noProof/>
          <w:lang w:val="en-US" w:eastAsia="ru-RU"/>
        </w:rPr>
        <w:t xml:space="preserve"> </w:t>
      </w:r>
      <w:r>
        <w:rPr>
          <w:noProof/>
          <w:lang w:eastAsia="ru-RU"/>
        </w:rPr>
        <w:drawing>
          <wp:inline distT="0" distB="0" distL="0" distR="0" wp14:anchorId="213D2BE3" wp14:editId="42C954B1">
            <wp:extent cx="3867150" cy="249555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64EB" w:rsidRPr="00FF0C30" w:rsidRDefault="00C12A08" w:rsidP="009F64EB">
      <w:pPr>
        <w:pStyle w:val="ac"/>
        <w:rPr>
          <w:lang w:eastAsia="ru-RU"/>
        </w:rPr>
      </w:pPr>
      <w:bookmarkStart w:id="95" w:name="_Toc484036527"/>
      <w:r>
        <w:t xml:space="preserve">Figure </w:t>
      </w:r>
      <w:r w:rsidR="00A1168F">
        <w:fldChar w:fldCharType="begin"/>
      </w:r>
      <w:r w:rsidR="00A1168F">
        <w:instrText xml:space="preserve"> SEQ Figure \* ARABIC </w:instrText>
      </w:r>
      <w:r w:rsidR="00A1168F">
        <w:fldChar w:fldCharType="separate"/>
      </w:r>
      <w:r w:rsidR="008324C6">
        <w:rPr>
          <w:noProof/>
        </w:rPr>
        <w:t>13</w:t>
      </w:r>
      <w:r w:rsidR="00A1168F">
        <w:fldChar w:fldCharType="end"/>
      </w:r>
      <w:r>
        <w:t>. Valuation of option to wait</w:t>
      </w:r>
      <w:r w:rsidR="009F64EB">
        <w:t xml:space="preserve">. </w:t>
      </w:r>
      <w:r w:rsidR="009F64EB" w:rsidRPr="00481A23">
        <w:t>Source: Author´s figure</w:t>
      </w:r>
      <w:r w:rsidR="009F64EB">
        <w:t>.</w:t>
      </w:r>
      <w:bookmarkEnd w:id="95"/>
    </w:p>
    <w:p w:rsidR="008F073B" w:rsidRPr="00FF0C30" w:rsidRDefault="008F073B" w:rsidP="00C12A08">
      <w:pPr>
        <w:pStyle w:val="ac"/>
        <w:rPr>
          <w:rFonts w:cs="Times New Roman"/>
          <w:szCs w:val="24"/>
        </w:rPr>
      </w:pPr>
    </w:p>
    <w:p w:rsidR="008F073B" w:rsidRPr="00FF0C30" w:rsidRDefault="008F073B" w:rsidP="0024006E">
      <w:pPr>
        <w:pStyle w:val="3"/>
      </w:pPr>
      <w:r w:rsidRPr="00FF0C30">
        <w:lastRenderedPageBreak/>
        <w:t>Option to abandon</w:t>
      </w:r>
    </w:p>
    <w:p w:rsidR="00A1168F" w:rsidRDefault="008F073B" w:rsidP="008F073B">
      <w:pPr>
        <w:rPr>
          <w:rFonts w:cs="Times New Roman"/>
          <w:szCs w:val="24"/>
          <w:lang w:val="en-US"/>
        </w:rPr>
      </w:pPr>
      <w:r w:rsidRPr="00FF0C30">
        <w:rPr>
          <w:rFonts w:cs="Times New Roman"/>
          <w:szCs w:val="24"/>
          <w:lang w:val="en-US"/>
        </w:rPr>
        <w:t xml:space="preserve">Option to abandon captures managerial ability to exit the project and use the platform for other fields development. It significantly </w:t>
      </w:r>
      <w:r w:rsidR="0024006E" w:rsidRPr="00FF0C30">
        <w:rPr>
          <w:rFonts w:cs="Times New Roman"/>
          <w:szCs w:val="24"/>
          <w:lang w:val="en-US"/>
        </w:rPr>
        <w:t>increases</w:t>
      </w:r>
      <w:r w:rsidRPr="00FF0C30">
        <w:rPr>
          <w:rFonts w:cs="Times New Roman"/>
          <w:szCs w:val="24"/>
          <w:lang w:val="en-US"/>
        </w:rPr>
        <w:t xml:space="preserve"> the NPV of the project as it </w:t>
      </w:r>
      <w:r w:rsidR="0024006E" w:rsidRPr="00FF0C30">
        <w:rPr>
          <w:rFonts w:cs="Times New Roman"/>
          <w:szCs w:val="24"/>
          <w:lang w:val="en-US"/>
        </w:rPr>
        <w:t>allows</w:t>
      </w:r>
      <w:r w:rsidRPr="00FF0C30">
        <w:rPr>
          <w:rFonts w:cs="Times New Roman"/>
          <w:szCs w:val="24"/>
          <w:lang w:val="en-US"/>
        </w:rPr>
        <w:t xml:space="preserve"> the management to handle all the extreme </w:t>
      </w:r>
      <w:r w:rsidR="0024006E" w:rsidRPr="00FF0C30">
        <w:rPr>
          <w:rFonts w:cs="Times New Roman"/>
          <w:szCs w:val="24"/>
          <w:lang w:val="en-US"/>
        </w:rPr>
        <w:t>realizations</w:t>
      </w:r>
      <w:r w:rsidRPr="00FF0C30">
        <w:rPr>
          <w:rFonts w:cs="Times New Roman"/>
          <w:szCs w:val="24"/>
          <w:lang w:val="en-US"/>
        </w:rPr>
        <w:t xml:space="preserve"> of uncertainty through leaving the project for salvage value</w:t>
      </w:r>
      <w:r w:rsidR="00A1168F">
        <w:rPr>
          <w:rFonts w:cs="Times New Roman"/>
          <w:szCs w:val="24"/>
          <w:lang w:val="en-US"/>
        </w:rPr>
        <w:t>.</w:t>
      </w:r>
    </w:p>
    <w:p w:rsidR="00A1168F" w:rsidRPr="00666082" w:rsidRDefault="00A1168F" w:rsidP="00666082">
      <w:pPr>
        <w:rPr>
          <w:rFonts w:cs="Times New Roman"/>
          <w:szCs w:val="24"/>
          <w:lang w:val="en-US"/>
        </w:rPr>
      </w:pPr>
      <w:r>
        <w:rPr>
          <w:rFonts w:cs="Times New Roman"/>
          <w:szCs w:val="24"/>
          <w:lang w:val="en-US"/>
        </w:rPr>
        <w:t>First step of valuation is construction of binomial lattice of underlying asset value based on</w:t>
      </w:r>
      <w:r w:rsidRPr="00FF0C30">
        <w:rPr>
          <w:rFonts w:ascii="CMR12" w:hAnsi="CMR12" w:cs="CMR12"/>
          <w:lang w:val="en-US"/>
        </w:rPr>
        <w:t xml:space="preserve"> the geometric Brownian motion and no arbitrage assumptions. This tree is formulated assuming risk neutral investors and that the price either increases or decreases i</w:t>
      </w:r>
      <w:r w:rsidR="00666082">
        <w:rPr>
          <w:rFonts w:ascii="CMR12" w:hAnsi="CMR12" w:cs="CMR12"/>
          <w:lang w:val="en-US"/>
        </w:rPr>
        <w:t xml:space="preserve">n each period, as expressed by </w:t>
      </w:r>
      <w:r w:rsidR="00666082">
        <w:rPr>
          <w:rFonts w:ascii="CMR12" w:hAnsi="CMR12" w:cs="CMR12"/>
          <w:lang w:val="en-US"/>
        </w:rPr>
        <w:fldChar w:fldCharType="begin"/>
      </w:r>
      <w:r w:rsidR="00666082">
        <w:rPr>
          <w:rFonts w:ascii="CMR12" w:hAnsi="CMR12" w:cs="CMR12"/>
          <w:lang w:val="en-US"/>
        </w:rPr>
        <w:instrText xml:space="preserve"> REF _Ref484017106 \h </w:instrText>
      </w:r>
      <w:r w:rsidR="00666082">
        <w:rPr>
          <w:rFonts w:ascii="CMR12" w:hAnsi="CMR12" w:cs="CMR12"/>
          <w:lang w:val="en-US"/>
        </w:rPr>
      </w:r>
      <w:r w:rsidR="00666082">
        <w:rPr>
          <w:rFonts w:ascii="CMR12" w:hAnsi="CMR12" w:cs="CMR12"/>
          <w:lang w:val="en-US"/>
        </w:rPr>
        <w:fldChar w:fldCharType="separate"/>
      </w:r>
      <w:r w:rsidR="008324C6" w:rsidRPr="00B34A8F">
        <w:rPr>
          <w:lang w:val="en-US"/>
        </w:rPr>
        <w:t>(</w:t>
      </w:r>
      <w:r w:rsidR="008324C6" w:rsidRPr="00B34A8F">
        <w:rPr>
          <w:noProof/>
          <w:lang w:val="en-US"/>
        </w:rPr>
        <w:t>1</w:t>
      </w:r>
      <w:r w:rsidR="008324C6" w:rsidRPr="00B34A8F">
        <w:rPr>
          <w:lang w:val="en-US"/>
        </w:rPr>
        <w:t>.</w:t>
      </w:r>
      <w:r w:rsidR="008324C6" w:rsidRPr="00B34A8F">
        <w:rPr>
          <w:noProof/>
          <w:lang w:val="en-US"/>
        </w:rPr>
        <w:t>14</w:t>
      </w:r>
      <w:r w:rsidR="008324C6" w:rsidRPr="00B34A8F">
        <w:rPr>
          <w:lang w:val="en-US"/>
        </w:rPr>
        <w:t>)</w:t>
      </w:r>
      <w:r w:rsidR="00666082">
        <w:rPr>
          <w:rFonts w:ascii="CMR12" w:hAnsi="CMR12" w:cs="CMR12"/>
          <w:lang w:val="en-US"/>
        </w:rPr>
        <w:fldChar w:fldCharType="end"/>
      </w:r>
      <w:r w:rsidRPr="00666082">
        <w:rPr>
          <w:rFonts w:cs="Times New Roman"/>
          <w:szCs w:val="24"/>
          <w:lang w:val="en-US"/>
        </w:rPr>
        <w:t xml:space="preserve"> </w:t>
      </w:r>
    </w:p>
    <w:p w:rsidR="00A1168F" w:rsidRPr="00FF0C30" w:rsidRDefault="00A1168F" w:rsidP="00A1168F">
      <w:pPr>
        <w:rPr>
          <w:rFonts w:ascii="CMR12" w:hAnsi="CMR12" w:cs="CMR12"/>
          <w:szCs w:val="24"/>
          <w:lang w:val="en-US"/>
        </w:rPr>
      </w:pPr>
      <w:r w:rsidRPr="00FF0C30">
        <w:rPr>
          <w:rFonts w:ascii="CMR12" w:hAnsi="CMR12" w:cs="CMR12"/>
          <w:szCs w:val="24"/>
          <w:lang w:val="en-US"/>
        </w:rPr>
        <w:t xml:space="preserve">The probabilities of occurrence of a price increase </w:t>
      </w:r>
      <w:r w:rsidRPr="00FF0C30">
        <w:rPr>
          <w:rFonts w:ascii="CMR12" w:hAnsi="CMR12" w:cs="CMR12"/>
          <w:i/>
          <w:szCs w:val="24"/>
          <w:lang w:val="en-US"/>
        </w:rPr>
        <w:t>(</w:t>
      </w:r>
      <w:r w:rsidRPr="00FF0C30">
        <w:rPr>
          <w:rFonts w:ascii="CMMI12" w:hAnsi="CMMI12" w:cs="CMMI12"/>
          <w:i/>
          <w:szCs w:val="24"/>
          <w:lang w:val="en-US"/>
        </w:rPr>
        <w:t>p</w:t>
      </w:r>
      <w:r w:rsidRPr="00FF0C30">
        <w:rPr>
          <w:rFonts w:ascii="CMR12" w:hAnsi="CMR12" w:cs="CMR12"/>
          <w:i/>
          <w:szCs w:val="24"/>
          <w:lang w:val="en-US"/>
        </w:rPr>
        <w:t>)</w:t>
      </w:r>
      <w:r w:rsidRPr="00FF0C30">
        <w:rPr>
          <w:rFonts w:ascii="CMR12" w:hAnsi="CMR12" w:cs="CMR12"/>
          <w:szCs w:val="24"/>
          <w:lang w:val="en-US"/>
        </w:rPr>
        <w:t xml:space="preserve"> and decrease </w:t>
      </w:r>
      <w:r w:rsidRPr="00FF0C30">
        <w:rPr>
          <w:rFonts w:ascii="CMR12" w:hAnsi="CMR12" w:cs="CMR12"/>
          <w:i/>
          <w:szCs w:val="24"/>
          <w:lang w:val="en-US"/>
        </w:rPr>
        <w:t xml:space="preserve">(1 </w:t>
      </w:r>
      <w:r w:rsidRPr="00FF0C30">
        <w:rPr>
          <w:rFonts w:eastAsia="Times New Roman" w:cs="Times New Roman"/>
          <w:i/>
          <w:szCs w:val="24"/>
          <w:lang w:val="en-US"/>
        </w:rPr>
        <w:t xml:space="preserve">– </w:t>
      </w:r>
      <w:r w:rsidRPr="00FF0C30">
        <w:rPr>
          <w:rFonts w:ascii="CMSY10" w:hAnsi="CMSY10" w:cs="CMSY10"/>
          <w:i/>
          <w:szCs w:val="24"/>
          <w:lang w:val="en-US"/>
        </w:rPr>
        <w:t xml:space="preserve"> </w:t>
      </w:r>
      <w:r w:rsidRPr="00FF0C30">
        <w:rPr>
          <w:rFonts w:ascii="CMMI12" w:hAnsi="CMMI12" w:cs="CMMI12"/>
          <w:i/>
          <w:szCs w:val="24"/>
          <w:lang w:val="en-US"/>
        </w:rPr>
        <w:t>p</w:t>
      </w:r>
      <w:r w:rsidRPr="00FF0C30">
        <w:rPr>
          <w:rFonts w:ascii="CMR12" w:hAnsi="CMR12" w:cs="CMR12"/>
          <w:i/>
          <w:szCs w:val="24"/>
          <w:lang w:val="en-US"/>
        </w:rPr>
        <w:t>)</w:t>
      </w:r>
      <w:r w:rsidRPr="00FF0C30">
        <w:rPr>
          <w:rFonts w:ascii="CMR12" w:hAnsi="CMR12" w:cs="CMR12"/>
          <w:szCs w:val="24"/>
          <w:lang w:val="en-US"/>
        </w:rPr>
        <w:t xml:space="preserve"> are set to guarantee a zero expected gain from trading the product. </w:t>
      </w:r>
    </w:p>
    <w:tbl>
      <w:tblPr>
        <w:tblStyle w:val="41"/>
        <w:tblW w:w="5000" w:type="pct"/>
        <w:tblLook w:val="04A0" w:firstRow="1" w:lastRow="0" w:firstColumn="1" w:lastColumn="0" w:noHBand="0" w:noVBand="1"/>
      </w:tblPr>
      <w:tblGrid>
        <w:gridCol w:w="1950"/>
        <w:gridCol w:w="1426"/>
        <w:gridCol w:w="1426"/>
        <w:gridCol w:w="1481"/>
        <w:gridCol w:w="1481"/>
        <w:gridCol w:w="1591"/>
      </w:tblGrid>
      <w:tr w:rsidR="006E210E" w:rsidRPr="006E210E" w:rsidTr="006E210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left"/>
              <w:rPr>
                <w:rFonts w:eastAsia="Times New Roman" w:cs="Times New Roman"/>
                <w:color w:val="000000"/>
                <w:sz w:val="22"/>
                <w:lang w:val="en-US" w:eastAsia="ru-RU"/>
              </w:rPr>
            </w:pPr>
            <w:r w:rsidRPr="006E210E">
              <w:rPr>
                <w:rFonts w:eastAsia="Times New Roman" w:cs="Times New Roman"/>
                <w:color w:val="000000"/>
                <w:sz w:val="22"/>
                <w:lang w:val="en-US" w:eastAsia="ru-RU"/>
              </w:rPr>
              <w:t>PV of inflows</w:t>
            </w:r>
          </w:p>
        </w:tc>
        <w:tc>
          <w:tcPr>
            <w:tcW w:w="763"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0</w:t>
            </w:r>
          </w:p>
        </w:tc>
        <w:tc>
          <w:tcPr>
            <w:tcW w:w="763"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1</w:t>
            </w:r>
          </w:p>
        </w:tc>
        <w:tc>
          <w:tcPr>
            <w:tcW w:w="763"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2</w:t>
            </w:r>
          </w:p>
        </w:tc>
        <w:tc>
          <w:tcPr>
            <w:tcW w:w="763"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3</w:t>
            </w:r>
          </w:p>
        </w:tc>
        <w:tc>
          <w:tcPr>
            <w:tcW w:w="817"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4</w:t>
            </w:r>
          </w:p>
        </w:tc>
      </w:tr>
      <w:tr w:rsidR="006E210E" w:rsidRPr="006E210E" w:rsidTr="006E21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0</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lang w:val="en-US" w:eastAsia="ru-RU"/>
              </w:rPr>
            </w:pPr>
            <w:r w:rsidRPr="006E210E">
              <w:rPr>
                <w:rFonts w:eastAsia="Times New Roman" w:cs="Times New Roman"/>
                <w:color w:val="000000"/>
                <w:sz w:val="22"/>
                <w:lang w:val="en-US" w:eastAsia="ru-RU"/>
              </w:rPr>
              <w:t xml:space="preserve">         </w:t>
            </w:r>
            <w:r w:rsidRPr="006E210E">
              <w:rPr>
                <w:rFonts w:eastAsia="Times New Roman" w:cs="Times New Roman"/>
                <w:b/>
                <w:color w:val="000000"/>
                <w:sz w:val="22"/>
                <w:lang w:val="en-US" w:eastAsia="ru-RU"/>
              </w:rPr>
              <w:t xml:space="preserve">233 244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523 748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1 176 077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2 640 882   </w:t>
            </w:r>
          </w:p>
        </w:tc>
        <w:tc>
          <w:tcPr>
            <w:tcW w:w="817"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5 930 100   </w:t>
            </w:r>
          </w:p>
        </w:tc>
      </w:tr>
      <w:tr w:rsidR="006E210E" w:rsidRPr="006E210E" w:rsidTr="006E210E">
        <w:trPr>
          <w:trHeight w:val="300"/>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1</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103 872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233 244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523 748   </w:t>
            </w:r>
          </w:p>
        </w:tc>
        <w:tc>
          <w:tcPr>
            <w:tcW w:w="817"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1 176 077   </w:t>
            </w:r>
          </w:p>
        </w:tc>
      </w:tr>
      <w:tr w:rsidR="006E210E" w:rsidRPr="006E210E" w:rsidTr="006E21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2</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46 258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103 872   </w:t>
            </w:r>
          </w:p>
        </w:tc>
        <w:tc>
          <w:tcPr>
            <w:tcW w:w="817"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233 244   </w:t>
            </w:r>
          </w:p>
        </w:tc>
      </w:tr>
      <w:tr w:rsidR="006E210E" w:rsidRPr="006E210E" w:rsidTr="006E210E">
        <w:trPr>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3</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20 600   </w:t>
            </w:r>
          </w:p>
        </w:tc>
        <w:tc>
          <w:tcPr>
            <w:tcW w:w="817"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46 258   </w:t>
            </w:r>
          </w:p>
        </w:tc>
      </w:tr>
      <w:tr w:rsidR="006E210E" w:rsidRPr="006E210E" w:rsidTr="006E21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4</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817"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9 174   </w:t>
            </w:r>
          </w:p>
        </w:tc>
      </w:tr>
    </w:tbl>
    <w:p w:rsidR="00A1168F" w:rsidRDefault="00A1168F" w:rsidP="00A1168F">
      <w:pPr>
        <w:keepNext/>
      </w:pPr>
    </w:p>
    <w:p w:rsidR="00A1168F" w:rsidRPr="00FF0C30" w:rsidRDefault="00A1168F" w:rsidP="00A1168F">
      <w:pPr>
        <w:pStyle w:val="ac"/>
        <w:rPr>
          <w:rFonts w:cs="Times New Roman"/>
          <w:szCs w:val="24"/>
        </w:rPr>
      </w:pPr>
      <w:bookmarkStart w:id="96" w:name="_Toc484036528"/>
      <w:r>
        <w:t xml:space="preserve">Figure </w:t>
      </w:r>
      <w:r>
        <w:fldChar w:fldCharType="begin"/>
      </w:r>
      <w:r>
        <w:instrText xml:space="preserve"> SEQ Figure \* ARABIC </w:instrText>
      </w:r>
      <w:r>
        <w:fldChar w:fldCharType="separate"/>
      </w:r>
      <w:r w:rsidR="008324C6">
        <w:rPr>
          <w:noProof/>
        </w:rPr>
        <w:t>14</w:t>
      </w:r>
      <w:r>
        <w:fldChar w:fldCharType="end"/>
      </w:r>
      <w:r>
        <w:t>. Binomial lattice for present value of cash inflows (first 5 periods)</w:t>
      </w:r>
      <w:r w:rsidR="00666082">
        <w:t>.</w:t>
      </w:r>
      <w:r w:rsidR="00666082" w:rsidRPr="00666082">
        <w:t xml:space="preserve"> </w:t>
      </w:r>
      <w:r w:rsidR="00666082" w:rsidRPr="00481A23">
        <w:t>Source: Author´s figure</w:t>
      </w:r>
      <w:r w:rsidR="00666082">
        <w:t>.</w:t>
      </w:r>
      <w:bookmarkEnd w:id="96"/>
    </w:p>
    <w:p w:rsidR="00A1168F" w:rsidRDefault="00A1168F" w:rsidP="00C12A08">
      <w:pPr>
        <w:keepNext/>
        <w:rPr>
          <w:rFonts w:cs="Times New Roman"/>
          <w:noProof/>
          <w:szCs w:val="24"/>
          <w:lang w:val="en-US" w:eastAsia="ru-RU"/>
        </w:rPr>
      </w:pPr>
      <w:r>
        <w:rPr>
          <w:rFonts w:cs="Times New Roman"/>
          <w:noProof/>
          <w:szCs w:val="24"/>
          <w:lang w:val="en-US" w:eastAsia="ru-RU"/>
        </w:rPr>
        <w:t>Second step is adjustment of binomial lattice to managerial flexibility. At each period management can compare expected present value of the project and salvage value of investments. In  case salvage value exceeds expected present value, the project shoul be abandoned</w:t>
      </w:r>
      <w:r w:rsidR="003D269B">
        <w:rPr>
          <w:rFonts w:cs="Times New Roman"/>
          <w:noProof/>
          <w:szCs w:val="24"/>
          <w:lang w:val="en-US" w:eastAsia="ru-RU"/>
        </w:rPr>
        <w:t>, otherwise it should be continued.</w:t>
      </w:r>
    </w:p>
    <w:p w:rsidR="00A37B72" w:rsidRDefault="00A37B72" w:rsidP="00A37B72">
      <w:pPr>
        <w:pStyle w:val="OfficialNormal"/>
        <w:rPr>
          <w:lang w:val="en-US"/>
        </w:rPr>
      </w:pPr>
      <w:r w:rsidRPr="00A37B72">
        <w:rPr>
          <w:rFonts w:cs="Times New Roman"/>
          <w:noProof/>
          <w:szCs w:val="24"/>
          <w:lang w:val="en-US" w:eastAsia="ru-RU"/>
        </w:rPr>
        <w:t xml:space="preserve">Both platform sale and </w:t>
      </w:r>
      <w:r w:rsidR="00666082">
        <w:rPr>
          <w:rFonts w:cs="Times New Roman"/>
          <w:noProof/>
          <w:szCs w:val="24"/>
          <w:lang w:val="en-US" w:eastAsia="ru-RU"/>
        </w:rPr>
        <w:t xml:space="preserve">platform </w:t>
      </w:r>
      <w:r w:rsidRPr="00A37B72">
        <w:rPr>
          <w:rFonts w:cs="Times New Roman"/>
          <w:noProof/>
          <w:szCs w:val="24"/>
          <w:lang w:val="en-US" w:eastAsia="ru-RU"/>
        </w:rPr>
        <w:t xml:space="preserve">reutilization can be treated as an exit for salvage value. </w:t>
      </w:r>
      <w:r>
        <w:rPr>
          <w:lang w:val="en-US"/>
        </w:rPr>
        <w:t xml:space="preserve">For the analysis of the project salvage value is calculated as book price of the platform net of cumulated amortization and depreciation. </w:t>
      </w:r>
    </w:p>
    <w:p w:rsidR="00A1168F" w:rsidRDefault="00D5795B" w:rsidP="00C12A08">
      <w:pPr>
        <w:keepNext/>
        <w:rPr>
          <w:rFonts w:cs="Times New Roman"/>
          <w:noProof/>
          <w:szCs w:val="24"/>
          <w:lang w:val="en-US" w:eastAsia="ru-RU"/>
        </w:rPr>
      </w:pPr>
      <w:r>
        <w:rPr>
          <w:rFonts w:cs="Times New Roman"/>
          <w:noProof/>
          <w:szCs w:val="24"/>
          <w:lang w:val="en-US" w:eastAsia="ru-RU"/>
        </w:rPr>
        <w:fldChar w:fldCharType="begin"/>
      </w:r>
      <w:r>
        <w:rPr>
          <w:rFonts w:cs="Times New Roman"/>
          <w:noProof/>
          <w:szCs w:val="24"/>
          <w:lang w:val="en-US" w:eastAsia="ru-RU"/>
        </w:rPr>
        <w:instrText xml:space="preserve"> REF _Ref483783179 \h </w:instrText>
      </w:r>
      <w:r>
        <w:rPr>
          <w:rFonts w:cs="Times New Roman"/>
          <w:noProof/>
          <w:szCs w:val="24"/>
          <w:lang w:val="en-US" w:eastAsia="ru-RU"/>
        </w:rPr>
      </w:r>
      <w:r>
        <w:rPr>
          <w:rFonts w:cs="Times New Roman"/>
          <w:noProof/>
          <w:szCs w:val="24"/>
          <w:lang w:val="en-US" w:eastAsia="ru-RU"/>
        </w:rPr>
        <w:fldChar w:fldCharType="separate"/>
      </w:r>
      <w:r w:rsidR="008324C6" w:rsidRPr="00B34A8F">
        <w:rPr>
          <w:lang w:val="en-US"/>
        </w:rPr>
        <w:t xml:space="preserve">Figure </w:t>
      </w:r>
      <w:r w:rsidR="008324C6" w:rsidRPr="00B34A8F">
        <w:rPr>
          <w:noProof/>
          <w:lang w:val="en-US"/>
        </w:rPr>
        <w:t>15</w:t>
      </w:r>
      <w:r>
        <w:rPr>
          <w:rFonts w:cs="Times New Roman"/>
          <w:noProof/>
          <w:szCs w:val="24"/>
          <w:lang w:val="en-US" w:eastAsia="ru-RU"/>
        </w:rPr>
        <w:fldChar w:fldCharType="end"/>
      </w:r>
      <w:r>
        <w:rPr>
          <w:rFonts w:cs="Times New Roman"/>
          <w:noProof/>
          <w:szCs w:val="24"/>
          <w:lang w:val="en-US" w:eastAsia="ru-RU"/>
        </w:rPr>
        <w:t xml:space="preserve"> </w:t>
      </w:r>
      <w:r w:rsidR="00A1168F">
        <w:rPr>
          <w:rFonts w:cs="Times New Roman"/>
          <w:noProof/>
          <w:szCs w:val="24"/>
          <w:lang w:val="en-US" w:eastAsia="ru-RU"/>
        </w:rPr>
        <w:t>captures this flexibility for first 5 periods.</w:t>
      </w:r>
    </w:p>
    <w:tbl>
      <w:tblPr>
        <w:tblStyle w:val="41"/>
        <w:tblW w:w="5000" w:type="pct"/>
        <w:tblLook w:val="04A0" w:firstRow="1" w:lastRow="0" w:firstColumn="1" w:lastColumn="0" w:noHBand="0" w:noVBand="1"/>
      </w:tblPr>
      <w:tblGrid>
        <w:gridCol w:w="2060"/>
        <w:gridCol w:w="1426"/>
        <w:gridCol w:w="1426"/>
        <w:gridCol w:w="1426"/>
        <w:gridCol w:w="1426"/>
        <w:gridCol w:w="1591"/>
      </w:tblGrid>
      <w:tr w:rsidR="006E210E" w:rsidRPr="006E210E" w:rsidTr="006E210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left"/>
              <w:rPr>
                <w:rFonts w:eastAsia="Times New Roman" w:cs="Times New Roman"/>
                <w:color w:val="000000"/>
                <w:sz w:val="22"/>
                <w:lang w:val="en-US" w:eastAsia="ru-RU"/>
              </w:rPr>
            </w:pPr>
            <w:r w:rsidRPr="00B8436D">
              <w:rPr>
                <w:rFonts w:eastAsia="Times New Roman" w:cs="Times New Roman"/>
                <w:color w:val="000000"/>
                <w:sz w:val="22"/>
                <w:lang w:val="en-US" w:eastAsia="ru-RU"/>
              </w:rPr>
              <w:t>Option to abandon</w:t>
            </w:r>
          </w:p>
        </w:tc>
        <w:tc>
          <w:tcPr>
            <w:tcW w:w="763"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0</w:t>
            </w:r>
          </w:p>
        </w:tc>
        <w:tc>
          <w:tcPr>
            <w:tcW w:w="763"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1</w:t>
            </w:r>
          </w:p>
        </w:tc>
        <w:tc>
          <w:tcPr>
            <w:tcW w:w="763"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2</w:t>
            </w:r>
          </w:p>
        </w:tc>
        <w:tc>
          <w:tcPr>
            <w:tcW w:w="763"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3</w:t>
            </w:r>
          </w:p>
        </w:tc>
        <w:tc>
          <w:tcPr>
            <w:tcW w:w="817" w:type="pct"/>
            <w:noWrap/>
            <w:hideMark/>
          </w:tcPr>
          <w:p w:rsidR="006E210E" w:rsidRPr="006E210E" w:rsidRDefault="006E210E" w:rsidP="006E210E">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2"/>
                <w:lang w:val="en-US" w:eastAsia="ru-RU"/>
              </w:rPr>
            </w:pPr>
            <w:r w:rsidRPr="006E210E">
              <w:rPr>
                <w:rFonts w:eastAsia="Times New Roman" w:cs="Times New Roman"/>
                <w:i/>
                <w:iCs/>
                <w:color w:val="000000"/>
                <w:sz w:val="22"/>
                <w:lang w:val="en-US" w:eastAsia="ru-RU"/>
              </w:rPr>
              <w:t>4</w:t>
            </w:r>
          </w:p>
        </w:tc>
      </w:tr>
      <w:tr w:rsidR="006E210E" w:rsidRPr="006E210E" w:rsidTr="006E21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0</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lang w:val="en-US" w:eastAsia="ru-RU"/>
              </w:rPr>
            </w:pPr>
            <w:r w:rsidRPr="006E210E">
              <w:rPr>
                <w:rFonts w:eastAsia="Times New Roman" w:cs="Times New Roman"/>
                <w:b/>
                <w:color w:val="000000"/>
                <w:sz w:val="22"/>
                <w:lang w:val="en-US" w:eastAsia="ru-RU"/>
              </w:rPr>
              <w:t xml:space="preserve">         270 620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550 115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1 190 852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2 647 973   </w:t>
            </w:r>
          </w:p>
        </w:tc>
        <w:tc>
          <w:tcPr>
            <w:tcW w:w="817"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5 933 074   </w:t>
            </w:r>
          </w:p>
        </w:tc>
      </w:tr>
      <w:tr w:rsidR="006E210E" w:rsidRPr="006E210E" w:rsidTr="006E210E">
        <w:trPr>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1</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152 955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270 026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545 028   </w:t>
            </w:r>
          </w:p>
        </w:tc>
        <w:tc>
          <w:tcPr>
            <w:tcW w:w="817"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1 186 534   </w:t>
            </w:r>
          </w:p>
        </w:tc>
      </w:tr>
      <w:tr w:rsidR="006E210E" w:rsidRPr="006E210E" w:rsidTr="006E21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2</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109 501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154 806   </w:t>
            </w:r>
          </w:p>
        </w:tc>
        <w:tc>
          <w:tcPr>
            <w:tcW w:w="817"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263 756   </w:t>
            </w:r>
          </w:p>
        </w:tc>
      </w:tr>
      <w:tr w:rsidR="006E210E" w:rsidRPr="006E210E" w:rsidTr="006E210E">
        <w:trPr>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3</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100 093   </w:t>
            </w:r>
          </w:p>
        </w:tc>
        <w:tc>
          <w:tcPr>
            <w:tcW w:w="817" w:type="pct"/>
            <w:noWrap/>
            <w:hideMark/>
          </w:tcPr>
          <w:p w:rsidR="006E210E" w:rsidRPr="006E210E" w:rsidRDefault="006E210E" w:rsidP="006E210E">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116 201   </w:t>
            </w:r>
          </w:p>
        </w:tc>
      </w:tr>
      <w:tr w:rsidR="006E210E" w:rsidRPr="006E210E" w:rsidTr="006E21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3" w:type="pct"/>
            <w:noWrap/>
            <w:hideMark/>
          </w:tcPr>
          <w:p w:rsidR="006E210E" w:rsidRPr="006E210E" w:rsidRDefault="006E210E" w:rsidP="006E210E">
            <w:pPr>
              <w:spacing w:line="240" w:lineRule="auto"/>
              <w:jc w:val="right"/>
              <w:rPr>
                <w:rFonts w:eastAsia="Times New Roman" w:cs="Times New Roman"/>
                <w:i/>
                <w:iCs/>
                <w:color w:val="808080"/>
                <w:sz w:val="22"/>
                <w:lang w:val="en-US" w:eastAsia="ru-RU"/>
              </w:rPr>
            </w:pPr>
            <w:r w:rsidRPr="006E210E">
              <w:rPr>
                <w:rFonts w:eastAsia="Times New Roman" w:cs="Times New Roman"/>
                <w:i/>
                <w:iCs/>
                <w:color w:val="808080"/>
                <w:sz w:val="22"/>
                <w:lang w:val="en-US" w:eastAsia="ru-RU"/>
              </w:rPr>
              <w:t>4</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763"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w:t>
            </w:r>
          </w:p>
        </w:tc>
        <w:tc>
          <w:tcPr>
            <w:tcW w:w="817" w:type="pct"/>
            <w:noWrap/>
            <w:hideMark/>
          </w:tcPr>
          <w:p w:rsidR="006E210E" w:rsidRPr="006E210E" w:rsidRDefault="006E210E" w:rsidP="006E210E">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val="en-US" w:eastAsia="ru-RU"/>
              </w:rPr>
            </w:pPr>
            <w:r w:rsidRPr="006E210E">
              <w:rPr>
                <w:rFonts w:eastAsia="Times New Roman" w:cs="Times New Roman"/>
                <w:color w:val="000000"/>
                <w:sz w:val="22"/>
                <w:lang w:val="en-US" w:eastAsia="ru-RU"/>
              </w:rPr>
              <w:t xml:space="preserve">            105 754   </w:t>
            </w:r>
          </w:p>
        </w:tc>
      </w:tr>
    </w:tbl>
    <w:p w:rsidR="003D269B" w:rsidRDefault="003D269B" w:rsidP="003D269B">
      <w:pPr>
        <w:keepNext/>
      </w:pPr>
    </w:p>
    <w:p w:rsidR="00A1168F" w:rsidRDefault="003D269B" w:rsidP="003D269B">
      <w:pPr>
        <w:pStyle w:val="ac"/>
        <w:rPr>
          <w:rFonts w:cs="Times New Roman"/>
          <w:szCs w:val="24"/>
        </w:rPr>
      </w:pPr>
      <w:bookmarkStart w:id="97" w:name="_Ref483783179"/>
      <w:bookmarkStart w:id="98" w:name="_Toc484036529"/>
      <w:r>
        <w:t xml:space="preserve">Figure </w:t>
      </w:r>
      <w:r>
        <w:fldChar w:fldCharType="begin"/>
      </w:r>
      <w:r>
        <w:instrText xml:space="preserve"> SEQ Figure \* ARABIC </w:instrText>
      </w:r>
      <w:r>
        <w:fldChar w:fldCharType="separate"/>
      </w:r>
      <w:r w:rsidR="008324C6">
        <w:rPr>
          <w:noProof/>
        </w:rPr>
        <w:t>15</w:t>
      </w:r>
      <w:r>
        <w:fldChar w:fldCharType="end"/>
      </w:r>
      <w:bookmarkEnd w:id="97"/>
      <w:r w:rsidR="00D5795B">
        <w:t>.</w:t>
      </w:r>
      <w:r w:rsidRPr="003D269B">
        <w:t xml:space="preserve"> </w:t>
      </w:r>
      <w:r>
        <w:t>Binomial lattice for present value of cash inflows with option to abandon (first 5 periods)</w:t>
      </w:r>
      <w:r w:rsidR="00666082">
        <w:t xml:space="preserve">. </w:t>
      </w:r>
      <w:r w:rsidR="00666082" w:rsidRPr="00481A23">
        <w:t>Source: Author´s figure</w:t>
      </w:r>
      <w:r w:rsidR="00666082">
        <w:t>.</w:t>
      </w:r>
      <w:bookmarkEnd w:id="98"/>
    </w:p>
    <w:p w:rsidR="003D269B" w:rsidRDefault="003D269B" w:rsidP="003D269B">
      <w:pPr>
        <w:rPr>
          <w:lang w:val="en-US"/>
        </w:rPr>
      </w:pPr>
      <w:r w:rsidRPr="003D269B">
        <w:rPr>
          <w:lang w:val="en-US"/>
        </w:rPr>
        <w:lastRenderedPageBreak/>
        <w:t>Creating the option valuation lattice proceeds in two steps, the valuation</w:t>
      </w:r>
      <w:r>
        <w:rPr>
          <w:lang w:val="en-US"/>
        </w:rPr>
        <w:t xml:space="preserve"> </w:t>
      </w:r>
      <w:r w:rsidRPr="003D269B">
        <w:rPr>
          <w:lang w:val="en-US"/>
        </w:rPr>
        <w:t>of the terminal nodes and the valuation of the intermediate nodes using</w:t>
      </w:r>
      <w:r>
        <w:rPr>
          <w:lang w:val="en-US"/>
        </w:rPr>
        <w:t xml:space="preserve"> </w:t>
      </w:r>
      <w:r w:rsidRPr="003D269B">
        <w:rPr>
          <w:lang w:val="en-US"/>
        </w:rPr>
        <w:t>a process called backward induction. If you recall from the first lattice, the</w:t>
      </w:r>
      <w:r>
        <w:rPr>
          <w:lang w:val="en-US"/>
        </w:rPr>
        <w:t xml:space="preserve"> </w:t>
      </w:r>
      <w:r w:rsidRPr="003D269B">
        <w:rPr>
          <w:lang w:val="en-US"/>
        </w:rPr>
        <w:t>values are created in a forward multiplication of up and down factors, from</w:t>
      </w:r>
      <w:r>
        <w:rPr>
          <w:lang w:val="en-US"/>
        </w:rPr>
        <w:t xml:space="preserve"> </w:t>
      </w:r>
      <w:r w:rsidRPr="003D269B">
        <w:rPr>
          <w:lang w:val="en-US"/>
        </w:rPr>
        <w:t>left to right. For this second lattice, the calculation proceeds in a backward</w:t>
      </w:r>
      <w:r>
        <w:rPr>
          <w:lang w:val="en-US"/>
        </w:rPr>
        <w:t xml:space="preserve"> </w:t>
      </w:r>
      <w:r w:rsidRPr="003D269B">
        <w:rPr>
          <w:lang w:val="en-US"/>
        </w:rPr>
        <w:t>manner, starting from the terminal nodes. That is, the nodes at the end of</w:t>
      </w:r>
      <w:r>
        <w:rPr>
          <w:lang w:val="en-US"/>
        </w:rPr>
        <w:t xml:space="preserve"> </w:t>
      </w:r>
      <w:r w:rsidRPr="003D269B">
        <w:rPr>
          <w:lang w:val="en-US"/>
        </w:rPr>
        <w:t>the lattice are valued first, going from right to left.</w:t>
      </w:r>
      <w:r>
        <w:rPr>
          <w:lang w:val="en-US"/>
        </w:rPr>
        <w:t xml:space="preserve"> </w:t>
      </w:r>
    </w:p>
    <w:p w:rsidR="003D269B" w:rsidRPr="003D269B" w:rsidRDefault="00D5795B" w:rsidP="003D269B">
      <w:pPr>
        <w:rPr>
          <w:lang w:val="en-US"/>
        </w:rPr>
      </w:pPr>
      <w:r>
        <w:rPr>
          <w:lang w:val="en-US"/>
        </w:rPr>
        <w:fldChar w:fldCharType="begin"/>
      </w:r>
      <w:r>
        <w:rPr>
          <w:lang w:val="en-US"/>
        </w:rPr>
        <w:instrText xml:space="preserve"> REF _Ref483783220 \h </w:instrText>
      </w:r>
      <w:r>
        <w:rPr>
          <w:lang w:val="en-US"/>
        </w:rPr>
      </w:r>
      <w:r>
        <w:rPr>
          <w:lang w:val="en-US"/>
        </w:rPr>
        <w:fldChar w:fldCharType="separate"/>
      </w:r>
      <w:r w:rsidR="008324C6" w:rsidRPr="00B34A8F">
        <w:rPr>
          <w:lang w:val="en-US"/>
        </w:rPr>
        <w:t xml:space="preserve">Figure </w:t>
      </w:r>
      <w:r w:rsidR="008324C6" w:rsidRPr="00B34A8F">
        <w:rPr>
          <w:noProof/>
          <w:lang w:val="en-US"/>
        </w:rPr>
        <w:t>16</w:t>
      </w:r>
      <w:r>
        <w:rPr>
          <w:lang w:val="en-US"/>
        </w:rPr>
        <w:fldChar w:fldCharType="end"/>
      </w:r>
      <w:r>
        <w:rPr>
          <w:lang w:val="en-US"/>
        </w:rPr>
        <w:t xml:space="preserve"> </w:t>
      </w:r>
      <w:r w:rsidR="003D269B">
        <w:rPr>
          <w:lang w:val="en-US"/>
        </w:rPr>
        <w:t>describes inputs for the estimation and main outputs of the model.</w:t>
      </w:r>
    </w:p>
    <w:p w:rsidR="00C12A08" w:rsidRPr="006E210E" w:rsidRDefault="00B8436D" w:rsidP="00B8436D">
      <w:pPr>
        <w:keepNext/>
        <w:jc w:val="center"/>
        <w:rPr>
          <w:lang w:val="en-US"/>
        </w:rPr>
      </w:pPr>
      <w:r w:rsidRPr="00B8436D">
        <w:drawing>
          <wp:inline distT="0" distB="0" distL="0" distR="0" wp14:anchorId="40C2F11A" wp14:editId="11A85461">
            <wp:extent cx="3405351" cy="1828800"/>
            <wp:effectExtent l="0" t="0" r="508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7241" cy="1851296"/>
                    </a:xfrm>
                    <a:prstGeom prst="rect">
                      <a:avLst/>
                    </a:prstGeom>
                    <a:noFill/>
                    <a:ln>
                      <a:noFill/>
                    </a:ln>
                  </pic:spPr>
                </pic:pic>
              </a:graphicData>
            </a:graphic>
          </wp:inline>
        </w:drawing>
      </w:r>
      <w:r>
        <w:rPr>
          <w:lang w:val="en-US"/>
        </w:rPr>
        <w:t xml:space="preserve">  </w:t>
      </w:r>
      <w:r w:rsidR="006E210E" w:rsidRPr="006E210E">
        <w:drawing>
          <wp:inline distT="0" distB="0" distL="0" distR="0" wp14:anchorId="01B9D03A" wp14:editId="50760362">
            <wp:extent cx="3408902" cy="610235"/>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9665" cy="622902"/>
                    </a:xfrm>
                    <a:prstGeom prst="rect">
                      <a:avLst/>
                    </a:prstGeom>
                    <a:noFill/>
                    <a:ln>
                      <a:noFill/>
                    </a:ln>
                  </pic:spPr>
                </pic:pic>
              </a:graphicData>
            </a:graphic>
          </wp:inline>
        </w:drawing>
      </w:r>
    </w:p>
    <w:p w:rsidR="008F073B" w:rsidRDefault="00C12A08" w:rsidP="00C12A08">
      <w:pPr>
        <w:pStyle w:val="ac"/>
      </w:pPr>
      <w:bookmarkStart w:id="99" w:name="_Ref483783220"/>
      <w:bookmarkStart w:id="100" w:name="_Toc484036530"/>
      <w:r>
        <w:t xml:space="preserve">Figure </w:t>
      </w:r>
      <w:r w:rsidR="00A1168F">
        <w:fldChar w:fldCharType="begin"/>
      </w:r>
      <w:r w:rsidR="00A1168F">
        <w:instrText xml:space="preserve"> SEQ Figure \* ARABIC </w:instrText>
      </w:r>
      <w:r w:rsidR="00A1168F">
        <w:fldChar w:fldCharType="separate"/>
      </w:r>
      <w:r w:rsidR="008324C6">
        <w:rPr>
          <w:noProof/>
        </w:rPr>
        <w:t>16</w:t>
      </w:r>
      <w:r w:rsidR="00A1168F">
        <w:fldChar w:fldCharType="end"/>
      </w:r>
      <w:bookmarkEnd w:id="99"/>
      <w:r>
        <w:t>. Valuation of option to abandon</w:t>
      </w:r>
      <w:r w:rsidR="00666082">
        <w:t xml:space="preserve">. </w:t>
      </w:r>
      <w:r w:rsidR="00666082" w:rsidRPr="00481A23">
        <w:t>Source: Author´s figure</w:t>
      </w:r>
      <w:r w:rsidR="00666082">
        <w:t>.</w:t>
      </w:r>
      <w:bookmarkEnd w:id="100"/>
    </w:p>
    <w:p w:rsidR="003D269B" w:rsidRPr="003D269B" w:rsidRDefault="003D269B" w:rsidP="003D269B">
      <w:pPr>
        <w:rPr>
          <w:lang w:val="en-US"/>
        </w:rPr>
      </w:pPr>
      <w:r w:rsidRPr="003D269B">
        <w:rPr>
          <w:lang w:val="en-US"/>
        </w:rPr>
        <w:t xml:space="preserve">By having a </w:t>
      </w:r>
      <w:r>
        <w:rPr>
          <w:lang w:val="en-US"/>
        </w:rPr>
        <w:t>platform that can be moved to another oil field or sold, and therefore provides a</w:t>
      </w:r>
      <w:r w:rsidRPr="003D269B">
        <w:rPr>
          <w:lang w:val="en-US"/>
        </w:rPr>
        <w:t xml:space="preserve"> way out for management given dire circumstances,</w:t>
      </w:r>
      <w:r>
        <w:rPr>
          <w:lang w:val="en-US"/>
        </w:rPr>
        <w:t xml:space="preserve"> </w:t>
      </w:r>
      <w:r w:rsidRPr="003D269B">
        <w:rPr>
          <w:lang w:val="en-US"/>
        </w:rPr>
        <w:t xml:space="preserve">the project is worth more than its static </w:t>
      </w:r>
      <w:r>
        <w:rPr>
          <w:lang w:val="en-US"/>
        </w:rPr>
        <w:t xml:space="preserve">net present value of </w:t>
      </w:r>
      <w:r w:rsidR="00B8436D">
        <w:rPr>
          <w:lang w:val="en-US"/>
        </w:rPr>
        <w:t>6</w:t>
      </w:r>
      <w:r>
        <w:rPr>
          <w:lang w:val="en-US"/>
        </w:rPr>
        <w:t xml:space="preserve"> b</w:t>
      </w:r>
      <w:r w:rsidRPr="003D269B">
        <w:rPr>
          <w:lang w:val="en-US"/>
        </w:rPr>
        <w:t>illion</w:t>
      </w:r>
      <w:r>
        <w:rPr>
          <w:lang w:val="en-US"/>
        </w:rPr>
        <w:t xml:space="preserve"> </w:t>
      </w:r>
      <w:r w:rsidR="00B8436D">
        <w:rPr>
          <w:lang w:val="en-US"/>
        </w:rPr>
        <w:t>rubles</w:t>
      </w:r>
      <w:r w:rsidRPr="003D269B">
        <w:rPr>
          <w:lang w:val="en-US"/>
        </w:rPr>
        <w:t>. The</w:t>
      </w:r>
      <w:r>
        <w:rPr>
          <w:lang w:val="en-US"/>
        </w:rPr>
        <w:t xml:space="preserve"> </w:t>
      </w:r>
      <w:r w:rsidR="00B8436D">
        <w:rPr>
          <w:lang w:val="en-US"/>
        </w:rPr>
        <w:t>6</w:t>
      </w:r>
      <w:r w:rsidRPr="003D269B">
        <w:rPr>
          <w:lang w:val="en-US"/>
        </w:rPr>
        <w:t xml:space="preserve"> </w:t>
      </w:r>
      <w:r>
        <w:rPr>
          <w:lang w:val="en-US"/>
        </w:rPr>
        <w:t>b</w:t>
      </w:r>
      <w:r w:rsidRPr="003D269B">
        <w:rPr>
          <w:lang w:val="en-US"/>
        </w:rPr>
        <w:t xml:space="preserve">illion </w:t>
      </w:r>
      <w:r w:rsidR="00B8436D">
        <w:rPr>
          <w:lang w:val="en-US"/>
        </w:rPr>
        <w:t>rubles</w:t>
      </w:r>
      <w:r>
        <w:rPr>
          <w:lang w:val="en-US"/>
        </w:rPr>
        <w:t xml:space="preserve"> </w:t>
      </w:r>
      <w:r w:rsidRPr="003D269B">
        <w:rPr>
          <w:lang w:val="en-US"/>
        </w:rPr>
        <w:t xml:space="preserve">is the static NPV without flexibility, the </w:t>
      </w:r>
      <w:r w:rsidR="00B8436D">
        <w:rPr>
          <w:lang w:val="en-US"/>
        </w:rPr>
        <w:t xml:space="preserve">37 </w:t>
      </w:r>
      <w:r>
        <w:rPr>
          <w:lang w:val="en-US"/>
        </w:rPr>
        <w:t>billion</w:t>
      </w:r>
      <w:r w:rsidRPr="003D269B">
        <w:rPr>
          <w:lang w:val="en-US"/>
        </w:rPr>
        <w:t xml:space="preserve"> </w:t>
      </w:r>
      <w:r w:rsidR="00B8436D">
        <w:rPr>
          <w:lang w:val="en-US"/>
        </w:rPr>
        <w:t>rubles</w:t>
      </w:r>
      <w:r>
        <w:rPr>
          <w:lang w:val="en-US"/>
        </w:rPr>
        <w:t xml:space="preserve"> </w:t>
      </w:r>
      <w:r w:rsidRPr="003D269B">
        <w:rPr>
          <w:lang w:val="en-US"/>
        </w:rPr>
        <w:t>is the</w:t>
      </w:r>
      <w:r>
        <w:rPr>
          <w:lang w:val="en-US"/>
        </w:rPr>
        <w:t xml:space="preserve"> </w:t>
      </w:r>
      <w:r w:rsidRPr="003D269B">
        <w:rPr>
          <w:lang w:val="en-US"/>
        </w:rPr>
        <w:t xml:space="preserve">real options value, and the combined value of </w:t>
      </w:r>
      <w:r w:rsidR="00B8436D">
        <w:rPr>
          <w:lang w:val="en-US"/>
        </w:rPr>
        <w:t>44</w:t>
      </w:r>
      <w:r w:rsidRPr="003D269B">
        <w:rPr>
          <w:lang w:val="en-US"/>
        </w:rPr>
        <w:t xml:space="preserve"> </w:t>
      </w:r>
      <w:r>
        <w:rPr>
          <w:lang w:val="en-US"/>
        </w:rPr>
        <w:t>b</w:t>
      </w:r>
      <w:r w:rsidRPr="003D269B">
        <w:rPr>
          <w:lang w:val="en-US"/>
        </w:rPr>
        <w:t xml:space="preserve">illion is the </w:t>
      </w:r>
      <w:r>
        <w:rPr>
          <w:lang w:val="en-US"/>
        </w:rPr>
        <w:t>expanded net present value of the project (</w:t>
      </w:r>
      <w:r w:rsidR="00D5795B">
        <w:rPr>
          <w:lang w:val="en-US"/>
        </w:rPr>
        <w:t>e</w:t>
      </w:r>
      <w:r w:rsidRPr="003D269B">
        <w:rPr>
          <w:lang w:val="en-US"/>
        </w:rPr>
        <w:t>NPV</w:t>
      </w:r>
      <w:r>
        <w:rPr>
          <w:lang w:val="en-US"/>
        </w:rPr>
        <w:t>)</w:t>
      </w:r>
      <w:r w:rsidR="00666082">
        <w:rPr>
          <w:lang w:val="en-US"/>
        </w:rPr>
        <w:t xml:space="preserve"> according to </w:t>
      </w:r>
      <w:r w:rsidR="00666082">
        <w:rPr>
          <w:lang w:val="en-US"/>
        </w:rPr>
        <w:fldChar w:fldCharType="begin"/>
      </w:r>
      <w:r w:rsidR="00666082">
        <w:rPr>
          <w:lang w:val="en-US"/>
        </w:rPr>
        <w:instrText xml:space="preserve"> REF _Ref484017230 \h </w:instrText>
      </w:r>
      <w:r w:rsidR="00666082">
        <w:rPr>
          <w:lang w:val="en-US"/>
        </w:rPr>
      </w:r>
      <w:r w:rsidR="00666082">
        <w:rPr>
          <w:lang w:val="en-US"/>
        </w:rPr>
        <w:fldChar w:fldCharType="separate"/>
      </w:r>
      <w:r w:rsidR="008324C6" w:rsidRPr="00B34A8F">
        <w:rPr>
          <w:rFonts w:cs="Times New Roman"/>
          <w:szCs w:val="24"/>
          <w:lang w:val="en-US"/>
        </w:rPr>
        <w:t>(</w:t>
      </w:r>
      <w:r w:rsidR="008324C6" w:rsidRPr="00B34A8F">
        <w:rPr>
          <w:rFonts w:cs="Times New Roman"/>
          <w:noProof/>
          <w:szCs w:val="24"/>
          <w:lang w:val="en-US"/>
        </w:rPr>
        <w:t>1</w:t>
      </w:r>
      <w:r w:rsidR="008324C6" w:rsidRPr="00B34A8F">
        <w:rPr>
          <w:rFonts w:cs="Times New Roman"/>
          <w:szCs w:val="24"/>
          <w:lang w:val="en-US"/>
        </w:rPr>
        <w:t>.</w:t>
      </w:r>
      <w:r w:rsidR="008324C6" w:rsidRPr="00B34A8F">
        <w:rPr>
          <w:rFonts w:cs="Times New Roman"/>
          <w:noProof/>
          <w:szCs w:val="24"/>
          <w:lang w:val="en-US"/>
        </w:rPr>
        <w:t>6</w:t>
      </w:r>
      <w:r w:rsidR="008324C6" w:rsidRPr="00B34A8F">
        <w:rPr>
          <w:rFonts w:cs="Times New Roman"/>
          <w:szCs w:val="24"/>
          <w:lang w:val="en-US"/>
        </w:rPr>
        <w:t>)</w:t>
      </w:r>
      <w:r w:rsidR="00666082">
        <w:rPr>
          <w:lang w:val="en-US"/>
        </w:rPr>
        <w:fldChar w:fldCharType="end"/>
      </w:r>
      <w:r w:rsidR="00666082">
        <w:rPr>
          <w:lang w:val="en-US"/>
        </w:rPr>
        <w:t>.</w:t>
      </w:r>
    </w:p>
    <w:p w:rsidR="008F073B" w:rsidRPr="00FF0C30" w:rsidRDefault="008F073B" w:rsidP="0024006E">
      <w:pPr>
        <w:pStyle w:val="2"/>
        <w:rPr>
          <w:lang w:eastAsia="ru-RU"/>
        </w:rPr>
      </w:pPr>
      <w:bookmarkStart w:id="101" w:name="_Toc484036313"/>
      <w:r w:rsidRPr="00FF0C30">
        <w:rPr>
          <w:lang w:eastAsia="ru-RU"/>
        </w:rPr>
        <w:t>Formulating risk management recommendations</w:t>
      </w:r>
      <w:bookmarkEnd w:id="101"/>
    </w:p>
    <w:p w:rsidR="00A37B72" w:rsidRDefault="00A37B72" w:rsidP="00A37B72">
      <w:pPr>
        <w:pStyle w:val="3"/>
        <w:rPr>
          <w:lang w:eastAsia="ru-RU"/>
        </w:rPr>
      </w:pPr>
      <w:r w:rsidRPr="00FF0C30">
        <w:rPr>
          <w:lang w:eastAsia="ru-RU"/>
        </w:rPr>
        <w:t>Option to wait</w:t>
      </w:r>
    </w:p>
    <w:p w:rsidR="004C4B45" w:rsidRDefault="008F073B" w:rsidP="00FF0C30">
      <w:pPr>
        <w:pStyle w:val="OfficialNormal"/>
        <w:rPr>
          <w:bCs/>
          <w:lang w:val="en-US" w:eastAsia="ru-RU"/>
        </w:rPr>
      </w:pPr>
      <w:r w:rsidRPr="00FF0C30">
        <w:rPr>
          <w:bCs/>
          <w:lang w:val="en-US" w:eastAsia="ru-RU"/>
        </w:rPr>
        <w:t xml:space="preserve">Option to wait </w:t>
      </w:r>
      <w:r w:rsidRPr="00FF0C30">
        <w:rPr>
          <w:lang w:val="en-US" w:eastAsia="ru-RU"/>
        </w:rPr>
        <w:t xml:space="preserve">has maximum value if it expires in </w:t>
      </w:r>
      <w:r w:rsidR="00B8436D">
        <w:rPr>
          <w:bCs/>
          <w:lang w:val="en-US" w:eastAsia="ru-RU"/>
        </w:rPr>
        <w:t>7</w:t>
      </w:r>
      <w:r w:rsidRPr="00FF0C30">
        <w:rPr>
          <w:bCs/>
          <w:lang w:val="en-US" w:eastAsia="ru-RU"/>
        </w:rPr>
        <w:t xml:space="preserve"> years and </w:t>
      </w:r>
      <w:r w:rsidR="00B8436D">
        <w:rPr>
          <w:bCs/>
          <w:lang w:val="en-US" w:eastAsia="ru-RU"/>
        </w:rPr>
        <w:t>11</w:t>
      </w:r>
      <w:r w:rsidRPr="00FF0C30">
        <w:rPr>
          <w:bCs/>
          <w:lang w:val="en-US" w:eastAsia="ru-RU"/>
        </w:rPr>
        <w:t xml:space="preserve"> months. </w:t>
      </w:r>
      <w:r w:rsidR="00A37B72">
        <w:rPr>
          <w:bCs/>
          <w:lang w:val="en-US" w:eastAsia="ru-RU"/>
        </w:rPr>
        <w:t xml:space="preserve">It </w:t>
      </w:r>
      <w:r w:rsidR="004C4B45">
        <w:rPr>
          <w:bCs/>
          <w:lang w:val="en-US" w:eastAsia="ru-RU"/>
        </w:rPr>
        <w:t>means that within this period acquiring information on realizations of uncertainty (specifically, Russian ruble exchange rate and world oil prices) adds value to the project.</w:t>
      </w:r>
    </w:p>
    <w:p w:rsidR="004C4B45" w:rsidRDefault="004C4B45" w:rsidP="004C4B45">
      <w:pPr>
        <w:pStyle w:val="OfficialNormal"/>
        <w:rPr>
          <w:bCs/>
          <w:lang w:val="en-US" w:eastAsia="ru-RU"/>
        </w:rPr>
      </w:pPr>
      <w:r w:rsidRPr="004C4B45">
        <w:rPr>
          <w:bCs/>
          <w:lang w:val="en-US" w:eastAsia="ru-RU"/>
        </w:rPr>
        <w:t xml:space="preserve">Notice that the period </w:t>
      </w:r>
      <w:r w:rsidR="00B8436D">
        <w:rPr>
          <w:bCs/>
          <w:lang w:val="en-US" w:eastAsia="ru-RU"/>
        </w:rPr>
        <w:t>7</w:t>
      </w:r>
      <w:r w:rsidRPr="004C4B45">
        <w:rPr>
          <w:bCs/>
          <w:lang w:val="en-US" w:eastAsia="ru-RU"/>
        </w:rPr>
        <w:t xml:space="preserve"> years</w:t>
      </w:r>
      <w:r>
        <w:rPr>
          <w:bCs/>
          <w:lang w:val="en-US" w:eastAsia="ru-RU"/>
        </w:rPr>
        <w:t xml:space="preserve"> </w:t>
      </w:r>
      <w:r w:rsidR="00B8436D">
        <w:rPr>
          <w:bCs/>
          <w:lang w:val="en-US" w:eastAsia="ru-RU"/>
        </w:rPr>
        <w:t>11</w:t>
      </w:r>
      <w:r>
        <w:rPr>
          <w:bCs/>
          <w:lang w:val="en-US" w:eastAsia="ru-RU"/>
        </w:rPr>
        <w:t xml:space="preserve"> months</w:t>
      </w:r>
      <w:r w:rsidRPr="004C4B45">
        <w:rPr>
          <w:bCs/>
          <w:lang w:val="en-US" w:eastAsia="ru-RU"/>
        </w:rPr>
        <w:t xml:space="preserve"> provides the maximum NPV. Hence, this</w:t>
      </w:r>
      <w:r>
        <w:rPr>
          <w:bCs/>
          <w:lang w:val="en-US" w:eastAsia="ru-RU"/>
        </w:rPr>
        <w:t xml:space="preserve"> </w:t>
      </w:r>
      <w:r w:rsidRPr="004C4B45">
        <w:rPr>
          <w:bCs/>
          <w:lang w:val="en-US" w:eastAsia="ru-RU"/>
        </w:rPr>
        <w:t xml:space="preserve">maximum NPV of </w:t>
      </w:r>
      <w:r w:rsidR="00B8436D">
        <w:rPr>
          <w:bCs/>
          <w:lang w:val="en-US" w:eastAsia="ru-RU"/>
        </w:rPr>
        <w:t>19</w:t>
      </w:r>
      <w:r w:rsidR="00BB20BC">
        <w:rPr>
          <w:bCs/>
          <w:lang w:val="en-US" w:eastAsia="ru-RU"/>
        </w:rPr>
        <w:t xml:space="preserve"> billion RUB</w:t>
      </w:r>
      <w:r w:rsidRPr="004C4B45">
        <w:rPr>
          <w:bCs/>
          <w:lang w:val="en-US" w:eastAsia="ru-RU"/>
        </w:rPr>
        <w:t xml:space="preserve"> </w:t>
      </w:r>
      <w:r w:rsidR="00BB20BC">
        <w:rPr>
          <w:bCs/>
          <w:lang w:val="en-US" w:eastAsia="ru-RU"/>
        </w:rPr>
        <w:t>determines</w:t>
      </w:r>
      <w:r w:rsidRPr="004C4B45">
        <w:rPr>
          <w:bCs/>
          <w:lang w:val="en-US" w:eastAsia="ru-RU"/>
        </w:rPr>
        <w:t xml:space="preserve"> the option value of waiting</w:t>
      </w:r>
      <w:r w:rsidR="00BB20BC">
        <w:rPr>
          <w:bCs/>
          <w:lang w:val="en-US" w:eastAsia="ru-RU"/>
        </w:rPr>
        <w:t xml:space="preserve"> to be 13 billion RUB</w:t>
      </w:r>
      <w:r w:rsidRPr="004C4B45">
        <w:rPr>
          <w:bCs/>
          <w:lang w:val="en-US" w:eastAsia="ru-RU"/>
        </w:rPr>
        <w:t>, as compared to</w:t>
      </w:r>
      <w:r>
        <w:rPr>
          <w:bCs/>
          <w:lang w:val="en-US" w:eastAsia="ru-RU"/>
        </w:rPr>
        <w:t xml:space="preserve"> </w:t>
      </w:r>
      <w:r w:rsidR="00B8436D">
        <w:rPr>
          <w:bCs/>
          <w:lang w:val="en-US" w:eastAsia="ru-RU"/>
        </w:rPr>
        <w:t>6</w:t>
      </w:r>
      <w:r w:rsidRPr="004C4B45">
        <w:rPr>
          <w:bCs/>
          <w:lang w:val="en-US" w:eastAsia="ru-RU"/>
        </w:rPr>
        <w:t xml:space="preserve"> </w:t>
      </w:r>
      <w:r w:rsidR="00BB20BC">
        <w:rPr>
          <w:bCs/>
          <w:lang w:val="en-US" w:eastAsia="ru-RU"/>
        </w:rPr>
        <w:t>billion RUB</w:t>
      </w:r>
      <w:r w:rsidR="00BB20BC" w:rsidRPr="004C4B45">
        <w:rPr>
          <w:bCs/>
          <w:lang w:val="en-US" w:eastAsia="ru-RU"/>
        </w:rPr>
        <w:t xml:space="preserve"> </w:t>
      </w:r>
      <w:r w:rsidRPr="004C4B45">
        <w:rPr>
          <w:bCs/>
          <w:lang w:val="en-US" w:eastAsia="ru-RU"/>
        </w:rPr>
        <w:t>NPV if the project is executed immediately.</w:t>
      </w:r>
    </w:p>
    <w:p w:rsidR="008F073B" w:rsidRPr="00FF0C30" w:rsidRDefault="008F073B" w:rsidP="00FF0C30">
      <w:pPr>
        <w:pStyle w:val="OfficialNormal"/>
        <w:rPr>
          <w:lang w:val="en-US" w:eastAsia="ru-RU"/>
        </w:rPr>
      </w:pPr>
      <w:r w:rsidRPr="00FF0C30">
        <w:rPr>
          <w:lang w:val="en-US" w:eastAsia="ru-RU"/>
        </w:rPr>
        <w:lastRenderedPageBreak/>
        <w:t>Management should not postpone investment beyond this timeframe</w:t>
      </w:r>
      <w:r w:rsidR="004C4B45">
        <w:rPr>
          <w:lang w:val="en-US" w:eastAsia="ru-RU"/>
        </w:rPr>
        <w:t>, however they can start earlier</w:t>
      </w:r>
      <w:r w:rsidR="00BB20BC">
        <w:rPr>
          <w:lang w:val="en-US" w:eastAsia="ru-RU"/>
        </w:rPr>
        <w:t>.</w:t>
      </w:r>
      <w:r w:rsidR="00B61E59">
        <w:rPr>
          <w:lang w:val="en-US" w:eastAsia="ru-RU"/>
        </w:rPr>
        <w:t xml:space="preserve"> </w:t>
      </w:r>
    </w:p>
    <w:p w:rsidR="00A37B72" w:rsidRPr="00A37B72" w:rsidRDefault="00A37B72" w:rsidP="00A37B72">
      <w:pPr>
        <w:pStyle w:val="OfficialNormal"/>
        <w:rPr>
          <w:b/>
          <w:bCs/>
          <w:lang w:val="en-US" w:eastAsia="ru-RU"/>
        </w:rPr>
      </w:pPr>
      <w:r w:rsidRPr="00A37B72">
        <w:rPr>
          <w:b/>
          <w:bCs/>
          <w:lang w:val="en-US" w:eastAsia="ru-RU"/>
        </w:rPr>
        <w:t>Option to abandon</w:t>
      </w:r>
    </w:p>
    <w:p w:rsidR="008F073B" w:rsidRDefault="008F073B" w:rsidP="00FF0C30">
      <w:pPr>
        <w:pStyle w:val="OfficialNormal"/>
        <w:rPr>
          <w:lang w:val="en-US" w:eastAsia="ru-RU"/>
        </w:rPr>
      </w:pPr>
      <w:r w:rsidRPr="00FF0C30">
        <w:rPr>
          <w:bCs/>
          <w:lang w:val="en-US" w:eastAsia="ru-RU"/>
        </w:rPr>
        <w:t xml:space="preserve">Option to abandon </w:t>
      </w:r>
      <w:r w:rsidRPr="00FF0C30">
        <w:rPr>
          <w:lang w:val="en-US" w:eastAsia="ru-RU"/>
        </w:rPr>
        <w:t xml:space="preserve">defines future situations when active management will increase value of the project. In nodes </w:t>
      </w:r>
      <w:r w:rsidRPr="00FF0C30">
        <w:rPr>
          <w:bCs/>
          <w:lang w:val="en-US" w:eastAsia="ru-RU"/>
        </w:rPr>
        <w:t>(</w:t>
      </w:r>
      <w:r w:rsidR="009D60DD">
        <w:rPr>
          <w:bCs/>
          <w:lang w:val="en-US" w:eastAsia="ru-RU"/>
        </w:rPr>
        <w:t>5</w:t>
      </w:r>
      <w:r w:rsidRPr="00FF0C30">
        <w:rPr>
          <w:bCs/>
          <w:lang w:val="en-US" w:eastAsia="ru-RU"/>
        </w:rPr>
        <w:t>;</w:t>
      </w:r>
      <w:r w:rsidR="009D60DD">
        <w:rPr>
          <w:bCs/>
          <w:lang w:val="en-US" w:eastAsia="ru-RU"/>
        </w:rPr>
        <w:t>4</w:t>
      </w:r>
      <w:r w:rsidRPr="00FF0C30">
        <w:rPr>
          <w:bCs/>
          <w:lang w:val="en-US" w:eastAsia="ru-RU"/>
        </w:rPr>
        <w:t>), (</w:t>
      </w:r>
      <w:r w:rsidR="009D60DD">
        <w:rPr>
          <w:bCs/>
          <w:lang w:val="en-US" w:eastAsia="ru-RU"/>
        </w:rPr>
        <w:t>5</w:t>
      </w:r>
      <w:r w:rsidR="00A37B72">
        <w:rPr>
          <w:bCs/>
          <w:lang w:val="en-US" w:eastAsia="ru-RU"/>
        </w:rPr>
        <w:t>;</w:t>
      </w:r>
      <w:r w:rsidR="009D60DD">
        <w:rPr>
          <w:bCs/>
          <w:lang w:val="en-US" w:eastAsia="ru-RU"/>
        </w:rPr>
        <w:t>5</w:t>
      </w:r>
      <w:r w:rsidRPr="00FF0C30">
        <w:rPr>
          <w:bCs/>
          <w:lang w:val="en-US" w:eastAsia="ru-RU"/>
        </w:rPr>
        <w:t>), (</w:t>
      </w:r>
      <w:r w:rsidR="009D60DD">
        <w:rPr>
          <w:bCs/>
          <w:lang w:val="en-US" w:eastAsia="ru-RU"/>
        </w:rPr>
        <w:t>6</w:t>
      </w:r>
      <w:r w:rsidRPr="00FF0C30">
        <w:rPr>
          <w:bCs/>
          <w:lang w:val="en-US" w:eastAsia="ru-RU"/>
        </w:rPr>
        <w:t>;</w:t>
      </w:r>
      <w:r w:rsidR="00A37B72">
        <w:rPr>
          <w:bCs/>
          <w:lang w:val="en-US" w:eastAsia="ru-RU"/>
        </w:rPr>
        <w:t>4</w:t>
      </w:r>
      <w:r w:rsidRPr="00FF0C30">
        <w:rPr>
          <w:bCs/>
          <w:lang w:val="en-US" w:eastAsia="ru-RU"/>
        </w:rPr>
        <w:t xml:space="preserve">) </w:t>
      </w:r>
      <w:r w:rsidRPr="00FF0C30">
        <w:rPr>
          <w:lang w:val="en-US" w:eastAsia="ru-RU"/>
        </w:rPr>
        <w:t>and so fort</w:t>
      </w:r>
      <w:r w:rsidR="00A37B72">
        <w:rPr>
          <w:lang w:val="en-US" w:eastAsia="ru-RU"/>
        </w:rPr>
        <w:t xml:space="preserve">h the option has to be executed and investor should leave the project for salvage value as expected future cash inflows are </w:t>
      </w:r>
      <w:r w:rsidR="00A37B72" w:rsidRPr="009D60DD">
        <w:rPr>
          <w:i/>
          <w:lang w:val="en-US" w:eastAsia="ru-RU"/>
        </w:rPr>
        <w:t>lower</w:t>
      </w:r>
      <w:r w:rsidR="00A37B72">
        <w:rPr>
          <w:lang w:val="en-US" w:eastAsia="ru-RU"/>
        </w:rPr>
        <w:t xml:space="preserve"> than inflow from platform sale or reutilization.</w:t>
      </w:r>
    </w:p>
    <w:p w:rsidR="004C4B45" w:rsidRDefault="004C4B45" w:rsidP="00FF0C30">
      <w:pPr>
        <w:pStyle w:val="OfficialNormal"/>
        <w:rPr>
          <w:lang w:val="en-US" w:eastAsia="ru-RU"/>
        </w:rPr>
      </w:pPr>
      <w:r>
        <w:rPr>
          <w:lang w:val="en-US" w:eastAsia="ru-RU"/>
        </w:rPr>
        <w:t>This approach allows to account for extreme conditions of external environment</w:t>
      </w:r>
      <w:r w:rsidR="00C66918">
        <w:rPr>
          <w:lang w:val="en-US" w:eastAsia="ru-RU"/>
        </w:rPr>
        <w:t xml:space="preserve"> and factors of the uncertainty</w:t>
      </w:r>
      <w:r>
        <w:rPr>
          <w:lang w:val="en-US" w:eastAsia="ru-RU"/>
        </w:rPr>
        <w:t xml:space="preserve"> and thus significantly increase the value of the project and reduce </w:t>
      </w:r>
      <w:r w:rsidR="00C66918">
        <w:rPr>
          <w:lang w:val="en-US" w:eastAsia="ru-RU"/>
        </w:rPr>
        <w:t>level of</w:t>
      </w:r>
      <w:r>
        <w:rPr>
          <w:lang w:val="en-US" w:eastAsia="ru-RU"/>
        </w:rPr>
        <w:t xml:space="preserve"> risk</w:t>
      </w:r>
      <w:r w:rsidR="00C66918">
        <w:rPr>
          <w:lang w:val="en-US" w:eastAsia="ru-RU"/>
        </w:rPr>
        <w:t xml:space="preserve"> i.e. the volatility of the returns</w:t>
      </w:r>
      <w:r>
        <w:rPr>
          <w:lang w:val="en-US" w:eastAsia="ru-RU"/>
        </w:rPr>
        <w:t>.</w:t>
      </w:r>
    </w:p>
    <w:p w:rsidR="00A37B72" w:rsidRDefault="00D5795B" w:rsidP="00FF0C30">
      <w:pPr>
        <w:pStyle w:val="OfficialNormal"/>
        <w:rPr>
          <w:lang w:val="en-US" w:eastAsia="ru-RU"/>
        </w:rPr>
      </w:pPr>
      <w:r w:rsidRPr="00666082">
        <w:rPr>
          <w:lang w:val="en-US" w:eastAsia="ru-RU"/>
        </w:rPr>
        <w:fldChar w:fldCharType="begin"/>
      </w:r>
      <w:r w:rsidRPr="00666082">
        <w:rPr>
          <w:lang w:val="en-US" w:eastAsia="ru-RU"/>
        </w:rPr>
        <w:instrText xml:space="preserve"> REF _Ref483783237 \h </w:instrText>
      </w:r>
      <w:r w:rsidR="00F1507B" w:rsidRPr="00666082">
        <w:rPr>
          <w:lang w:val="en-US" w:eastAsia="ru-RU"/>
        </w:rPr>
        <w:instrText xml:space="preserve"> \* MERGEFORMAT </w:instrText>
      </w:r>
      <w:r w:rsidRPr="00666082">
        <w:rPr>
          <w:lang w:val="en-US" w:eastAsia="ru-RU"/>
        </w:rPr>
      </w:r>
      <w:r w:rsidRPr="00666082">
        <w:rPr>
          <w:lang w:val="en-US" w:eastAsia="ru-RU"/>
        </w:rPr>
        <w:fldChar w:fldCharType="separate"/>
      </w:r>
      <w:r w:rsidR="008324C6" w:rsidRPr="008324C6">
        <w:rPr>
          <w:lang w:val="en-US"/>
        </w:rPr>
        <w:t xml:space="preserve">Figure </w:t>
      </w:r>
      <w:r w:rsidR="008324C6" w:rsidRPr="008324C6">
        <w:rPr>
          <w:noProof/>
          <w:lang w:val="en-US"/>
        </w:rPr>
        <w:t>17</w:t>
      </w:r>
      <w:r w:rsidRPr="00666082">
        <w:rPr>
          <w:lang w:val="en-US" w:eastAsia="ru-RU"/>
        </w:rPr>
        <w:fldChar w:fldCharType="end"/>
      </w:r>
      <w:r w:rsidR="00A37B72" w:rsidRPr="00666082">
        <w:rPr>
          <w:lang w:val="en-US" w:eastAsia="ru-RU"/>
        </w:rPr>
        <w:t xml:space="preserve"> describes the managerial recommendation for</w:t>
      </w:r>
      <w:r w:rsidR="00A37B72">
        <w:rPr>
          <w:lang w:val="en-US" w:eastAsia="ru-RU"/>
        </w:rPr>
        <w:t xml:space="preserve"> the first </w:t>
      </w:r>
      <w:r w:rsidR="009D60DD">
        <w:rPr>
          <w:lang w:val="en-US" w:eastAsia="ru-RU"/>
        </w:rPr>
        <w:t>7</w:t>
      </w:r>
      <w:r w:rsidR="00A37B72">
        <w:rPr>
          <w:lang w:val="en-US" w:eastAsia="ru-RU"/>
        </w:rPr>
        <w:t xml:space="preserve"> periods, and Appendix 1 provides overview of the full lattice.</w:t>
      </w:r>
    </w:p>
    <w:tbl>
      <w:tblPr>
        <w:tblStyle w:val="41"/>
        <w:tblW w:w="5000" w:type="pct"/>
        <w:tblLook w:val="04A0" w:firstRow="1" w:lastRow="0" w:firstColumn="1" w:lastColumn="0" w:noHBand="0" w:noVBand="1"/>
      </w:tblPr>
      <w:tblGrid>
        <w:gridCol w:w="1828"/>
        <w:gridCol w:w="1042"/>
        <w:gridCol w:w="1043"/>
        <w:gridCol w:w="1043"/>
        <w:gridCol w:w="1043"/>
        <w:gridCol w:w="1120"/>
        <w:gridCol w:w="1120"/>
        <w:gridCol w:w="1116"/>
      </w:tblGrid>
      <w:tr w:rsidR="00B8436D" w:rsidRPr="00B8436D" w:rsidTr="00B8436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4" w:type="pct"/>
            <w:noWrap/>
            <w:hideMark/>
          </w:tcPr>
          <w:p w:rsidR="00B8436D" w:rsidRPr="00B8436D" w:rsidRDefault="00B8436D" w:rsidP="00B8436D">
            <w:pPr>
              <w:spacing w:line="240" w:lineRule="auto"/>
              <w:jc w:val="left"/>
              <w:rPr>
                <w:rFonts w:eastAsia="Times New Roman" w:cs="Times New Roman"/>
                <w:color w:val="000000"/>
                <w:sz w:val="20"/>
                <w:szCs w:val="20"/>
                <w:lang w:val="en-US" w:eastAsia="ru-RU"/>
              </w:rPr>
            </w:pPr>
            <w:r w:rsidRPr="00B8436D">
              <w:rPr>
                <w:rFonts w:eastAsia="Times New Roman" w:cs="Times New Roman"/>
                <w:color w:val="000000"/>
                <w:sz w:val="20"/>
                <w:szCs w:val="20"/>
                <w:lang w:val="en-US" w:eastAsia="ru-RU"/>
              </w:rPr>
              <w:t>Option to abandon</w:t>
            </w:r>
          </w:p>
        </w:tc>
        <w:tc>
          <w:tcPr>
            <w:tcW w:w="575" w:type="pct"/>
            <w:noWrap/>
            <w:hideMark/>
          </w:tcPr>
          <w:p w:rsidR="00B8436D" w:rsidRPr="00B8436D" w:rsidRDefault="00B8436D" w:rsidP="00B8436D">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val="en-US" w:eastAsia="ru-RU"/>
              </w:rPr>
            </w:pPr>
            <w:r w:rsidRPr="00B8436D">
              <w:rPr>
                <w:rFonts w:eastAsia="Times New Roman" w:cs="Times New Roman"/>
                <w:i/>
                <w:iCs/>
                <w:color w:val="000000"/>
                <w:sz w:val="20"/>
                <w:szCs w:val="20"/>
                <w:lang w:val="en-US" w:eastAsia="ru-RU"/>
              </w:rPr>
              <w:t>0</w:t>
            </w:r>
          </w:p>
        </w:tc>
        <w:tc>
          <w:tcPr>
            <w:tcW w:w="575" w:type="pct"/>
            <w:noWrap/>
            <w:hideMark/>
          </w:tcPr>
          <w:p w:rsidR="00B8436D" w:rsidRPr="00B8436D" w:rsidRDefault="00B8436D" w:rsidP="00B8436D">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val="en-US" w:eastAsia="ru-RU"/>
              </w:rPr>
            </w:pPr>
            <w:r w:rsidRPr="00B8436D">
              <w:rPr>
                <w:rFonts w:eastAsia="Times New Roman" w:cs="Times New Roman"/>
                <w:i/>
                <w:iCs/>
                <w:color w:val="000000"/>
                <w:sz w:val="20"/>
                <w:szCs w:val="20"/>
                <w:lang w:val="en-US" w:eastAsia="ru-RU"/>
              </w:rPr>
              <w:t>1</w:t>
            </w:r>
          </w:p>
        </w:tc>
        <w:tc>
          <w:tcPr>
            <w:tcW w:w="575" w:type="pct"/>
            <w:noWrap/>
            <w:hideMark/>
          </w:tcPr>
          <w:p w:rsidR="00B8436D" w:rsidRPr="00B8436D" w:rsidRDefault="00B8436D" w:rsidP="00B8436D">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val="en-US" w:eastAsia="ru-RU"/>
              </w:rPr>
            </w:pPr>
            <w:r w:rsidRPr="00B8436D">
              <w:rPr>
                <w:rFonts w:eastAsia="Times New Roman" w:cs="Times New Roman"/>
                <w:i/>
                <w:iCs/>
                <w:color w:val="000000"/>
                <w:sz w:val="20"/>
                <w:szCs w:val="20"/>
                <w:lang w:val="en-US" w:eastAsia="ru-RU"/>
              </w:rPr>
              <w:t>2</w:t>
            </w:r>
          </w:p>
        </w:tc>
        <w:tc>
          <w:tcPr>
            <w:tcW w:w="575" w:type="pct"/>
            <w:noWrap/>
            <w:hideMark/>
          </w:tcPr>
          <w:p w:rsidR="00B8436D" w:rsidRPr="00B8436D" w:rsidRDefault="00B8436D" w:rsidP="00B8436D">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val="en-US" w:eastAsia="ru-RU"/>
              </w:rPr>
            </w:pPr>
            <w:r w:rsidRPr="00B8436D">
              <w:rPr>
                <w:rFonts w:eastAsia="Times New Roman" w:cs="Times New Roman"/>
                <w:i/>
                <w:iCs/>
                <w:color w:val="000000"/>
                <w:sz w:val="20"/>
                <w:szCs w:val="20"/>
                <w:lang w:val="en-US" w:eastAsia="ru-RU"/>
              </w:rPr>
              <w:t>3</w:t>
            </w:r>
          </w:p>
        </w:tc>
        <w:tc>
          <w:tcPr>
            <w:tcW w:w="616" w:type="pct"/>
            <w:noWrap/>
            <w:hideMark/>
          </w:tcPr>
          <w:p w:rsidR="00B8436D" w:rsidRPr="00B8436D" w:rsidRDefault="00B8436D" w:rsidP="00B8436D">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val="en-US" w:eastAsia="ru-RU"/>
              </w:rPr>
            </w:pPr>
            <w:r w:rsidRPr="00B8436D">
              <w:rPr>
                <w:rFonts w:eastAsia="Times New Roman" w:cs="Times New Roman"/>
                <w:i/>
                <w:iCs/>
                <w:color w:val="000000"/>
                <w:sz w:val="20"/>
                <w:szCs w:val="20"/>
                <w:lang w:val="en-US" w:eastAsia="ru-RU"/>
              </w:rPr>
              <w:t>4</w:t>
            </w:r>
          </w:p>
        </w:tc>
        <w:tc>
          <w:tcPr>
            <w:tcW w:w="616" w:type="pct"/>
            <w:noWrap/>
            <w:hideMark/>
          </w:tcPr>
          <w:p w:rsidR="00B8436D" w:rsidRPr="00B8436D" w:rsidRDefault="00B8436D" w:rsidP="00B8436D">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val="en-US" w:eastAsia="ru-RU"/>
              </w:rPr>
            </w:pPr>
            <w:r w:rsidRPr="00B8436D">
              <w:rPr>
                <w:rFonts w:eastAsia="Times New Roman" w:cs="Times New Roman"/>
                <w:i/>
                <w:iCs/>
                <w:color w:val="000000"/>
                <w:sz w:val="20"/>
                <w:szCs w:val="20"/>
                <w:lang w:val="en-US" w:eastAsia="ru-RU"/>
              </w:rPr>
              <w:t>5</w:t>
            </w:r>
          </w:p>
        </w:tc>
        <w:tc>
          <w:tcPr>
            <w:tcW w:w="616" w:type="pct"/>
            <w:noWrap/>
            <w:hideMark/>
          </w:tcPr>
          <w:p w:rsidR="00B8436D" w:rsidRPr="00B8436D" w:rsidRDefault="00B8436D" w:rsidP="00B8436D">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val="en-US" w:eastAsia="ru-RU"/>
              </w:rPr>
            </w:pPr>
            <w:r w:rsidRPr="00B8436D">
              <w:rPr>
                <w:rFonts w:eastAsia="Times New Roman" w:cs="Times New Roman"/>
                <w:i/>
                <w:iCs/>
                <w:color w:val="000000"/>
                <w:sz w:val="20"/>
                <w:szCs w:val="20"/>
                <w:lang w:val="en-US" w:eastAsia="ru-RU"/>
              </w:rPr>
              <w:t>6</w:t>
            </w:r>
          </w:p>
        </w:tc>
      </w:tr>
      <w:tr w:rsidR="00B8436D" w:rsidRPr="00B8436D" w:rsidTr="00B843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4" w:type="pct"/>
            <w:noWrap/>
            <w:hideMark/>
          </w:tcPr>
          <w:p w:rsidR="00B8436D" w:rsidRPr="00B8436D" w:rsidRDefault="00B8436D" w:rsidP="00B8436D">
            <w:pPr>
              <w:spacing w:line="240" w:lineRule="auto"/>
              <w:jc w:val="right"/>
              <w:rPr>
                <w:rFonts w:eastAsia="Times New Roman" w:cs="Times New Roman"/>
                <w:i/>
                <w:iCs/>
                <w:color w:val="808080"/>
                <w:sz w:val="20"/>
                <w:szCs w:val="20"/>
                <w:lang w:val="en-US" w:eastAsia="ru-RU"/>
              </w:rPr>
            </w:pPr>
            <w:r w:rsidRPr="00B8436D">
              <w:rPr>
                <w:rFonts w:eastAsia="Times New Roman" w:cs="Times New Roman"/>
                <w:i/>
                <w:iCs/>
                <w:color w:val="808080"/>
                <w:sz w:val="20"/>
                <w:szCs w:val="20"/>
                <w:lang w:val="en-US" w:eastAsia="ru-RU"/>
              </w:rPr>
              <w:t>0</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r>
      <w:tr w:rsidR="00B8436D" w:rsidRPr="00B8436D" w:rsidTr="00B8436D">
        <w:trPr>
          <w:trHeight w:val="288"/>
        </w:trPr>
        <w:tc>
          <w:tcPr>
            <w:cnfStyle w:val="001000000000" w:firstRow="0" w:lastRow="0" w:firstColumn="1" w:lastColumn="0" w:oddVBand="0" w:evenVBand="0" w:oddHBand="0" w:evenHBand="0" w:firstRowFirstColumn="0" w:firstRowLastColumn="0" w:lastRowFirstColumn="0" w:lastRowLastColumn="0"/>
            <w:tcW w:w="854" w:type="pct"/>
            <w:noWrap/>
            <w:hideMark/>
          </w:tcPr>
          <w:p w:rsidR="00B8436D" w:rsidRPr="00B8436D" w:rsidRDefault="00B8436D" w:rsidP="00B8436D">
            <w:pPr>
              <w:spacing w:line="240" w:lineRule="auto"/>
              <w:jc w:val="right"/>
              <w:rPr>
                <w:rFonts w:eastAsia="Times New Roman" w:cs="Times New Roman"/>
                <w:i/>
                <w:iCs/>
                <w:color w:val="808080"/>
                <w:sz w:val="20"/>
                <w:szCs w:val="20"/>
                <w:lang w:val="en-US" w:eastAsia="ru-RU"/>
              </w:rPr>
            </w:pPr>
            <w:r w:rsidRPr="00B8436D">
              <w:rPr>
                <w:rFonts w:eastAsia="Times New Roman" w:cs="Times New Roman"/>
                <w:i/>
                <w:iCs/>
                <w:color w:val="808080"/>
                <w:sz w:val="20"/>
                <w:szCs w:val="20"/>
                <w:lang w:val="en-US" w:eastAsia="ru-RU"/>
              </w:rPr>
              <w:t>1</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r>
      <w:tr w:rsidR="00B8436D" w:rsidRPr="00B8436D" w:rsidTr="00B843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4" w:type="pct"/>
            <w:noWrap/>
            <w:hideMark/>
          </w:tcPr>
          <w:p w:rsidR="00B8436D" w:rsidRPr="00B8436D" w:rsidRDefault="00B8436D" w:rsidP="00B8436D">
            <w:pPr>
              <w:spacing w:line="240" w:lineRule="auto"/>
              <w:jc w:val="right"/>
              <w:rPr>
                <w:rFonts w:eastAsia="Times New Roman" w:cs="Times New Roman"/>
                <w:i/>
                <w:iCs/>
                <w:color w:val="808080"/>
                <w:sz w:val="20"/>
                <w:szCs w:val="20"/>
                <w:lang w:val="en-US" w:eastAsia="ru-RU"/>
              </w:rPr>
            </w:pPr>
            <w:r w:rsidRPr="00B8436D">
              <w:rPr>
                <w:rFonts w:eastAsia="Times New Roman" w:cs="Times New Roman"/>
                <w:i/>
                <w:iCs/>
                <w:color w:val="808080"/>
                <w:sz w:val="20"/>
                <w:szCs w:val="20"/>
                <w:lang w:val="en-US" w:eastAsia="ru-RU"/>
              </w:rPr>
              <w:t>2</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r>
      <w:tr w:rsidR="00B8436D" w:rsidRPr="00B8436D" w:rsidTr="00B8436D">
        <w:trPr>
          <w:trHeight w:val="288"/>
        </w:trPr>
        <w:tc>
          <w:tcPr>
            <w:cnfStyle w:val="001000000000" w:firstRow="0" w:lastRow="0" w:firstColumn="1" w:lastColumn="0" w:oddVBand="0" w:evenVBand="0" w:oddHBand="0" w:evenHBand="0" w:firstRowFirstColumn="0" w:firstRowLastColumn="0" w:lastRowFirstColumn="0" w:lastRowLastColumn="0"/>
            <w:tcW w:w="854" w:type="pct"/>
            <w:noWrap/>
            <w:hideMark/>
          </w:tcPr>
          <w:p w:rsidR="00B8436D" w:rsidRPr="00B8436D" w:rsidRDefault="00B8436D" w:rsidP="00B8436D">
            <w:pPr>
              <w:spacing w:line="240" w:lineRule="auto"/>
              <w:jc w:val="right"/>
              <w:rPr>
                <w:rFonts w:eastAsia="Times New Roman" w:cs="Times New Roman"/>
                <w:i/>
                <w:iCs/>
                <w:color w:val="808080"/>
                <w:sz w:val="20"/>
                <w:szCs w:val="20"/>
                <w:lang w:val="en-US" w:eastAsia="ru-RU"/>
              </w:rPr>
            </w:pPr>
            <w:r w:rsidRPr="00B8436D">
              <w:rPr>
                <w:rFonts w:eastAsia="Times New Roman" w:cs="Times New Roman"/>
                <w:i/>
                <w:iCs/>
                <w:color w:val="808080"/>
                <w:sz w:val="20"/>
                <w:szCs w:val="20"/>
                <w:lang w:val="en-US" w:eastAsia="ru-RU"/>
              </w:rPr>
              <w:t>3</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r>
      <w:tr w:rsidR="00B8436D" w:rsidRPr="00B8436D" w:rsidTr="00B843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4" w:type="pct"/>
            <w:noWrap/>
            <w:hideMark/>
          </w:tcPr>
          <w:p w:rsidR="00B8436D" w:rsidRPr="00B8436D" w:rsidRDefault="00B8436D" w:rsidP="00B8436D">
            <w:pPr>
              <w:spacing w:line="240" w:lineRule="auto"/>
              <w:jc w:val="right"/>
              <w:rPr>
                <w:rFonts w:eastAsia="Times New Roman" w:cs="Times New Roman"/>
                <w:i/>
                <w:iCs/>
                <w:color w:val="808080"/>
                <w:sz w:val="20"/>
                <w:szCs w:val="20"/>
                <w:lang w:val="en-US" w:eastAsia="ru-RU"/>
              </w:rPr>
            </w:pPr>
            <w:r w:rsidRPr="00B8436D">
              <w:rPr>
                <w:rFonts w:eastAsia="Times New Roman" w:cs="Times New Roman"/>
                <w:i/>
                <w:iCs/>
                <w:color w:val="808080"/>
                <w:sz w:val="20"/>
                <w:szCs w:val="20"/>
                <w:lang w:val="en-US" w:eastAsia="ru-RU"/>
              </w:rPr>
              <w:t>4</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Develop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C00000"/>
                <w:sz w:val="20"/>
                <w:szCs w:val="20"/>
                <w:lang w:val="en-US" w:eastAsia="ru-RU"/>
              </w:rPr>
            </w:pPr>
            <w:r w:rsidRPr="00B8436D">
              <w:rPr>
                <w:rFonts w:eastAsia="Times New Roman" w:cs="Times New Roman"/>
                <w:b/>
                <w:bCs/>
                <w:i/>
                <w:iCs/>
                <w:color w:val="C00000"/>
                <w:sz w:val="20"/>
                <w:szCs w:val="20"/>
                <w:lang w:val="en-US" w:eastAsia="ru-RU"/>
              </w:rPr>
              <w:t xml:space="preserve"> Abandon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C00000"/>
                <w:sz w:val="20"/>
                <w:szCs w:val="20"/>
                <w:lang w:val="en-US" w:eastAsia="ru-RU"/>
              </w:rPr>
            </w:pPr>
            <w:r w:rsidRPr="00B8436D">
              <w:rPr>
                <w:rFonts w:eastAsia="Times New Roman" w:cs="Times New Roman"/>
                <w:b/>
                <w:bCs/>
                <w:i/>
                <w:iCs/>
                <w:color w:val="C00000"/>
                <w:sz w:val="20"/>
                <w:szCs w:val="20"/>
                <w:lang w:val="en-US" w:eastAsia="ru-RU"/>
              </w:rPr>
              <w:t xml:space="preserve"> Abandon </w:t>
            </w:r>
          </w:p>
        </w:tc>
      </w:tr>
      <w:tr w:rsidR="00B8436D" w:rsidRPr="00B8436D" w:rsidTr="00B8436D">
        <w:trPr>
          <w:trHeight w:val="288"/>
        </w:trPr>
        <w:tc>
          <w:tcPr>
            <w:cnfStyle w:val="001000000000" w:firstRow="0" w:lastRow="0" w:firstColumn="1" w:lastColumn="0" w:oddVBand="0" w:evenVBand="0" w:oddHBand="0" w:evenHBand="0" w:firstRowFirstColumn="0" w:firstRowLastColumn="0" w:lastRowFirstColumn="0" w:lastRowLastColumn="0"/>
            <w:tcW w:w="854" w:type="pct"/>
            <w:noWrap/>
            <w:hideMark/>
          </w:tcPr>
          <w:p w:rsidR="00B8436D" w:rsidRPr="00B8436D" w:rsidRDefault="00B8436D" w:rsidP="00B8436D">
            <w:pPr>
              <w:spacing w:line="240" w:lineRule="auto"/>
              <w:jc w:val="right"/>
              <w:rPr>
                <w:rFonts w:eastAsia="Times New Roman" w:cs="Times New Roman"/>
                <w:i/>
                <w:iCs/>
                <w:color w:val="808080"/>
                <w:sz w:val="20"/>
                <w:szCs w:val="20"/>
                <w:lang w:val="en-US" w:eastAsia="ru-RU"/>
              </w:rPr>
            </w:pPr>
            <w:r w:rsidRPr="00B8436D">
              <w:rPr>
                <w:rFonts w:eastAsia="Times New Roman" w:cs="Times New Roman"/>
                <w:i/>
                <w:iCs/>
                <w:color w:val="808080"/>
                <w:sz w:val="20"/>
                <w:szCs w:val="20"/>
                <w:lang w:val="en-US" w:eastAsia="ru-RU"/>
              </w:rPr>
              <w:t>5</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616"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616"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C00000"/>
                <w:sz w:val="20"/>
                <w:szCs w:val="20"/>
                <w:lang w:val="en-US" w:eastAsia="ru-RU"/>
              </w:rPr>
            </w:pPr>
            <w:r w:rsidRPr="00B8436D">
              <w:rPr>
                <w:rFonts w:eastAsia="Times New Roman" w:cs="Times New Roman"/>
                <w:b/>
                <w:bCs/>
                <w:i/>
                <w:iCs/>
                <w:color w:val="C00000"/>
                <w:sz w:val="20"/>
                <w:szCs w:val="20"/>
                <w:lang w:val="en-US" w:eastAsia="ru-RU"/>
              </w:rPr>
              <w:t xml:space="preserve"> Abandon </w:t>
            </w:r>
          </w:p>
        </w:tc>
        <w:tc>
          <w:tcPr>
            <w:tcW w:w="616" w:type="pct"/>
            <w:noWrap/>
            <w:hideMark/>
          </w:tcPr>
          <w:p w:rsidR="00B8436D" w:rsidRPr="00B8436D" w:rsidRDefault="00B8436D" w:rsidP="00B8436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C00000"/>
                <w:sz w:val="20"/>
                <w:szCs w:val="20"/>
                <w:lang w:val="en-US" w:eastAsia="ru-RU"/>
              </w:rPr>
            </w:pPr>
            <w:r w:rsidRPr="00B8436D">
              <w:rPr>
                <w:rFonts w:eastAsia="Times New Roman" w:cs="Times New Roman"/>
                <w:b/>
                <w:bCs/>
                <w:i/>
                <w:iCs/>
                <w:color w:val="C00000"/>
                <w:sz w:val="20"/>
                <w:szCs w:val="20"/>
                <w:lang w:val="en-US" w:eastAsia="ru-RU"/>
              </w:rPr>
              <w:t xml:space="preserve"> Abandon </w:t>
            </w:r>
          </w:p>
        </w:tc>
      </w:tr>
      <w:tr w:rsidR="00B8436D" w:rsidRPr="00B8436D" w:rsidTr="00B843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4" w:type="pct"/>
            <w:noWrap/>
            <w:hideMark/>
          </w:tcPr>
          <w:p w:rsidR="00B8436D" w:rsidRPr="00B8436D" w:rsidRDefault="00B8436D" w:rsidP="00B8436D">
            <w:pPr>
              <w:spacing w:line="240" w:lineRule="auto"/>
              <w:jc w:val="right"/>
              <w:rPr>
                <w:rFonts w:eastAsia="Times New Roman" w:cs="Times New Roman"/>
                <w:i/>
                <w:iCs/>
                <w:color w:val="808080"/>
                <w:sz w:val="20"/>
                <w:szCs w:val="20"/>
                <w:lang w:val="en-US" w:eastAsia="ru-RU"/>
              </w:rPr>
            </w:pPr>
            <w:r w:rsidRPr="00B8436D">
              <w:rPr>
                <w:rFonts w:eastAsia="Times New Roman" w:cs="Times New Roman"/>
                <w:i/>
                <w:iCs/>
                <w:color w:val="808080"/>
                <w:sz w:val="20"/>
                <w:szCs w:val="20"/>
                <w:lang w:val="en-US" w:eastAsia="ru-RU"/>
              </w:rPr>
              <w:t>6</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575"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ru-RU"/>
              </w:rPr>
            </w:pPr>
            <w:r w:rsidRPr="00B8436D">
              <w:rPr>
                <w:rFonts w:eastAsia="Times New Roman" w:cs="Times New Roman"/>
                <w:sz w:val="20"/>
                <w:szCs w:val="20"/>
                <w:lang w:val="en-US" w:eastAsia="ru-RU"/>
              </w:rPr>
              <w:t xml:space="preserve">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C00000"/>
                <w:sz w:val="20"/>
                <w:szCs w:val="20"/>
                <w:lang w:val="en-US" w:eastAsia="ru-RU"/>
              </w:rPr>
            </w:pPr>
            <w:r w:rsidRPr="00B8436D">
              <w:rPr>
                <w:rFonts w:eastAsia="Times New Roman" w:cs="Times New Roman"/>
                <w:color w:val="C00000"/>
                <w:sz w:val="20"/>
                <w:szCs w:val="20"/>
                <w:lang w:val="en-US" w:eastAsia="ru-RU"/>
              </w:rPr>
              <w:t xml:space="preserve">  </w:t>
            </w:r>
          </w:p>
        </w:tc>
        <w:tc>
          <w:tcPr>
            <w:tcW w:w="616" w:type="pct"/>
            <w:noWrap/>
            <w:hideMark/>
          </w:tcPr>
          <w:p w:rsidR="00B8436D" w:rsidRPr="00B8436D" w:rsidRDefault="00B8436D" w:rsidP="00B8436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C00000"/>
                <w:sz w:val="20"/>
                <w:szCs w:val="20"/>
                <w:lang w:val="en-US" w:eastAsia="ru-RU"/>
              </w:rPr>
            </w:pPr>
            <w:r w:rsidRPr="00B8436D">
              <w:rPr>
                <w:rFonts w:eastAsia="Times New Roman" w:cs="Times New Roman"/>
                <w:b/>
                <w:bCs/>
                <w:i/>
                <w:iCs/>
                <w:color w:val="C00000"/>
                <w:sz w:val="20"/>
                <w:szCs w:val="20"/>
                <w:lang w:val="en-US" w:eastAsia="ru-RU"/>
              </w:rPr>
              <w:t xml:space="preserve"> Abandon </w:t>
            </w:r>
          </w:p>
        </w:tc>
      </w:tr>
    </w:tbl>
    <w:p w:rsidR="00A37B72" w:rsidRDefault="00A37B72" w:rsidP="00A37B72">
      <w:pPr>
        <w:pStyle w:val="OfficialNormal"/>
        <w:keepNext/>
      </w:pPr>
    </w:p>
    <w:p w:rsidR="00A37B72" w:rsidRPr="00FF0C30" w:rsidRDefault="00A37B72" w:rsidP="00A37B72">
      <w:pPr>
        <w:pStyle w:val="ac"/>
        <w:rPr>
          <w:lang w:eastAsia="ru-RU"/>
        </w:rPr>
      </w:pPr>
      <w:bookmarkStart w:id="102" w:name="_Ref483783237"/>
      <w:bookmarkStart w:id="103" w:name="_Toc484036531"/>
      <w:r>
        <w:t xml:space="preserve">Figure </w:t>
      </w:r>
      <w:r>
        <w:fldChar w:fldCharType="begin"/>
      </w:r>
      <w:r>
        <w:instrText xml:space="preserve"> SEQ Figure \* ARABIC </w:instrText>
      </w:r>
      <w:r>
        <w:fldChar w:fldCharType="separate"/>
      </w:r>
      <w:r w:rsidR="008324C6">
        <w:rPr>
          <w:noProof/>
        </w:rPr>
        <w:t>17</w:t>
      </w:r>
      <w:r>
        <w:fldChar w:fldCharType="end"/>
      </w:r>
      <w:bookmarkEnd w:id="102"/>
      <w:r>
        <w:t>. Risk management recommendations for option to abandon execution</w:t>
      </w:r>
      <w:r w:rsidR="00666082">
        <w:t xml:space="preserve">. </w:t>
      </w:r>
      <w:r w:rsidR="00666082" w:rsidRPr="00481A23">
        <w:t>Source: Author´s figure</w:t>
      </w:r>
      <w:r w:rsidR="00666082">
        <w:t>.</w:t>
      </w:r>
      <w:bookmarkEnd w:id="103"/>
    </w:p>
    <w:p w:rsidR="008F073B" w:rsidRPr="00FF0C30" w:rsidRDefault="00666082" w:rsidP="0024006E">
      <w:pPr>
        <w:pStyle w:val="2"/>
      </w:pPr>
      <w:bookmarkStart w:id="104" w:name="_Toc484036314"/>
      <w:r>
        <w:t>Chapter summary</w:t>
      </w:r>
      <w:bookmarkEnd w:id="104"/>
    </w:p>
    <w:p w:rsidR="00C66918" w:rsidRDefault="00C66918" w:rsidP="00C66918">
      <w:pPr>
        <w:rPr>
          <w:lang w:val="en-US"/>
        </w:rPr>
      </w:pPr>
      <w:r>
        <w:rPr>
          <w:lang w:val="en-US"/>
        </w:rPr>
        <w:t>Illustrative case –</w:t>
      </w:r>
      <w:r w:rsidR="00113073">
        <w:rPr>
          <w:lang w:val="en-US"/>
        </w:rPr>
        <w:t xml:space="preserve"> </w:t>
      </w:r>
      <w:r>
        <w:rPr>
          <w:lang w:val="en-US"/>
        </w:rPr>
        <w:t xml:space="preserve">shelf oilfield development project – is a long term capital intensive investment project with 20 years planning horizon. It includes large investment into offshore and onshore infrastructure and subject to numerous risks. </w:t>
      </w:r>
    </w:p>
    <w:p w:rsidR="00C66918" w:rsidRDefault="00C66918" w:rsidP="00C66918">
      <w:pPr>
        <w:rPr>
          <w:lang w:val="en-US"/>
        </w:rPr>
      </w:pPr>
      <w:r>
        <w:rPr>
          <w:lang w:val="en-US"/>
        </w:rPr>
        <w:t>Main contributor to overall fluctuation of expected cash inflows – price of URALS oil and connected ruble exchange rate. Uncertainty in extractable reserve is next most significant reason of volatility. Price of URALS was forecasted with ARIMA model based on historical data. Extractable reserves were modeled with triangular distribution based on expert estimations.</w:t>
      </w:r>
    </w:p>
    <w:p w:rsidR="00C66918" w:rsidRDefault="00C66918" w:rsidP="00C66918">
      <w:pPr>
        <w:pStyle w:val="OfficialNormal"/>
        <w:rPr>
          <w:lang w:val="en-US" w:eastAsia="ru-RU"/>
        </w:rPr>
      </w:pPr>
      <w:r w:rsidRPr="00FF0C30">
        <w:rPr>
          <w:lang w:val="en-US" w:eastAsia="ru-RU"/>
        </w:rPr>
        <w:t xml:space="preserve">NPV of the project without value of built in flexibility is </w:t>
      </w:r>
      <w:r w:rsidR="00B8436D">
        <w:rPr>
          <w:lang w:val="en-US" w:eastAsia="ru-RU"/>
        </w:rPr>
        <w:t>6 155</w:t>
      </w:r>
      <w:r w:rsidRPr="00FF0C30">
        <w:rPr>
          <w:lang w:val="en-US" w:eastAsia="ru-RU"/>
        </w:rPr>
        <w:t xml:space="preserve"> million rubles. However, it </w:t>
      </w:r>
      <w:r>
        <w:rPr>
          <w:lang w:val="en-US" w:eastAsia="ru-RU"/>
        </w:rPr>
        <w:t>increases significantly when built-in real options are accounted for.</w:t>
      </w:r>
    </w:p>
    <w:p w:rsidR="00C66918" w:rsidRDefault="00C66918" w:rsidP="00C66918">
      <w:pPr>
        <w:pStyle w:val="OfficialNormal"/>
        <w:rPr>
          <w:lang w:val="en-US" w:eastAsia="ru-RU"/>
        </w:rPr>
      </w:pPr>
      <w:r>
        <w:rPr>
          <w:lang w:val="en-US" w:eastAsia="ru-RU"/>
        </w:rPr>
        <w:lastRenderedPageBreak/>
        <w:t xml:space="preserve">Project has two main flexibilities – ability to defer the investment and </w:t>
      </w:r>
      <w:r w:rsidR="00734DAD">
        <w:rPr>
          <w:lang w:val="en-US" w:eastAsia="ru-RU"/>
        </w:rPr>
        <w:t xml:space="preserve">option to abandon the project for salvage value, which is granted by the platform that can be moved to another oilfield or sold to third party. </w:t>
      </w:r>
    </w:p>
    <w:p w:rsidR="00734DAD" w:rsidRDefault="00734DAD" w:rsidP="00C66918">
      <w:pPr>
        <w:pStyle w:val="OfficialNormal"/>
        <w:rPr>
          <w:lang w:val="en-US" w:eastAsia="ru-RU"/>
        </w:rPr>
      </w:pPr>
      <w:r>
        <w:rPr>
          <w:lang w:val="en-US" w:eastAsia="ru-RU"/>
        </w:rPr>
        <w:t xml:space="preserve">Valuation of option to wait demonstrated that investor can increase value of the project by roughly 13 </w:t>
      </w:r>
      <w:r w:rsidR="00B8436D">
        <w:rPr>
          <w:lang w:val="en-US" w:eastAsia="ru-RU"/>
        </w:rPr>
        <w:t>b</w:t>
      </w:r>
      <w:r>
        <w:rPr>
          <w:lang w:val="en-US" w:eastAsia="ru-RU"/>
        </w:rPr>
        <w:t xml:space="preserve">illion rubles through waiting no longer than </w:t>
      </w:r>
      <w:r w:rsidR="00B8436D">
        <w:rPr>
          <w:lang w:val="en-US" w:eastAsia="ru-RU"/>
        </w:rPr>
        <w:t>7</w:t>
      </w:r>
      <w:r>
        <w:rPr>
          <w:lang w:val="en-US" w:eastAsia="ru-RU"/>
        </w:rPr>
        <w:t xml:space="preserve"> years </w:t>
      </w:r>
      <w:r w:rsidR="00B8436D">
        <w:rPr>
          <w:lang w:val="en-US" w:eastAsia="ru-RU"/>
        </w:rPr>
        <w:t>11</w:t>
      </w:r>
      <w:r>
        <w:rPr>
          <w:lang w:val="en-US" w:eastAsia="ru-RU"/>
        </w:rPr>
        <w:t xml:space="preserve"> months until uncertainty is resolved. Within this timeframe passive waiting will contribute to overall present value of the project and can thereby be critical for investor.</w:t>
      </w:r>
    </w:p>
    <w:p w:rsidR="00734DAD" w:rsidRPr="00FF0C30" w:rsidRDefault="00734DAD" w:rsidP="00C66918">
      <w:pPr>
        <w:pStyle w:val="OfficialNormal"/>
        <w:rPr>
          <w:lang w:val="en-US" w:eastAsia="ru-RU"/>
        </w:rPr>
      </w:pPr>
      <w:r>
        <w:rPr>
          <w:lang w:val="en-US" w:eastAsia="ru-RU"/>
        </w:rPr>
        <w:t xml:space="preserve">Option to abandon significantly improves financial outcomes of the project. It allows exiting the project if uncertainty will resolve into unfavorable conditions, and first of all if the </w:t>
      </w:r>
      <w:r w:rsidR="00A06120">
        <w:rPr>
          <w:lang w:val="en-US" w:eastAsia="ru-RU"/>
        </w:rPr>
        <w:t xml:space="preserve">extractable reserves turn out to be lower than expected. </w:t>
      </w:r>
    </w:p>
    <w:p w:rsidR="00A06120" w:rsidRPr="003D269B" w:rsidRDefault="00A06120" w:rsidP="00A06120">
      <w:pPr>
        <w:rPr>
          <w:lang w:val="en-US"/>
        </w:rPr>
      </w:pPr>
      <w:r>
        <w:rPr>
          <w:lang w:val="en-US"/>
        </w:rPr>
        <w:t>With</w:t>
      </w:r>
      <w:r w:rsidRPr="003D269B">
        <w:rPr>
          <w:lang w:val="en-US"/>
        </w:rPr>
        <w:t xml:space="preserve"> a </w:t>
      </w:r>
      <w:r>
        <w:rPr>
          <w:lang w:val="en-US"/>
        </w:rPr>
        <w:t xml:space="preserve">platform that can be moved to another oil field or sold </w:t>
      </w:r>
      <w:r w:rsidRPr="003D269B">
        <w:rPr>
          <w:lang w:val="en-US"/>
        </w:rPr>
        <w:t xml:space="preserve">the project is worth more than its static </w:t>
      </w:r>
      <w:r>
        <w:rPr>
          <w:lang w:val="en-US"/>
        </w:rPr>
        <w:t>net present value</w:t>
      </w:r>
      <w:r w:rsidRPr="003D269B">
        <w:rPr>
          <w:lang w:val="en-US"/>
        </w:rPr>
        <w:t>.</w:t>
      </w:r>
      <w:r>
        <w:rPr>
          <w:lang w:val="en-US"/>
        </w:rPr>
        <w:t xml:space="preserve"> Value of option to abandon is </w:t>
      </w:r>
      <w:r w:rsidR="00B8436D">
        <w:rPr>
          <w:lang w:val="en-US"/>
        </w:rPr>
        <w:t>37</w:t>
      </w:r>
      <w:r w:rsidRPr="003D269B">
        <w:rPr>
          <w:lang w:val="en-US"/>
        </w:rPr>
        <w:t xml:space="preserve"> </w:t>
      </w:r>
      <w:r>
        <w:rPr>
          <w:lang w:val="en-US"/>
        </w:rPr>
        <w:t>billion</w:t>
      </w:r>
      <w:r w:rsidRPr="003D269B">
        <w:rPr>
          <w:lang w:val="en-US"/>
        </w:rPr>
        <w:t xml:space="preserve"> </w:t>
      </w:r>
      <w:r>
        <w:rPr>
          <w:lang w:val="en-US"/>
        </w:rPr>
        <w:t>rubles</w:t>
      </w:r>
      <w:r w:rsidRPr="003D269B">
        <w:rPr>
          <w:lang w:val="en-US"/>
        </w:rPr>
        <w:t xml:space="preserve">, and the combined value of </w:t>
      </w:r>
      <w:r w:rsidR="00B8436D">
        <w:rPr>
          <w:lang w:val="en-US"/>
        </w:rPr>
        <w:t>44</w:t>
      </w:r>
      <w:r w:rsidRPr="003D269B">
        <w:rPr>
          <w:lang w:val="en-US"/>
        </w:rPr>
        <w:t xml:space="preserve"> </w:t>
      </w:r>
      <w:r>
        <w:rPr>
          <w:lang w:val="en-US"/>
        </w:rPr>
        <w:t>b</w:t>
      </w:r>
      <w:r w:rsidRPr="003D269B">
        <w:rPr>
          <w:lang w:val="en-US"/>
        </w:rPr>
        <w:t xml:space="preserve">illion is the </w:t>
      </w:r>
      <w:r>
        <w:rPr>
          <w:lang w:val="en-US"/>
        </w:rPr>
        <w:t>expanded net present value of the project (e</w:t>
      </w:r>
      <w:r w:rsidRPr="003D269B">
        <w:rPr>
          <w:lang w:val="en-US"/>
        </w:rPr>
        <w:t>NPV</w:t>
      </w:r>
      <w:r>
        <w:rPr>
          <w:lang w:val="en-US"/>
        </w:rPr>
        <w:t>)</w:t>
      </w:r>
    </w:p>
    <w:p w:rsidR="008F073B" w:rsidRPr="00FF0C30" w:rsidRDefault="00A06120" w:rsidP="00C66918">
      <w:pPr>
        <w:rPr>
          <w:lang w:val="en-US"/>
        </w:rPr>
      </w:pPr>
      <w:r>
        <w:rPr>
          <w:lang w:val="en-US"/>
        </w:rPr>
        <w:t>Description and valuation of option to abandon determines conditions when the option should be executed to handle the unfavorable conditions that is when expected present value of cash inflows is lower than salvage value of the platform.</w:t>
      </w:r>
      <w:r w:rsidR="008F073B" w:rsidRPr="00FF0C30">
        <w:rPr>
          <w:lang w:val="en-US"/>
        </w:rPr>
        <w:br w:type="page"/>
      </w:r>
    </w:p>
    <w:p w:rsidR="008F073B" w:rsidRPr="00FF0C30" w:rsidRDefault="008F073B" w:rsidP="00666082">
      <w:pPr>
        <w:pStyle w:val="1"/>
        <w:numPr>
          <w:ilvl w:val="0"/>
          <w:numId w:val="0"/>
        </w:numPr>
        <w:ind w:left="360" w:hanging="360"/>
      </w:pPr>
      <w:bookmarkStart w:id="105" w:name="_Toc484036315"/>
      <w:r w:rsidRPr="00FF0C30">
        <w:lastRenderedPageBreak/>
        <w:t>Conclusion</w:t>
      </w:r>
      <w:bookmarkEnd w:id="105"/>
    </w:p>
    <w:p w:rsidR="00125C88" w:rsidRDefault="00125C88" w:rsidP="008F073B">
      <w:pPr>
        <w:rPr>
          <w:rFonts w:cs="Times New Roman"/>
          <w:szCs w:val="24"/>
          <w:lang w:val="en-US"/>
        </w:rPr>
      </w:pPr>
      <w:r w:rsidRPr="00125C88">
        <w:rPr>
          <w:rFonts w:cs="Times New Roman"/>
          <w:szCs w:val="24"/>
          <w:lang w:val="en-US"/>
        </w:rPr>
        <w:t xml:space="preserve">The main </w:t>
      </w:r>
      <w:r w:rsidR="00BB3C3B">
        <w:rPr>
          <w:rFonts w:cs="Times New Roman"/>
          <w:szCs w:val="24"/>
          <w:lang w:val="en-US"/>
        </w:rPr>
        <w:t>goal</w:t>
      </w:r>
      <w:r w:rsidRPr="00125C88">
        <w:rPr>
          <w:rFonts w:cs="Times New Roman"/>
          <w:szCs w:val="24"/>
          <w:lang w:val="en-US"/>
        </w:rPr>
        <w:t xml:space="preserve"> of this </w:t>
      </w:r>
      <w:r w:rsidR="00BB3C3B">
        <w:rPr>
          <w:rFonts w:cs="Times New Roman"/>
          <w:szCs w:val="24"/>
          <w:lang w:val="en-US"/>
        </w:rPr>
        <w:t>thesis</w:t>
      </w:r>
      <w:r w:rsidRPr="00125C88">
        <w:rPr>
          <w:rFonts w:cs="Times New Roman"/>
          <w:szCs w:val="24"/>
          <w:lang w:val="en-US"/>
        </w:rPr>
        <w:t xml:space="preserve"> was </w:t>
      </w:r>
      <w:r w:rsidRPr="00527CD1">
        <w:rPr>
          <w:rFonts w:cs="Times New Roman"/>
          <w:szCs w:val="24"/>
          <w:lang w:val="en-US"/>
        </w:rPr>
        <w:t xml:space="preserve">to investigate application of </w:t>
      </w:r>
      <w:r>
        <w:rPr>
          <w:rFonts w:cs="Times New Roman"/>
          <w:szCs w:val="24"/>
          <w:lang w:val="en-US"/>
        </w:rPr>
        <w:t>real options analysis</w:t>
      </w:r>
      <w:r w:rsidRPr="00527CD1">
        <w:rPr>
          <w:rFonts w:cs="Times New Roman"/>
          <w:szCs w:val="24"/>
          <w:lang w:val="en-US"/>
        </w:rPr>
        <w:t xml:space="preserve"> to Russian oil and gas investment projects and provide an illustrative example of possible application</w:t>
      </w:r>
      <w:r w:rsidRPr="00125C88">
        <w:rPr>
          <w:rFonts w:cs="Times New Roman"/>
          <w:szCs w:val="24"/>
          <w:lang w:val="en-US"/>
        </w:rPr>
        <w:t xml:space="preserve">. This </w:t>
      </w:r>
      <w:r w:rsidR="00BB3C3B">
        <w:rPr>
          <w:rFonts w:cs="Times New Roman"/>
          <w:szCs w:val="24"/>
          <w:lang w:val="en-US"/>
        </w:rPr>
        <w:t xml:space="preserve">goal </w:t>
      </w:r>
      <w:r w:rsidRPr="00125C88">
        <w:rPr>
          <w:rFonts w:cs="Times New Roman"/>
          <w:szCs w:val="24"/>
          <w:lang w:val="en-US"/>
        </w:rPr>
        <w:t>is based on the</w:t>
      </w:r>
      <w:r>
        <w:rPr>
          <w:rFonts w:cs="Times New Roman"/>
          <w:szCs w:val="24"/>
          <w:lang w:val="en-US"/>
        </w:rPr>
        <w:t xml:space="preserve"> </w:t>
      </w:r>
      <w:r w:rsidRPr="00125C88">
        <w:rPr>
          <w:rFonts w:cs="Times New Roman"/>
          <w:szCs w:val="24"/>
          <w:lang w:val="en-US"/>
        </w:rPr>
        <w:t xml:space="preserve">hypothesis </w:t>
      </w:r>
      <w:r w:rsidR="00BB3C3B">
        <w:rPr>
          <w:rFonts w:cs="Times New Roman"/>
          <w:szCs w:val="24"/>
          <w:lang w:val="en-US"/>
        </w:rPr>
        <w:t>that</w:t>
      </w:r>
      <w:r>
        <w:rPr>
          <w:rFonts w:cs="Times New Roman"/>
          <w:szCs w:val="24"/>
          <w:lang w:val="en-US"/>
        </w:rPr>
        <w:t xml:space="preserve"> existing discounted cash flow</w:t>
      </w:r>
      <w:r w:rsidRPr="00125C88">
        <w:rPr>
          <w:rFonts w:cs="Times New Roman"/>
          <w:szCs w:val="24"/>
          <w:lang w:val="en-US"/>
        </w:rPr>
        <w:t xml:space="preserve"> </w:t>
      </w:r>
      <w:r w:rsidR="00BB3C3B">
        <w:rPr>
          <w:rFonts w:cs="Times New Roman"/>
          <w:szCs w:val="24"/>
          <w:lang w:val="en-US"/>
        </w:rPr>
        <w:t>method</w:t>
      </w:r>
      <w:r w:rsidRPr="00125C88">
        <w:rPr>
          <w:rFonts w:cs="Times New Roman"/>
          <w:szCs w:val="24"/>
          <w:lang w:val="en-US"/>
        </w:rPr>
        <w:t xml:space="preserve"> traditionally used for the</w:t>
      </w:r>
      <w:r>
        <w:rPr>
          <w:rFonts w:cs="Times New Roman"/>
          <w:szCs w:val="24"/>
          <w:lang w:val="en-US"/>
        </w:rPr>
        <w:t xml:space="preserve"> </w:t>
      </w:r>
      <w:r w:rsidR="00BB3C3B">
        <w:rPr>
          <w:rFonts w:cs="Times New Roman"/>
          <w:szCs w:val="24"/>
          <w:lang w:val="en-US"/>
        </w:rPr>
        <w:t xml:space="preserve">valuation, </w:t>
      </w:r>
      <w:r w:rsidRPr="00125C88">
        <w:rPr>
          <w:rFonts w:cs="Times New Roman"/>
          <w:szCs w:val="24"/>
          <w:lang w:val="en-US"/>
        </w:rPr>
        <w:t xml:space="preserve">planning, and design of the </w:t>
      </w:r>
      <w:r>
        <w:rPr>
          <w:rFonts w:cs="Times New Roman"/>
          <w:szCs w:val="24"/>
          <w:lang w:val="en-US"/>
        </w:rPr>
        <w:t>oil and gas investment projects</w:t>
      </w:r>
      <w:r w:rsidRPr="00125C88">
        <w:rPr>
          <w:rFonts w:cs="Times New Roman"/>
          <w:szCs w:val="24"/>
          <w:lang w:val="en-US"/>
        </w:rPr>
        <w:t xml:space="preserve"> can</w:t>
      </w:r>
      <w:r>
        <w:rPr>
          <w:rFonts w:cs="Times New Roman"/>
          <w:szCs w:val="24"/>
          <w:lang w:val="en-US"/>
        </w:rPr>
        <w:t xml:space="preserve"> </w:t>
      </w:r>
      <w:r w:rsidRPr="00125C88">
        <w:rPr>
          <w:rFonts w:cs="Times New Roman"/>
          <w:szCs w:val="24"/>
          <w:lang w:val="en-US"/>
        </w:rPr>
        <w:t xml:space="preserve">be improved by addressing the </w:t>
      </w:r>
      <w:r>
        <w:rPr>
          <w:rFonts w:cs="Times New Roman"/>
          <w:szCs w:val="24"/>
          <w:lang w:val="en-US"/>
        </w:rPr>
        <w:t>fl</w:t>
      </w:r>
      <w:r w:rsidRPr="00125C88">
        <w:rPr>
          <w:rFonts w:cs="Times New Roman"/>
          <w:szCs w:val="24"/>
          <w:lang w:val="en-US"/>
        </w:rPr>
        <w:t>exibility embedded within the projects and their</w:t>
      </w:r>
      <w:r>
        <w:rPr>
          <w:rFonts w:cs="Times New Roman"/>
          <w:szCs w:val="24"/>
          <w:lang w:val="en-US"/>
        </w:rPr>
        <w:t xml:space="preserve"> </w:t>
      </w:r>
      <w:r w:rsidRPr="00125C88">
        <w:rPr>
          <w:rFonts w:cs="Times New Roman"/>
          <w:szCs w:val="24"/>
          <w:lang w:val="en-US"/>
        </w:rPr>
        <w:t xml:space="preserve">environment, which can be </w:t>
      </w:r>
      <w:r>
        <w:rPr>
          <w:rFonts w:cs="Times New Roman"/>
          <w:szCs w:val="24"/>
          <w:lang w:val="en-US"/>
        </w:rPr>
        <w:t>evaluated with real options analysis</w:t>
      </w:r>
      <w:r w:rsidRPr="00125C88">
        <w:rPr>
          <w:rFonts w:cs="Times New Roman"/>
          <w:szCs w:val="24"/>
          <w:lang w:val="en-US"/>
        </w:rPr>
        <w:t>.</w:t>
      </w:r>
    </w:p>
    <w:p w:rsidR="00125C88" w:rsidRDefault="00125C88" w:rsidP="008F073B">
      <w:pPr>
        <w:rPr>
          <w:rFonts w:cs="Times New Roman"/>
          <w:szCs w:val="24"/>
          <w:lang w:val="en-US"/>
        </w:rPr>
      </w:pPr>
      <w:r w:rsidRPr="00125C88">
        <w:rPr>
          <w:rFonts w:cs="Times New Roman"/>
          <w:szCs w:val="24"/>
          <w:lang w:val="en-US"/>
        </w:rPr>
        <w:t>The research was driven primarily by</w:t>
      </w:r>
      <w:r>
        <w:rPr>
          <w:rFonts w:cs="Times New Roman"/>
          <w:szCs w:val="24"/>
          <w:lang w:val="en-US"/>
        </w:rPr>
        <w:t xml:space="preserve"> following factors:</w:t>
      </w:r>
    </w:p>
    <w:p w:rsidR="00125C88" w:rsidRPr="00125C88" w:rsidRDefault="00125C88" w:rsidP="00B7274B">
      <w:pPr>
        <w:pStyle w:val="a3"/>
        <w:numPr>
          <w:ilvl w:val="0"/>
          <w:numId w:val="10"/>
        </w:numPr>
        <w:rPr>
          <w:rFonts w:cs="Times New Roman"/>
          <w:szCs w:val="24"/>
          <w:lang w:val="en-US"/>
        </w:rPr>
      </w:pPr>
      <w:r>
        <w:rPr>
          <w:rFonts w:cs="Times New Roman"/>
          <w:szCs w:val="24"/>
          <w:lang w:val="en-US"/>
        </w:rPr>
        <w:t>T</w:t>
      </w:r>
      <w:r w:rsidRPr="00125C88">
        <w:rPr>
          <w:rFonts w:cs="Times New Roman"/>
          <w:szCs w:val="24"/>
          <w:lang w:val="en-US"/>
        </w:rPr>
        <w:t xml:space="preserve">he importance of oil and gas industry for Russian economy; </w:t>
      </w:r>
    </w:p>
    <w:p w:rsidR="00BB3C3B" w:rsidRDefault="00125C88" w:rsidP="00B7274B">
      <w:pPr>
        <w:pStyle w:val="a3"/>
        <w:numPr>
          <w:ilvl w:val="0"/>
          <w:numId w:val="10"/>
        </w:numPr>
        <w:rPr>
          <w:rFonts w:cs="Times New Roman"/>
          <w:szCs w:val="24"/>
          <w:lang w:val="en-US"/>
        </w:rPr>
      </w:pPr>
      <w:r>
        <w:rPr>
          <w:rFonts w:cs="Times New Roman"/>
          <w:szCs w:val="24"/>
          <w:lang w:val="en-US"/>
        </w:rPr>
        <w:t>S</w:t>
      </w:r>
      <w:r w:rsidRPr="00125C88">
        <w:rPr>
          <w:rFonts w:cs="Times New Roman"/>
          <w:szCs w:val="24"/>
          <w:lang w:val="en-US"/>
        </w:rPr>
        <w:t xml:space="preserve">pecifics of oil and gas projects (i.e. long life span and high uncertainty); </w:t>
      </w:r>
    </w:p>
    <w:p w:rsidR="00125C88" w:rsidRPr="00125C88" w:rsidRDefault="00BB3C3B" w:rsidP="00B7274B">
      <w:pPr>
        <w:pStyle w:val="a3"/>
        <w:numPr>
          <w:ilvl w:val="0"/>
          <w:numId w:val="10"/>
        </w:numPr>
        <w:rPr>
          <w:rFonts w:cs="Times New Roman"/>
          <w:szCs w:val="24"/>
          <w:lang w:val="en-US"/>
        </w:rPr>
      </w:pPr>
      <w:r>
        <w:rPr>
          <w:rFonts w:cs="Times New Roman"/>
          <w:szCs w:val="24"/>
          <w:lang w:val="en-US"/>
        </w:rPr>
        <w:t>Specifics of Russian market that increase uncertainty of oil and gas projects;</w:t>
      </w:r>
    </w:p>
    <w:p w:rsidR="00125C88" w:rsidRPr="00125C88" w:rsidRDefault="00125C88" w:rsidP="00B7274B">
      <w:pPr>
        <w:pStyle w:val="a3"/>
        <w:numPr>
          <w:ilvl w:val="0"/>
          <w:numId w:val="10"/>
        </w:numPr>
        <w:rPr>
          <w:rFonts w:cs="Times New Roman"/>
          <w:szCs w:val="24"/>
          <w:lang w:val="en-US"/>
        </w:rPr>
      </w:pPr>
      <w:r>
        <w:rPr>
          <w:rFonts w:cs="Times New Roman"/>
          <w:szCs w:val="24"/>
          <w:lang w:val="en-US"/>
        </w:rPr>
        <w:t>T</w:t>
      </w:r>
      <w:r w:rsidRPr="00125C88">
        <w:rPr>
          <w:rFonts w:cs="Times New Roman"/>
          <w:szCs w:val="24"/>
          <w:lang w:val="en-US"/>
        </w:rPr>
        <w:t>he drawback of traditional DCF techniques of undervaluing flexible projects under uncertainty;</w:t>
      </w:r>
    </w:p>
    <w:p w:rsidR="00125C88" w:rsidRPr="00125C88" w:rsidRDefault="00125C88" w:rsidP="00B7274B">
      <w:pPr>
        <w:pStyle w:val="a3"/>
        <w:numPr>
          <w:ilvl w:val="0"/>
          <w:numId w:val="10"/>
        </w:numPr>
        <w:rPr>
          <w:rFonts w:cs="Times New Roman"/>
          <w:szCs w:val="24"/>
          <w:lang w:val="en-US"/>
        </w:rPr>
      </w:pPr>
      <w:r>
        <w:rPr>
          <w:rFonts w:cs="Times New Roman"/>
          <w:szCs w:val="24"/>
          <w:lang w:val="en-US"/>
        </w:rPr>
        <w:t>T</w:t>
      </w:r>
      <w:r w:rsidRPr="00125C88">
        <w:rPr>
          <w:rFonts w:cs="Times New Roman"/>
          <w:szCs w:val="24"/>
          <w:lang w:val="en-US"/>
        </w:rPr>
        <w:t xml:space="preserve">he potential of real option analysis to address these drawbacks. </w:t>
      </w:r>
    </w:p>
    <w:p w:rsidR="008F0CCC" w:rsidRPr="008F0CCC" w:rsidRDefault="008F0CCC" w:rsidP="00BB3C3B">
      <w:pPr>
        <w:rPr>
          <w:lang w:val="en-US"/>
        </w:rPr>
      </w:pPr>
      <w:r w:rsidRPr="008F0CCC">
        <w:rPr>
          <w:lang w:val="en-US"/>
        </w:rPr>
        <w:t>Projects in oil and gas in general are very capital intensive and differ from many others with their extremely long lifespan. Due to complexity and broad planning horizon projects in oil and gas industry are subject to wide range of uncertainties</w:t>
      </w:r>
      <w:r>
        <w:rPr>
          <w:lang w:val="en-US"/>
        </w:rPr>
        <w:t>.</w:t>
      </w:r>
    </w:p>
    <w:p w:rsidR="00125C88" w:rsidRDefault="00BB3C3B" w:rsidP="00BB3C3B">
      <w:pPr>
        <w:rPr>
          <w:rFonts w:cs="Times New Roman"/>
          <w:szCs w:val="24"/>
          <w:lang w:val="en-US"/>
        </w:rPr>
      </w:pPr>
      <w:r>
        <w:rPr>
          <w:rFonts w:cs="Times New Roman"/>
          <w:szCs w:val="24"/>
          <w:lang w:val="en-US"/>
        </w:rPr>
        <w:t xml:space="preserve">The research shows that majority of </w:t>
      </w:r>
      <w:r w:rsidRPr="00BB3C3B">
        <w:rPr>
          <w:rFonts w:cs="Times New Roman"/>
          <w:szCs w:val="24"/>
          <w:lang w:val="en-US"/>
        </w:rPr>
        <w:t>projects, including</w:t>
      </w:r>
      <w:r>
        <w:rPr>
          <w:rFonts w:cs="Times New Roman"/>
          <w:szCs w:val="24"/>
          <w:lang w:val="en-US"/>
        </w:rPr>
        <w:t xml:space="preserve"> those in oil and gas industry</w:t>
      </w:r>
      <w:r w:rsidRPr="00BB3C3B">
        <w:rPr>
          <w:rFonts w:cs="Times New Roman"/>
          <w:szCs w:val="24"/>
          <w:lang w:val="en-US"/>
        </w:rPr>
        <w:t>, are assessed with traditional techniques,</w:t>
      </w:r>
      <w:r>
        <w:rPr>
          <w:rFonts w:cs="Times New Roman"/>
          <w:szCs w:val="24"/>
          <w:lang w:val="en-US"/>
        </w:rPr>
        <w:t xml:space="preserve"> based on idea of discounted cash flows, </w:t>
      </w:r>
      <w:r w:rsidRPr="00BB3C3B">
        <w:rPr>
          <w:rFonts w:cs="Times New Roman"/>
          <w:szCs w:val="24"/>
          <w:lang w:val="en-US"/>
        </w:rPr>
        <w:t>which allow a logical, well accepted, and reasonable assessment. However, DCF techniques</w:t>
      </w:r>
      <w:r>
        <w:rPr>
          <w:rFonts w:cs="Times New Roman"/>
          <w:szCs w:val="24"/>
          <w:lang w:val="en-US"/>
        </w:rPr>
        <w:t xml:space="preserve"> are not capable to account for the fle</w:t>
      </w:r>
      <w:r w:rsidRPr="00BB3C3B">
        <w:rPr>
          <w:rFonts w:cs="Times New Roman"/>
          <w:szCs w:val="24"/>
          <w:lang w:val="en-US"/>
        </w:rPr>
        <w:t>xibility in a</w:t>
      </w:r>
      <w:r>
        <w:rPr>
          <w:rFonts w:cs="Times New Roman"/>
          <w:szCs w:val="24"/>
          <w:lang w:val="en-US"/>
        </w:rPr>
        <w:t xml:space="preserve"> </w:t>
      </w:r>
      <w:r w:rsidRPr="00BB3C3B">
        <w:rPr>
          <w:rFonts w:cs="Times New Roman"/>
          <w:szCs w:val="24"/>
          <w:lang w:val="en-US"/>
        </w:rPr>
        <w:t>project that allow</w:t>
      </w:r>
      <w:r>
        <w:rPr>
          <w:rFonts w:cs="Times New Roman"/>
          <w:szCs w:val="24"/>
          <w:lang w:val="en-US"/>
        </w:rPr>
        <w:t xml:space="preserve">s management to adjust the project </w:t>
      </w:r>
      <w:r w:rsidRPr="00BB3C3B">
        <w:rPr>
          <w:rFonts w:cs="Times New Roman"/>
          <w:szCs w:val="24"/>
          <w:lang w:val="en-US"/>
        </w:rPr>
        <w:t xml:space="preserve">in response to </w:t>
      </w:r>
      <w:r>
        <w:rPr>
          <w:rFonts w:cs="Times New Roman"/>
          <w:szCs w:val="24"/>
          <w:lang w:val="en-US"/>
        </w:rPr>
        <w:t>external environment</w:t>
      </w:r>
      <w:r w:rsidRPr="00BB3C3B">
        <w:rPr>
          <w:rFonts w:cs="Times New Roman"/>
          <w:szCs w:val="24"/>
          <w:lang w:val="en-US"/>
        </w:rPr>
        <w:t xml:space="preserve">. </w:t>
      </w:r>
      <w:r>
        <w:rPr>
          <w:rFonts w:cs="Times New Roman"/>
          <w:szCs w:val="24"/>
          <w:lang w:val="en-US"/>
        </w:rPr>
        <w:t>Consequently</w:t>
      </w:r>
      <w:r w:rsidRPr="00BB3C3B">
        <w:rPr>
          <w:rFonts w:cs="Times New Roman"/>
          <w:szCs w:val="24"/>
          <w:lang w:val="en-US"/>
        </w:rPr>
        <w:t xml:space="preserve">, </w:t>
      </w:r>
      <w:r>
        <w:rPr>
          <w:rFonts w:cs="Times New Roman"/>
          <w:szCs w:val="24"/>
          <w:lang w:val="en-US"/>
        </w:rPr>
        <w:t xml:space="preserve">traditional </w:t>
      </w:r>
      <w:r w:rsidRPr="00BB3C3B">
        <w:rPr>
          <w:rFonts w:cs="Times New Roman"/>
          <w:szCs w:val="24"/>
          <w:lang w:val="en-US"/>
        </w:rPr>
        <w:t xml:space="preserve">techniques tend to undervalue </w:t>
      </w:r>
      <w:r>
        <w:rPr>
          <w:rFonts w:cs="Times New Roman"/>
          <w:szCs w:val="24"/>
          <w:lang w:val="en-US"/>
        </w:rPr>
        <w:t xml:space="preserve">flexible </w:t>
      </w:r>
      <w:r w:rsidRPr="00BB3C3B">
        <w:rPr>
          <w:rFonts w:cs="Times New Roman"/>
          <w:szCs w:val="24"/>
          <w:lang w:val="en-US"/>
        </w:rPr>
        <w:t xml:space="preserve">projects under uncertainty. This </w:t>
      </w:r>
      <w:r w:rsidR="00113073">
        <w:rPr>
          <w:rFonts w:cs="Times New Roman"/>
          <w:szCs w:val="24"/>
          <w:lang w:val="en-US"/>
        </w:rPr>
        <w:t>factors</w:t>
      </w:r>
      <w:r w:rsidRPr="00BB3C3B">
        <w:rPr>
          <w:rFonts w:cs="Times New Roman"/>
          <w:szCs w:val="24"/>
          <w:lang w:val="en-US"/>
        </w:rPr>
        <w:t xml:space="preserve"> can be </w:t>
      </w:r>
      <w:r w:rsidR="00113073">
        <w:rPr>
          <w:rFonts w:cs="Times New Roman"/>
          <w:szCs w:val="24"/>
          <w:lang w:val="en-US"/>
        </w:rPr>
        <w:t>correctly evaluated</w:t>
      </w:r>
      <w:r>
        <w:rPr>
          <w:rFonts w:cs="Times New Roman"/>
          <w:szCs w:val="24"/>
          <w:lang w:val="en-US"/>
        </w:rPr>
        <w:t xml:space="preserve"> </w:t>
      </w:r>
      <w:r w:rsidRPr="00BB3C3B">
        <w:rPr>
          <w:rFonts w:cs="Times New Roman"/>
          <w:szCs w:val="24"/>
          <w:lang w:val="en-US"/>
        </w:rPr>
        <w:t xml:space="preserve">by </w:t>
      </w:r>
      <w:r w:rsidR="00113073">
        <w:rPr>
          <w:rFonts w:cs="Times New Roman"/>
          <w:szCs w:val="24"/>
          <w:lang w:val="en-US"/>
        </w:rPr>
        <w:t>enhancing traditional NPV with real options analysis</w:t>
      </w:r>
      <w:r w:rsidRPr="00BB3C3B">
        <w:rPr>
          <w:rFonts w:cs="Times New Roman"/>
          <w:szCs w:val="24"/>
          <w:lang w:val="en-US"/>
        </w:rPr>
        <w:t>.</w:t>
      </w:r>
    </w:p>
    <w:p w:rsidR="00113073" w:rsidRDefault="00113073" w:rsidP="00113073">
      <w:pPr>
        <w:rPr>
          <w:lang w:val="en-US"/>
        </w:rPr>
      </w:pPr>
      <w:r w:rsidRPr="0075283F">
        <w:rPr>
          <w:rFonts w:cs="Times New Roman"/>
          <w:i/>
          <w:szCs w:val="24"/>
          <w:lang w:val="en-US"/>
        </w:rPr>
        <w:t>“Real option”</w:t>
      </w:r>
      <w:r>
        <w:rPr>
          <w:rFonts w:cs="Times New Roman"/>
          <w:szCs w:val="24"/>
          <w:lang w:val="en-US"/>
        </w:rPr>
        <w:t xml:space="preserve"> is defined as</w:t>
      </w:r>
      <w:r w:rsidRPr="00FF0C30">
        <w:rPr>
          <w:rFonts w:cs="Times New Roman"/>
          <w:szCs w:val="24"/>
          <w:lang w:val="en-US"/>
        </w:rPr>
        <w:t xml:space="preserve"> the right, without obligations, to adjust a project in response to the evolution of uncertainty. </w:t>
      </w:r>
      <w:r>
        <w:rPr>
          <w:lang w:val="en-US"/>
        </w:rPr>
        <w:t>Real options analysis</w:t>
      </w:r>
      <w:r w:rsidRPr="00113073">
        <w:rPr>
          <w:lang w:val="en-US"/>
        </w:rPr>
        <w:t xml:space="preserve"> is known for properly addressing the </w:t>
      </w:r>
      <w:r>
        <w:rPr>
          <w:lang w:val="en-US"/>
        </w:rPr>
        <w:t>fl</w:t>
      </w:r>
      <w:r w:rsidRPr="00113073">
        <w:rPr>
          <w:lang w:val="en-US"/>
        </w:rPr>
        <w:t>exibility embedded within</w:t>
      </w:r>
      <w:r>
        <w:rPr>
          <w:lang w:val="en-US"/>
        </w:rPr>
        <w:t xml:space="preserve"> </w:t>
      </w:r>
      <w:r w:rsidRPr="00113073">
        <w:rPr>
          <w:lang w:val="en-US"/>
        </w:rPr>
        <w:t>projects, which is modelled as options to adjust the projects in response to the</w:t>
      </w:r>
      <w:r>
        <w:rPr>
          <w:lang w:val="en-US"/>
        </w:rPr>
        <w:t xml:space="preserve"> </w:t>
      </w:r>
      <w:r w:rsidRPr="00113073">
        <w:rPr>
          <w:lang w:val="en-US"/>
        </w:rPr>
        <w:t>evolution of uncertainty.</w:t>
      </w:r>
      <w:r>
        <w:rPr>
          <w:lang w:val="en-US"/>
        </w:rPr>
        <w:t xml:space="preserve"> </w:t>
      </w:r>
      <w:r w:rsidRPr="00113073">
        <w:rPr>
          <w:lang w:val="en-US"/>
        </w:rPr>
        <w:t>The bene</w:t>
      </w:r>
      <w:r>
        <w:rPr>
          <w:lang w:val="en-US"/>
        </w:rPr>
        <w:t>fi</w:t>
      </w:r>
      <w:r w:rsidRPr="00113073">
        <w:rPr>
          <w:lang w:val="en-US"/>
        </w:rPr>
        <w:t xml:space="preserve">ts of </w:t>
      </w:r>
      <w:r>
        <w:rPr>
          <w:lang w:val="en-US"/>
        </w:rPr>
        <w:t>real option analysis</w:t>
      </w:r>
      <w:r w:rsidRPr="00113073">
        <w:rPr>
          <w:lang w:val="en-US"/>
        </w:rPr>
        <w:t xml:space="preserve"> are not lim</w:t>
      </w:r>
      <w:r>
        <w:rPr>
          <w:lang w:val="en-US"/>
        </w:rPr>
        <w:t>ited to enhancing the value of fl</w:t>
      </w:r>
      <w:r w:rsidRPr="00113073">
        <w:rPr>
          <w:lang w:val="en-US"/>
        </w:rPr>
        <w:t>exible</w:t>
      </w:r>
      <w:r>
        <w:rPr>
          <w:lang w:val="en-US"/>
        </w:rPr>
        <w:t xml:space="preserve"> </w:t>
      </w:r>
      <w:r w:rsidRPr="00113073">
        <w:rPr>
          <w:lang w:val="en-US"/>
        </w:rPr>
        <w:t xml:space="preserve">projects. </w:t>
      </w:r>
      <w:r>
        <w:rPr>
          <w:lang w:val="en-US"/>
        </w:rPr>
        <w:t>Real option analysis</w:t>
      </w:r>
      <w:r w:rsidRPr="00113073">
        <w:rPr>
          <w:lang w:val="en-US"/>
        </w:rPr>
        <w:t xml:space="preserve"> theory also provide</w:t>
      </w:r>
      <w:r>
        <w:rPr>
          <w:lang w:val="en-US"/>
        </w:rPr>
        <w:t>s</w:t>
      </w:r>
      <w:r w:rsidRPr="00113073">
        <w:rPr>
          <w:lang w:val="en-US"/>
        </w:rPr>
        <w:t xml:space="preserve"> insights about the projects</w:t>
      </w:r>
      <w:r>
        <w:rPr>
          <w:lang w:val="en-US"/>
        </w:rPr>
        <w:t>’ risk</w:t>
      </w:r>
      <w:r w:rsidRPr="00113073">
        <w:rPr>
          <w:lang w:val="en-US"/>
        </w:rPr>
        <w:t xml:space="preserve"> management,</w:t>
      </w:r>
      <w:r>
        <w:rPr>
          <w:lang w:val="en-US"/>
        </w:rPr>
        <w:t xml:space="preserve"> </w:t>
      </w:r>
      <w:r w:rsidRPr="00113073">
        <w:rPr>
          <w:lang w:val="en-US"/>
        </w:rPr>
        <w:t xml:space="preserve">and </w:t>
      </w:r>
      <w:r>
        <w:rPr>
          <w:lang w:val="en-US"/>
        </w:rPr>
        <w:t xml:space="preserve">helps to </w:t>
      </w:r>
      <w:r w:rsidRPr="00113073">
        <w:rPr>
          <w:lang w:val="en-US"/>
        </w:rPr>
        <w:t>identify potential design changes that can increase the pro</w:t>
      </w:r>
      <w:r>
        <w:rPr>
          <w:lang w:val="en-US"/>
        </w:rPr>
        <w:t>fi</w:t>
      </w:r>
      <w:r w:rsidRPr="00113073">
        <w:rPr>
          <w:lang w:val="en-US"/>
        </w:rPr>
        <w:t>tability</w:t>
      </w:r>
      <w:r>
        <w:rPr>
          <w:lang w:val="en-US"/>
        </w:rPr>
        <w:t xml:space="preserve"> </w:t>
      </w:r>
      <w:r w:rsidRPr="00113073">
        <w:rPr>
          <w:lang w:val="en-US"/>
        </w:rPr>
        <w:t>of projects</w:t>
      </w:r>
      <w:r>
        <w:rPr>
          <w:lang w:val="en-US"/>
        </w:rPr>
        <w:t xml:space="preserve"> through increase in managerial flexibility</w:t>
      </w:r>
      <w:r w:rsidRPr="00113073">
        <w:rPr>
          <w:lang w:val="en-US"/>
        </w:rPr>
        <w:t xml:space="preserve">. </w:t>
      </w:r>
    </w:p>
    <w:p w:rsidR="008F0CCC" w:rsidRDefault="008F073B" w:rsidP="008F0CCC">
      <w:pPr>
        <w:rPr>
          <w:lang w:val="en-US"/>
        </w:rPr>
      </w:pPr>
      <w:r w:rsidRPr="00FF0C30">
        <w:rPr>
          <w:rFonts w:cs="Times New Roman"/>
          <w:szCs w:val="24"/>
          <w:lang w:val="en-US"/>
        </w:rPr>
        <w:lastRenderedPageBreak/>
        <w:t xml:space="preserve">Oil and </w:t>
      </w:r>
      <w:r w:rsidR="008F0CCC">
        <w:rPr>
          <w:rFonts w:cs="Times New Roman"/>
          <w:szCs w:val="24"/>
          <w:lang w:val="en-US"/>
        </w:rPr>
        <w:t>g</w:t>
      </w:r>
      <w:r w:rsidRPr="00FF0C30">
        <w:rPr>
          <w:rFonts w:cs="Times New Roman"/>
          <w:szCs w:val="24"/>
          <w:lang w:val="en-US"/>
        </w:rPr>
        <w:t>as industry in Russia was investigated applying to real options analysis, including main uncertainties and flexibilities.</w:t>
      </w:r>
      <w:r w:rsidR="008F0CCC">
        <w:rPr>
          <w:rFonts w:cs="Times New Roman"/>
          <w:szCs w:val="24"/>
          <w:lang w:val="en-US"/>
        </w:rPr>
        <w:t xml:space="preserve"> </w:t>
      </w:r>
      <w:r w:rsidR="008F0CCC">
        <w:rPr>
          <w:lang w:val="en-US"/>
        </w:rPr>
        <w:t>Oil and gas industry remains a core part of Russian economy. Allocation of oil and gas resources allow Russian market participants to enjoy extremely low upstream costs. However, location of oil and gas fields require complex and expansive infrastructural investments and profound technologies, that often require participation of foreign investors.</w:t>
      </w:r>
    </w:p>
    <w:p w:rsidR="008F0CCC" w:rsidRDefault="008F0CCC" w:rsidP="008F0CCC">
      <w:pPr>
        <w:rPr>
          <w:lang w:val="en-US"/>
        </w:rPr>
      </w:pPr>
      <w:r>
        <w:rPr>
          <w:lang w:val="en-US"/>
        </w:rPr>
        <w:t>Projects in oil and gas in are depend on numerous factors of uncertainty which can be divided into three groups: economic, technical and political. All types of uncertainties are stronger in Russian market if compared to developed countries. Real options analysis can offer recommendations for managing economic and partially technical risk, however, political risks are not within the scope of the method.</w:t>
      </w:r>
    </w:p>
    <w:p w:rsidR="008F0CCC" w:rsidRDefault="008F0CCC" w:rsidP="008F0CCC">
      <w:pPr>
        <w:rPr>
          <w:rFonts w:cs="Times New Roman"/>
          <w:szCs w:val="24"/>
          <w:lang w:val="en-US"/>
        </w:rPr>
      </w:pPr>
      <w:r>
        <w:rPr>
          <w:rFonts w:cs="Times New Roman"/>
          <w:szCs w:val="24"/>
          <w:lang w:val="en-US"/>
        </w:rPr>
        <w:t>Real option analysis can be performed in 7 stages, which include steps of traditional analysis (project description, forecasting, base case NPV) and specific for real options approach (simulation, description of real options, valuation of real options, formulating risk management recommendations).</w:t>
      </w:r>
    </w:p>
    <w:p w:rsidR="008F0CCC" w:rsidRDefault="008F0CCC" w:rsidP="004F65F9">
      <w:pPr>
        <w:rPr>
          <w:lang w:val="en-US" w:eastAsia="ru-RU"/>
        </w:rPr>
      </w:pPr>
      <w:r>
        <w:rPr>
          <w:rFonts w:cs="Times New Roman"/>
          <w:szCs w:val="24"/>
          <w:lang w:val="en-US"/>
        </w:rPr>
        <w:t xml:space="preserve">Algorithm was applied to a specific case, </w:t>
      </w:r>
      <w:r>
        <w:rPr>
          <w:lang w:val="en-US"/>
        </w:rPr>
        <w:t xml:space="preserve">shelf oilfield development project. It is a capital intensive investment project with </w:t>
      </w:r>
      <w:r w:rsidR="00B8436D">
        <w:rPr>
          <w:lang w:val="en-US"/>
        </w:rPr>
        <w:t>25</w:t>
      </w:r>
      <w:r>
        <w:rPr>
          <w:lang w:val="en-US"/>
        </w:rPr>
        <w:t xml:space="preserve"> </w:t>
      </w:r>
      <w:r w:rsidR="004F65F9">
        <w:rPr>
          <w:lang w:val="en-US"/>
        </w:rPr>
        <w:t>years’</w:t>
      </w:r>
      <w:r>
        <w:rPr>
          <w:lang w:val="en-US"/>
        </w:rPr>
        <w:t xml:space="preserve"> </w:t>
      </w:r>
      <w:r w:rsidR="004F65F9">
        <w:rPr>
          <w:lang w:val="en-US"/>
        </w:rPr>
        <w:t>lifespan</w:t>
      </w:r>
      <w:r>
        <w:rPr>
          <w:lang w:val="en-US"/>
        </w:rPr>
        <w:t xml:space="preserve">. It includes large investment into offshore and onshore infrastructure and </w:t>
      </w:r>
      <w:r w:rsidR="004F65F9">
        <w:rPr>
          <w:lang w:val="en-US"/>
        </w:rPr>
        <w:t xml:space="preserve">is </w:t>
      </w:r>
      <w:r>
        <w:rPr>
          <w:lang w:val="en-US"/>
        </w:rPr>
        <w:t xml:space="preserve">subject to numerous </w:t>
      </w:r>
      <w:r w:rsidR="004F65F9">
        <w:rPr>
          <w:lang w:val="en-US"/>
        </w:rPr>
        <w:t>uncertainties</w:t>
      </w:r>
      <w:r>
        <w:rPr>
          <w:lang w:val="en-US"/>
        </w:rPr>
        <w:t xml:space="preserve">. </w:t>
      </w:r>
      <w:r>
        <w:rPr>
          <w:lang w:val="en-US" w:eastAsia="ru-RU"/>
        </w:rPr>
        <w:t xml:space="preserve">Project has two main flexibilities – ability to defer the investment and option to abandon the project for salvage value, which is granted by the platform that can be moved to another oilfield or sold to third party. </w:t>
      </w:r>
      <w:r w:rsidR="004F65F9">
        <w:rPr>
          <w:lang w:val="en-US" w:eastAsia="ru-RU"/>
        </w:rPr>
        <w:t xml:space="preserve">Base case NPV of the project is roughly </w:t>
      </w:r>
      <w:r w:rsidR="00B8436D">
        <w:rPr>
          <w:lang w:val="en-US" w:eastAsia="ru-RU"/>
        </w:rPr>
        <w:t xml:space="preserve">6 </w:t>
      </w:r>
      <w:r w:rsidR="004F65F9">
        <w:rPr>
          <w:lang w:val="en-US" w:eastAsia="ru-RU"/>
        </w:rPr>
        <w:t>billion rubles.</w:t>
      </w:r>
    </w:p>
    <w:p w:rsidR="008F0CCC" w:rsidRDefault="008F0CCC" w:rsidP="008F0CCC">
      <w:pPr>
        <w:pStyle w:val="OfficialNormal"/>
        <w:rPr>
          <w:lang w:val="en-US" w:eastAsia="ru-RU"/>
        </w:rPr>
      </w:pPr>
      <w:r>
        <w:rPr>
          <w:lang w:val="en-US" w:eastAsia="ru-RU"/>
        </w:rPr>
        <w:t xml:space="preserve">Valuation of option to wait demonstrated that investor can increase value of the project by roughly 13 </w:t>
      </w:r>
      <w:r w:rsidR="004F65F9">
        <w:rPr>
          <w:lang w:val="en-US" w:eastAsia="ru-RU"/>
        </w:rPr>
        <w:t>b</w:t>
      </w:r>
      <w:r>
        <w:rPr>
          <w:lang w:val="en-US" w:eastAsia="ru-RU"/>
        </w:rPr>
        <w:t xml:space="preserve">illion rubles </w:t>
      </w:r>
      <w:r w:rsidR="00B61E59">
        <w:rPr>
          <w:lang w:val="en-US" w:eastAsia="ru-RU"/>
        </w:rPr>
        <w:t>through waiting no longer than 7</w:t>
      </w:r>
      <w:r>
        <w:rPr>
          <w:lang w:val="en-US" w:eastAsia="ru-RU"/>
        </w:rPr>
        <w:t xml:space="preserve"> years </w:t>
      </w:r>
      <w:r w:rsidR="00B61E59">
        <w:rPr>
          <w:lang w:val="en-US" w:eastAsia="ru-RU"/>
        </w:rPr>
        <w:t>11</w:t>
      </w:r>
      <w:r>
        <w:rPr>
          <w:lang w:val="en-US" w:eastAsia="ru-RU"/>
        </w:rPr>
        <w:t xml:space="preserve"> months until uncertainty is resolved. Within this timeframe passive waiting will contribute to overall present value of the project and can thereby be critical for investor.</w:t>
      </w:r>
    </w:p>
    <w:p w:rsidR="008F0CCC" w:rsidRPr="008F0CCC" w:rsidRDefault="004F65F9" w:rsidP="004F65F9">
      <w:pPr>
        <w:pStyle w:val="OfficialNormal"/>
        <w:rPr>
          <w:lang w:val="en-US"/>
        </w:rPr>
      </w:pPr>
      <w:r>
        <w:rPr>
          <w:lang w:val="en-US"/>
        </w:rPr>
        <w:t xml:space="preserve">Option to abandon determines conditions when the flexibility should be used to handle the unfavorable conditions that is when expected present value of cash inflows is lower than salvage value of the platform (described by Appendix 1). </w:t>
      </w:r>
      <w:r w:rsidR="008F0CCC">
        <w:rPr>
          <w:lang w:val="en-US" w:eastAsia="ru-RU"/>
        </w:rPr>
        <w:t xml:space="preserve">Option to abandon significantly improves financial outcomes of the project. </w:t>
      </w:r>
      <w:r>
        <w:rPr>
          <w:lang w:val="en-US" w:eastAsia="ru-RU"/>
        </w:rPr>
        <w:t>T</w:t>
      </w:r>
      <w:r>
        <w:rPr>
          <w:lang w:val="en-US"/>
        </w:rPr>
        <w:t xml:space="preserve">his flexibility adds </w:t>
      </w:r>
      <w:r w:rsidR="00B8436D">
        <w:rPr>
          <w:lang w:val="en-US"/>
        </w:rPr>
        <w:t>37</w:t>
      </w:r>
      <w:r w:rsidR="008F0CCC" w:rsidRPr="003D269B">
        <w:rPr>
          <w:lang w:val="en-US"/>
        </w:rPr>
        <w:t xml:space="preserve"> </w:t>
      </w:r>
      <w:r w:rsidR="008F0CCC">
        <w:rPr>
          <w:lang w:val="en-US"/>
        </w:rPr>
        <w:t>billion</w:t>
      </w:r>
      <w:r w:rsidR="008F0CCC" w:rsidRPr="003D269B">
        <w:rPr>
          <w:lang w:val="en-US"/>
        </w:rPr>
        <w:t xml:space="preserve"> </w:t>
      </w:r>
      <w:r w:rsidR="008F0CCC">
        <w:rPr>
          <w:lang w:val="en-US"/>
        </w:rPr>
        <w:t>rubles</w:t>
      </w:r>
      <w:r>
        <w:rPr>
          <w:lang w:val="en-US"/>
        </w:rPr>
        <w:t xml:space="preserve"> to the projects value. </w:t>
      </w:r>
    </w:p>
    <w:p w:rsidR="004F65F9" w:rsidRDefault="004F65F9" w:rsidP="004F65F9">
      <w:pPr>
        <w:rPr>
          <w:rFonts w:eastAsiaTheme="majorEastAsia" w:cs="Times New Roman"/>
          <w:b/>
          <w:caps/>
          <w:spacing w:val="10"/>
          <w:sz w:val="28"/>
          <w:szCs w:val="26"/>
          <w:lang w:val="en-US"/>
        </w:rPr>
      </w:pPr>
      <w:r>
        <w:rPr>
          <w:lang w:val="en-US"/>
        </w:rPr>
        <w:t>Application of real options analysis allowed to estimate the built-in flexibilities that turn out to have a significant influence on project value. It also contributed to formulation of risk management recommendations that increase the expected value of the project and decrease its risk.</w:t>
      </w:r>
      <w:r w:rsidRPr="004F65F9">
        <w:rPr>
          <w:lang w:val="en-US"/>
        </w:rPr>
        <w:br w:type="page"/>
      </w:r>
    </w:p>
    <w:p w:rsidR="00CF3C06" w:rsidRPr="008F08EA" w:rsidRDefault="00CF3C06" w:rsidP="00666082">
      <w:pPr>
        <w:pStyle w:val="1"/>
        <w:numPr>
          <w:ilvl w:val="0"/>
          <w:numId w:val="0"/>
        </w:numPr>
        <w:ind w:left="360" w:hanging="360"/>
        <w:rPr>
          <w:lang w:val="ru-RU"/>
        </w:rPr>
      </w:pPr>
      <w:bookmarkStart w:id="106" w:name="_Toc484036316"/>
      <w:r>
        <w:lastRenderedPageBreak/>
        <w:t>Bibliography</w:t>
      </w:r>
      <w:bookmarkEnd w:id="106"/>
    </w:p>
    <w:p w:rsidR="008F1F91" w:rsidRPr="008F1F91" w:rsidRDefault="00587F48" w:rsidP="008F1F91">
      <w:pPr>
        <w:widowControl w:val="0"/>
        <w:autoSpaceDE w:val="0"/>
        <w:autoSpaceDN w:val="0"/>
        <w:adjustRightInd w:val="0"/>
        <w:spacing w:line="240" w:lineRule="auto"/>
        <w:ind w:left="480" w:hanging="480"/>
        <w:rPr>
          <w:rFonts w:cs="Times New Roman"/>
          <w:noProof/>
          <w:szCs w:val="24"/>
        </w:rPr>
      </w:pPr>
      <w:r>
        <w:fldChar w:fldCharType="begin" w:fldLock="1"/>
      </w:r>
      <w:r>
        <w:instrText xml:space="preserve">ADDIN Mendeley Bibliography CSL_BIBLIOGRAPHY </w:instrText>
      </w:r>
      <w:r>
        <w:fldChar w:fldCharType="separate"/>
      </w:r>
      <w:r w:rsidR="008F1F91" w:rsidRPr="008F1F91">
        <w:rPr>
          <w:rFonts w:cs="Times New Roman"/>
          <w:noProof/>
          <w:szCs w:val="24"/>
        </w:rPr>
        <w:t xml:space="preserve">Бухвалов, А В. 2004. “Реальные Опционы В Менеджменте: Введение В Проблему.” </w:t>
      </w:r>
      <w:r w:rsidR="008F1F91" w:rsidRPr="008F1F91">
        <w:rPr>
          <w:rFonts w:cs="Times New Roman"/>
          <w:i/>
          <w:iCs/>
          <w:noProof/>
          <w:szCs w:val="24"/>
        </w:rPr>
        <w:t>Российский Журнал Менеджмента</w:t>
      </w:r>
      <w:r w:rsidR="008F1F91" w:rsidRPr="008F1F91">
        <w:rPr>
          <w:rFonts w:cs="Times New Roman"/>
          <w:noProof/>
          <w:szCs w:val="24"/>
        </w:rPr>
        <w:t>, no. 1: 3–32.</w:t>
      </w:r>
    </w:p>
    <w:p w:rsidR="008F1F91" w:rsidRPr="008F1F91" w:rsidRDefault="008F1F91" w:rsidP="008F1F91">
      <w:pPr>
        <w:widowControl w:val="0"/>
        <w:autoSpaceDE w:val="0"/>
        <w:autoSpaceDN w:val="0"/>
        <w:adjustRightInd w:val="0"/>
        <w:spacing w:line="240" w:lineRule="auto"/>
        <w:ind w:left="480" w:hanging="480"/>
        <w:rPr>
          <w:rFonts w:cs="Times New Roman"/>
          <w:noProof/>
          <w:szCs w:val="24"/>
        </w:rPr>
      </w:pPr>
      <w:r w:rsidRPr="008F1F91">
        <w:rPr>
          <w:rFonts w:cs="Times New Roman"/>
          <w:noProof/>
          <w:szCs w:val="24"/>
        </w:rPr>
        <w:t xml:space="preserve">———. 2006. “Реальны Ли Реальные Опционы.” </w:t>
      </w:r>
      <w:r w:rsidRPr="008F1F91">
        <w:rPr>
          <w:rFonts w:cs="Times New Roman"/>
          <w:i/>
          <w:iCs/>
          <w:noProof/>
          <w:szCs w:val="24"/>
        </w:rPr>
        <w:t>Российский Журнал Менеджмента Том</w:t>
      </w:r>
      <w:r w:rsidRPr="008F1F91">
        <w:rPr>
          <w:rFonts w:cs="Times New Roman"/>
          <w:noProof/>
          <w:szCs w:val="24"/>
        </w:rPr>
        <w:t xml:space="preserve"> 4 (3): 77–84.</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Akaike, H. 1974. “A New Look at the Statistical Model Identification.” </w:t>
      </w:r>
      <w:r w:rsidRPr="008F1F91">
        <w:rPr>
          <w:rFonts w:cs="Times New Roman"/>
          <w:i/>
          <w:iCs/>
          <w:noProof/>
          <w:szCs w:val="24"/>
          <w:lang w:val="en-US"/>
        </w:rPr>
        <w:t>IEEE Transactions on Automatic Control</w:t>
      </w:r>
      <w:r w:rsidRPr="008F1F91">
        <w:rPr>
          <w:rFonts w:cs="Times New Roman"/>
          <w:noProof/>
          <w:szCs w:val="24"/>
          <w:lang w:val="en-US"/>
        </w:rPr>
        <w:t xml:space="preserve"> 19 (6). doi:10.1109/TAC.1974.1100705.</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Assis, Carlos, Doug Burcham, and Jim Perrine. 2014. “Navigating Geopolitics in Oil and Gas: Business Solutions for a Complex World.” </w:t>
      </w:r>
      <w:r w:rsidRPr="008F1F91">
        <w:rPr>
          <w:rFonts w:cs="Times New Roman"/>
          <w:i/>
          <w:iCs/>
          <w:noProof/>
          <w:szCs w:val="24"/>
          <w:lang w:val="en-US"/>
        </w:rPr>
        <w:t>EY Oil and Gas</w:t>
      </w:r>
      <w:r w:rsidRPr="008F1F91">
        <w:rPr>
          <w:rFonts w:cs="Times New Roman"/>
          <w:noProof/>
          <w:szCs w:val="24"/>
          <w:lang w:val="en-US"/>
        </w:rPr>
        <w:t>.</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Badiru, Adedeji B., and Samuel O. Osisanya. 2013. </w:t>
      </w:r>
      <w:r w:rsidRPr="008F1F91">
        <w:rPr>
          <w:rFonts w:cs="Times New Roman"/>
          <w:i/>
          <w:iCs/>
          <w:noProof/>
          <w:szCs w:val="24"/>
          <w:lang w:val="en-US"/>
        </w:rPr>
        <w:t>Project Management for the Oil and Gas Industry</w:t>
      </w:r>
      <w:r w:rsidRPr="008F1F91">
        <w:rPr>
          <w:rFonts w:cs="Times New Roman"/>
          <w:noProof/>
          <w:szCs w:val="24"/>
          <w:lang w:val="en-US"/>
        </w:rPr>
        <w:t>. Boca Raton: Taylor &amp; Francis Group, LLC.</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Bagh, Dima. 2015. “Essays on Oil : Project Evaluation and Investment Impact.” Brunel University, UK.</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Bennouna, Karim, Geoffrey G. Meredith, and Teresa Marchant. 2010. “Improved Capital Budgeting Decision Making: Evidence from Canada.” </w:t>
      </w:r>
      <w:r w:rsidRPr="008F1F91">
        <w:rPr>
          <w:rFonts w:cs="Times New Roman"/>
          <w:i/>
          <w:iCs/>
          <w:noProof/>
          <w:szCs w:val="24"/>
          <w:lang w:val="en-US"/>
        </w:rPr>
        <w:t>Management Decision</w:t>
      </w:r>
      <w:r w:rsidRPr="008F1F91">
        <w:rPr>
          <w:rFonts w:cs="Times New Roman"/>
          <w:noProof/>
          <w:szCs w:val="24"/>
          <w:lang w:val="en-US"/>
        </w:rPr>
        <w:t xml:space="preserve"> 48 (2): 225–47. doi:10.1108/00251741011022590.</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Black, Fischer, and Myron Scholes. 1973. “The Pricing of Options and Corporate Liabilities.” </w:t>
      </w:r>
      <w:r w:rsidRPr="008F1F91">
        <w:rPr>
          <w:rFonts w:cs="Times New Roman"/>
          <w:i/>
          <w:iCs/>
          <w:noProof/>
          <w:szCs w:val="24"/>
          <w:lang w:val="en-US"/>
        </w:rPr>
        <w:t>Journal of Political Economy</w:t>
      </w:r>
      <w:r w:rsidRPr="008F1F91">
        <w:rPr>
          <w:rFonts w:cs="Times New Roman"/>
          <w:noProof/>
          <w:szCs w:val="24"/>
          <w:lang w:val="en-US"/>
        </w:rPr>
        <w:t xml:space="preserve"> 81 (3): 637–54. doi:10.1086/260062.</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Block, Stanley. 2007. “Are ‘Real Options’ Actually Used in the Real World?” </w:t>
      </w:r>
      <w:r w:rsidRPr="008F1F91">
        <w:rPr>
          <w:rFonts w:cs="Times New Roman"/>
          <w:i/>
          <w:iCs/>
          <w:noProof/>
          <w:szCs w:val="24"/>
          <w:lang w:val="en-US"/>
        </w:rPr>
        <w:t>The Engineering Economist</w:t>
      </w:r>
      <w:r w:rsidRPr="008F1F91">
        <w:rPr>
          <w:rFonts w:cs="Times New Roman"/>
          <w:noProof/>
          <w:szCs w:val="24"/>
          <w:lang w:val="en-US"/>
        </w:rPr>
        <w:t xml:space="preserve"> 52 (3): 255–67. doi:10.1080/00137910701503910.</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Box, G. E.P, and G. M Jenkins. 1970. “Time Series Analysis: Forecasting and Control.”</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Brennan, Michael J, and Lenos Trigeorgis. 2000. </w:t>
      </w:r>
      <w:r w:rsidRPr="008F1F91">
        <w:rPr>
          <w:rFonts w:cs="Times New Roman"/>
          <w:i/>
          <w:iCs/>
          <w:noProof/>
          <w:szCs w:val="24"/>
          <w:lang w:val="en-US"/>
        </w:rPr>
        <w:t>Project Flexibility, Agency, and Competition :new Developments in the Theory and Application of Real Options</w:t>
      </w:r>
      <w:r w:rsidRPr="008F1F91">
        <w:rPr>
          <w:rFonts w:cs="Times New Roman"/>
          <w:noProof/>
          <w:szCs w:val="24"/>
          <w:lang w:val="en-US"/>
        </w:rPr>
        <w:t>.</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Brooks, Chris. 2008. </w:t>
      </w:r>
      <w:r w:rsidRPr="008F1F91">
        <w:rPr>
          <w:rFonts w:cs="Times New Roman"/>
          <w:i/>
          <w:iCs/>
          <w:noProof/>
          <w:szCs w:val="24"/>
          <w:lang w:val="en-US"/>
        </w:rPr>
        <w:t>Introductory Econometrics for Finance. 2nd Edition</w:t>
      </w:r>
      <w:r w:rsidRPr="008F1F91">
        <w:rPr>
          <w:rFonts w:cs="Times New Roman"/>
          <w:noProof/>
          <w:szCs w:val="24"/>
          <w:lang w:val="en-US"/>
        </w:rPr>
        <w:t>. doi:10.1111/1468-0297.13911.</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Carver, Andrew B., and Matthew Ennis. 2011. “The Real Options Content of Oil Producer Stocks.” </w:t>
      </w:r>
      <w:r w:rsidRPr="008F1F91">
        <w:rPr>
          <w:rFonts w:cs="Times New Roman"/>
          <w:i/>
          <w:iCs/>
          <w:noProof/>
          <w:szCs w:val="24"/>
          <w:lang w:val="en-US"/>
        </w:rPr>
        <w:t>Applied Financial Economics</w:t>
      </w:r>
      <w:r w:rsidRPr="008F1F91">
        <w:rPr>
          <w:rFonts w:cs="Times New Roman"/>
          <w:noProof/>
          <w:szCs w:val="24"/>
          <w:lang w:val="en-US"/>
        </w:rPr>
        <w:t>. doi:10.1080/09603107.2010.528362.</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Cesena, Eduardo Alejandro Martinez. 2012. “Real Options Theory Applied to Renewable Energy Generation Projects Planning.”</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Copeland, T. E., and V. Antikarov. 2003. “Real Options: A Practitioner’s Guide.” </w:t>
      </w:r>
      <w:r w:rsidRPr="008F1F91">
        <w:rPr>
          <w:rFonts w:cs="Times New Roman"/>
          <w:i/>
          <w:iCs/>
          <w:noProof/>
          <w:szCs w:val="24"/>
          <w:lang w:val="en-US"/>
        </w:rPr>
        <w:t>Real Options: A Practitioner’s Guide</w:t>
      </w:r>
      <w:r w:rsidRPr="008F1F91">
        <w:rPr>
          <w:rFonts w:cs="Times New Roman"/>
          <w:noProof/>
          <w:szCs w:val="24"/>
          <w:lang w:val="en-US"/>
        </w:rPr>
        <w:t>, 1–50.</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Ernst &amp; Young Global Limited. 2014. “Oil and Gas Tax Alert: </w:t>
      </w:r>
      <w:r w:rsidRPr="008F1F91">
        <w:rPr>
          <w:rFonts w:cs="Times New Roman"/>
          <w:noProof/>
          <w:szCs w:val="24"/>
        </w:rPr>
        <w:t>Т</w:t>
      </w:r>
      <w:r w:rsidRPr="008F1F91">
        <w:rPr>
          <w:rFonts w:cs="Times New Roman"/>
          <w:noProof/>
          <w:szCs w:val="24"/>
          <w:lang w:val="en-US"/>
        </w:rPr>
        <w:t>ax Maneuver Parameters and Impact Assessment.”</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Greenpeace Russia. 2014. “A Brief Overview of the Oil Spill Problem in Russia,” no. 1.</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Hannan, E J, and B G Quinn. 1979. “The Determination of the Order of an Autoregression.” </w:t>
      </w:r>
      <w:r w:rsidRPr="008F1F91">
        <w:rPr>
          <w:rFonts w:cs="Times New Roman"/>
          <w:i/>
          <w:iCs/>
          <w:noProof/>
          <w:szCs w:val="24"/>
          <w:lang w:val="en-US"/>
        </w:rPr>
        <w:t>Journal of the Royal Statistical Society</w:t>
      </w:r>
      <w:r w:rsidRPr="008F1F91">
        <w:rPr>
          <w:rFonts w:cs="Times New Roman"/>
          <w:noProof/>
          <w:szCs w:val="24"/>
          <w:lang w:val="en-US"/>
        </w:rPr>
        <w:t xml:space="preserve"> 41 (2): 190–95. doi:10.2307/2985032.</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Hull, John C. 2009. </w:t>
      </w:r>
      <w:r w:rsidRPr="008F1F91">
        <w:rPr>
          <w:rFonts w:cs="Times New Roman"/>
          <w:i/>
          <w:iCs/>
          <w:noProof/>
          <w:szCs w:val="24"/>
          <w:lang w:val="en-US"/>
        </w:rPr>
        <w:t>Options, Futures and Other Derivatives</w:t>
      </w:r>
      <w:r w:rsidRPr="008F1F91">
        <w:rPr>
          <w:rFonts w:cs="Times New Roman"/>
          <w:noProof/>
          <w:szCs w:val="24"/>
          <w:lang w:val="en-US"/>
        </w:rPr>
        <w:t xml:space="preserve">. </w:t>
      </w:r>
      <w:r w:rsidRPr="008F1F91">
        <w:rPr>
          <w:rFonts w:cs="Times New Roman"/>
          <w:i/>
          <w:iCs/>
          <w:noProof/>
          <w:szCs w:val="24"/>
          <w:lang w:val="en-US"/>
        </w:rPr>
        <w:t>Pearson</w:t>
      </w:r>
      <w:r w:rsidRPr="008F1F91">
        <w:rPr>
          <w:rFonts w:cs="Times New Roman"/>
          <w:noProof/>
          <w:szCs w:val="24"/>
          <w:lang w:val="en-US"/>
        </w:rPr>
        <w:t>. Vol. 1542. Pearson Prentice Hall.</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Kobari, Laleh. 2014. “Evaluation of Oil Sands Projects and Their Expansion Rate Using Real Options.” University of Toronto.</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lastRenderedPageBreak/>
        <w:t xml:space="preserve">Laaksonen, Eini. 2010. “Political Risks of Foreign Direct Investment in the Russian Gas Industry – The Shtokman Gas Field Project in the Arctic Ocean.” </w:t>
      </w:r>
      <w:r w:rsidRPr="008F1F91">
        <w:rPr>
          <w:rFonts w:cs="Times New Roman"/>
          <w:i/>
          <w:iCs/>
          <w:noProof/>
          <w:szCs w:val="24"/>
          <w:lang w:val="en-US"/>
        </w:rPr>
        <w:t>Pan-European Institute</w:t>
      </w:r>
      <w:r w:rsidRPr="008F1F91">
        <w:rPr>
          <w:rFonts w:cs="Times New Roman"/>
          <w:noProof/>
          <w:szCs w:val="24"/>
          <w:lang w:val="en-US"/>
        </w:rPr>
        <w:t>. http://www.tse.fi/FI/yksikot/erillislaitokset/pei/Documents/Julkaisut/Laaksonen_netti_final.pdf.</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Lunden, Lars Petter, and Daniel Fjaertoft. 2014. “Government Support to Upstream Oil &amp; Gas in Russia - How Subsidies Influence the Yamal LNG and Prirazlomnoe Projects.” GENEVA. http://www.iisd.org/gsi/sites/default/files/ffs_awc_russia_yamalprirazlomnoe_en.pdf.</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Malkiel, Burton G., and Eugene F. Fama. 1970. “Efficient Capital Markets: A Review of Theory and Empirical Work.” </w:t>
      </w:r>
      <w:r w:rsidRPr="008F1F91">
        <w:rPr>
          <w:rFonts w:cs="Times New Roman"/>
          <w:i/>
          <w:iCs/>
          <w:noProof/>
          <w:szCs w:val="24"/>
          <w:lang w:val="en-US"/>
        </w:rPr>
        <w:t>The Journal of Finance</w:t>
      </w:r>
      <w:r w:rsidRPr="008F1F91">
        <w:rPr>
          <w:rFonts w:cs="Times New Roman"/>
          <w:noProof/>
          <w:szCs w:val="24"/>
          <w:lang w:val="en-US"/>
        </w:rPr>
        <w:t xml:space="preserve"> 25 (2): 383–417. doi:10.1111/j.1540-6261.1970.tb00518.x.</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Mun, J. 2002. </w:t>
      </w:r>
      <w:r w:rsidRPr="008F1F91">
        <w:rPr>
          <w:rFonts w:cs="Times New Roman"/>
          <w:i/>
          <w:iCs/>
          <w:noProof/>
          <w:szCs w:val="24"/>
          <w:lang w:val="en-US"/>
        </w:rPr>
        <w:t>Real Options Analysis: Tools and Techniques for Valuing Strategic Investments and Decisions</w:t>
      </w:r>
      <w:r w:rsidRPr="008F1F91">
        <w:rPr>
          <w:rFonts w:cs="Times New Roman"/>
          <w:noProof/>
          <w:szCs w:val="24"/>
          <w:lang w:val="en-US"/>
        </w:rPr>
        <w:t>. Hoboken, New Jersey: John Wiley &amp; Sons, Inc.</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Murphy, CAIT. 2009. “Why Oil Prices Are So Volatile.” </w:t>
      </w:r>
      <w:r w:rsidRPr="008F1F91">
        <w:rPr>
          <w:rFonts w:cs="Times New Roman"/>
          <w:i/>
          <w:iCs/>
          <w:noProof/>
          <w:szCs w:val="24"/>
          <w:lang w:val="en-US"/>
        </w:rPr>
        <w:t>Moneywatch</w:t>
      </w:r>
      <w:r w:rsidRPr="008F1F91">
        <w:rPr>
          <w:rFonts w:cs="Times New Roman"/>
          <w:noProof/>
          <w:szCs w:val="24"/>
          <w:lang w:val="en-US"/>
        </w:rPr>
        <w:t>. http://www.cbsnews.com/news/why-oil-prices-are-so-volatile/.</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Myers, Stewart C. 1977. “Determinants of Corporate Borrowing.” </w:t>
      </w:r>
      <w:r w:rsidRPr="008F1F91">
        <w:rPr>
          <w:rFonts w:cs="Times New Roman"/>
          <w:i/>
          <w:iCs/>
          <w:noProof/>
          <w:szCs w:val="24"/>
          <w:lang w:val="en-US"/>
        </w:rPr>
        <w:t>Journal of Financial Economics</w:t>
      </w:r>
      <w:r w:rsidRPr="008F1F91">
        <w:rPr>
          <w:rFonts w:cs="Times New Roman"/>
          <w:noProof/>
          <w:szCs w:val="24"/>
          <w:lang w:val="en-US"/>
        </w:rPr>
        <w:t>. doi:10.1016/0304-405X(77)90015-0.</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Nazarov, Alexander, Ivan Khromushin, Alexey Dorokhov, and Ekaterina Zinovyeva. 2014. “Oil and Gas Weekly.”</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Nazarov, Alexander, Ivan Khromushin, Alexey Dorokhov, Ekaterina Zinovyeva, Yury Tulinov, and Erik DePoy. 2014. “Russian Oil and Gas. Basic Industry Overview.” </w:t>
      </w:r>
      <w:r w:rsidRPr="008F1F91">
        <w:rPr>
          <w:rFonts w:cs="Times New Roman"/>
          <w:i/>
          <w:iCs/>
          <w:noProof/>
          <w:szCs w:val="24"/>
          <w:lang w:val="en-US"/>
        </w:rPr>
        <w:t>Gazprombank Industry Update</w:t>
      </w:r>
      <w:r w:rsidRPr="008F1F91">
        <w:rPr>
          <w:rFonts w:cs="Times New Roman"/>
          <w:noProof/>
          <w:szCs w:val="24"/>
          <w:lang w:val="en-US"/>
        </w:rPr>
        <w:t>. Moscow.</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Ryan, Patricia a, and Glenn P Ryan. 2002. “Capital Budgeting Practices of the Fortune 1000: How Have Things Changed?” </w:t>
      </w:r>
      <w:r w:rsidRPr="008F1F91">
        <w:rPr>
          <w:rFonts w:cs="Times New Roman"/>
          <w:i/>
          <w:iCs/>
          <w:noProof/>
          <w:szCs w:val="24"/>
          <w:lang w:val="en-US"/>
        </w:rPr>
        <w:t>Journal of Business &amp; Management</w:t>
      </w:r>
      <w:r w:rsidRPr="008F1F91">
        <w:rPr>
          <w:rFonts w:cs="Times New Roman"/>
          <w:noProof/>
          <w:szCs w:val="24"/>
          <w:lang w:val="en-US"/>
        </w:rPr>
        <w:t xml:space="preserve"> 8 (4): 355. http://search.ebscohost.com.ezproxy.liv.ac.uk/login.aspx?direct=true&amp;db=bth&amp;AN=9533066&amp;site=eds-live&amp;scope=site.</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Schwarz, Gideon. 1978. “Estimating the Dimension of a Model.” </w:t>
      </w:r>
      <w:r w:rsidRPr="008F1F91">
        <w:rPr>
          <w:rFonts w:cs="Times New Roman"/>
          <w:i/>
          <w:iCs/>
          <w:noProof/>
          <w:szCs w:val="24"/>
          <w:lang w:val="en-US"/>
        </w:rPr>
        <w:t>The Annals of Statistics</w:t>
      </w:r>
      <w:r w:rsidRPr="008F1F91">
        <w:rPr>
          <w:rFonts w:cs="Times New Roman"/>
          <w:noProof/>
          <w:szCs w:val="24"/>
          <w:lang w:val="en-US"/>
        </w:rPr>
        <w:t>. doi:10.1214/aos/1176344136.</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Sharpe, W F. 1970. </w:t>
      </w:r>
      <w:r w:rsidRPr="008F1F91">
        <w:rPr>
          <w:rFonts w:cs="Times New Roman"/>
          <w:i/>
          <w:iCs/>
          <w:noProof/>
          <w:szCs w:val="24"/>
          <w:lang w:val="en-US"/>
        </w:rPr>
        <w:t>Portfolio Theory and Capital Markets</w:t>
      </w:r>
      <w:r w:rsidRPr="008F1F91">
        <w:rPr>
          <w:rFonts w:cs="Times New Roman"/>
          <w:noProof/>
          <w:szCs w:val="24"/>
          <w:lang w:val="en-US"/>
        </w:rPr>
        <w:t>. Foundations of American Government and Political Science Series. McGraw-Hill. https://books.google.ru/books?id=41rHAAAAIAAJ.</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Suslick, Saul B, Denis Schiozer, and Monica Rebelo Rodriguez. 2009. “Uncertainty and Risk Analysis in Petroleum Exploration and Production.”</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Teach, Edward. 2003. “Will Real Options Take Root?” </w:t>
      </w:r>
      <w:r w:rsidRPr="008F1F91">
        <w:rPr>
          <w:rFonts w:cs="Times New Roman"/>
          <w:i/>
          <w:iCs/>
          <w:noProof/>
          <w:szCs w:val="24"/>
          <w:lang w:val="en-US"/>
        </w:rPr>
        <w:t>CFO</w:t>
      </w:r>
      <w:r w:rsidRPr="008F1F91">
        <w:rPr>
          <w:rFonts w:cs="Times New Roman"/>
          <w:noProof/>
          <w:szCs w:val="24"/>
          <w:lang w:val="en-US"/>
        </w:rPr>
        <w:t xml:space="preserve"> 19 (9): 73.</w:t>
      </w:r>
    </w:p>
    <w:p w:rsidR="008F1F91" w:rsidRPr="008F1F91" w:rsidRDefault="008F1F91" w:rsidP="008F1F91">
      <w:pPr>
        <w:widowControl w:val="0"/>
        <w:autoSpaceDE w:val="0"/>
        <w:autoSpaceDN w:val="0"/>
        <w:adjustRightInd w:val="0"/>
        <w:spacing w:line="240" w:lineRule="auto"/>
        <w:ind w:left="480" w:hanging="480"/>
        <w:rPr>
          <w:rFonts w:cs="Times New Roman"/>
          <w:noProof/>
          <w:szCs w:val="24"/>
          <w:lang w:val="en-US"/>
        </w:rPr>
      </w:pPr>
      <w:r w:rsidRPr="008F1F91">
        <w:rPr>
          <w:rFonts w:cs="Times New Roman"/>
          <w:noProof/>
          <w:szCs w:val="24"/>
          <w:lang w:val="en-US"/>
        </w:rPr>
        <w:t xml:space="preserve">Trigeorgis, Lenos. 1993. “Real Options and Interactions with Financial Flexibility.” </w:t>
      </w:r>
      <w:r w:rsidRPr="008F1F91">
        <w:rPr>
          <w:rFonts w:cs="Times New Roman"/>
          <w:i/>
          <w:iCs/>
          <w:noProof/>
          <w:szCs w:val="24"/>
          <w:lang w:val="en-US"/>
        </w:rPr>
        <w:t>Financial Management</w:t>
      </w:r>
      <w:r w:rsidRPr="008F1F91">
        <w:rPr>
          <w:rFonts w:cs="Times New Roman"/>
          <w:noProof/>
          <w:szCs w:val="24"/>
          <w:lang w:val="en-US"/>
        </w:rPr>
        <w:t>. doi:10.2307/3665939.</w:t>
      </w:r>
    </w:p>
    <w:p w:rsidR="008F1F91" w:rsidRPr="008F1F91" w:rsidRDefault="008F1F91" w:rsidP="008F1F91">
      <w:pPr>
        <w:widowControl w:val="0"/>
        <w:autoSpaceDE w:val="0"/>
        <w:autoSpaceDN w:val="0"/>
        <w:adjustRightInd w:val="0"/>
        <w:spacing w:line="240" w:lineRule="auto"/>
        <w:ind w:left="480" w:hanging="480"/>
        <w:rPr>
          <w:rFonts w:cs="Times New Roman"/>
          <w:noProof/>
        </w:rPr>
      </w:pPr>
      <w:r w:rsidRPr="008F1F91">
        <w:rPr>
          <w:rFonts w:cs="Times New Roman"/>
          <w:noProof/>
          <w:szCs w:val="24"/>
          <w:lang w:val="en-US"/>
        </w:rPr>
        <w:t xml:space="preserve">———. 1996. </w:t>
      </w:r>
      <w:r w:rsidRPr="008F1F91">
        <w:rPr>
          <w:rFonts w:cs="Times New Roman"/>
          <w:i/>
          <w:iCs/>
          <w:noProof/>
          <w:szCs w:val="24"/>
          <w:lang w:val="en-US"/>
        </w:rPr>
        <w:t>Real Options: Managerial Flexibility and Strategy in Resource Allocation</w:t>
      </w:r>
      <w:r w:rsidRPr="008F1F91">
        <w:rPr>
          <w:rFonts w:cs="Times New Roman"/>
          <w:noProof/>
          <w:szCs w:val="24"/>
          <w:lang w:val="en-US"/>
        </w:rPr>
        <w:t xml:space="preserve">. </w:t>
      </w:r>
      <w:r w:rsidRPr="008F1F91">
        <w:rPr>
          <w:rFonts w:cs="Times New Roman"/>
          <w:noProof/>
          <w:szCs w:val="24"/>
        </w:rPr>
        <w:t>MIT press.</w:t>
      </w:r>
    </w:p>
    <w:p w:rsidR="00587F48" w:rsidRDefault="00587F48">
      <w:pPr>
        <w:spacing w:line="259" w:lineRule="auto"/>
        <w:jc w:val="left"/>
        <w:rPr>
          <w:rFonts w:eastAsiaTheme="majorEastAsia" w:cs="Times New Roman"/>
          <w:b/>
          <w:caps/>
          <w:spacing w:val="10"/>
          <w:sz w:val="28"/>
          <w:szCs w:val="26"/>
          <w:lang w:val="en-US"/>
        </w:rPr>
      </w:pPr>
      <w:r>
        <w:fldChar w:fldCharType="end"/>
      </w:r>
      <w:r>
        <w:br w:type="page"/>
      </w:r>
    </w:p>
    <w:p w:rsidR="00A06120" w:rsidRPr="00A06120" w:rsidRDefault="004F65F9" w:rsidP="00666082">
      <w:pPr>
        <w:pStyle w:val="1"/>
        <w:numPr>
          <w:ilvl w:val="0"/>
          <w:numId w:val="0"/>
        </w:numPr>
        <w:ind w:left="360" w:hanging="360"/>
      </w:pPr>
      <w:bookmarkStart w:id="107" w:name="_Toc484036317"/>
      <w:r>
        <w:lastRenderedPageBreak/>
        <w:t>List of figures</w:t>
      </w:r>
      <w:bookmarkEnd w:id="107"/>
    </w:p>
    <w:p w:rsidR="00B61E59" w:rsidRDefault="00A06120">
      <w:pPr>
        <w:pStyle w:val="af3"/>
        <w:tabs>
          <w:tab w:val="right" w:leader="dot" w:pos="9345"/>
        </w:tabs>
        <w:rPr>
          <w:rFonts w:asciiTheme="minorHAnsi" w:eastAsiaTheme="minorEastAsia" w:hAnsiTheme="minorHAnsi"/>
          <w:noProof/>
          <w:sz w:val="22"/>
          <w:lang w:eastAsia="ru-RU"/>
        </w:rPr>
      </w:pPr>
      <w:r>
        <w:rPr>
          <w:rFonts w:cs="Times New Roman"/>
          <w:szCs w:val="24"/>
          <w:lang w:val="en-US"/>
        </w:rPr>
        <w:fldChar w:fldCharType="begin"/>
      </w:r>
      <w:r>
        <w:rPr>
          <w:rFonts w:cs="Times New Roman"/>
          <w:szCs w:val="24"/>
          <w:lang w:val="en-US"/>
        </w:rPr>
        <w:instrText xml:space="preserve"> TOC \h \z \c "Figure" </w:instrText>
      </w:r>
      <w:r>
        <w:rPr>
          <w:rFonts w:cs="Times New Roman"/>
          <w:szCs w:val="24"/>
          <w:lang w:val="en-US"/>
        </w:rPr>
        <w:fldChar w:fldCharType="separate"/>
      </w:r>
      <w:hyperlink w:anchor="_Toc484036515" w:history="1">
        <w:r w:rsidR="00B61E59" w:rsidRPr="00587C08">
          <w:rPr>
            <w:rStyle w:val="ae"/>
            <w:noProof/>
          </w:rPr>
          <w:t>Figure 1. Flaws of DCF models. Source: (Mun 2002)</w:t>
        </w:r>
        <w:r w:rsidR="00B61E59">
          <w:rPr>
            <w:noProof/>
            <w:webHidden/>
          </w:rPr>
          <w:tab/>
        </w:r>
        <w:r w:rsidR="00B61E59">
          <w:rPr>
            <w:noProof/>
            <w:webHidden/>
          </w:rPr>
          <w:fldChar w:fldCharType="begin"/>
        </w:r>
        <w:r w:rsidR="00B61E59">
          <w:rPr>
            <w:noProof/>
            <w:webHidden/>
          </w:rPr>
          <w:instrText xml:space="preserve"> PAGEREF _Toc484036515 \h </w:instrText>
        </w:r>
        <w:r w:rsidR="00B61E59">
          <w:rPr>
            <w:noProof/>
            <w:webHidden/>
          </w:rPr>
        </w:r>
        <w:r w:rsidR="00B61E59">
          <w:rPr>
            <w:noProof/>
            <w:webHidden/>
          </w:rPr>
          <w:fldChar w:fldCharType="separate"/>
        </w:r>
        <w:r w:rsidR="008324C6">
          <w:rPr>
            <w:noProof/>
            <w:webHidden/>
          </w:rPr>
          <w:t>11</w:t>
        </w:r>
        <w:r w:rsidR="00B61E59">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16" w:history="1">
        <w:r w:rsidRPr="00587C08">
          <w:rPr>
            <w:rStyle w:val="ae"/>
            <w:noProof/>
          </w:rPr>
          <w:t>Figure 2. Analogy between a call option and a real option on a project adopted from. Source: (Trigeorgis 1996)</w:t>
        </w:r>
        <w:r>
          <w:rPr>
            <w:noProof/>
            <w:webHidden/>
          </w:rPr>
          <w:tab/>
        </w:r>
        <w:r>
          <w:rPr>
            <w:noProof/>
            <w:webHidden/>
          </w:rPr>
          <w:fldChar w:fldCharType="begin"/>
        </w:r>
        <w:r>
          <w:rPr>
            <w:noProof/>
            <w:webHidden/>
          </w:rPr>
          <w:instrText xml:space="preserve"> PAGEREF _Toc484036516 \h </w:instrText>
        </w:r>
        <w:r>
          <w:rPr>
            <w:noProof/>
            <w:webHidden/>
          </w:rPr>
        </w:r>
        <w:r>
          <w:rPr>
            <w:noProof/>
            <w:webHidden/>
          </w:rPr>
          <w:fldChar w:fldCharType="separate"/>
        </w:r>
        <w:r w:rsidR="008324C6">
          <w:rPr>
            <w:noProof/>
            <w:webHidden/>
          </w:rPr>
          <w:t>14</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17" w:history="1">
        <w:r w:rsidRPr="00587C08">
          <w:rPr>
            <w:rStyle w:val="ae"/>
            <w:noProof/>
          </w:rPr>
          <w:t>Figure 3. Application of real option reduce risk and increase return of the project. Source: (Mun 2002)</w:t>
        </w:r>
        <w:r>
          <w:rPr>
            <w:noProof/>
            <w:webHidden/>
          </w:rPr>
          <w:tab/>
        </w:r>
        <w:r>
          <w:rPr>
            <w:noProof/>
            <w:webHidden/>
          </w:rPr>
          <w:fldChar w:fldCharType="begin"/>
        </w:r>
        <w:r>
          <w:rPr>
            <w:noProof/>
            <w:webHidden/>
          </w:rPr>
          <w:instrText xml:space="preserve"> PAGEREF _Toc484036517 \h </w:instrText>
        </w:r>
        <w:r>
          <w:rPr>
            <w:noProof/>
            <w:webHidden/>
          </w:rPr>
        </w:r>
        <w:r>
          <w:rPr>
            <w:noProof/>
            <w:webHidden/>
          </w:rPr>
          <w:fldChar w:fldCharType="separate"/>
        </w:r>
        <w:r w:rsidR="008324C6">
          <w:rPr>
            <w:noProof/>
            <w:webHidden/>
          </w:rPr>
          <w:t>23</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18" w:history="1">
        <w:r w:rsidRPr="00587C08">
          <w:rPr>
            <w:rStyle w:val="ae"/>
            <w:noProof/>
          </w:rPr>
          <w:t xml:space="preserve">Figure 4. Utilization of Real Options Analysis in Industry. Source: Author´s figure, </w:t>
        </w:r>
        <w:r w:rsidRPr="00587C08">
          <w:rPr>
            <w:rStyle w:val="ae"/>
            <w:rFonts w:cs="Times New Roman"/>
            <w:noProof/>
          </w:rPr>
          <w:t>(Block 2007), (Bennouna, Meredith, and Marchant 2010), (Ryan and Ryan 2002), (Teach 2003).</w:t>
        </w:r>
        <w:r>
          <w:rPr>
            <w:noProof/>
            <w:webHidden/>
          </w:rPr>
          <w:tab/>
        </w:r>
        <w:r>
          <w:rPr>
            <w:noProof/>
            <w:webHidden/>
          </w:rPr>
          <w:fldChar w:fldCharType="begin"/>
        </w:r>
        <w:r>
          <w:rPr>
            <w:noProof/>
            <w:webHidden/>
          </w:rPr>
          <w:instrText xml:space="preserve"> PAGEREF _Toc484036518 \h </w:instrText>
        </w:r>
        <w:r>
          <w:rPr>
            <w:noProof/>
            <w:webHidden/>
          </w:rPr>
        </w:r>
        <w:r>
          <w:rPr>
            <w:noProof/>
            <w:webHidden/>
          </w:rPr>
          <w:fldChar w:fldCharType="separate"/>
        </w:r>
        <w:r w:rsidR="008324C6">
          <w:rPr>
            <w:noProof/>
            <w:webHidden/>
          </w:rPr>
          <w:t>24</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19" w:history="1">
        <w:r w:rsidRPr="00587C08">
          <w:rPr>
            <w:rStyle w:val="ae"/>
            <w:noProof/>
          </w:rPr>
          <w:t>Figure 5. Operations in oil and gas. Source: (Badiru and Osisanya 2013)</w:t>
        </w:r>
        <w:r>
          <w:rPr>
            <w:noProof/>
            <w:webHidden/>
          </w:rPr>
          <w:tab/>
        </w:r>
        <w:r>
          <w:rPr>
            <w:noProof/>
            <w:webHidden/>
          </w:rPr>
          <w:fldChar w:fldCharType="begin"/>
        </w:r>
        <w:r>
          <w:rPr>
            <w:noProof/>
            <w:webHidden/>
          </w:rPr>
          <w:instrText xml:space="preserve"> PAGEREF _Toc484036519 \h </w:instrText>
        </w:r>
        <w:r>
          <w:rPr>
            <w:noProof/>
            <w:webHidden/>
          </w:rPr>
        </w:r>
        <w:r>
          <w:rPr>
            <w:noProof/>
            <w:webHidden/>
          </w:rPr>
          <w:fldChar w:fldCharType="separate"/>
        </w:r>
        <w:r w:rsidR="008324C6">
          <w:rPr>
            <w:noProof/>
            <w:webHidden/>
          </w:rPr>
          <w:t>27</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0" w:history="1">
        <w:r w:rsidRPr="00587C08">
          <w:rPr>
            <w:rStyle w:val="ae"/>
            <w:noProof/>
          </w:rPr>
          <w:t>Figure 6. Offshore Ice-Resistant Fixed Platform. Source: http://www.gazprom.ru</w:t>
        </w:r>
        <w:r>
          <w:rPr>
            <w:noProof/>
            <w:webHidden/>
          </w:rPr>
          <w:tab/>
        </w:r>
        <w:r>
          <w:rPr>
            <w:noProof/>
            <w:webHidden/>
          </w:rPr>
          <w:fldChar w:fldCharType="begin"/>
        </w:r>
        <w:r>
          <w:rPr>
            <w:noProof/>
            <w:webHidden/>
          </w:rPr>
          <w:instrText xml:space="preserve"> PAGEREF _Toc484036520 \h </w:instrText>
        </w:r>
        <w:r>
          <w:rPr>
            <w:noProof/>
            <w:webHidden/>
          </w:rPr>
        </w:r>
        <w:r>
          <w:rPr>
            <w:noProof/>
            <w:webHidden/>
          </w:rPr>
          <w:fldChar w:fldCharType="separate"/>
        </w:r>
        <w:r w:rsidR="008324C6">
          <w:rPr>
            <w:noProof/>
            <w:webHidden/>
          </w:rPr>
          <w:t>43</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1" w:history="1">
        <w:r w:rsidRPr="00587C08">
          <w:rPr>
            <w:rStyle w:val="ae"/>
            <w:noProof/>
          </w:rPr>
          <w:t>Figure 7. Results of forecasting of main external variables, USD. Source: Author´s figure.</w:t>
        </w:r>
        <w:r>
          <w:rPr>
            <w:noProof/>
            <w:webHidden/>
          </w:rPr>
          <w:tab/>
        </w:r>
        <w:r>
          <w:rPr>
            <w:noProof/>
            <w:webHidden/>
          </w:rPr>
          <w:fldChar w:fldCharType="begin"/>
        </w:r>
        <w:r>
          <w:rPr>
            <w:noProof/>
            <w:webHidden/>
          </w:rPr>
          <w:instrText xml:space="preserve"> PAGEREF _Toc484036521 \h </w:instrText>
        </w:r>
        <w:r>
          <w:rPr>
            <w:noProof/>
            <w:webHidden/>
          </w:rPr>
        </w:r>
        <w:r>
          <w:rPr>
            <w:noProof/>
            <w:webHidden/>
          </w:rPr>
          <w:fldChar w:fldCharType="separate"/>
        </w:r>
        <w:r w:rsidR="008324C6">
          <w:rPr>
            <w:noProof/>
            <w:webHidden/>
          </w:rPr>
          <w:t>44</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2" w:history="1">
        <w:r w:rsidRPr="00587C08">
          <w:rPr>
            <w:rStyle w:val="ae"/>
            <w:noProof/>
          </w:rPr>
          <w:t>Figure 8. Oil production profile of the project, million tons/year. Source: Author´s figure.</w:t>
        </w:r>
        <w:r>
          <w:rPr>
            <w:noProof/>
            <w:webHidden/>
          </w:rPr>
          <w:tab/>
        </w:r>
        <w:r>
          <w:rPr>
            <w:noProof/>
            <w:webHidden/>
          </w:rPr>
          <w:fldChar w:fldCharType="begin"/>
        </w:r>
        <w:r>
          <w:rPr>
            <w:noProof/>
            <w:webHidden/>
          </w:rPr>
          <w:instrText xml:space="preserve"> PAGEREF _Toc484036522 \h </w:instrText>
        </w:r>
        <w:r>
          <w:rPr>
            <w:noProof/>
            <w:webHidden/>
          </w:rPr>
        </w:r>
        <w:r>
          <w:rPr>
            <w:noProof/>
            <w:webHidden/>
          </w:rPr>
          <w:fldChar w:fldCharType="separate"/>
        </w:r>
        <w:r w:rsidR="008324C6">
          <w:rPr>
            <w:noProof/>
            <w:webHidden/>
          </w:rPr>
          <w:t>45</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3" w:history="1">
        <w:r w:rsidRPr="00587C08">
          <w:rPr>
            <w:rStyle w:val="ae"/>
            <w:noProof/>
          </w:rPr>
          <w:t>Figure 9. Revenues of the project. Source: Author´s figure.</w:t>
        </w:r>
        <w:r>
          <w:rPr>
            <w:noProof/>
            <w:webHidden/>
          </w:rPr>
          <w:tab/>
        </w:r>
        <w:r>
          <w:rPr>
            <w:noProof/>
            <w:webHidden/>
          </w:rPr>
          <w:fldChar w:fldCharType="begin"/>
        </w:r>
        <w:r>
          <w:rPr>
            <w:noProof/>
            <w:webHidden/>
          </w:rPr>
          <w:instrText xml:space="preserve"> PAGEREF _Toc484036523 \h </w:instrText>
        </w:r>
        <w:r>
          <w:rPr>
            <w:noProof/>
            <w:webHidden/>
          </w:rPr>
        </w:r>
        <w:r>
          <w:rPr>
            <w:noProof/>
            <w:webHidden/>
          </w:rPr>
          <w:fldChar w:fldCharType="separate"/>
        </w:r>
        <w:r w:rsidR="008324C6">
          <w:rPr>
            <w:noProof/>
            <w:webHidden/>
          </w:rPr>
          <w:t>46</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4" w:history="1">
        <w:r w:rsidRPr="00587C08">
          <w:rPr>
            <w:rStyle w:val="ae"/>
            <w:noProof/>
          </w:rPr>
          <w:t>Figure 10. The maximum rate of export duty on crude, in accordance with the provisions of the Law of the Russian Federation “On the Customs Tariff”. Source: (Ernst &amp; Young Global Limited 2014)</w:t>
        </w:r>
        <w:r>
          <w:rPr>
            <w:noProof/>
            <w:webHidden/>
          </w:rPr>
          <w:tab/>
        </w:r>
        <w:r>
          <w:rPr>
            <w:noProof/>
            <w:webHidden/>
          </w:rPr>
          <w:fldChar w:fldCharType="begin"/>
        </w:r>
        <w:r>
          <w:rPr>
            <w:noProof/>
            <w:webHidden/>
          </w:rPr>
          <w:instrText xml:space="preserve"> PAGEREF _Toc484036524 \h </w:instrText>
        </w:r>
        <w:r>
          <w:rPr>
            <w:noProof/>
            <w:webHidden/>
          </w:rPr>
        </w:r>
        <w:r>
          <w:rPr>
            <w:noProof/>
            <w:webHidden/>
          </w:rPr>
          <w:fldChar w:fldCharType="separate"/>
        </w:r>
        <w:r w:rsidR="008324C6">
          <w:rPr>
            <w:noProof/>
            <w:webHidden/>
          </w:rPr>
          <w:t>48</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5" w:history="1">
        <w:r w:rsidRPr="00587C08">
          <w:rPr>
            <w:rStyle w:val="ae"/>
            <w:noProof/>
          </w:rPr>
          <w:t>Figure 11. Distribution of free cash flows and discounted free cash flows, million Russian rubles. Source: Author´s figure.</w:t>
        </w:r>
        <w:r>
          <w:rPr>
            <w:noProof/>
            <w:webHidden/>
          </w:rPr>
          <w:tab/>
        </w:r>
        <w:r>
          <w:rPr>
            <w:noProof/>
            <w:webHidden/>
          </w:rPr>
          <w:fldChar w:fldCharType="begin"/>
        </w:r>
        <w:r>
          <w:rPr>
            <w:noProof/>
            <w:webHidden/>
          </w:rPr>
          <w:instrText xml:space="preserve"> PAGEREF _Toc484036525 \h </w:instrText>
        </w:r>
        <w:r>
          <w:rPr>
            <w:noProof/>
            <w:webHidden/>
          </w:rPr>
        </w:r>
        <w:r>
          <w:rPr>
            <w:noProof/>
            <w:webHidden/>
          </w:rPr>
          <w:fldChar w:fldCharType="separate"/>
        </w:r>
        <w:r w:rsidR="008324C6">
          <w:rPr>
            <w:noProof/>
            <w:webHidden/>
          </w:rPr>
          <w:t>52</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6" w:history="1">
        <w:r w:rsidRPr="00587C08">
          <w:rPr>
            <w:rStyle w:val="ae"/>
            <w:noProof/>
          </w:rPr>
          <w:t>Figure 12. Results of simulation. Source: Author´s figure.</w:t>
        </w:r>
        <w:r>
          <w:rPr>
            <w:noProof/>
            <w:webHidden/>
          </w:rPr>
          <w:tab/>
        </w:r>
        <w:r>
          <w:rPr>
            <w:noProof/>
            <w:webHidden/>
          </w:rPr>
          <w:fldChar w:fldCharType="begin"/>
        </w:r>
        <w:r>
          <w:rPr>
            <w:noProof/>
            <w:webHidden/>
          </w:rPr>
          <w:instrText xml:space="preserve"> PAGEREF _Toc484036526 \h </w:instrText>
        </w:r>
        <w:r>
          <w:rPr>
            <w:noProof/>
            <w:webHidden/>
          </w:rPr>
        </w:r>
        <w:r>
          <w:rPr>
            <w:noProof/>
            <w:webHidden/>
          </w:rPr>
          <w:fldChar w:fldCharType="separate"/>
        </w:r>
        <w:r w:rsidR="008324C6">
          <w:rPr>
            <w:noProof/>
            <w:webHidden/>
          </w:rPr>
          <w:t>54</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7" w:history="1">
        <w:r w:rsidRPr="00587C08">
          <w:rPr>
            <w:rStyle w:val="ae"/>
            <w:noProof/>
          </w:rPr>
          <w:t>Figure 13. Valuation of option to wait. Source: Author´s figure.</w:t>
        </w:r>
        <w:r>
          <w:rPr>
            <w:noProof/>
            <w:webHidden/>
          </w:rPr>
          <w:tab/>
        </w:r>
        <w:r>
          <w:rPr>
            <w:noProof/>
            <w:webHidden/>
          </w:rPr>
          <w:fldChar w:fldCharType="begin"/>
        </w:r>
        <w:r>
          <w:rPr>
            <w:noProof/>
            <w:webHidden/>
          </w:rPr>
          <w:instrText xml:space="preserve"> PAGEREF _Toc484036527 \h </w:instrText>
        </w:r>
        <w:r>
          <w:rPr>
            <w:noProof/>
            <w:webHidden/>
          </w:rPr>
        </w:r>
        <w:r>
          <w:rPr>
            <w:noProof/>
            <w:webHidden/>
          </w:rPr>
          <w:fldChar w:fldCharType="separate"/>
        </w:r>
        <w:r w:rsidR="008324C6">
          <w:rPr>
            <w:noProof/>
            <w:webHidden/>
          </w:rPr>
          <w:t>56</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8" w:history="1">
        <w:r w:rsidRPr="00587C08">
          <w:rPr>
            <w:rStyle w:val="ae"/>
            <w:noProof/>
          </w:rPr>
          <w:t>Figure 14. Binomial lattice for present value of cash inflows (first 5 periods). Source: Author´s figure.</w:t>
        </w:r>
        <w:r>
          <w:rPr>
            <w:noProof/>
            <w:webHidden/>
          </w:rPr>
          <w:tab/>
        </w:r>
        <w:r>
          <w:rPr>
            <w:noProof/>
            <w:webHidden/>
          </w:rPr>
          <w:fldChar w:fldCharType="begin"/>
        </w:r>
        <w:r>
          <w:rPr>
            <w:noProof/>
            <w:webHidden/>
          </w:rPr>
          <w:instrText xml:space="preserve"> PAGEREF _Toc484036528 \h </w:instrText>
        </w:r>
        <w:r>
          <w:rPr>
            <w:noProof/>
            <w:webHidden/>
          </w:rPr>
        </w:r>
        <w:r>
          <w:rPr>
            <w:noProof/>
            <w:webHidden/>
          </w:rPr>
          <w:fldChar w:fldCharType="separate"/>
        </w:r>
        <w:r w:rsidR="008324C6">
          <w:rPr>
            <w:noProof/>
            <w:webHidden/>
          </w:rPr>
          <w:t>57</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29" w:history="1">
        <w:r w:rsidRPr="00587C08">
          <w:rPr>
            <w:rStyle w:val="ae"/>
            <w:noProof/>
          </w:rPr>
          <w:t>Figure 15. Binomial lattice for present value of cash inflows with option to abandon (first 5 periods). Source: Author´s figure.</w:t>
        </w:r>
        <w:r>
          <w:rPr>
            <w:noProof/>
            <w:webHidden/>
          </w:rPr>
          <w:tab/>
        </w:r>
        <w:r>
          <w:rPr>
            <w:noProof/>
            <w:webHidden/>
          </w:rPr>
          <w:fldChar w:fldCharType="begin"/>
        </w:r>
        <w:r>
          <w:rPr>
            <w:noProof/>
            <w:webHidden/>
          </w:rPr>
          <w:instrText xml:space="preserve"> PAGEREF _Toc484036529 \h </w:instrText>
        </w:r>
        <w:r>
          <w:rPr>
            <w:noProof/>
            <w:webHidden/>
          </w:rPr>
        </w:r>
        <w:r>
          <w:rPr>
            <w:noProof/>
            <w:webHidden/>
          </w:rPr>
          <w:fldChar w:fldCharType="separate"/>
        </w:r>
        <w:r w:rsidR="008324C6">
          <w:rPr>
            <w:noProof/>
            <w:webHidden/>
          </w:rPr>
          <w:t>57</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30" w:history="1">
        <w:r w:rsidRPr="00587C08">
          <w:rPr>
            <w:rStyle w:val="ae"/>
            <w:noProof/>
          </w:rPr>
          <w:t>Figure 16. Valuation of option to abandon. Source: Author´s figure.</w:t>
        </w:r>
        <w:r>
          <w:rPr>
            <w:noProof/>
            <w:webHidden/>
          </w:rPr>
          <w:tab/>
        </w:r>
        <w:r>
          <w:rPr>
            <w:noProof/>
            <w:webHidden/>
          </w:rPr>
          <w:fldChar w:fldCharType="begin"/>
        </w:r>
        <w:r>
          <w:rPr>
            <w:noProof/>
            <w:webHidden/>
          </w:rPr>
          <w:instrText xml:space="preserve"> PAGEREF _Toc484036530 \h </w:instrText>
        </w:r>
        <w:r>
          <w:rPr>
            <w:noProof/>
            <w:webHidden/>
          </w:rPr>
        </w:r>
        <w:r>
          <w:rPr>
            <w:noProof/>
            <w:webHidden/>
          </w:rPr>
          <w:fldChar w:fldCharType="separate"/>
        </w:r>
        <w:r w:rsidR="008324C6">
          <w:rPr>
            <w:noProof/>
            <w:webHidden/>
          </w:rPr>
          <w:t>58</w:t>
        </w:r>
        <w:r>
          <w:rPr>
            <w:noProof/>
            <w:webHidden/>
          </w:rPr>
          <w:fldChar w:fldCharType="end"/>
        </w:r>
      </w:hyperlink>
    </w:p>
    <w:p w:rsidR="00B61E59" w:rsidRDefault="00B61E59">
      <w:pPr>
        <w:pStyle w:val="af3"/>
        <w:tabs>
          <w:tab w:val="right" w:leader="dot" w:pos="9345"/>
        </w:tabs>
        <w:rPr>
          <w:rFonts w:asciiTheme="minorHAnsi" w:eastAsiaTheme="minorEastAsia" w:hAnsiTheme="minorHAnsi"/>
          <w:noProof/>
          <w:sz w:val="22"/>
          <w:lang w:eastAsia="ru-RU"/>
        </w:rPr>
      </w:pPr>
      <w:hyperlink w:anchor="_Toc484036531" w:history="1">
        <w:r w:rsidRPr="00587C08">
          <w:rPr>
            <w:rStyle w:val="ae"/>
            <w:noProof/>
          </w:rPr>
          <w:t>Figure 17. Risk management recommendations for option to abandon execution. Source: Author´s figure.</w:t>
        </w:r>
        <w:r>
          <w:rPr>
            <w:noProof/>
            <w:webHidden/>
          </w:rPr>
          <w:tab/>
        </w:r>
        <w:r>
          <w:rPr>
            <w:noProof/>
            <w:webHidden/>
          </w:rPr>
          <w:fldChar w:fldCharType="begin"/>
        </w:r>
        <w:r>
          <w:rPr>
            <w:noProof/>
            <w:webHidden/>
          </w:rPr>
          <w:instrText xml:space="preserve"> PAGEREF _Toc484036531 \h </w:instrText>
        </w:r>
        <w:r>
          <w:rPr>
            <w:noProof/>
            <w:webHidden/>
          </w:rPr>
        </w:r>
        <w:r>
          <w:rPr>
            <w:noProof/>
            <w:webHidden/>
          </w:rPr>
          <w:fldChar w:fldCharType="separate"/>
        </w:r>
        <w:r w:rsidR="008324C6">
          <w:rPr>
            <w:noProof/>
            <w:webHidden/>
          </w:rPr>
          <w:t>59</w:t>
        </w:r>
        <w:r>
          <w:rPr>
            <w:noProof/>
            <w:webHidden/>
          </w:rPr>
          <w:fldChar w:fldCharType="end"/>
        </w:r>
      </w:hyperlink>
    </w:p>
    <w:p w:rsidR="00653F14" w:rsidRPr="00FF0C30" w:rsidRDefault="00A06120" w:rsidP="00C12A08">
      <w:pPr>
        <w:rPr>
          <w:rFonts w:cs="Times New Roman"/>
          <w:szCs w:val="24"/>
          <w:lang w:val="en-US"/>
        </w:rPr>
      </w:pPr>
      <w:r>
        <w:rPr>
          <w:rFonts w:cs="Times New Roman"/>
          <w:szCs w:val="24"/>
          <w:lang w:val="en-US"/>
        </w:rPr>
        <w:fldChar w:fldCharType="end"/>
      </w:r>
      <w:r w:rsidR="00653F14" w:rsidRPr="00FF0C30">
        <w:rPr>
          <w:rFonts w:cs="Times New Roman"/>
          <w:szCs w:val="24"/>
          <w:lang w:val="en-US"/>
        </w:rPr>
        <w:br w:type="page"/>
      </w:r>
    </w:p>
    <w:p w:rsidR="00653F14" w:rsidRPr="00FF0C30" w:rsidRDefault="00653F14" w:rsidP="00D077EA">
      <w:pPr>
        <w:rPr>
          <w:rFonts w:cs="Times New Roman"/>
          <w:szCs w:val="24"/>
          <w:lang w:val="en-US"/>
        </w:rPr>
        <w:sectPr w:rsidR="00653F14" w:rsidRPr="00FF0C30" w:rsidSect="00120088">
          <w:footerReference w:type="default" r:id="rId21"/>
          <w:pgSz w:w="11906" w:h="16838"/>
          <w:pgMar w:top="1134" w:right="850" w:bottom="1134" w:left="1701" w:header="708" w:footer="708" w:gutter="0"/>
          <w:cols w:space="708"/>
          <w:titlePg/>
          <w:docGrid w:linePitch="360"/>
        </w:sectPr>
      </w:pPr>
    </w:p>
    <w:p w:rsidR="000909BC" w:rsidRDefault="000909BC" w:rsidP="00666082">
      <w:pPr>
        <w:pStyle w:val="1"/>
        <w:numPr>
          <w:ilvl w:val="0"/>
          <w:numId w:val="0"/>
        </w:numPr>
        <w:ind w:left="360" w:hanging="360"/>
      </w:pPr>
      <w:bookmarkStart w:id="108" w:name="_Toc484036318"/>
      <w:r>
        <w:lastRenderedPageBreak/>
        <w:t>Appendi</w:t>
      </w:r>
      <w:r w:rsidR="00D13583">
        <w:t>ce</w:t>
      </w:r>
      <w:r>
        <w:t>s</w:t>
      </w:r>
      <w:bookmarkEnd w:id="108"/>
    </w:p>
    <w:p w:rsidR="00653F14" w:rsidRPr="000909BC" w:rsidRDefault="00D13583" w:rsidP="000909BC">
      <w:pPr>
        <w:pStyle w:val="2"/>
      </w:pPr>
      <w:bookmarkStart w:id="109" w:name="_Toc484036319"/>
      <w:r>
        <w:t xml:space="preserve">Appendix 1. </w:t>
      </w:r>
      <w:r w:rsidR="00666082">
        <w:t xml:space="preserve">Full lattice for </w:t>
      </w:r>
      <w:r w:rsidR="00653F14" w:rsidRPr="000909BC">
        <w:t>Option to abandon</w:t>
      </w:r>
      <w:bookmarkEnd w:id="109"/>
    </w:p>
    <w:p w:rsidR="00E61EA4" w:rsidRPr="00FF0C30" w:rsidRDefault="006F6E67" w:rsidP="00D077EA">
      <w:pPr>
        <w:rPr>
          <w:rFonts w:cs="Times New Roman"/>
          <w:szCs w:val="24"/>
          <w:lang w:val="en-US"/>
        </w:rPr>
      </w:pPr>
      <w:r w:rsidRPr="006F6E67">
        <w:drawing>
          <wp:inline distT="0" distB="0" distL="0" distR="0">
            <wp:extent cx="9251950" cy="4651162"/>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51950" cy="4651162"/>
                    </a:xfrm>
                    <a:prstGeom prst="rect">
                      <a:avLst/>
                    </a:prstGeom>
                    <a:noFill/>
                    <a:ln>
                      <a:noFill/>
                    </a:ln>
                  </pic:spPr>
                </pic:pic>
              </a:graphicData>
            </a:graphic>
          </wp:inline>
        </w:drawing>
      </w:r>
    </w:p>
    <w:p w:rsidR="00653F14" w:rsidRPr="00FF0C30" w:rsidRDefault="00D13583" w:rsidP="000909BC">
      <w:pPr>
        <w:pStyle w:val="2"/>
      </w:pPr>
      <w:bookmarkStart w:id="110" w:name="_Toc484036320"/>
      <w:r>
        <w:lastRenderedPageBreak/>
        <w:t xml:space="preserve">Appendix 2. </w:t>
      </w:r>
      <w:r w:rsidR="00653F14" w:rsidRPr="00FF0C30">
        <w:t>Option to wait</w:t>
      </w:r>
      <w:bookmarkEnd w:id="110"/>
    </w:p>
    <w:p w:rsidR="00653F14" w:rsidRPr="00FF0C30" w:rsidRDefault="006F6E67" w:rsidP="00D077EA">
      <w:pPr>
        <w:rPr>
          <w:rFonts w:cs="Times New Roman"/>
          <w:szCs w:val="24"/>
          <w:lang w:val="en-US"/>
        </w:rPr>
      </w:pPr>
      <w:r w:rsidRPr="006F6E67">
        <w:drawing>
          <wp:inline distT="0" distB="0" distL="0" distR="0">
            <wp:extent cx="5051546" cy="52241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3249" cy="5225906"/>
                    </a:xfrm>
                    <a:prstGeom prst="rect">
                      <a:avLst/>
                    </a:prstGeom>
                    <a:noFill/>
                    <a:ln>
                      <a:noFill/>
                    </a:ln>
                  </pic:spPr>
                </pic:pic>
              </a:graphicData>
            </a:graphic>
          </wp:inline>
        </w:drawing>
      </w:r>
    </w:p>
    <w:p w:rsidR="00653F14" w:rsidRPr="00FF0C30" w:rsidRDefault="00D13583" w:rsidP="000909BC">
      <w:pPr>
        <w:pStyle w:val="2"/>
      </w:pPr>
      <w:bookmarkStart w:id="111" w:name="_Toc484036321"/>
      <w:r>
        <w:lastRenderedPageBreak/>
        <w:t xml:space="preserve">Appendix 3. </w:t>
      </w:r>
      <w:r w:rsidR="00653F14" w:rsidRPr="00FF0C30">
        <w:t>DCF Model</w:t>
      </w:r>
      <w:bookmarkEnd w:id="111"/>
    </w:p>
    <w:p w:rsidR="00653F14" w:rsidRDefault="00653F14" w:rsidP="00D077EA">
      <w:pPr>
        <w:rPr>
          <w:rFonts w:cs="Times New Roman"/>
          <w:szCs w:val="24"/>
          <w:lang w:val="en-US"/>
        </w:rPr>
      </w:pPr>
      <w:r w:rsidRPr="00FF0C30">
        <w:rPr>
          <w:rFonts w:cs="Times New Roman"/>
          <w:szCs w:val="24"/>
          <w:lang w:val="en-US"/>
        </w:rPr>
        <w:t xml:space="preserve"> </w:t>
      </w:r>
      <w:r w:rsidR="006F6E67" w:rsidRPr="006F6E67">
        <w:drawing>
          <wp:inline distT="0" distB="0" distL="0" distR="0">
            <wp:extent cx="7581425" cy="2641600"/>
            <wp:effectExtent l="0" t="0" r="635" b="63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17602" cy="2654205"/>
                    </a:xfrm>
                    <a:prstGeom prst="rect">
                      <a:avLst/>
                    </a:prstGeom>
                    <a:noFill/>
                    <a:ln>
                      <a:noFill/>
                    </a:ln>
                  </pic:spPr>
                </pic:pic>
              </a:graphicData>
            </a:graphic>
          </wp:inline>
        </w:drawing>
      </w:r>
    </w:p>
    <w:p w:rsidR="006F6E67" w:rsidRPr="00FF0C30" w:rsidRDefault="006F6E67" w:rsidP="00D077EA">
      <w:pPr>
        <w:rPr>
          <w:rFonts w:cs="Times New Roman"/>
          <w:szCs w:val="24"/>
          <w:lang w:val="en-US"/>
        </w:rPr>
      </w:pPr>
      <w:r w:rsidRPr="006F6E67">
        <w:drawing>
          <wp:inline distT="0" distB="0" distL="0" distR="0">
            <wp:extent cx="9251950" cy="2578376"/>
            <wp:effectExtent l="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51950" cy="2578376"/>
                    </a:xfrm>
                    <a:prstGeom prst="rect">
                      <a:avLst/>
                    </a:prstGeom>
                    <a:noFill/>
                    <a:ln>
                      <a:noFill/>
                    </a:ln>
                  </pic:spPr>
                </pic:pic>
              </a:graphicData>
            </a:graphic>
          </wp:inline>
        </w:drawing>
      </w:r>
    </w:p>
    <w:p w:rsidR="000E69A9" w:rsidRDefault="00D13583" w:rsidP="000E69A9">
      <w:pPr>
        <w:pStyle w:val="2"/>
      </w:pPr>
      <w:bookmarkStart w:id="112" w:name="_Toc484036322"/>
      <w:r>
        <w:lastRenderedPageBreak/>
        <w:t xml:space="preserve">Appendix 4. </w:t>
      </w:r>
      <w:r w:rsidR="00653F14" w:rsidRPr="00FF0C30">
        <w:t>Inputs</w:t>
      </w:r>
      <w:bookmarkEnd w:id="112"/>
    </w:p>
    <w:p w:rsidR="009D60DD" w:rsidRPr="009D60DD" w:rsidRDefault="009D60DD" w:rsidP="009D60DD">
      <w:pPr>
        <w:rPr>
          <w:lang w:val="en-US"/>
        </w:rPr>
      </w:pPr>
    </w:p>
    <w:p w:rsidR="00653F14" w:rsidRPr="000E69A9" w:rsidRDefault="000E69A9" w:rsidP="000E69A9">
      <w:pPr>
        <w:pStyle w:val="2"/>
        <w:rPr>
          <w:noProof/>
          <w:lang w:eastAsia="ru-RU"/>
        </w:rPr>
      </w:pPr>
      <w:bookmarkStart w:id="113" w:name="_Toc484036156"/>
      <w:bookmarkStart w:id="114" w:name="_Toc484036323"/>
      <w:r w:rsidRPr="000E69A9">
        <w:drawing>
          <wp:inline distT="0" distB="0" distL="0" distR="0" wp14:anchorId="230B6EA1" wp14:editId="089FE58B">
            <wp:extent cx="4016507" cy="4886325"/>
            <wp:effectExtent l="0" t="0" r="317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25085" cy="4896761"/>
                    </a:xfrm>
                    <a:prstGeom prst="rect">
                      <a:avLst/>
                    </a:prstGeom>
                    <a:noFill/>
                    <a:ln>
                      <a:noFill/>
                    </a:ln>
                  </pic:spPr>
                </pic:pic>
              </a:graphicData>
            </a:graphic>
          </wp:inline>
        </w:drawing>
      </w:r>
      <w:r>
        <w:rPr>
          <w:noProof/>
          <w:lang w:eastAsia="ru-RU"/>
        </w:rPr>
        <w:t xml:space="preserve"> </w:t>
      </w:r>
      <w:r w:rsidRPr="000E69A9">
        <w:drawing>
          <wp:inline distT="0" distB="0" distL="0" distR="0" wp14:anchorId="7935AACF" wp14:editId="1AE6B293">
            <wp:extent cx="4780944" cy="4857750"/>
            <wp:effectExtent l="0" t="0" r="63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5374" cy="4862251"/>
                    </a:xfrm>
                    <a:prstGeom prst="rect">
                      <a:avLst/>
                    </a:prstGeom>
                    <a:noFill/>
                    <a:ln>
                      <a:noFill/>
                    </a:ln>
                  </pic:spPr>
                </pic:pic>
              </a:graphicData>
            </a:graphic>
          </wp:inline>
        </w:drawing>
      </w:r>
      <w:bookmarkEnd w:id="113"/>
      <w:bookmarkEnd w:id="114"/>
    </w:p>
    <w:sectPr w:rsidR="00653F14" w:rsidRPr="000E69A9" w:rsidSect="00653F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74B" w:rsidRDefault="00B7274B" w:rsidP="00F20E9E">
      <w:pPr>
        <w:spacing w:after="0" w:line="240" w:lineRule="auto"/>
      </w:pPr>
      <w:r>
        <w:separator/>
      </w:r>
    </w:p>
  </w:endnote>
  <w:endnote w:type="continuationSeparator" w:id="0">
    <w:p w:rsidR="00B7274B" w:rsidRDefault="00B7274B" w:rsidP="00F2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ade Gothic 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E0002AFF" w:usb1="C0007841"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F16">
    <w:altName w:val="Arial"/>
    <w:panose1 w:val="00000000000000000000"/>
    <w:charset w:val="00"/>
    <w:family w:val="swiss"/>
    <w:notTrueType/>
    <w:pitch w:val="default"/>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 w:name="CMMI12">
    <w:altName w:val="Times New Roman"/>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PalatinoLTStd-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YInterstate-Regular">
    <w:panose1 w:val="00000000000000000000"/>
    <w:charset w:val="CC"/>
    <w:family w:val="swiss"/>
    <w:notTrueType/>
    <w:pitch w:val="default"/>
    <w:sig w:usb0="00000201" w:usb1="00000000" w:usb2="00000000" w:usb3="00000000" w:csb0="00000004" w:csb1="00000000"/>
  </w:font>
  <w:font w:name="ClassicalGaramondBT-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27985"/>
      <w:docPartObj>
        <w:docPartGallery w:val="Page Numbers (Bottom of Page)"/>
        <w:docPartUnique/>
      </w:docPartObj>
    </w:sdtPr>
    <w:sdtContent>
      <w:p w:rsidR="005A11E3" w:rsidRDefault="005A11E3">
        <w:pPr>
          <w:pStyle w:val="a9"/>
          <w:jc w:val="right"/>
        </w:pPr>
        <w:r>
          <w:fldChar w:fldCharType="begin"/>
        </w:r>
        <w:r>
          <w:instrText>PAGE   \* MERGEFORMAT</w:instrText>
        </w:r>
        <w:r>
          <w:fldChar w:fldCharType="separate"/>
        </w:r>
        <w:r w:rsidR="00B34A8F">
          <w:rPr>
            <w:noProof/>
          </w:rPr>
          <w:t>6</w:t>
        </w:r>
        <w:r>
          <w:fldChar w:fldCharType="end"/>
        </w:r>
      </w:p>
    </w:sdtContent>
  </w:sdt>
  <w:p w:rsidR="005A11E3" w:rsidRDefault="005A11E3" w:rsidP="00120088">
    <w:pPr>
      <w:pStyle w:val="a9"/>
      <w:tabs>
        <w:tab w:val="clear" w:pos="4677"/>
        <w:tab w:val="clear" w:pos="9355"/>
        <w:tab w:val="left" w:pos="73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74B" w:rsidRDefault="00B7274B" w:rsidP="00F20E9E">
      <w:pPr>
        <w:spacing w:after="0" w:line="240" w:lineRule="auto"/>
      </w:pPr>
      <w:r>
        <w:separator/>
      </w:r>
    </w:p>
  </w:footnote>
  <w:footnote w:type="continuationSeparator" w:id="0">
    <w:p w:rsidR="00B7274B" w:rsidRDefault="00B7274B" w:rsidP="00F20E9E">
      <w:pPr>
        <w:spacing w:after="0" w:line="240" w:lineRule="auto"/>
      </w:pPr>
      <w:r>
        <w:continuationSeparator/>
      </w:r>
    </w:p>
  </w:footnote>
  <w:footnote w:id="1">
    <w:p w:rsidR="005A11E3" w:rsidRPr="00DE4251" w:rsidRDefault="005A11E3" w:rsidP="00DE4251">
      <w:pPr>
        <w:pStyle w:val="af0"/>
        <w:rPr>
          <w:lang w:val="en-US"/>
        </w:rPr>
      </w:pPr>
      <w:r>
        <w:rPr>
          <w:rStyle w:val="af2"/>
        </w:rPr>
        <w:footnoteRef/>
      </w:r>
      <w:r w:rsidRPr="00DE4251">
        <w:rPr>
          <w:lang w:val="en-US"/>
        </w:rPr>
        <w:t xml:space="preserve"> </w:t>
      </w:r>
      <w:r>
        <w:rPr>
          <w:lang w:val="en-US"/>
        </w:rPr>
        <w:t xml:space="preserve">Refer to equation </w:t>
      </w:r>
      <w:r>
        <w:rPr>
          <w:lang w:val="en-US"/>
        </w:rPr>
        <w:fldChar w:fldCharType="begin"/>
      </w:r>
      <w:r>
        <w:rPr>
          <w:lang w:val="en-US"/>
        </w:rPr>
        <w:instrText xml:space="preserve"> REF _Ref484009527 \h </w:instrText>
      </w:r>
      <w:r>
        <w:rPr>
          <w:lang w:val="en-US"/>
        </w:rPr>
      </w:r>
      <w:r>
        <w:rPr>
          <w:lang w:val="en-US"/>
        </w:rPr>
        <w:fldChar w:fldCharType="separate"/>
      </w:r>
      <w:r w:rsidRPr="00926E3C">
        <w:rPr>
          <w:lang w:val="en-US"/>
        </w:rPr>
        <w:t>(</w:t>
      </w:r>
      <w:r w:rsidRPr="00926E3C">
        <w:rPr>
          <w:noProof/>
          <w:lang w:val="en-US"/>
        </w:rPr>
        <w:t>1</w:t>
      </w:r>
      <w:r w:rsidRPr="00926E3C">
        <w:rPr>
          <w:lang w:val="en-US"/>
        </w:rPr>
        <w:t>.</w:t>
      </w:r>
      <w:r w:rsidRPr="00926E3C">
        <w:rPr>
          <w:noProof/>
          <w:lang w:val="en-US"/>
        </w:rPr>
        <w:t>1</w:t>
      </w:r>
      <w:r>
        <w:rPr>
          <w:lang w:val="en-US"/>
        </w:rPr>
        <w:fldChar w:fldCharType="end"/>
      </w:r>
      <w:r>
        <w:rPr>
          <w:lang w:val="en-US"/>
        </w:rPr>
        <w:t>) in section “</w:t>
      </w:r>
      <w:r w:rsidRPr="00DE4251">
        <w:rPr>
          <w:lang w:val="en-US"/>
        </w:rPr>
        <w:t>Traditional Valuation Techniques</w:t>
      </w:r>
      <w:r>
        <w:rPr>
          <w:lang w:val="en-US"/>
        </w:rPr>
        <w:t>” for explanation of net present value concept.</w:t>
      </w:r>
    </w:p>
  </w:footnote>
  <w:footnote w:id="2">
    <w:p w:rsidR="005A11E3" w:rsidRPr="00481A23" w:rsidRDefault="005A11E3" w:rsidP="00481A23">
      <w:pPr>
        <w:pStyle w:val="a4"/>
        <w:rPr>
          <w:sz w:val="20"/>
          <w:lang w:val="en-US"/>
        </w:rPr>
      </w:pPr>
      <w:r w:rsidRPr="00481A23">
        <w:rPr>
          <w:rStyle w:val="af2"/>
          <w:sz w:val="20"/>
        </w:rPr>
        <w:footnoteRef/>
      </w:r>
      <w:r w:rsidRPr="00481A23">
        <w:rPr>
          <w:sz w:val="20"/>
          <w:lang w:val="en-US"/>
        </w:rPr>
        <w:t xml:space="preserve"> </w:t>
      </w:r>
      <w:r w:rsidRPr="00481A23">
        <w:rPr>
          <w:rFonts w:cs="Times New Roman"/>
          <w:i/>
          <w:sz w:val="20"/>
          <w:szCs w:val="24"/>
          <w:lang w:val="en-US"/>
        </w:rPr>
        <w:t>V</w:t>
      </w:r>
      <w:r w:rsidRPr="00481A23">
        <w:rPr>
          <w:rFonts w:cs="Times New Roman"/>
          <w:i/>
          <w:sz w:val="20"/>
          <w:szCs w:val="24"/>
          <w:vertAlign w:val="subscript"/>
          <w:lang w:val="en-US"/>
        </w:rPr>
        <w:t>t</w:t>
      </w:r>
      <w:r w:rsidRPr="00481A23">
        <w:rPr>
          <w:rFonts w:cs="Times New Roman"/>
          <w:i/>
          <w:sz w:val="20"/>
          <w:szCs w:val="24"/>
          <w:lang w:val="en-US"/>
        </w:rPr>
        <w:t xml:space="preserve"> </w:t>
      </w:r>
      <w:r w:rsidRPr="00481A23">
        <w:rPr>
          <w:rFonts w:cs="Times New Roman"/>
          <w:sz w:val="20"/>
          <w:szCs w:val="24"/>
          <w:lang w:val="en-US"/>
        </w:rPr>
        <w:t>is the value of the project's expected operating cash flows at time t.</w:t>
      </w:r>
    </w:p>
    <w:p w:rsidR="005A11E3" w:rsidRPr="00481A23" w:rsidRDefault="005A11E3" w:rsidP="00481A23">
      <w:pPr>
        <w:pStyle w:val="af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997"/>
    <w:multiLevelType w:val="hybridMultilevel"/>
    <w:tmpl w:val="3B58F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33FFE"/>
    <w:multiLevelType w:val="hybridMultilevel"/>
    <w:tmpl w:val="6CACA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3D2625"/>
    <w:multiLevelType w:val="hybridMultilevel"/>
    <w:tmpl w:val="246CA018"/>
    <w:lvl w:ilvl="0" w:tplc="337A3608">
      <w:start w:val="1"/>
      <w:numFmt w:val="decimal"/>
      <w:pStyle w:val="1"/>
      <w:lvlText w:val="Chapter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9A33E7"/>
    <w:multiLevelType w:val="hybridMultilevel"/>
    <w:tmpl w:val="DDC424DA"/>
    <w:lvl w:ilvl="0" w:tplc="D23A9BF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6170127"/>
    <w:multiLevelType w:val="hybridMultilevel"/>
    <w:tmpl w:val="CE8A4304"/>
    <w:lvl w:ilvl="0" w:tplc="D23A9BF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BFD3FBA"/>
    <w:multiLevelType w:val="hybridMultilevel"/>
    <w:tmpl w:val="2168D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581271"/>
    <w:multiLevelType w:val="hybridMultilevel"/>
    <w:tmpl w:val="627830F4"/>
    <w:lvl w:ilvl="0" w:tplc="D23A9BF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2576B82"/>
    <w:multiLevelType w:val="hybridMultilevel"/>
    <w:tmpl w:val="6CE634C8"/>
    <w:lvl w:ilvl="0" w:tplc="D23A9BF0">
      <w:start w:val="1"/>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329A7FA0"/>
    <w:multiLevelType w:val="hybridMultilevel"/>
    <w:tmpl w:val="074C65E2"/>
    <w:lvl w:ilvl="0" w:tplc="D23A9BF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32309D0"/>
    <w:multiLevelType w:val="hybridMultilevel"/>
    <w:tmpl w:val="475AAF62"/>
    <w:lvl w:ilvl="0" w:tplc="D23A9B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857A01"/>
    <w:multiLevelType w:val="hybridMultilevel"/>
    <w:tmpl w:val="BBF2A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428BF"/>
    <w:multiLevelType w:val="hybridMultilevel"/>
    <w:tmpl w:val="650AA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6736F6"/>
    <w:multiLevelType w:val="hybridMultilevel"/>
    <w:tmpl w:val="794E1B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070198E"/>
    <w:multiLevelType w:val="hybridMultilevel"/>
    <w:tmpl w:val="1AA6BA60"/>
    <w:lvl w:ilvl="0" w:tplc="D23A9BF0">
      <w:start w:val="1"/>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5B96423A"/>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BC57088"/>
    <w:multiLevelType w:val="hybridMultilevel"/>
    <w:tmpl w:val="B1B4CB24"/>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20D6C"/>
    <w:multiLevelType w:val="hybridMultilevel"/>
    <w:tmpl w:val="163EAA58"/>
    <w:lvl w:ilvl="0" w:tplc="D23A9BF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677995"/>
    <w:multiLevelType w:val="hybridMultilevel"/>
    <w:tmpl w:val="44141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2"/>
  </w:num>
  <w:num w:numId="5">
    <w:abstractNumId w:val="14"/>
  </w:num>
  <w:num w:numId="6">
    <w:abstractNumId w:val="10"/>
  </w:num>
  <w:num w:numId="7">
    <w:abstractNumId w:val="16"/>
  </w:num>
  <w:num w:numId="8">
    <w:abstractNumId w:val="15"/>
  </w:num>
  <w:num w:numId="9">
    <w:abstractNumId w:val="9"/>
  </w:num>
  <w:num w:numId="10">
    <w:abstractNumId w:val="0"/>
  </w:num>
  <w:num w:numId="11">
    <w:abstractNumId w:val="2"/>
  </w:num>
  <w:num w:numId="12">
    <w:abstractNumId w:val="11"/>
  </w:num>
  <w:num w:numId="13">
    <w:abstractNumId w:val="4"/>
  </w:num>
  <w:num w:numId="14">
    <w:abstractNumId w:val="13"/>
  </w:num>
  <w:num w:numId="15">
    <w:abstractNumId w:val="8"/>
  </w:num>
  <w:num w:numId="16">
    <w:abstractNumId w:val="7"/>
  </w:num>
  <w:num w:numId="17">
    <w:abstractNumId w:val="3"/>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EA"/>
    <w:rsid w:val="00026DF5"/>
    <w:rsid w:val="00050FE3"/>
    <w:rsid w:val="00052521"/>
    <w:rsid w:val="00053C03"/>
    <w:rsid w:val="000543A1"/>
    <w:rsid w:val="000554B4"/>
    <w:rsid w:val="00074ECA"/>
    <w:rsid w:val="000909BC"/>
    <w:rsid w:val="000909BF"/>
    <w:rsid w:val="000B1FB3"/>
    <w:rsid w:val="000C04AF"/>
    <w:rsid w:val="000D7FD5"/>
    <w:rsid w:val="000E69A9"/>
    <w:rsid w:val="000E7529"/>
    <w:rsid w:val="000F3333"/>
    <w:rsid w:val="000F7EC6"/>
    <w:rsid w:val="00107D45"/>
    <w:rsid w:val="00113073"/>
    <w:rsid w:val="00120088"/>
    <w:rsid w:val="00120DE7"/>
    <w:rsid w:val="00125C88"/>
    <w:rsid w:val="00133A7F"/>
    <w:rsid w:val="00155609"/>
    <w:rsid w:val="00156AEB"/>
    <w:rsid w:val="00157435"/>
    <w:rsid w:val="001662A0"/>
    <w:rsid w:val="00174E9B"/>
    <w:rsid w:val="001755F6"/>
    <w:rsid w:val="0019295E"/>
    <w:rsid w:val="00197E93"/>
    <w:rsid w:val="001A115A"/>
    <w:rsid w:val="001A6B46"/>
    <w:rsid w:val="001B2752"/>
    <w:rsid w:val="001D5A93"/>
    <w:rsid w:val="001E5779"/>
    <w:rsid w:val="001E5839"/>
    <w:rsid w:val="001F23D4"/>
    <w:rsid w:val="00227481"/>
    <w:rsid w:val="002356D7"/>
    <w:rsid w:val="0023615A"/>
    <w:rsid w:val="002367AB"/>
    <w:rsid w:val="0024006E"/>
    <w:rsid w:val="00243D67"/>
    <w:rsid w:val="00254DC9"/>
    <w:rsid w:val="002562B1"/>
    <w:rsid w:val="00273DC3"/>
    <w:rsid w:val="00275AA3"/>
    <w:rsid w:val="002A0E52"/>
    <w:rsid w:val="002B30B1"/>
    <w:rsid w:val="002D2C0C"/>
    <w:rsid w:val="00301A0A"/>
    <w:rsid w:val="00304028"/>
    <w:rsid w:val="00307256"/>
    <w:rsid w:val="00313122"/>
    <w:rsid w:val="00313E5A"/>
    <w:rsid w:val="00315D7F"/>
    <w:rsid w:val="00317C7C"/>
    <w:rsid w:val="00370CC2"/>
    <w:rsid w:val="00375332"/>
    <w:rsid w:val="0038075B"/>
    <w:rsid w:val="003B6AAA"/>
    <w:rsid w:val="003C0926"/>
    <w:rsid w:val="003C760B"/>
    <w:rsid w:val="003D269B"/>
    <w:rsid w:val="003D47F1"/>
    <w:rsid w:val="003E251E"/>
    <w:rsid w:val="003F6083"/>
    <w:rsid w:val="00423E49"/>
    <w:rsid w:val="0042508C"/>
    <w:rsid w:val="00481A23"/>
    <w:rsid w:val="00483F7C"/>
    <w:rsid w:val="004A723D"/>
    <w:rsid w:val="004B04D8"/>
    <w:rsid w:val="004B1C0A"/>
    <w:rsid w:val="004B68C3"/>
    <w:rsid w:val="004C4B45"/>
    <w:rsid w:val="004C4DB1"/>
    <w:rsid w:val="004D0B24"/>
    <w:rsid w:val="004F4088"/>
    <w:rsid w:val="004F65F9"/>
    <w:rsid w:val="004F7A19"/>
    <w:rsid w:val="005272D4"/>
    <w:rsid w:val="00527CD1"/>
    <w:rsid w:val="00555291"/>
    <w:rsid w:val="00562299"/>
    <w:rsid w:val="00584ECB"/>
    <w:rsid w:val="00587F48"/>
    <w:rsid w:val="0059417E"/>
    <w:rsid w:val="00597246"/>
    <w:rsid w:val="005A11E3"/>
    <w:rsid w:val="005A7751"/>
    <w:rsid w:val="005B0095"/>
    <w:rsid w:val="005E463F"/>
    <w:rsid w:val="005E7E5A"/>
    <w:rsid w:val="0060284A"/>
    <w:rsid w:val="006103C4"/>
    <w:rsid w:val="00612F9C"/>
    <w:rsid w:val="00620561"/>
    <w:rsid w:val="0062188B"/>
    <w:rsid w:val="0063490B"/>
    <w:rsid w:val="00644785"/>
    <w:rsid w:val="0064532F"/>
    <w:rsid w:val="006501CF"/>
    <w:rsid w:val="00653F14"/>
    <w:rsid w:val="00662E04"/>
    <w:rsid w:val="006653C8"/>
    <w:rsid w:val="00666082"/>
    <w:rsid w:val="00693A04"/>
    <w:rsid w:val="00696F70"/>
    <w:rsid w:val="006B15B8"/>
    <w:rsid w:val="006D2D82"/>
    <w:rsid w:val="006E210E"/>
    <w:rsid w:val="006F6E67"/>
    <w:rsid w:val="00705150"/>
    <w:rsid w:val="007234ED"/>
    <w:rsid w:val="00723FB5"/>
    <w:rsid w:val="007270A6"/>
    <w:rsid w:val="00730F0C"/>
    <w:rsid w:val="007342BD"/>
    <w:rsid w:val="00734DAD"/>
    <w:rsid w:val="00735937"/>
    <w:rsid w:val="00736454"/>
    <w:rsid w:val="007441FE"/>
    <w:rsid w:val="0075283F"/>
    <w:rsid w:val="0078002D"/>
    <w:rsid w:val="00790DFB"/>
    <w:rsid w:val="00791A7B"/>
    <w:rsid w:val="007A24FA"/>
    <w:rsid w:val="007A71A5"/>
    <w:rsid w:val="007A75A6"/>
    <w:rsid w:val="007A769B"/>
    <w:rsid w:val="007B10C8"/>
    <w:rsid w:val="007B44AC"/>
    <w:rsid w:val="007B4DE6"/>
    <w:rsid w:val="007C772D"/>
    <w:rsid w:val="007F423D"/>
    <w:rsid w:val="007F55DB"/>
    <w:rsid w:val="00814DA4"/>
    <w:rsid w:val="00823535"/>
    <w:rsid w:val="00824EA1"/>
    <w:rsid w:val="00826654"/>
    <w:rsid w:val="008324C6"/>
    <w:rsid w:val="008611FB"/>
    <w:rsid w:val="00863EA2"/>
    <w:rsid w:val="00876FF9"/>
    <w:rsid w:val="00886EB5"/>
    <w:rsid w:val="008A48B5"/>
    <w:rsid w:val="008A7AF1"/>
    <w:rsid w:val="008B69D1"/>
    <w:rsid w:val="008C3AB9"/>
    <w:rsid w:val="008C4CC5"/>
    <w:rsid w:val="008D3331"/>
    <w:rsid w:val="008E0EEA"/>
    <w:rsid w:val="008F073B"/>
    <w:rsid w:val="008F08EA"/>
    <w:rsid w:val="008F0CCC"/>
    <w:rsid w:val="008F1F91"/>
    <w:rsid w:val="0091523E"/>
    <w:rsid w:val="00917369"/>
    <w:rsid w:val="00926E3C"/>
    <w:rsid w:val="00933638"/>
    <w:rsid w:val="00941DB4"/>
    <w:rsid w:val="0094372B"/>
    <w:rsid w:val="009512BE"/>
    <w:rsid w:val="009A1555"/>
    <w:rsid w:val="009C0806"/>
    <w:rsid w:val="009D60DD"/>
    <w:rsid w:val="009E4BDA"/>
    <w:rsid w:val="009E7598"/>
    <w:rsid w:val="009E7D3D"/>
    <w:rsid w:val="009F2A67"/>
    <w:rsid w:val="009F64EB"/>
    <w:rsid w:val="00A00E08"/>
    <w:rsid w:val="00A06120"/>
    <w:rsid w:val="00A1168F"/>
    <w:rsid w:val="00A14CDD"/>
    <w:rsid w:val="00A37B72"/>
    <w:rsid w:val="00A4464B"/>
    <w:rsid w:val="00A46A15"/>
    <w:rsid w:val="00AA3F7F"/>
    <w:rsid w:val="00AC223A"/>
    <w:rsid w:val="00AD0979"/>
    <w:rsid w:val="00AF3457"/>
    <w:rsid w:val="00B128B5"/>
    <w:rsid w:val="00B2639F"/>
    <w:rsid w:val="00B273AC"/>
    <w:rsid w:val="00B34A8F"/>
    <w:rsid w:val="00B61E59"/>
    <w:rsid w:val="00B7274B"/>
    <w:rsid w:val="00B8436D"/>
    <w:rsid w:val="00B91880"/>
    <w:rsid w:val="00BB20BC"/>
    <w:rsid w:val="00BB3C3B"/>
    <w:rsid w:val="00BD299A"/>
    <w:rsid w:val="00BE3F76"/>
    <w:rsid w:val="00BF067E"/>
    <w:rsid w:val="00C12A08"/>
    <w:rsid w:val="00C136D3"/>
    <w:rsid w:val="00C146B4"/>
    <w:rsid w:val="00C16C43"/>
    <w:rsid w:val="00C22B53"/>
    <w:rsid w:val="00C31CE6"/>
    <w:rsid w:val="00C43DE6"/>
    <w:rsid w:val="00C51428"/>
    <w:rsid w:val="00C66918"/>
    <w:rsid w:val="00C70442"/>
    <w:rsid w:val="00CA5EE2"/>
    <w:rsid w:val="00CB4E1E"/>
    <w:rsid w:val="00CD2B9B"/>
    <w:rsid w:val="00CD3BB3"/>
    <w:rsid w:val="00CD54AE"/>
    <w:rsid w:val="00CF22BA"/>
    <w:rsid w:val="00CF32F2"/>
    <w:rsid w:val="00CF3C06"/>
    <w:rsid w:val="00D04A48"/>
    <w:rsid w:val="00D04BAF"/>
    <w:rsid w:val="00D077EA"/>
    <w:rsid w:val="00D13583"/>
    <w:rsid w:val="00D15655"/>
    <w:rsid w:val="00D358F0"/>
    <w:rsid w:val="00D50612"/>
    <w:rsid w:val="00D51FAA"/>
    <w:rsid w:val="00D578F6"/>
    <w:rsid w:val="00D5795B"/>
    <w:rsid w:val="00D63E7E"/>
    <w:rsid w:val="00D66B8A"/>
    <w:rsid w:val="00D67389"/>
    <w:rsid w:val="00D74C60"/>
    <w:rsid w:val="00D804A3"/>
    <w:rsid w:val="00D8356E"/>
    <w:rsid w:val="00DC7B8B"/>
    <w:rsid w:val="00DD0704"/>
    <w:rsid w:val="00DD2443"/>
    <w:rsid w:val="00DD6E80"/>
    <w:rsid w:val="00DE4251"/>
    <w:rsid w:val="00E1686E"/>
    <w:rsid w:val="00E17B12"/>
    <w:rsid w:val="00E2127C"/>
    <w:rsid w:val="00E24386"/>
    <w:rsid w:val="00E270C6"/>
    <w:rsid w:val="00E413F0"/>
    <w:rsid w:val="00E52557"/>
    <w:rsid w:val="00E61EA4"/>
    <w:rsid w:val="00E66D7A"/>
    <w:rsid w:val="00E915C2"/>
    <w:rsid w:val="00EA399A"/>
    <w:rsid w:val="00EB1964"/>
    <w:rsid w:val="00EC0639"/>
    <w:rsid w:val="00EE0498"/>
    <w:rsid w:val="00EF75C0"/>
    <w:rsid w:val="00F04276"/>
    <w:rsid w:val="00F10181"/>
    <w:rsid w:val="00F1507B"/>
    <w:rsid w:val="00F20E9E"/>
    <w:rsid w:val="00F44325"/>
    <w:rsid w:val="00F54882"/>
    <w:rsid w:val="00F722ED"/>
    <w:rsid w:val="00F76D71"/>
    <w:rsid w:val="00FA0ECF"/>
    <w:rsid w:val="00FA58D0"/>
    <w:rsid w:val="00FB5D1C"/>
    <w:rsid w:val="00FC2AED"/>
    <w:rsid w:val="00FE096D"/>
    <w:rsid w:val="00FF0C30"/>
    <w:rsid w:val="00FF2FC5"/>
    <w:rsid w:val="00FF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99FAC"/>
  <w15:docId w15:val="{0B8BA10F-536C-42BA-AAF5-F52C269B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DE6"/>
    <w:pPr>
      <w:spacing w:line="360" w:lineRule="auto"/>
      <w:jc w:val="both"/>
    </w:pPr>
    <w:rPr>
      <w:rFonts w:ascii="Times New Roman" w:hAnsi="Times New Roman"/>
      <w:sz w:val="24"/>
    </w:rPr>
  </w:style>
  <w:style w:type="paragraph" w:styleId="1">
    <w:name w:val="heading 1"/>
    <w:basedOn w:val="2"/>
    <w:next w:val="a"/>
    <w:link w:val="10"/>
    <w:uiPriority w:val="9"/>
    <w:qFormat/>
    <w:rsid w:val="006501CF"/>
    <w:pPr>
      <w:numPr>
        <w:numId w:val="11"/>
      </w:numPr>
      <w:ind w:left="360"/>
      <w:outlineLvl w:val="0"/>
    </w:pPr>
    <w:rPr>
      <w:sz w:val="28"/>
    </w:rPr>
  </w:style>
  <w:style w:type="paragraph" w:styleId="2">
    <w:name w:val="heading 2"/>
    <w:basedOn w:val="a"/>
    <w:next w:val="a"/>
    <w:link w:val="20"/>
    <w:uiPriority w:val="9"/>
    <w:unhideWhenUsed/>
    <w:qFormat/>
    <w:rsid w:val="00D67389"/>
    <w:pPr>
      <w:keepNext/>
      <w:keepLines/>
      <w:spacing w:before="240" w:after="0"/>
      <w:outlineLvl w:val="1"/>
    </w:pPr>
    <w:rPr>
      <w:rFonts w:eastAsiaTheme="majorEastAsia" w:cs="Times New Roman"/>
      <w:b/>
      <w:caps/>
      <w:spacing w:val="10"/>
      <w:szCs w:val="26"/>
      <w:lang w:val="en-US"/>
    </w:rPr>
  </w:style>
  <w:style w:type="paragraph" w:styleId="3">
    <w:name w:val="heading 3"/>
    <w:basedOn w:val="a"/>
    <w:next w:val="a"/>
    <w:link w:val="30"/>
    <w:uiPriority w:val="9"/>
    <w:unhideWhenUsed/>
    <w:qFormat/>
    <w:rsid w:val="00D67389"/>
    <w:pPr>
      <w:spacing w:after="0"/>
      <w:outlineLvl w:val="2"/>
    </w:pPr>
    <w:rPr>
      <w:rFonts w:cs="Times New Roman"/>
      <w:b/>
      <w:szCs w:val="24"/>
      <w:lang w:val="en-US"/>
    </w:rPr>
  </w:style>
  <w:style w:type="paragraph" w:styleId="4">
    <w:name w:val="heading 4"/>
    <w:basedOn w:val="a"/>
    <w:next w:val="a"/>
    <w:link w:val="40"/>
    <w:uiPriority w:val="9"/>
    <w:unhideWhenUsed/>
    <w:qFormat/>
    <w:rsid w:val="00D67389"/>
    <w:pPr>
      <w:keepNext/>
      <w:keepLines/>
      <w:spacing w:before="40" w:after="0"/>
      <w:outlineLvl w:val="3"/>
    </w:pPr>
    <w:rPr>
      <w:rFonts w:eastAsiaTheme="majorEastAsia" w:cs="Times New Roman"/>
      <w:b/>
      <w:i/>
      <w:iCs/>
      <w:lang w:val="en-US"/>
    </w:rPr>
  </w:style>
  <w:style w:type="paragraph" w:styleId="5">
    <w:name w:val="heading 5"/>
    <w:basedOn w:val="a"/>
    <w:next w:val="a"/>
    <w:link w:val="50"/>
    <w:uiPriority w:val="9"/>
    <w:unhideWhenUsed/>
    <w:qFormat/>
    <w:rsid w:val="00D67389"/>
    <w:pPr>
      <w:keepNext/>
      <w:keepLines/>
      <w:spacing w:before="40" w:after="0"/>
      <w:outlineLvl w:val="4"/>
    </w:pPr>
    <w:rPr>
      <w:rFonts w:eastAsiaTheme="majorEastAsia" w:cstheme="majorBidi"/>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7EA"/>
    <w:pPr>
      <w:ind w:left="720"/>
      <w:contextualSpacing/>
    </w:pPr>
  </w:style>
  <w:style w:type="paragraph" w:styleId="a4">
    <w:name w:val="No Spacing"/>
    <w:uiPriority w:val="1"/>
    <w:qFormat/>
    <w:rsid w:val="00CA5EE2"/>
    <w:pPr>
      <w:spacing w:after="0" w:line="240" w:lineRule="auto"/>
    </w:pPr>
    <w:rPr>
      <w:rFonts w:ascii="Times New Roman" w:hAnsi="Times New Roman"/>
      <w:sz w:val="24"/>
    </w:rPr>
  </w:style>
  <w:style w:type="paragraph" w:customStyle="1" w:styleId="Pa9">
    <w:name w:val="Pa9"/>
    <w:basedOn w:val="a"/>
    <w:next w:val="a"/>
    <w:uiPriority w:val="99"/>
    <w:rsid w:val="00E413F0"/>
    <w:pPr>
      <w:autoSpaceDE w:val="0"/>
      <w:autoSpaceDN w:val="0"/>
      <w:adjustRightInd w:val="0"/>
      <w:spacing w:after="0" w:line="201" w:lineRule="atLeast"/>
      <w:jc w:val="left"/>
    </w:pPr>
    <w:rPr>
      <w:rFonts w:ascii="Trade Gothic LT Std" w:hAnsi="Trade Gothic LT Std"/>
      <w:szCs w:val="24"/>
    </w:rPr>
  </w:style>
  <w:style w:type="paragraph" w:customStyle="1" w:styleId="OfficialNormal">
    <w:name w:val="Official_Normal"/>
    <w:basedOn w:val="a"/>
    <w:link w:val="OfficialNormalChar"/>
    <w:qFormat/>
    <w:rsid w:val="00FF0C30"/>
  </w:style>
  <w:style w:type="character" w:customStyle="1" w:styleId="OfficialNormalChar">
    <w:name w:val="Official_Normal Char"/>
    <w:basedOn w:val="a0"/>
    <w:link w:val="OfficialNormal"/>
    <w:rsid w:val="00FF0C30"/>
    <w:rPr>
      <w:rFonts w:ascii="Times New Roman" w:hAnsi="Times New Roman"/>
      <w:sz w:val="24"/>
    </w:rPr>
  </w:style>
  <w:style w:type="paragraph" w:styleId="a5">
    <w:name w:val="Title"/>
    <w:basedOn w:val="a"/>
    <w:next w:val="a"/>
    <w:link w:val="a6"/>
    <w:uiPriority w:val="10"/>
    <w:qFormat/>
    <w:rsid w:val="006B15B8"/>
    <w:pPr>
      <w:spacing w:before="240" w:after="120" w:line="240" w:lineRule="auto"/>
      <w:contextualSpacing/>
    </w:pPr>
    <w:rPr>
      <w:rFonts w:eastAsiaTheme="majorEastAsia" w:cs="Times New Roman"/>
      <w:b/>
      <w:caps/>
      <w:spacing w:val="10"/>
      <w:kern w:val="28"/>
      <w:sz w:val="28"/>
      <w:szCs w:val="28"/>
      <w:lang w:val="en-US"/>
    </w:rPr>
  </w:style>
  <w:style w:type="character" w:customStyle="1" w:styleId="a6">
    <w:name w:val="Заголовок Знак"/>
    <w:basedOn w:val="a0"/>
    <w:link w:val="a5"/>
    <w:uiPriority w:val="10"/>
    <w:rsid w:val="006B15B8"/>
    <w:rPr>
      <w:rFonts w:ascii="Times New Roman" w:eastAsiaTheme="majorEastAsia" w:hAnsi="Times New Roman" w:cs="Times New Roman"/>
      <w:b/>
      <w:caps/>
      <w:spacing w:val="10"/>
      <w:kern w:val="28"/>
      <w:sz w:val="28"/>
      <w:szCs w:val="28"/>
      <w:lang w:val="en-US"/>
    </w:rPr>
  </w:style>
  <w:style w:type="character" w:customStyle="1" w:styleId="20">
    <w:name w:val="Заголовок 2 Знак"/>
    <w:basedOn w:val="a0"/>
    <w:link w:val="2"/>
    <w:uiPriority w:val="9"/>
    <w:rsid w:val="00D67389"/>
    <w:rPr>
      <w:rFonts w:ascii="Times New Roman" w:eastAsiaTheme="majorEastAsia" w:hAnsi="Times New Roman" w:cs="Times New Roman"/>
      <w:b/>
      <w:caps/>
      <w:spacing w:val="10"/>
      <w:sz w:val="24"/>
      <w:szCs w:val="26"/>
      <w:lang w:val="en-US"/>
    </w:rPr>
  </w:style>
  <w:style w:type="character" w:customStyle="1" w:styleId="10">
    <w:name w:val="Заголовок 1 Знак"/>
    <w:basedOn w:val="a0"/>
    <w:link w:val="1"/>
    <w:uiPriority w:val="9"/>
    <w:rsid w:val="006501CF"/>
    <w:rPr>
      <w:rFonts w:ascii="Times New Roman" w:eastAsiaTheme="majorEastAsia" w:hAnsi="Times New Roman" w:cs="Times New Roman"/>
      <w:b/>
      <w:caps/>
      <w:spacing w:val="10"/>
      <w:sz w:val="28"/>
      <w:szCs w:val="26"/>
      <w:lang w:val="en-US"/>
    </w:rPr>
  </w:style>
  <w:style w:type="character" w:customStyle="1" w:styleId="30">
    <w:name w:val="Заголовок 3 Знак"/>
    <w:basedOn w:val="a0"/>
    <w:link w:val="3"/>
    <w:uiPriority w:val="9"/>
    <w:rsid w:val="00D67389"/>
    <w:rPr>
      <w:rFonts w:ascii="Times New Roman" w:hAnsi="Times New Roman" w:cs="Times New Roman"/>
      <w:b/>
      <w:sz w:val="24"/>
      <w:szCs w:val="24"/>
      <w:lang w:val="en-US"/>
    </w:rPr>
  </w:style>
  <w:style w:type="character" w:customStyle="1" w:styleId="40">
    <w:name w:val="Заголовок 4 Знак"/>
    <w:basedOn w:val="a0"/>
    <w:link w:val="4"/>
    <w:uiPriority w:val="9"/>
    <w:rsid w:val="00D67389"/>
    <w:rPr>
      <w:rFonts w:ascii="Times New Roman" w:eastAsiaTheme="majorEastAsia" w:hAnsi="Times New Roman" w:cs="Times New Roman"/>
      <w:b/>
      <w:i/>
      <w:iCs/>
      <w:sz w:val="24"/>
      <w:lang w:val="en-US"/>
    </w:rPr>
  </w:style>
  <w:style w:type="paragraph" w:styleId="a7">
    <w:name w:val="header"/>
    <w:basedOn w:val="a"/>
    <w:link w:val="a8"/>
    <w:uiPriority w:val="99"/>
    <w:unhideWhenUsed/>
    <w:rsid w:val="00F20E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0E9E"/>
    <w:rPr>
      <w:rFonts w:ascii="Times New Roman" w:hAnsi="Times New Roman"/>
      <w:sz w:val="24"/>
    </w:rPr>
  </w:style>
  <w:style w:type="paragraph" w:styleId="a9">
    <w:name w:val="footer"/>
    <w:basedOn w:val="a"/>
    <w:link w:val="aa"/>
    <w:uiPriority w:val="99"/>
    <w:unhideWhenUsed/>
    <w:rsid w:val="00F20E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0E9E"/>
    <w:rPr>
      <w:rFonts w:ascii="Times New Roman" w:hAnsi="Times New Roman"/>
      <w:sz w:val="24"/>
    </w:rPr>
  </w:style>
  <w:style w:type="character" w:styleId="ab">
    <w:name w:val="Placeholder Text"/>
    <w:basedOn w:val="a0"/>
    <w:uiPriority w:val="99"/>
    <w:semiHidden/>
    <w:rsid w:val="005A7751"/>
    <w:rPr>
      <w:color w:val="808080"/>
    </w:rPr>
  </w:style>
  <w:style w:type="paragraph" w:styleId="ac">
    <w:name w:val="caption"/>
    <w:basedOn w:val="a"/>
    <w:next w:val="a"/>
    <w:uiPriority w:val="35"/>
    <w:unhideWhenUsed/>
    <w:qFormat/>
    <w:rsid w:val="00886EB5"/>
    <w:pPr>
      <w:spacing w:after="200" w:line="240" w:lineRule="auto"/>
      <w:jc w:val="center"/>
    </w:pPr>
    <w:rPr>
      <w:i/>
      <w:iCs/>
      <w:sz w:val="20"/>
      <w:szCs w:val="18"/>
      <w:lang w:val="en-US"/>
    </w:rPr>
  </w:style>
  <w:style w:type="character" w:customStyle="1" w:styleId="50">
    <w:name w:val="Заголовок 5 Знак"/>
    <w:basedOn w:val="a0"/>
    <w:link w:val="5"/>
    <w:uiPriority w:val="9"/>
    <w:rsid w:val="00D67389"/>
    <w:rPr>
      <w:rFonts w:ascii="Times New Roman" w:eastAsiaTheme="majorEastAsia" w:hAnsi="Times New Roman" w:cstheme="majorBidi"/>
      <w:i/>
      <w:sz w:val="24"/>
    </w:rPr>
  </w:style>
  <w:style w:type="paragraph" w:styleId="ad">
    <w:name w:val="TOC Heading"/>
    <w:basedOn w:val="1"/>
    <w:next w:val="a"/>
    <w:uiPriority w:val="39"/>
    <w:unhideWhenUsed/>
    <w:qFormat/>
    <w:rsid w:val="000909BC"/>
    <w:pPr>
      <w:spacing w:line="259" w:lineRule="auto"/>
      <w:jc w:val="left"/>
      <w:outlineLvl w:val="9"/>
    </w:pPr>
    <w:rPr>
      <w:rFonts w:asciiTheme="majorHAnsi" w:hAnsiTheme="majorHAnsi" w:cstheme="majorBidi"/>
      <w:b w:val="0"/>
      <w:caps w:val="0"/>
      <w:color w:val="8F0000" w:themeColor="accent1" w:themeShade="BF"/>
      <w:spacing w:val="0"/>
      <w:sz w:val="32"/>
      <w:szCs w:val="32"/>
      <w:lang w:val="ru-RU" w:eastAsia="ru-RU"/>
    </w:rPr>
  </w:style>
  <w:style w:type="paragraph" w:styleId="11">
    <w:name w:val="toc 1"/>
    <w:basedOn w:val="a"/>
    <w:next w:val="a"/>
    <w:autoRedefine/>
    <w:uiPriority w:val="39"/>
    <w:unhideWhenUsed/>
    <w:rsid w:val="00662E04"/>
    <w:pPr>
      <w:tabs>
        <w:tab w:val="right" w:leader="dot" w:pos="9345"/>
      </w:tabs>
      <w:spacing w:after="120" w:line="240" w:lineRule="auto"/>
    </w:pPr>
    <w:rPr>
      <w:b/>
      <w:noProof/>
    </w:rPr>
  </w:style>
  <w:style w:type="paragraph" w:styleId="21">
    <w:name w:val="toc 2"/>
    <w:basedOn w:val="a"/>
    <w:next w:val="a"/>
    <w:autoRedefine/>
    <w:uiPriority w:val="39"/>
    <w:unhideWhenUsed/>
    <w:rsid w:val="000909BC"/>
    <w:pPr>
      <w:spacing w:after="100"/>
      <w:ind w:left="240"/>
    </w:pPr>
  </w:style>
  <w:style w:type="paragraph" w:styleId="31">
    <w:name w:val="toc 3"/>
    <w:basedOn w:val="a"/>
    <w:next w:val="a"/>
    <w:autoRedefine/>
    <w:uiPriority w:val="39"/>
    <w:unhideWhenUsed/>
    <w:rsid w:val="000909BC"/>
    <w:pPr>
      <w:spacing w:after="100"/>
      <w:ind w:left="480"/>
    </w:pPr>
  </w:style>
  <w:style w:type="character" w:styleId="ae">
    <w:name w:val="Hyperlink"/>
    <w:basedOn w:val="a0"/>
    <w:uiPriority w:val="99"/>
    <w:unhideWhenUsed/>
    <w:rsid w:val="000909BC"/>
    <w:rPr>
      <w:color w:val="0563C1" w:themeColor="hyperlink"/>
      <w:u w:val="single"/>
    </w:rPr>
  </w:style>
  <w:style w:type="table" w:styleId="af">
    <w:name w:val="Table Grid"/>
    <w:basedOn w:val="a1"/>
    <w:uiPriority w:val="59"/>
    <w:rsid w:val="0079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19295E"/>
    <w:pPr>
      <w:spacing w:after="0" w:line="240" w:lineRule="auto"/>
    </w:pPr>
    <w:tblPr>
      <w:tblStyleRowBandSize w:val="1"/>
      <w:tblStyleColBandSize w:val="1"/>
    </w:tblPr>
    <w:tblStylePr w:type="firstRow">
      <w:pPr>
        <w:jc w:val="center"/>
      </w:pPr>
      <w:rPr>
        <w:b/>
        <w:bCs/>
      </w:rPr>
      <w:tblPr/>
      <w:tcPr>
        <w:tcBorders>
          <w:top w:val="nil"/>
          <w:left w:val="nil"/>
          <w:bottom w:val="single" w:sz="18" w:space="0" w:color="C00000"/>
          <w:right w:val="nil"/>
          <w:insideH w:val="nil"/>
          <w:insideV w:val="nil"/>
        </w:tcBorders>
        <w:vAlign w:val="center"/>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0">
    <w:name w:val="footnote text"/>
    <w:basedOn w:val="a"/>
    <w:link w:val="af1"/>
    <w:uiPriority w:val="99"/>
    <w:semiHidden/>
    <w:unhideWhenUsed/>
    <w:rsid w:val="00107D45"/>
    <w:pPr>
      <w:spacing w:after="0" w:line="240" w:lineRule="auto"/>
    </w:pPr>
    <w:rPr>
      <w:sz w:val="20"/>
      <w:szCs w:val="20"/>
    </w:rPr>
  </w:style>
  <w:style w:type="character" w:customStyle="1" w:styleId="af1">
    <w:name w:val="Текст сноски Знак"/>
    <w:basedOn w:val="a0"/>
    <w:link w:val="af0"/>
    <w:uiPriority w:val="99"/>
    <w:semiHidden/>
    <w:rsid w:val="00107D45"/>
    <w:rPr>
      <w:rFonts w:ascii="Times New Roman" w:hAnsi="Times New Roman"/>
      <w:sz w:val="20"/>
      <w:szCs w:val="20"/>
    </w:rPr>
  </w:style>
  <w:style w:type="character" w:styleId="af2">
    <w:name w:val="footnote reference"/>
    <w:basedOn w:val="a0"/>
    <w:uiPriority w:val="99"/>
    <w:semiHidden/>
    <w:unhideWhenUsed/>
    <w:rsid w:val="00107D45"/>
    <w:rPr>
      <w:vertAlign w:val="superscript"/>
    </w:rPr>
  </w:style>
  <w:style w:type="paragraph" w:styleId="af3">
    <w:name w:val="table of figures"/>
    <w:basedOn w:val="a"/>
    <w:next w:val="a"/>
    <w:uiPriority w:val="99"/>
    <w:unhideWhenUsed/>
    <w:rsid w:val="00A06120"/>
    <w:pPr>
      <w:spacing w:after="0"/>
    </w:pPr>
  </w:style>
  <w:style w:type="paragraph" w:styleId="af4">
    <w:name w:val="Balloon Text"/>
    <w:basedOn w:val="a"/>
    <w:link w:val="af5"/>
    <w:uiPriority w:val="99"/>
    <w:semiHidden/>
    <w:unhideWhenUsed/>
    <w:rsid w:val="000C04A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C04AF"/>
    <w:rPr>
      <w:rFonts w:ascii="Tahoma" w:hAnsi="Tahoma" w:cs="Tahoma"/>
      <w:sz w:val="16"/>
      <w:szCs w:val="16"/>
    </w:rPr>
  </w:style>
  <w:style w:type="table" w:customStyle="1" w:styleId="af6">
    <w:name w:val="Без границы"/>
    <w:basedOn w:val="a1"/>
    <w:uiPriority w:val="99"/>
    <w:rsid w:val="002356D7"/>
    <w:pPr>
      <w:spacing w:after="0" w:line="240" w:lineRule="auto"/>
      <w:jc w:val="right"/>
    </w:pPr>
    <w:tblPr/>
    <w:tcPr>
      <w:vAlign w:val="center"/>
    </w:tcPr>
    <w:tblStylePr w:type="lastCol">
      <w:pPr>
        <w:jc w:val="right"/>
      </w:pPr>
      <w:tblPr/>
      <w:tcPr>
        <w:vAlign w:val="center"/>
      </w:tcPr>
    </w:tblStylePr>
  </w:style>
  <w:style w:type="paragraph" w:styleId="af7">
    <w:name w:val="Body Text Indent"/>
    <w:basedOn w:val="a"/>
    <w:link w:val="af8"/>
    <w:uiPriority w:val="99"/>
    <w:unhideWhenUsed/>
    <w:rsid w:val="000E69A9"/>
    <w:pPr>
      <w:spacing w:after="120" w:line="276" w:lineRule="auto"/>
      <w:ind w:left="283"/>
      <w:jc w:val="left"/>
    </w:pPr>
    <w:rPr>
      <w:rFonts w:ascii="Calibri" w:eastAsia="Calibri" w:hAnsi="Calibri" w:cs="Times New Roman"/>
      <w:sz w:val="22"/>
      <w:lang w:val="x-none"/>
    </w:rPr>
  </w:style>
  <w:style w:type="character" w:customStyle="1" w:styleId="af8">
    <w:name w:val="Основной текст с отступом Знак"/>
    <w:basedOn w:val="a0"/>
    <w:link w:val="af7"/>
    <w:uiPriority w:val="99"/>
    <w:rsid w:val="000E69A9"/>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
      <w:bodyDiv w:val="1"/>
      <w:marLeft w:val="0"/>
      <w:marRight w:val="0"/>
      <w:marTop w:val="0"/>
      <w:marBottom w:val="0"/>
      <w:divBdr>
        <w:top w:val="none" w:sz="0" w:space="0" w:color="auto"/>
        <w:left w:val="none" w:sz="0" w:space="0" w:color="auto"/>
        <w:bottom w:val="none" w:sz="0" w:space="0" w:color="auto"/>
        <w:right w:val="none" w:sz="0" w:space="0" w:color="auto"/>
      </w:divBdr>
    </w:div>
    <w:div w:id="28728861">
      <w:bodyDiv w:val="1"/>
      <w:marLeft w:val="0"/>
      <w:marRight w:val="0"/>
      <w:marTop w:val="0"/>
      <w:marBottom w:val="0"/>
      <w:divBdr>
        <w:top w:val="none" w:sz="0" w:space="0" w:color="auto"/>
        <w:left w:val="none" w:sz="0" w:space="0" w:color="auto"/>
        <w:bottom w:val="none" w:sz="0" w:space="0" w:color="auto"/>
        <w:right w:val="none" w:sz="0" w:space="0" w:color="auto"/>
      </w:divBdr>
    </w:div>
    <w:div w:id="153575469">
      <w:bodyDiv w:val="1"/>
      <w:marLeft w:val="0"/>
      <w:marRight w:val="0"/>
      <w:marTop w:val="0"/>
      <w:marBottom w:val="0"/>
      <w:divBdr>
        <w:top w:val="none" w:sz="0" w:space="0" w:color="auto"/>
        <w:left w:val="none" w:sz="0" w:space="0" w:color="auto"/>
        <w:bottom w:val="none" w:sz="0" w:space="0" w:color="auto"/>
        <w:right w:val="none" w:sz="0" w:space="0" w:color="auto"/>
      </w:divBdr>
    </w:div>
    <w:div w:id="156653944">
      <w:bodyDiv w:val="1"/>
      <w:marLeft w:val="0"/>
      <w:marRight w:val="0"/>
      <w:marTop w:val="0"/>
      <w:marBottom w:val="0"/>
      <w:divBdr>
        <w:top w:val="none" w:sz="0" w:space="0" w:color="auto"/>
        <w:left w:val="none" w:sz="0" w:space="0" w:color="auto"/>
        <w:bottom w:val="none" w:sz="0" w:space="0" w:color="auto"/>
        <w:right w:val="none" w:sz="0" w:space="0" w:color="auto"/>
      </w:divBdr>
    </w:div>
    <w:div w:id="284966505">
      <w:bodyDiv w:val="1"/>
      <w:marLeft w:val="0"/>
      <w:marRight w:val="0"/>
      <w:marTop w:val="0"/>
      <w:marBottom w:val="0"/>
      <w:divBdr>
        <w:top w:val="none" w:sz="0" w:space="0" w:color="auto"/>
        <w:left w:val="none" w:sz="0" w:space="0" w:color="auto"/>
        <w:bottom w:val="none" w:sz="0" w:space="0" w:color="auto"/>
        <w:right w:val="none" w:sz="0" w:space="0" w:color="auto"/>
      </w:divBdr>
    </w:div>
    <w:div w:id="310407079">
      <w:bodyDiv w:val="1"/>
      <w:marLeft w:val="0"/>
      <w:marRight w:val="0"/>
      <w:marTop w:val="0"/>
      <w:marBottom w:val="0"/>
      <w:divBdr>
        <w:top w:val="none" w:sz="0" w:space="0" w:color="auto"/>
        <w:left w:val="none" w:sz="0" w:space="0" w:color="auto"/>
        <w:bottom w:val="none" w:sz="0" w:space="0" w:color="auto"/>
        <w:right w:val="none" w:sz="0" w:space="0" w:color="auto"/>
      </w:divBdr>
      <w:divsChild>
        <w:div w:id="735397174">
          <w:marLeft w:val="360"/>
          <w:marRight w:val="0"/>
          <w:marTop w:val="200"/>
          <w:marBottom w:val="0"/>
          <w:divBdr>
            <w:top w:val="none" w:sz="0" w:space="0" w:color="auto"/>
            <w:left w:val="none" w:sz="0" w:space="0" w:color="auto"/>
            <w:bottom w:val="none" w:sz="0" w:space="0" w:color="auto"/>
            <w:right w:val="none" w:sz="0" w:space="0" w:color="auto"/>
          </w:divBdr>
        </w:div>
        <w:div w:id="1411923646">
          <w:marLeft w:val="360"/>
          <w:marRight w:val="0"/>
          <w:marTop w:val="200"/>
          <w:marBottom w:val="0"/>
          <w:divBdr>
            <w:top w:val="none" w:sz="0" w:space="0" w:color="auto"/>
            <w:left w:val="none" w:sz="0" w:space="0" w:color="auto"/>
            <w:bottom w:val="none" w:sz="0" w:space="0" w:color="auto"/>
            <w:right w:val="none" w:sz="0" w:space="0" w:color="auto"/>
          </w:divBdr>
        </w:div>
        <w:div w:id="1662466009">
          <w:marLeft w:val="360"/>
          <w:marRight w:val="0"/>
          <w:marTop w:val="200"/>
          <w:marBottom w:val="0"/>
          <w:divBdr>
            <w:top w:val="none" w:sz="0" w:space="0" w:color="auto"/>
            <w:left w:val="none" w:sz="0" w:space="0" w:color="auto"/>
            <w:bottom w:val="none" w:sz="0" w:space="0" w:color="auto"/>
            <w:right w:val="none" w:sz="0" w:space="0" w:color="auto"/>
          </w:divBdr>
        </w:div>
        <w:div w:id="1726488299">
          <w:marLeft w:val="360"/>
          <w:marRight w:val="0"/>
          <w:marTop w:val="200"/>
          <w:marBottom w:val="0"/>
          <w:divBdr>
            <w:top w:val="none" w:sz="0" w:space="0" w:color="auto"/>
            <w:left w:val="none" w:sz="0" w:space="0" w:color="auto"/>
            <w:bottom w:val="none" w:sz="0" w:space="0" w:color="auto"/>
            <w:right w:val="none" w:sz="0" w:space="0" w:color="auto"/>
          </w:divBdr>
        </w:div>
      </w:divsChild>
    </w:div>
    <w:div w:id="359555868">
      <w:bodyDiv w:val="1"/>
      <w:marLeft w:val="0"/>
      <w:marRight w:val="0"/>
      <w:marTop w:val="0"/>
      <w:marBottom w:val="0"/>
      <w:divBdr>
        <w:top w:val="none" w:sz="0" w:space="0" w:color="auto"/>
        <w:left w:val="none" w:sz="0" w:space="0" w:color="auto"/>
        <w:bottom w:val="none" w:sz="0" w:space="0" w:color="auto"/>
        <w:right w:val="none" w:sz="0" w:space="0" w:color="auto"/>
      </w:divBdr>
    </w:div>
    <w:div w:id="394158841">
      <w:bodyDiv w:val="1"/>
      <w:marLeft w:val="0"/>
      <w:marRight w:val="0"/>
      <w:marTop w:val="0"/>
      <w:marBottom w:val="0"/>
      <w:divBdr>
        <w:top w:val="none" w:sz="0" w:space="0" w:color="auto"/>
        <w:left w:val="none" w:sz="0" w:space="0" w:color="auto"/>
        <w:bottom w:val="none" w:sz="0" w:space="0" w:color="auto"/>
        <w:right w:val="none" w:sz="0" w:space="0" w:color="auto"/>
      </w:divBdr>
    </w:div>
    <w:div w:id="483401346">
      <w:bodyDiv w:val="1"/>
      <w:marLeft w:val="0"/>
      <w:marRight w:val="0"/>
      <w:marTop w:val="0"/>
      <w:marBottom w:val="0"/>
      <w:divBdr>
        <w:top w:val="none" w:sz="0" w:space="0" w:color="auto"/>
        <w:left w:val="none" w:sz="0" w:space="0" w:color="auto"/>
        <w:bottom w:val="none" w:sz="0" w:space="0" w:color="auto"/>
        <w:right w:val="none" w:sz="0" w:space="0" w:color="auto"/>
      </w:divBdr>
    </w:div>
    <w:div w:id="664632670">
      <w:bodyDiv w:val="1"/>
      <w:marLeft w:val="0"/>
      <w:marRight w:val="0"/>
      <w:marTop w:val="0"/>
      <w:marBottom w:val="0"/>
      <w:divBdr>
        <w:top w:val="none" w:sz="0" w:space="0" w:color="auto"/>
        <w:left w:val="none" w:sz="0" w:space="0" w:color="auto"/>
        <w:bottom w:val="none" w:sz="0" w:space="0" w:color="auto"/>
        <w:right w:val="none" w:sz="0" w:space="0" w:color="auto"/>
      </w:divBdr>
    </w:div>
    <w:div w:id="685249213">
      <w:bodyDiv w:val="1"/>
      <w:marLeft w:val="0"/>
      <w:marRight w:val="0"/>
      <w:marTop w:val="0"/>
      <w:marBottom w:val="0"/>
      <w:divBdr>
        <w:top w:val="none" w:sz="0" w:space="0" w:color="auto"/>
        <w:left w:val="none" w:sz="0" w:space="0" w:color="auto"/>
        <w:bottom w:val="none" w:sz="0" w:space="0" w:color="auto"/>
        <w:right w:val="none" w:sz="0" w:space="0" w:color="auto"/>
      </w:divBdr>
    </w:div>
    <w:div w:id="751586753">
      <w:bodyDiv w:val="1"/>
      <w:marLeft w:val="0"/>
      <w:marRight w:val="0"/>
      <w:marTop w:val="0"/>
      <w:marBottom w:val="0"/>
      <w:divBdr>
        <w:top w:val="none" w:sz="0" w:space="0" w:color="auto"/>
        <w:left w:val="none" w:sz="0" w:space="0" w:color="auto"/>
        <w:bottom w:val="none" w:sz="0" w:space="0" w:color="auto"/>
        <w:right w:val="none" w:sz="0" w:space="0" w:color="auto"/>
      </w:divBdr>
    </w:div>
    <w:div w:id="763769596">
      <w:bodyDiv w:val="1"/>
      <w:marLeft w:val="0"/>
      <w:marRight w:val="0"/>
      <w:marTop w:val="0"/>
      <w:marBottom w:val="0"/>
      <w:divBdr>
        <w:top w:val="none" w:sz="0" w:space="0" w:color="auto"/>
        <w:left w:val="none" w:sz="0" w:space="0" w:color="auto"/>
        <w:bottom w:val="none" w:sz="0" w:space="0" w:color="auto"/>
        <w:right w:val="none" w:sz="0" w:space="0" w:color="auto"/>
      </w:divBdr>
    </w:div>
    <w:div w:id="902058634">
      <w:bodyDiv w:val="1"/>
      <w:marLeft w:val="0"/>
      <w:marRight w:val="0"/>
      <w:marTop w:val="0"/>
      <w:marBottom w:val="0"/>
      <w:divBdr>
        <w:top w:val="none" w:sz="0" w:space="0" w:color="auto"/>
        <w:left w:val="none" w:sz="0" w:space="0" w:color="auto"/>
        <w:bottom w:val="none" w:sz="0" w:space="0" w:color="auto"/>
        <w:right w:val="none" w:sz="0" w:space="0" w:color="auto"/>
      </w:divBdr>
    </w:div>
    <w:div w:id="943997057">
      <w:bodyDiv w:val="1"/>
      <w:marLeft w:val="0"/>
      <w:marRight w:val="0"/>
      <w:marTop w:val="0"/>
      <w:marBottom w:val="0"/>
      <w:divBdr>
        <w:top w:val="none" w:sz="0" w:space="0" w:color="auto"/>
        <w:left w:val="none" w:sz="0" w:space="0" w:color="auto"/>
        <w:bottom w:val="none" w:sz="0" w:space="0" w:color="auto"/>
        <w:right w:val="none" w:sz="0" w:space="0" w:color="auto"/>
      </w:divBdr>
    </w:div>
    <w:div w:id="977296761">
      <w:bodyDiv w:val="1"/>
      <w:marLeft w:val="0"/>
      <w:marRight w:val="0"/>
      <w:marTop w:val="0"/>
      <w:marBottom w:val="0"/>
      <w:divBdr>
        <w:top w:val="none" w:sz="0" w:space="0" w:color="auto"/>
        <w:left w:val="none" w:sz="0" w:space="0" w:color="auto"/>
        <w:bottom w:val="none" w:sz="0" w:space="0" w:color="auto"/>
        <w:right w:val="none" w:sz="0" w:space="0" w:color="auto"/>
      </w:divBdr>
    </w:div>
    <w:div w:id="991983695">
      <w:bodyDiv w:val="1"/>
      <w:marLeft w:val="0"/>
      <w:marRight w:val="0"/>
      <w:marTop w:val="0"/>
      <w:marBottom w:val="0"/>
      <w:divBdr>
        <w:top w:val="none" w:sz="0" w:space="0" w:color="auto"/>
        <w:left w:val="none" w:sz="0" w:space="0" w:color="auto"/>
        <w:bottom w:val="none" w:sz="0" w:space="0" w:color="auto"/>
        <w:right w:val="none" w:sz="0" w:space="0" w:color="auto"/>
      </w:divBdr>
    </w:div>
    <w:div w:id="1009023324">
      <w:bodyDiv w:val="1"/>
      <w:marLeft w:val="0"/>
      <w:marRight w:val="0"/>
      <w:marTop w:val="0"/>
      <w:marBottom w:val="0"/>
      <w:divBdr>
        <w:top w:val="none" w:sz="0" w:space="0" w:color="auto"/>
        <w:left w:val="none" w:sz="0" w:space="0" w:color="auto"/>
        <w:bottom w:val="none" w:sz="0" w:space="0" w:color="auto"/>
        <w:right w:val="none" w:sz="0" w:space="0" w:color="auto"/>
      </w:divBdr>
    </w:div>
    <w:div w:id="1037052010">
      <w:bodyDiv w:val="1"/>
      <w:marLeft w:val="0"/>
      <w:marRight w:val="0"/>
      <w:marTop w:val="0"/>
      <w:marBottom w:val="0"/>
      <w:divBdr>
        <w:top w:val="none" w:sz="0" w:space="0" w:color="auto"/>
        <w:left w:val="none" w:sz="0" w:space="0" w:color="auto"/>
        <w:bottom w:val="none" w:sz="0" w:space="0" w:color="auto"/>
        <w:right w:val="none" w:sz="0" w:space="0" w:color="auto"/>
      </w:divBdr>
    </w:div>
    <w:div w:id="1060858491">
      <w:bodyDiv w:val="1"/>
      <w:marLeft w:val="0"/>
      <w:marRight w:val="0"/>
      <w:marTop w:val="0"/>
      <w:marBottom w:val="0"/>
      <w:divBdr>
        <w:top w:val="none" w:sz="0" w:space="0" w:color="auto"/>
        <w:left w:val="none" w:sz="0" w:space="0" w:color="auto"/>
        <w:bottom w:val="none" w:sz="0" w:space="0" w:color="auto"/>
        <w:right w:val="none" w:sz="0" w:space="0" w:color="auto"/>
      </w:divBdr>
    </w:div>
    <w:div w:id="1147890826">
      <w:bodyDiv w:val="1"/>
      <w:marLeft w:val="0"/>
      <w:marRight w:val="0"/>
      <w:marTop w:val="0"/>
      <w:marBottom w:val="0"/>
      <w:divBdr>
        <w:top w:val="none" w:sz="0" w:space="0" w:color="auto"/>
        <w:left w:val="none" w:sz="0" w:space="0" w:color="auto"/>
        <w:bottom w:val="none" w:sz="0" w:space="0" w:color="auto"/>
        <w:right w:val="none" w:sz="0" w:space="0" w:color="auto"/>
      </w:divBdr>
    </w:div>
    <w:div w:id="1380587626">
      <w:bodyDiv w:val="1"/>
      <w:marLeft w:val="0"/>
      <w:marRight w:val="0"/>
      <w:marTop w:val="0"/>
      <w:marBottom w:val="0"/>
      <w:divBdr>
        <w:top w:val="none" w:sz="0" w:space="0" w:color="auto"/>
        <w:left w:val="none" w:sz="0" w:space="0" w:color="auto"/>
        <w:bottom w:val="none" w:sz="0" w:space="0" w:color="auto"/>
        <w:right w:val="none" w:sz="0" w:space="0" w:color="auto"/>
      </w:divBdr>
    </w:div>
    <w:div w:id="1481456756">
      <w:bodyDiv w:val="1"/>
      <w:marLeft w:val="0"/>
      <w:marRight w:val="0"/>
      <w:marTop w:val="0"/>
      <w:marBottom w:val="0"/>
      <w:divBdr>
        <w:top w:val="none" w:sz="0" w:space="0" w:color="auto"/>
        <w:left w:val="none" w:sz="0" w:space="0" w:color="auto"/>
        <w:bottom w:val="none" w:sz="0" w:space="0" w:color="auto"/>
        <w:right w:val="none" w:sz="0" w:space="0" w:color="auto"/>
      </w:divBdr>
      <w:divsChild>
        <w:div w:id="843861444">
          <w:marLeft w:val="360"/>
          <w:marRight w:val="0"/>
          <w:marTop w:val="200"/>
          <w:marBottom w:val="0"/>
          <w:divBdr>
            <w:top w:val="none" w:sz="0" w:space="0" w:color="auto"/>
            <w:left w:val="none" w:sz="0" w:space="0" w:color="auto"/>
            <w:bottom w:val="none" w:sz="0" w:space="0" w:color="auto"/>
            <w:right w:val="none" w:sz="0" w:space="0" w:color="auto"/>
          </w:divBdr>
        </w:div>
        <w:div w:id="904757116">
          <w:marLeft w:val="360"/>
          <w:marRight w:val="0"/>
          <w:marTop w:val="200"/>
          <w:marBottom w:val="0"/>
          <w:divBdr>
            <w:top w:val="none" w:sz="0" w:space="0" w:color="auto"/>
            <w:left w:val="none" w:sz="0" w:space="0" w:color="auto"/>
            <w:bottom w:val="none" w:sz="0" w:space="0" w:color="auto"/>
            <w:right w:val="none" w:sz="0" w:space="0" w:color="auto"/>
          </w:divBdr>
        </w:div>
        <w:div w:id="1297293656">
          <w:marLeft w:val="360"/>
          <w:marRight w:val="0"/>
          <w:marTop w:val="200"/>
          <w:marBottom w:val="0"/>
          <w:divBdr>
            <w:top w:val="none" w:sz="0" w:space="0" w:color="auto"/>
            <w:left w:val="none" w:sz="0" w:space="0" w:color="auto"/>
            <w:bottom w:val="none" w:sz="0" w:space="0" w:color="auto"/>
            <w:right w:val="none" w:sz="0" w:space="0" w:color="auto"/>
          </w:divBdr>
        </w:div>
        <w:div w:id="1391420834">
          <w:marLeft w:val="360"/>
          <w:marRight w:val="0"/>
          <w:marTop w:val="200"/>
          <w:marBottom w:val="0"/>
          <w:divBdr>
            <w:top w:val="none" w:sz="0" w:space="0" w:color="auto"/>
            <w:left w:val="none" w:sz="0" w:space="0" w:color="auto"/>
            <w:bottom w:val="none" w:sz="0" w:space="0" w:color="auto"/>
            <w:right w:val="none" w:sz="0" w:space="0" w:color="auto"/>
          </w:divBdr>
        </w:div>
      </w:divsChild>
    </w:div>
    <w:div w:id="1491098885">
      <w:bodyDiv w:val="1"/>
      <w:marLeft w:val="0"/>
      <w:marRight w:val="0"/>
      <w:marTop w:val="0"/>
      <w:marBottom w:val="0"/>
      <w:divBdr>
        <w:top w:val="none" w:sz="0" w:space="0" w:color="auto"/>
        <w:left w:val="none" w:sz="0" w:space="0" w:color="auto"/>
        <w:bottom w:val="none" w:sz="0" w:space="0" w:color="auto"/>
        <w:right w:val="none" w:sz="0" w:space="0" w:color="auto"/>
      </w:divBdr>
    </w:div>
    <w:div w:id="1562712070">
      <w:bodyDiv w:val="1"/>
      <w:marLeft w:val="0"/>
      <w:marRight w:val="0"/>
      <w:marTop w:val="0"/>
      <w:marBottom w:val="0"/>
      <w:divBdr>
        <w:top w:val="none" w:sz="0" w:space="0" w:color="auto"/>
        <w:left w:val="none" w:sz="0" w:space="0" w:color="auto"/>
        <w:bottom w:val="none" w:sz="0" w:space="0" w:color="auto"/>
        <w:right w:val="none" w:sz="0" w:space="0" w:color="auto"/>
      </w:divBdr>
    </w:div>
    <w:div w:id="1658530805">
      <w:bodyDiv w:val="1"/>
      <w:marLeft w:val="0"/>
      <w:marRight w:val="0"/>
      <w:marTop w:val="0"/>
      <w:marBottom w:val="0"/>
      <w:divBdr>
        <w:top w:val="none" w:sz="0" w:space="0" w:color="auto"/>
        <w:left w:val="none" w:sz="0" w:space="0" w:color="auto"/>
        <w:bottom w:val="none" w:sz="0" w:space="0" w:color="auto"/>
        <w:right w:val="none" w:sz="0" w:space="0" w:color="auto"/>
      </w:divBdr>
    </w:div>
    <w:div w:id="1710758661">
      <w:bodyDiv w:val="1"/>
      <w:marLeft w:val="0"/>
      <w:marRight w:val="0"/>
      <w:marTop w:val="0"/>
      <w:marBottom w:val="0"/>
      <w:divBdr>
        <w:top w:val="none" w:sz="0" w:space="0" w:color="auto"/>
        <w:left w:val="none" w:sz="0" w:space="0" w:color="auto"/>
        <w:bottom w:val="none" w:sz="0" w:space="0" w:color="auto"/>
        <w:right w:val="none" w:sz="0" w:space="0" w:color="auto"/>
      </w:divBdr>
    </w:div>
    <w:div w:id="1728185571">
      <w:bodyDiv w:val="1"/>
      <w:marLeft w:val="0"/>
      <w:marRight w:val="0"/>
      <w:marTop w:val="0"/>
      <w:marBottom w:val="0"/>
      <w:divBdr>
        <w:top w:val="none" w:sz="0" w:space="0" w:color="auto"/>
        <w:left w:val="none" w:sz="0" w:space="0" w:color="auto"/>
        <w:bottom w:val="none" w:sz="0" w:space="0" w:color="auto"/>
        <w:right w:val="none" w:sz="0" w:space="0" w:color="auto"/>
      </w:divBdr>
    </w:div>
    <w:div w:id="1844128114">
      <w:bodyDiv w:val="1"/>
      <w:marLeft w:val="0"/>
      <w:marRight w:val="0"/>
      <w:marTop w:val="0"/>
      <w:marBottom w:val="0"/>
      <w:divBdr>
        <w:top w:val="none" w:sz="0" w:space="0" w:color="auto"/>
        <w:left w:val="none" w:sz="0" w:space="0" w:color="auto"/>
        <w:bottom w:val="none" w:sz="0" w:space="0" w:color="auto"/>
        <w:right w:val="none" w:sz="0" w:space="0" w:color="auto"/>
      </w:divBdr>
    </w:div>
    <w:div w:id="1885871223">
      <w:bodyDiv w:val="1"/>
      <w:marLeft w:val="0"/>
      <w:marRight w:val="0"/>
      <w:marTop w:val="0"/>
      <w:marBottom w:val="0"/>
      <w:divBdr>
        <w:top w:val="none" w:sz="0" w:space="0" w:color="auto"/>
        <w:left w:val="none" w:sz="0" w:space="0" w:color="auto"/>
        <w:bottom w:val="none" w:sz="0" w:space="0" w:color="auto"/>
        <w:right w:val="none" w:sz="0" w:space="0" w:color="auto"/>
      </w:divBdr>
    </w:div>
    <w:div w:id="1913923933">
      <w:bodyDiv w:val="1"/>
      <w:marLeft w:val="0"/>
      <w:marRight w:val="0"/>
      <w:marTop w:val="0"/>
      <w:marBottom w:val="0"/>
      <w:divBdr>
        <w:top w:val="none" w:sz="0" w:space="0" w:color="auto"/>
        <w:left w:val="none" w:sz="0" w:space="0" w:color="auto"/>
        <w:bottom w:val="none" w:sz="0" w:space="0" w:color="auto"/>
        <w:right w:val="none" w:sz="0" w:space="0" w:color="auto"/>
      </w:divBdr>
    </w:div>
    <w:div w:id="1961643450">
      <w:bodyDiv w:val="1"/>
      <w:marLeft w:val="0"/>
      <w:marRight w:val="0"/>
      <w:marTop w:val="0"/>
      <w:marBottom w:val="0"/>
      <w:divBdr>
        <w:top w:val="none" w:sz="0" w:space="0" w:color="auto"/>
        <w:left w:val="none" w:sz="0" w:space="0" w:color="auto"/>
        <w:bottom w:val="none" w:sz="0" w:space="0" w:color="auto"/>
        <w:right w:val="none" w:sz="0" w:space="0" w:color="auto"/>
      </w:divBdr>
    </w:div>
    <w:div w:id="1970162288">
      <w:bodyDiv w:val="1"/>
      <w:marLeft w:val="0"/>
      <w:marRight w:val="0"/>
      <w:marTop w:val="0"/>
      <w:marBottom w:val="0"/>
      <w:divBdr>
        <w:top w:val="none" w:sz="0" w:space="0" w:color="auto"/>
        <w:left w:val="none" w:sz="0" w:space="0" w:color="auto"/>
        <w:bottom w:val="none" w:sz="0" w:space="0" w:color="auto"/>
        <w:right w:val="none" w:sz="0" w:space="0" w:color="auto"/>
      </w:divBdr>
    </w:div>
    <w:div w:id="2024748607">
      <w:bodyDiv w:val="1"/>
      <w:marLeft w:val="0"/>
      <w:marRight w:val="0"/>
      <w:marTop w:val="0"/>
      <w:marBottom w:val="0"/>
      <w:divBdr>
        <w:top w:val="none" w:sz="0" w:space="0" w:color="auto"/>
        <w:left w:val="none" w:sz="0" w:space="0" w:color="auto"/>
        <w:bottom w:val="none" w:sz="0" w:space="0" w:color="auto"/>
        <w:right w:val="none" w:sz="0" w:space="0" w:color="auto"/>
      </w:divBdr>
    </w:div>
    <w:div w:id="2042242447">
      <w:bodyDiv w:val="1"/>
      <w:marLeft w:val="0"/>
      <w:marRight w:val="0"/>
      <w:marTop w:val="0"/>
      <w:marBottom w:val="0"/>
      <w:divBdr>
        <w:top w:val="none" w:sz="0" w:space="0" w:color="auto"/>
        <w:left w:val="none" w:sz="0" w:space="0" w:color="auto"/>
        <w:bottom w:val="none" w:sz="0" w:space="0" w:color="auto"/>
        <w:right w:val="none" w:sz="0" w:space="0" w:color="auto"/>
      </w:divBdr>
    </w:div>
    <w:div w:id="2053839668">
      <w:bodyDiv w:val="1"/>
      <w:marLeft w:val="0"/>
      <w:marRight w:val="0"/>
      <w:marTop w:val="0"/>
      <w:marBottom w:val="0"/>
      <w:divBdr>
        <w:top w:val="none" w:sz="0" w:space="0" w:color="auto"/>
        <w:left w:val="none" w:sz="0" w:space="0" w:color="auto"/>
        <w:bottom w:val="none" w:sz="0" w:space="0" w:color="auto"/>
        <w:right w:val="none" w:sz="0" w:space="0" w:color="auto"/>
      </w:divBdr>
    </w:div>
    <w:div w:id="20869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image" Target="media/image9.emf"/><Relationship Id="rId27" Type="http://schemas.openxmlformats.org/officeDocument/2006/relationships/image" Target="media/image14.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posta\Desktop\model%20fig%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osta\Desktop\model%20fig%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osta\Desktop\model%20fig%20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osta\Desktop\model%20fig%20fi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osta\Desktop\model%20fig%20fina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Лист2!$K$2</c:f>
              <c:strCache>
                <c:ptCount val="1"/>
                <c:pt idx="0">
                  <c:v>Urals price</c:v>
                </c:pt>
              </c:strCache>
            </c:strRef>
          </c:tx>
          <c:spPr>
            <a:ln w="28575" cap="rnd">
              <a:solidFill>
                <a:schemeClr val="accent1"/>
              </a:solidFill>
              <a:round/>
            </a:ln>
            <a:effectLst/>
          </c:spPr>
          <c:marker>
            <c:symbol val="none"/>
          </c:marker>
          <c:cat>
            <c:numRef>
              <c:f>Лист2!$J$3:$J$27</c:f>
              <c:numCache>
                <c:formatCode>yyyy</c:formatCode>
                <c:ptCount val="25"/>
                <c:pt idx="0">
                  <c:v>43101</c:v>
                </c:pt>
                <c:pt idx="1">
                  <c:v>43466</c:v>
                </c:pt>
                <c:pt idx="2">
                  <c:v>43831</c:v>
                </c:pt>
                <c:pt idx="3">
                  <c:v>44197</c:v>
                </c:pt>
                <c:pt idx="4">
                  <c:v>44562</c:v>
                </c:pt>
                <c:pt idx="5">
                  <c:v>44927</c:v>
                </c:pt>
                <c:pt idx="6">
                  <c:v>45292</c:v>
                </c:pt>
                <c:pt idx="7">
                  <c:v>45658</c:v>
                </c:pt>
                <c:pt idx="8">
                  <c:v>46023</c:v>
                </c:pt>
                <c:pt idx="9">
                  <c:v>46388</c:v>
                </c:pt>
                <c:pt idx="10">
                  <c:v>46753</c:v>
                </c:pt>
                <c:pt idx="11">
                  <c:v>47119</c:v>
                </c:pt>
                <c:pt idx="12">
                  <c:v>47484</c:v>
                </c:pt>
                <c:pt idx="13">
                  <c:v>47849</c:v>
                </c:pt>
                <c:pt idx="14">
                  <c:v>48214</c:v>
                </c:pt>
                <c:pt idx="15">
                  <c:v>48580</c:v>
                </c:pt>
                <c:pt idx="16">
                  <c:v>48945</c:v>
                </c:pt>
                <c:pt idx="17">
                  <c:v>49310</c:v>
                </c:pt>
                <c:pt idx="18">
                  <c:v>49675</c:v>
                </c:pt>
                <c:pt idx="19">
                  <c:v>50041</c:v>
                </c:pt>
                <c:pt idx="20">
                  <c:v>50406</c:v>
                </c:pt>
                <c:pt idx="21">
                  <c:v>50771</c:v>
                </c:pt>
                <c:pt idx="22">
                  <c:v>51136</c:v>
                </c:pt>
                <c:pt idx="23">
                  <c:v>51502</c:v>
                </c:pt>
                <c:pt idx="24">
                  <c:v>51867</c:v>
                </c:pt>
              </c:numCache>
            </c:numRef>
          </c:cat>
          <c:val>
            <c:numRef>
              <c:f>Лист2!$K$3:$K$27</c:f>
              <c:numCache>
                <c:formatCode>_-* #,##0\ _₽_-;\-* #,##0\ _₽_-;_-* "-"??\ _₽_-;_-@_-</c:formatCode>
                <c:ptCount val="25"/>
                <c:pt idx="0">
                  <c:v>56.24443720357587</c:v>
                </c:pt>
                <c:pt idx="1">
                  <c:v>57.442303454498777</c:v>
                </c:pt>
                <c:pt idx="2">
                  <c:v>58.664952202015222</c:v>
                </c:pt>
                <c:pt idx="3">
                  <c:v>59.91312242370725</c:v>
                </c:pt>
                <c:pt idx="4">
                  <c:v>61.188393324030415</c:v>
                </c:pt>
                <c:pt idx="5">
                  <c:v>62.491450691914402</c:v>
                </c:pt>
                <c:pt idx="6">
                  <c:v>63.822012549825729</c:v>
                </c:pt>
                <c:pt idx="7">
                  <c:v>65.179527986903096</c:v>
                </c:pt>
                <c:pt idx="8">
                  <c:v>66.565862302085506</c:v>
                </c:pt>
                <c:pt idx="9">
                  <c:v>67.981431841938829</c:v>
                </c:pt>
                <c:pt idx="10">
                  <c:v>69.428403113197007</c:v>
                </c:pt>
                <c:pt idx="11">
                  <c:v>70.905150178852509</c:v>
                </c:pt>
                <c:pt idx="12">
                  <c:v>72.412867167048788</c:v>
                </c:pt>
                <c:pt idx="13">
                  <c:v>73.953758884281555</c:v>
                </c:pt>
                <c:pt idx="14">
                  <c:v>75.526756702624695</c:v>
                </c:pt>
                <c:pt idx="15">
                  <c:v>77.13402777284152</c:v>
                </c:pt>
                <c:pt idx="16">
                  <c:v>78.773542379241448</c:v>
                </c:pt>
                <c:pt idx="17">
                  <c:v>80.449761766482879</c:v>
                </c:pt>
                <c:pt idx="18">
                  <c:v>82.161322034777797</c:v>
                </c:pt>
                <c:pt idx="19">
                  <c:v>83.909296109404039</c:v>
                </c:pt>
                <c:pt idx="20">
                  <c:v>85.695539129539512</c:v>
                </c:pt>
                <c:pt idx="21">
                  <c:v>87.519639102782563</c:v>
                </c:pt>
                <c:pt idx="22">
                  <c:v>89.382850781950239</c:v>
                </c:pt>
                <c:pt idx="23">
                  <c:v>91.285814308028478</c:v>
                </c:pt>
                <c:pt idx="24">
                  <c:v>93.22840872741682</c:v>
                </c:pt>
              </c:numCache>
            </c:numRef>
          </c:val>
          <c:smooth val="0"/>
          <c:extLst>
            <c:ext xmlns:c16="http://schemas.microsoft.com/office/drawing/2014/chart" uri="{C3380CC4-5D6E-409C-BE32-E72D297353CC}">
              <c16:uniqueId val="{00000000-06B1-453F-A9E5-8B943A97A3FE}"/>
            </c:ext>
          </c:extLst>
        </c:ser>
        <c:dLbls>
          <c:showLegendKey val="0"/>
          <c:showVal val="0"/>
          <c:showCatName val="0"/>
          <c:showSerName val="0"/>
          <c:showPercent val="0"/>
          <c:showBubbleSize val="0"/>
        </c:dLbls>
        <c:marker val="1"/>
        <c:smooth val="0"/>
        <c:axId val="382881760"/>
        <c:axId val="382883072"/>
      </c:lineChart>
      <c:lineChart>
        <c:grouping val="standard"/>
        <c:varyColors val="0"/>
        <c:ser>
          <c:idx val="1"/>
          <c:order val="1"/>
          <c:tx>
            <c:strRef>
              <c:f>Лист2!$M$2</c:f>
              <c:strCache>
                <c:ptCount val="1"/>
                <c:pt idx="0">
                  <c:v>Ruble ex. rate</c:v>
                </c:pt>
              </c:strCache>
            </c:strRef>
          </c:tx>
          <c:spPr>
            <a:ln w="28575" cap="rnd">
              <a:solidFill>
                <a:schemeClr val="accent2"/>
              </a:solidFill>
              <a:round/>
            </a:ln>
            <a:effectLst/>
          </c:spPr>
          <c:marker>
            <c:symbol val="none"/>
          </c:marker>
          <c:cat>
            <c:numRef>
              <c:f>Лист2!$J$3:$J$27</c:f>
              <c:numCache>
                <c:formatCode>yyyy</c:formatCode>
                <c:ptCount val="25"/>
                <c:pt idx="0">
                  <c:v>43101</c:v>
                </c:pt>
                <c:pt idx="1">
                  <c:v>43466</c:v>
                </c:pt>
                <c:pt idx="2">
                  <c:v>43831</c:v>
                </c:pt>
                <c:pt idx="3">
                  <c:v>44197</c:v>
                </c:pt>
                <c:pt idx="4">
                  <c:v>44562</c:v>
                </c:pt>
                <c:pt idx="5">
                  <c:v>44927</c:v>
                </c:pt>
                <c:pt idx="6">
                  <c:v>45292</c:v>
                </c:pt>
                <c:pt idx="7">
                  <c:v>45658</c:v>
                </c:pt>
                <c:pt idx="8">
                  <c:v>46023</c:v>
                </c:pt>
                <c:pt idx="9">
                  <c:v>46388</c:v>
                </c:pt>
                <c:pt idx="10">
                  <c:v>46753</c:v>
                </c:pt>
                <c:pt idx="11">
                  <c:v>47119</c:v>
                </c:pt>
                <c:pt idx="12">
                  <c:v>47484</c:v>
                </c:pt>
                <c:pt idx="13">
                  <c:v>47849</c:v>
                </c:pt>
                <c:pt idx="14">
                  <c:v>48214</c:v>
                </c:pt>
                <c:pt idx="15">
                  <c:v>48580</c:v>
                </c:pt>
                <c:pt idx="16">
                  <c:v>48945</c:v>
                </c:pt>
                <c:pt idx="17">
                  <c:v>49310</c:v>
                </c:pt>
                <c:pt idx="18">
                  <c:v>49675</c:v>
                </c:pt>
                <c:pt idx="19">
                  <c:v>50041</c:v>
                </c:pt>
                <c:pt idx="20">
                  <c:v>50406</c:v>
                </c:pt>
                <c:pt idx="21">
                  <c:v>50771</c:v>
                </c:pt>
                <c:pt idx="22">
                  <c:v>51136</c:v>
                </c:pt>
                <c:pt idx="23">
                  <c:v>51502</c:v>
                </c:pt>
                <c:pt idx="24">
                  <c:v>51867</c:v>
                </c:pt>
              </c:numCache>
            </c:numRef>
          </c:cat>
          <c:val>
            <c:numRef>
              <c:f>Лист2!$M$3:$M$27</c:f>
              <c:numCache>
                <c:formatCode>_-* #,##0\ _₽_-;\-* #,##0\ _₽_-;_-* "-"??\ _₽_-;_-@_-</c:formatCode>
                <c:ptCount val="25"/>
                <c:pt idx="0">
                  <c:v>59.485025633547508</c:v>
                </c:pt>
                <c:pt idx="1">
                  <c:v>58.882085046543594</c:v>
                </c:pt>
                <c:pt idx="2">
                  <c:v>58.266670301400552</c:v>
                </c:pt>
                <c:pt idx="3">
                  <c:v>57.638409437077868</c:v>
                </c:pt>
                <c:pt idx="4">
                  <c:v>56.996507568119256</c:v>
                </c:pt>
                <c:pt idx="5">
                  <c:v>56.340619505753004</c:v>
                </c:pt>
                <c:pt idx="6">
                  <c:v>55.670887182101694</c:v>
                </c:pt>
                <c:pt idx="7">
                  <c:v>54.98758789566827</c:v>
                </c:pt>
                <c:pt idx="8">
                  <c:v>54.289782756625627</c:v>
                </c:pt>
                <c:pt idx="9">
                  <c:v>53.577262198803382</c:v>
                </c:pt>
                <c:pt idx="10">
                  <c:v>52.848935720786301</c:v>
                </c:pt>
                <c:pt idx="11">
                  <c:v>52.105621730650398</c:v>
                </c:pt>
                <c:pt idx="12">
                  <c:v>51.346719169368249</c:v>
                </c:pt>
                <c:pt idx="13">
                  <c:v>50.571118257511863</c:v>
                </c:pt>
                <c:pt idx="14">
                  <c:v>49.779356884139027</c:v>
                </c:pt>
                <c:pt idx="15">
                  <c:v>48.970344223665201</c:v>
                </c:pt>
                <c:pt idx="16">
                  <c:v>48.145101924349525</c:v>
                </c:pt>
                <c:pt idx="17">
                  <c:v>47.301384438768793</c:v>
                </c:pt>
                <c:pt idx="18">
                  <c:v>46.439878279743759</c:v>
                </c:pt>
                <c:pt idx="19">
                  <c:v>45.560043395163973</c:v>
                </c:pt>
                <c:pt idx="20">
                  <c:v>44.660946009072376</c:v>
                </c:pt>
                <c:pt idx="21">
                  <c:v>43.742793495990362</c:v>
                </c:pt>
                <c:pt idx="22">
                  <c:v>42.80495428173387</c:v>
                </c:pt>
                <c:pt idx="23">
                  <c:v>41.847106154218253</c:v>
                </c:pt>
                <c:pt idx="24">
                  <c:v>40.869309994894024</c:v>
                </c:pt>
              </c:numCache>
            </c:numRef>
          </c:val>
          <c:smooth val="0"/>
          <c:extLst>
            <c:ext xmlns:c16="http://schemas.microsoft.com/office/drawing/2014/chart" uri="{C3380CC4-5D6E-409C-BE32-E72D297353CC}">
              <c16:uniqueId val="{00000001-06B1-453F-A9E5-8B943A97A3FE}"/>
            </c:ext>
          </c:extLst>
        </c:ser>
        <c:dLbls>
          <c:showLegendKey val="0"/>
          <c:showVal val="0"/>
          <c:showCatName val="0"/>
          <c:showSerName val="0"/>
          <c:showPercent val="0"/>
          <c:showBubbleSize val="0"/>
        </c:dLbls>
        <c:marker val="1"/>
        <c:smooth val="0"/>
        <c:axId val="544339920"/>
        <c:axId val="544334672"/>
      </c:lineChart>
      <c:dateAx>
        <c:axId val="382881760"/>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2883072"/>
        <c:crosses val="autoZero"/>
        <c:auto val="1"/>
        <c:lblOffset val="100"/>
        <c:baseTimeUnit val="years"/>
      </c:dateAx>
      <c:valAx>
        <c:axId val="382883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USD</a:t>
                </a:r>
                <a:r>
                  <a:rPr lang="en-US" baseline="0"/>
                  <a:t> / barrel</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2881760"/>
        <c:crosses val="autoZero"/>
        <c:crossBetween val="between"/>
      </c:valAx>
      <c:valAx>
        <c:axId val="544334672"/>
        <c:scaling>
          <c:orientation val="minMax"/>
        </c:scaling>
        <c:delete val="0"/>
        <c:axPos val="r"/>
        <c:numFmt formatCode="_-* #,##0\ _₽_-;\-* #,##0\ _₽_-;_-* &quot;-&quot;??\ _₽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4339920"/>
        <c:crosses val="max"/>
        <c:crossBetween val="between"/>
      </c:valAx>
      <c:dateAx>
        <c:axId val="544339920"/>
        <c:scaling>
          <c:orientation val="minMax"/>
        </c:scaling>
        <c:delete val="1"/>
        <c:axPos val="b"/>
        <c:numFmt formatCode="yyyy" sourceLinked="1"/>
        <c:majorTickMark val="out"/>
        <c:minorTickMark val="none"/>
        <c:tickLblPos val="nextTo"/>
        <c:crossAx val="544334672"/>
        <c:crosses val="autoZero"/>
        <c:auto val="1"/>
        <c:lblOffset val="100"/>
        <c:baseTimeUnit val="years"/>
      </c:date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Лист2!$J$3:$J$27</c:f>
              <c:numCache>
                <c:formatCode>yyyy</c:formatCode>
                <c:ptCount val="25"/>
                <c:pt idx="0">
                  <c:v>43101</c:v>
                </c:pt>
                <c:pt idx="1">
                  <c:v>43466</c:v>
                </c:pt>
                <c:pt idx="2">
                  <c:v>43831</c:v>
                </c:pt>
                <c:pt idx="3">
                  <c:v>44197</c:v>
                </c:pt>
                <c:pt idx="4">
                  <c:v>44562</c:v>
                </c:pt>
                <c:pt idx="5">
                  <c:v>44927</c:v>
                </c:pt>
                <c:pt idx="6">
                  <c:v>45292</c:v>
                </c:pt>
                <c:pt idx="7">
                  <c:v>45658</c:v>
                </c:pt>
                <c:pt idx="8">
                  <c:v>46023</c:v>
                </c:pt>
                <c:pt idx="9">
                  <c:v>46388</c:v>
                </c:pt>
                <c:pt idx="10">
                  <c:v>46753</c:v>
                </c:pt>
                <c:pt idx="11">
                  <c:v>47119</c:v>
                </c:pt>
                <c:pt idx="12">
                  <c:v>47484</c:v>
                </c:pt>
                <c:pt idx="13">
                  <c:v>47849</c:v>
                </c:pt>
                <c:pt idx="14">
                  <c:v>48214</c:v>
                </c:pt>
                <c:pt idx="15">
                  <c:v>48580</c:v>
                </c:pt>
                <c:pt idx="16">
                  <c:v>48945</c:v>
                </c:pt>
                <c:pt idx="17">
                  <c:v>49310</c:v>
                </c:pt>
                <c:pt idx="18">
                  <c:v>49675</c:v>
                </c:pt>
                <c:pt idx="19">
                  <c:v>50041</c:v>
                </c:pt>
                <c:pt idx="20">
                  <c:v>50406</c:v>
                </c:pt>
                <c:pt idx="21">
                  <c:v>50771</c:v>
                </c:pt>
                <c:pt idx="22">
                  <c:v>51136</c:v>
                </c:pt>
                <c:pt idx="23">
                  <c:v>51502</c:v>
                </c:pt>
                <c:pt idx="24">
                  <c:v>51867</c:v>
                </c:pt>
              </c:numCache>
            </c:numRef>
          </c:cat>
          <c:val>
            <c:numRef>
              <c:f>Лист2!$P$3:$P$27</c:f>
              <c:numCache>
                <c:formatCode>_(* #,##0.00_);_(* \(#,##0.00\);_(* "-"??_);_(@_)</c:formatCode>
                <c:ptCount val="25"/>
                <c:pt idx="0">
                  <c:v>0</c:v>
                </c:pt>
                <c:pt idx="1">
                  <c:v>0</c:v>
                </c:pt>
                <c:pt idx="2">
                  <c:v>0</c:v>
                </c:pt>
                <c:pt idx="3">
                  <c:v>0.58748895636567189</c:v>
                </c:pt>
                <c:pt idx="4">
                  <c:v>1.1749779127313438</c:v>
                </c:pt>
                <c:pt idx="5">
                  <c:v>2.3499558254626876</c:v>
                </c:pt>
                <c:pt idx="6">
                  <c:v>4.6999116509253751</c:v>
                </c:pt>
                <c:pt idx="7">
                  <c:v>5.2874006072910467</c:v>
                </c:pt>
                <c:pt idx="8">
                  <c:v>5.8748895636567191</c:v>
                </c:pt>
                <c:pt idx="9">
                  <c:v>5.8748895636567191</c:v>
                </c:pt>
                <c:pt idx="10">
                  <c:v>5.8748895636567191</c:v>
                </c:pt>
                <c:pt idx="11">
                  <c:v>5.8748895636567191</c:v>
                </c:pt>
                <c:pt idx="12">
                  <c:v>5.8748895636567191</c:v>
                </c:pt>
                <c:pt idx="13">
                  <c:v>5.052405024744778</c:v>
                </c:pt>
                <c:pt idx="14">
                  <c:v>4.3450683212805083</c:v>
                </c:pt>
                <c:pt idx="15">
                  <c:v>3.7367587563012372</c:v>
                </c:pt>
                <c:pt idx="16">
                  <c:v>3.2136125304190641</c:v>
                </c:pt>
                <c:pt idx="17">
                  <c:v>2.7637067761603955</c:v>
                </c:pt>
                <c:pt idx="18">
                  <c:v>2.3767878274979393</c:v>
                </c:pt>
                <c:pt idx="19">
                  <c:v>2.044037531648228</c:v>
                </c:pt>
                <c:pt idx="20">
                  <c:v>1.757872277217476</c:v>
                </c:pt>
                <c:pt idx="21">
                  <c:v>1.5117701584070296</c:v>
                </c:pt>
                <c:pt idx="22">
                  <c:v>1.3001223362300451</c:v>
                </c:pt>
                <c:pt idx="23">
                  <c:v>1.1181052091578387</c:v>
                </c:pt>
                <c:pt idx="24">
                  <c:v>0.96157047987574118</c:v>
                </c:pt>
              </c:numCache>
            </c:numRef>
          </c:val>
          <c:extLst>
            <c:ext xmlns:c16="http://schemas.microsoft.com/office/drawing/2014/chart" uri="{C3380CC4-5D6E-409C-BE32-E72D297353CC}">
              <c16:uniqueId val="{00000000-666B-464E-96D3-4B34728E9E1C}"/>
            </c:ext>
          </c:extLst>
        </c:ser>
        <c:dLbls>
          <c:showLegendKey val="0"/>
          <c:showVal val="0"/>
          <c:showCatName val="0"/>
          <c:showSerName val="0"/>
          <c:showPercent val="0"/>
          <c:showBubbleSize val="0"/>
        </c:dLbls>
        <c:gapWidth val="219"/>
        <c:overlap val="-27"/>
        <c:axId val="544353368"/>
        <c:axId val="544348120"/>
      </c:barChart>
      <c:dateAx>
        <c:axId val="544353368"/>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4348120"/>
        <c:crosses val="autoZero"/>
        <c:auto val="1"/>
        <c:lblOffset val="100"/>
        <c:baseTimeUnit val="years"/>
      </c:dateAx>
      <c:valAx>
        <c:axId val="54434812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4353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Лист2!$S$2</c:f>
              <c:strCache>
                <c:ptCount val="1"/>
                <c:pt idx="0">
                  <c:v>Revenue, million $</c:v>
                </c:pt>
              </c:strCache>
            </c:strRef>
          </c:tx>
          <c:spPr>
            <a:solidFill>
              <a:schemeClr val="accent1"/>
            </a:solidFill>
            <a:ln>
              <a:noFill/>
            </a:ln>
            <a:effectLst/>
          </c:spPr>
          <c:invertIfNegative val="0"/>
          <c:cat>
            <c:numRef>
              <c:f>Лист2!$J$3:$J$27</c:f>
              <c:numCache>
                <c:formatCode>yyyy</c:formatCode>
                <c:ptCount val="25"/>
                <c:pt idx="0">
                  <c:v>43101</c:v>
                </c:pt>
                <c:pt idx="1">
                  <c:v>43466</c:v>
                </c:pt>
                <c:pt idx="2">
                  <c:v>43831</c:v>
                </c:pt>
                <c:pt idx="3">
                  <c:v>44197</c:v>
                </c:pt>
                <c:pt idx="4">
                  <c:v>44562</c:v>
                </c:pt>
                <c:pt idx="5">
                  <c:v>44927</c:v>
                </c:pt>
                <c:pt idx="6">
                  <c:v>45292</c:v>
                </c:pt>
                <c:pt idx="7">
                  <c:v>45658</c:v>
                </c:pt>
                <c:pt idx="8">
                  <c:v>46023</c:v>
                </c:pt>
                <c:pt idx="9">
                  <c:v>46388</c:v>
                </c:pt>
                <c:pt idx="10">
                  <c:v>46753</c:v>
                </c:pt>
                <c:pt idx="11">
                  <c:v>47119</c:v>
                </c:pt>
                <c:pt idx="12">
                  <c:v>47484</c:v>
                </c:pt>
                <c:pt idx="13">
                  <c:v>47849</c:v>
                </c:pt>
                <c:pt idx="14">
                  <c:v>48214</c:v>
                </c:pt>
                <c:pt idx="15">
                  <c:v>48580</c:v>
                </c:pt>
                <c:pt idx="16">
                  <c:v>48945</c:v>
                </c:pt>
                <c:pt idx="17">
                  <c:v>49310</c:v>
                </c:pt>
                <c:pt idx="18">
                  <c:v>49675</c:v>
                </c:pt>
                <c:pt idx="19">
                  <c:v>50041</c:v>
                </c:pt>
                <c:pt idx="20">
                  <c:v>50406</c:v>
                </c:pt>
                <c:pt idx="21">
                  <c:v>50771</c:v>
                </c:pt>
                <c:pt idx="22">
                  <c:v>51136</c:v>
                </c:pt>
                <c:pt idx="23">
                  <c:v>51502</c:v>
                </c:pt>
                <c:pt idx="24">
                  <c:v>51867</c:v>
                </c:pt>
              </c:numCache>
            </c:numRef>
          </c:cat>
          <c:val>
            <c:numRef>
              <c:f>Лист2!$S$3:$S$27</c:f>
              <c:numCache>
                <c:formatCode>_(* #,##0.00_);_(* \(#,##0.00\);_(* "-"??_);_(@_)</c:formatCode>
                <c:ptCount val="25"/>
                <c:pt idx="0">
                  <c:v>0</c:v>
                </c:pt>
                <c:pt idx="1">
                  <c:v>0</c:v>
                </c:pt>
                <c:pt idx="2">
                  <c:v>0</c:v>
                </c:pt>
                <c:pt idx="3">
                  <c:v>258.05203640258441</c:v>
                </c:pt>
                <c:pt idx="4">
                  <c:v>527.08952105024741</c:v>
                </c:pt>
                <c:pt idx="5">
                  <c:v>1076.6286553891391</c:v>
                </c:pt>
                <c:pt idx="6">
                  <c:v>2199.1042549005242</c:v>
                </c:pt>
                <c:pt idx="7">
                  <c:v>2526.6149256663871</c:v>
                </c:pt>
                <c:pt idx="8">
                  <c:v>2867.0607751783896</c:v>
                </c:pt>
                <c:pt idx="9">
                  <c:v>2928.0308244182329</c:v>
                </c:pt>
                <c:pt idx="10">
                  <c:v>2990.3533788201817</c:v>
                </c:pt>
                <c:pt idx="11">
                  <c:v>3053.958407589831</c:v>
                </c:pt>
                <c:pt idx="12">
                  <c:v>3118.8973430656538</c:v>
                </c:pt>
                <c:pt idx="13">
                  <c:v>2739.3280277544568</c:v>
                </c:pt>
                <c:pt idx="14">
                  <c:v>2405.9304835603734</c:v>
                </c:pt>
                <c:pt idx="15">
                  <c:v>2113.1323584233751</c:v>
                </c:pt>
                <c:pt idx="16">
                  <c:v>1855.9211353037206</c:v>
                </c:pt>
                <c:pt idx="17">
                  <c:v>1630.0553646225678</c:v>
                </c:pt>
                <c:pt idx="18">
                  <c:v>1431.671774951599</c:v>
                </c:pt>
                <c:pt idx="19">
                  <c:v>1257.4321884296664</c:v>
                </c:pt>
                <c:pt idx="20">
                  <c:v>1104.4121152274408</c:v>
                </c:pt>
                <c:pt idx="21">
                  <c:v>970.01157382800329</c:v>
                </c:pt>
                <c:pt idx="22">
                  <c:v>851.96950716664719</c:v>
                </c:pt>
                <c:pt idx="23">
                  <c:v>748.29284824062916</c:v>
                </c:pt>
                <c:pt idx="24">
                  <c:v>657.22643488324002</c:v>
                </c:pt>
              </c:numCache>
            </c:numRef>
          </c:val>
          <c:extLst>
            <c:ext xmlns:c16="http://schemas.microsoft.com/office/drawing/2014/chart" uri="{C3380CC4-5D6E-409C-BE32-E72D297353CC}">
              <c16:uniqueId val="{00000000-CBB2-4115-9F9A-AA778C88BDD8}"/>
            </c:ext>
          </c:extLst>
        </c:ser>
        <c:dLbls>
          <c:showLegendKey val="0"/>
          <c:showVal val="0"/>
          <c:showCatName val="0"/>
          <c:showSerName val="0"/>
          <c:showPercent val="0"/>
          <c:showBubbleSize val="0"/>
        </c:dLbls>
        <c:gapWidth val="219"/>
        <c:overlap val="-27"/>
        <c:axId val="381931448"/>
        <c:axId val="381931776"/>
      </c:barChart>
      <c:barChart>
        <c:barDir val="col"/>
        <c:grouping val="clustered"/>
        <c:varyColors val="0"/>
        <c:ser>
          <c:idx val="1"/>
          <c:order val="1"/>
          <c:tx>
            <c:strRef>
              <c:f>Лист2!$T$2</c:f>
              <c:strCache>
                <c:ptCount val="1"/>
                <c:pt idx="0">
                  <c:v>Revenue, million rub</c:v>
                </c:pt>
              </c:strCache>
            </c:strRef>
          </c:tx>
          <c:spPr>
            <a:solidFill>
              <a:schemeClr val="accent2"/>
            </a:solidFill>
            <a:ln w="0">
              <a:noFill/>
            </a:ln>
            <a:effectLst/>
          </c:spPr>
          <c:invertIfNegative val="0"/>
          <c:cat>
            <c:numRef>
              <c:f>Лист2!$J$3:$J$27</c:f>
              <c:numCache>
                <c:formatCode>yyyy</c:formatCode>
                <c:ptCount val="25"/>
                <c:pt idx="0">
                  <c:v>43101</c:v>
                </c:pt>
                <c:pt idx="1">
                  <c:v>43466</c:v>
                </c:pt>
                <c:pt idx="2">
                  <c:v>43831</c:v>
                </c:pt>
                <c:pt idx="3">
                  <c:v>44197</c:v>
                </c:pt>
                <c:pt idx="4">
                  <c:v>44562</c:v>
                </c:pt>
                <c:pt idx="5">
                  <c:v>44927</c:v>
                </c:pt>
                <c:pt idx="6">
                  <c:v>45292</c:v>
                </c:pt>
                <c:pt idx="7">
                  <c:v>45658</c:v>
                </c:pt>
                <c:pt idx="8">
                  <c:v>46023</c:v>
                </c:pt>
                <c:pt idx="9">
                  <c:v>46388</c:v>
                </c:pt>
                <c:pt idx="10">
                  <c:v>46753</c:v>
                </c:pt>
                <c:pt idx="11">
                  <c:v>47119</c:v>
                </c:pt>
                <c:pt idx="12">
                  <c:v>47484</c:v>
                </c:pt>
                <c:pt idx="13">
                  <c:v>47849</c:v>
                </c:pt>
                <c:pt idx="14">
                  <c:v>48214</c:v>
                </c:pt>
                <c:pt idx="15">
                  <c:v>48580</c:v>
                </c:pt>
                <c:pt idx="16">
                  <c:v>48945</c:v>
                </c:pt>
                <c:pt idx="17">
                  <c:v>49310</c:v>
                </c:pt>
                <c:pt idx="18">
                  <c:v>49675</c:v>
                </c:pt>
                <c:pt idx="19">
                  <c:v>50041</c:v>
                </c:pt>
                <c:pt idx="20">
                  <c:v>50406</c:v>
                </c:pt>
                <c:pt idx="21">
                  <c:v>50771</c:v>
                </c:pt>
                <c:pt idx="22">
                  <c:v>51136</c:v>
                </c:pt>
                <c:pt idx="23">
                  <c:v>51502</c:v>
                </c:pt>
                <c:pt idx="24">
                  <c:v>51867</c:v>
                </c:pt>
              </c:numCache>
            </c:numRef>
          </c:cat>
          <c:val>
            <c:numRef>
              <c:f>Лист2!$T$3:$T$27</c:f>
              <c:numCache>
                <c:formatCode>_(* #,##0.00_);_(* \(#,##0.00\);_(* "-"??_);_(@_)</c:formatCode>
                <c:ptCount val="25"/>
                <c:pt idx="0">
                  <c:v>0</c:v>
                </c:pt>
                <c:pt idx="1">
                  <c:v>0</c:v>
                </c:pt>
                <c:pt idx="2">
                  <c:v>0</c:v>
                </c:pt>
                <c:pt idx="3">
                  <c:v>14873.708930243884</c:v>
                </c:pt>
                <c:pt idx="4">
                  <c:v>30042.261875616779</c:v>
                </c:pt>
                <c:pt idx="5">
                  <c:v>60657.92542226996</c:v>
                </c:pt>
                <c:pt idx="6">
                  <c:v>122426.0848762469</c:v>
                </c:pt>
                <c:pt idx="7">
                  <c:v>138932.46030358781</c:v>
                </c:pt>
                <c:pt idx="8">
                  <c:v>155652.10663447744</c:v>
                </c:pt>
                <c:pt idx="9">
                  <c:v>156875.87520603408</c:v>
                </c:pt>
                <c:pt idx="10">
                  <c:v>158036.99349970391</c:v>
                </c:pt>
                <c:pt idx="11">
                  <c:v>159128.40156701519</c:v>
                </c:pt>
                <c:pt idx="12">
                  <c:v>160145.14599248092</c:v>
                </c:pt>
                <c:pt idx="13">
                  <c:v>138530.88163768736</c:v>
                </c:pt>
                <c:pt idx="14">
                  <c:v>119765.67217958102</c:v>
                </c:pt>
                <c:pt idx="15">
                  <c:v>103480.81898215815</c:v>
                </c:pt>
                <c:pt idx="16">
                  <c:v>89353.512222752106</c:v>
                </c:pt>
                <c:pt idx="17">
                  <c:v>77103.875458489521</c:v>
                </c:pt>
                <c:pt idx="18">
                  <c:v>66486.662965296957</c:v>
                </c:pt>
                <c:pt idx="19">
                  <c:v>57288.665071331605</c:v>
                </c:pt>
                <c:pt idx="20">
                  <c:v>49324.089849938151</c:v>
                </c:pt>
                <c:pt idx="21">
                  <c:v>42431.015962678961</c:v>
                </c:pt>
                <c:pt idx="22">
                  <c:v>36468.515803699673</c:v>
                </c:pt>
                <c:pt idx="23">
                  <c:v>31313.890254767935</c:v>
                </c:pt>
                <c:pt idx="24">
                  <c:v>26860.390904082167</c:v>
                </c:pt>
              </c:numCache>
            </c:numRef>
          </c:val>
          <c:extLst>
            <c:ext xmlns:c16="http://schemas.microsoft.com/office/drawing/2014/chart" uri="{C3380CC4-5D6E-409C-BE32-E72D297353CC}">
              <c16:uniqueId val="{00000001-CBB2-4115-9F9A-AA778C88BDD8}"/>
            </c:ext>
          </c:extLst>
        </c:ser>
        <c:ser>
          <c:idx val="2"/>
          <c:order val="2"/>
          <c:tx>
            <c:strRef>
              <c:f>Лист2!$U$2</c:f>
              <c:strCache>
                <c:ptCount val="1"/>
              </c:strCache>
            </c:strRef>
          </c:tx>
          <c:spPr>
            <a:solidFill>
              <a:schemeClr val="accent3"/>
            </a:solidFill>
            <a:ln>
              <a:noFill/>
            </a:ln>
            <a:effectLst/>
          </c:spPr>
          <c:invertIfNegative val="0"/>
          <c:cat>
            <c:numRef>
              <c:f>Лист2!$J$3:$J$27</c:f>
              <c:numCache>
                <c:formatCode>yyyy</c:formatCode>
                <c:ptCount val="25"/>
                <c:pt idx="0">
                  <c:v>43101</c:v>
                </c:pt>
                <c:pt idx="1">
                  <c:v>43466</c:v>
                </c:pt>
                <c:pt idx="2">
                  <c:v>43831</c:v>
                </c:pt>
                <c:pt idx="3">
                  <c:v>44197</c:v>
                </c:pt>
                <c:pt idx="4">
                  <c:v>44562</c:v>
                </c:pt>
                <c:pt idx="5">
                  <c:v>44927</c:v>
                </c:pt>
                <c:pt idx="6">
                  <c:v>45292</c:v>
                </c:pt>
                <c:pt idx="7">
                  <c:v>45658</c:v>
                </c:pt>
                <c:pt idx="8">
                  <c:v>46023</c:v>
                </c:pt>
                <c:pt idx="9">
                  <c:v>46388</c:v>
                </c:pt>
                <c:pt idx="10">
                  <c:v>46753</c:v>
                </c:pt>
                <c:pt idx="11">
                  <c:v>47119</c:v>
                </c:pt>
                <c:pt idx="12">
                  <c:v>47484</c:v>
                </c:pt>
                <c:pt idx="13">
                  <c:v>47849</c:v>
                </c:pt>
                <c:pt idx="14">
                  <c:v>48214</c:v>
                </c:pt>
                <c:pt idx="15">
                  <c:v>48580</c:v>
                </c:pt>
                <c:pt idx="16">
                  <c:v>48945</c:v>
                </c:pt>
                <c:pt idx="17">
                  <c:v>49310</c:v>
                </c:pt>
                <c:pt idx="18">
                  <c:v>49675</c:v>
                </c:pt>
                <c:pt idx="19">
                  <c:v>50041</c:v>
                </c:pt>
                <c:pt idx="20">
                  <c:v>50406</c:v>
                </c:pt>
                <c:pt idx="21">
                  <c:v>50771</c:v>
                </c:pt>
                <c:pt idx="22">
                  <c:v>51136</c:v>
                </c:pt>
                <c:pt idx="23">
                  <c:v>51502</c:v>
                </c:pt>
                <c:pt idx="24">
                  <c:v>51867</c:v>
                </c:pt>
              </c:numCache>
            </c:numRef>
          </c:cat>
          <c:val>
            <c:numRef>
              <c:f>Лист2!$U$3:$U$27</c:f>
              <c:numCache>
                <c:formatCode>General</c:formatCode>
                <c:ptCount val="25"/>
              </c:numCache>
            </c:numRef>
          </c:val>
          <c:extLst>
            <c:ext xmlns:c16="http://schemas.microsoft.com/office/drawing/2014/chart" uri="{C3380CC4-5D6E-409C-BE32-E72D297353CC}">
              <c16:uniqueId val="{00000002-CBB2-4115-9F9A-AA778C88BDD8}"/>
            </c:ext>
          </c:extLst>
        </c:ser>
        <c:dLbls>
          <c:showLegendKey val="0"/>
          <c:showVal val="0"/>
          <c:showCatName val="0"/>
          <c:showSerName val="0"/>
          <c:showPercent val="0"/>
          <c:showBubbleSize val="0"/>
        </c:dLbls>
        <c:gapWidth val="100"/>
        <c:overlap val="-50"/>
        <c:axId val="381932104"/>
        <c:axId val="381931120"/>
      </c:barChart>
      <c:dateAx>
        <c:axId val="381931448"/>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931776"/>
        <c:crosses val="autoZero"/>
        <c:auto val="1"/>
        <c:lblOffset val="100"/>
        <c:baseTimeUnit val="years"/>
      </c:dateAx>
      <c:valAx>
        <c:axId val="381931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 USD</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931448"/>
        <c:crosses val="autoZero"/>
        <c:crossBetween val="between"/>
      </c:valAx>
      <c:valAx>
        <c:axId val="38193112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 RUR</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932104"/>
        <c:crosses val="max"/>
        <c:crossBetween val="between"/>
      </c:valAx>
      <c:dateAx>
        <c:axId val="381932104"/>
        <c:scaling>
          <c:orientation val="minMax"/>
        </c:scaling>
        <c:delete val="1"/>
        <c:axPos val="b"/>
        <c:numFmt formatCode="yyyy" sourceLinked="1"/>
        <c:majorTickMark val="out"/>
        <c:minorTickMark val="none"/>
        <c:tickLblPos val="nextTo"/>
        <c:crossAx val="381931120"/>
        <c:crosses val="autoZero"/>
        <c:auto val="1"/>
        <c:lblOffset val="100"/>
        <c:baseTimeUnit val="years"/>
      </c:date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Лист2!$AR$1</c:f>
              <c:strCache>
                <c:ptCount val="1"/>
                <c:pt idx="0">
                  <c:v>FCF, million rub</c:v>
                </c:pt>
              </c:strCache>
            </c:strRef>
          </c:tx>
          <c:spPr>
            <a:solidFill>
              <a:schemeClr val="accent1"/>
            </a:solidFill>
            <a:ln>
              <a:noFill/>
            </a:ln>
            <a:effectLst/>
          </c:spPr>
          <c:invertIfNegative val="0"/>
          <c:cat>
            <c:numRef>
              <c:f>Лист2!$J$3:$J$27</c:f>
              <c:numCache>
                <c:formatCode>yyyy</c:formatCode>
                <c:ptCount val="25"/>
                <c:pt idx="0">
                  <c:v>43101</c:v>
                </c:pt>
                <c:pt idx="1">
                  <c:v>43466</c:v>
                </c:pt>
                <c:pt idx="2">
                  <c:v>43831</c:v>
                </c:pt>
                <c:pt idx="3">
                  <c:v>44197</c:v>
                </c:pt>
                <c:pt idx="4">
                  <c:v>44562</c:v>
                </c:pt>
                <c:pt idx="5">
                  <c:v>44927</c:v>
                </c:pt>
                <c:pt idx="6">
                  <c:v>45292</c:v>
                </c:pt>
                <c:pt idx="7">
                  <c:v>45658</c:v>
                </c:pt>
                <c:pt idx="8">
                  <c:v>46023</c:v>
                </c:pt>
                <c:pt idx="9">
                  <c:v>46388</c:v>
                </c:pt>
                <c:pt idx="10">
                  <c:v>46753</c:v>
                </c:pt>
                <c:pt idx="11">
                  <c:v>47119</c:v>
                </c:pt>
                <c:pt idx="12">
                  <c:v>47484</c:v>
                </c:pt>
                <c:pt idx="13">
                  <c:v>47849</c:v>
                </c:pt>
                <c:pt idx="14">
                  <c:v>48214</c:v>
                </c:pt>
                <c:pt idx="15">
                  <c:v>48580</c:v>
                </c:pt>
                <c:pt idx="16">
                  <c:v>48945</c:v>
                </c:pt>
                <c:pt idx="17">
                  <c:v>49310</c:v>
                </c:pt>
                <c:pt idx="18">
                  <c:v>49675</c:v>
                </c:pt>
                <c:pt idx="19">
                  <c:v>50041</c:v>
                </c:pt>
                <c:pt idx="20">
                  <c:v>50406</c:v>
                </c:pt>
                <c:pt idx="21">
                  <c:v>50771</c:v>
                </c:pt>
                <c:pt idx="22">
                  <c:v>51136</c:v>
                </c:pt>
                <c:pt idx="23">
                  <c:v>51502</c:v>
                </c:pt>
                <c:pt idx="24">
                  <c:v>51867</c:v>
                </c:pt>
              </c:numCache>
            </c:numRef>
          </c:cat>
          <c:val>
            <c:numRef>
              <c:f>Лист2!$AR$3:$AR$27</c:f>
              <c:numCache>
                <c:formatCode>_(* #,##0.00_);_(* \(#,##0.00\);_(* "-"??_);_(@_)</c:formatCode>
                <c:ptCount val="25"/>
                <c:pt idx="0">
                  <c:v>-56510.774351870132</c:v>
                </c:pt>
                <c:pt idx="1">
                  <c:v>-55937.980794216412</c:v>
                </c:pt>
                <c:pt idx="2">
                  <c:v>-55353.336786330525</c:v>
                </c:pt>
                <c:pt idx="3">
                  <c:v>-46573.983572976314</c:v>
                </c:pt>
                <c:pt idx="4">
                  <c:v>-38446.401778915868</c:v>
                </c:pt>
                <c:pt idx="5">
                  <c:v>-24460.879105518208</c:v>
                </c:pt>
                <c:pt idx="6">
                  <c:v>55947.831043992803</c:v>
                </c:pt>
                <c:pt idx="7">
                  <c:v>62985.571221159254</c:v>
                </c:pt>
                <c:pt idx="8">
                  <c:v>70077.713922023118</c:v>
                </c:pt>
                <c:pt idx="9">
                  <c:v>70423.620113220823</c:v>
                </c:pt>
                <c:pt idx="10">
                  <c:v>70740.428526457254</c:v>
                </c:pt>
                <c:pt idx="11">
                  <c:v>71025.426466619931</c:v>
                </c:pt>
                <c:pt idx="12">
                  <c:v>71276.454627537809</c:v>
                </c:pt>
                <c:pt idx="13">
                  <c:v>61834.691035143253</c:v>
                </c:pt>
                <c:pt idx="14">
                  <c:v>53660.056982220973</c:v>
                </c:pt>
                <c:pt idx="15">
                  <c:v>46585.238213915247</c:v>
                </c:pt>
                <c:pt idx="16">
                  <c:v>40464.559320261411</c:v>
                </c:pt>
                <c:pt idx="17">
                  <c:v>35171.637545248537</c:v>
                </c:pt>
                <c:pt idx="18">
                  <c:v>30596.468655048324</c:v>
                </c:pt>
                <c:pt idx="19">
                  <c:v>26643.547990644693</c:v>
                </c:pt>
                <c:pt idx="20">
                  <c:v>23229.882423470626</c:v>
                </c:pt>
                <c:pt idx="21">
                  <c:v>20283.437625408405</c:v>
                </c:pt>
                <c:pt idx="22">
                  <c:v>17741.641904204655</c:v>
                </c:pt>
                <c:pt idx="23">
                  <c:v>15550.192422334971</c:v>
                </c:pt>
                <c:pt idx="24">
                  <c:v>-37053.952719647248</c:v>
                </c:pt>
              </c:numCache>
            </c:numRef>
          </c:val>
          <c:extLst>
            <c:ext xmlns:c16="http://schemas.microsoft.com/office/drawing/2014/chart" uri="{C3380CC4-5D6E-409C-BE32-E72D297353CC}">
              <c16:uniqueId val="{00000000-5A2E-41AC-B4FC-C6CAF79D0717}"/>
            </c:ext>
          </c:extLst>
        </c:ser>
        <c:ser>
          <c:idx val="1"/>
          <c:order val="1"/>
          <c:tx>
            <c:strRef>
              <c:f>Лист2!$AT$1</c:f>
              <c:strCache>
                <c:ptCount val="1"/>
                <c:pt idx="0">
                  <c:v>DFCF, million rub</c:v>
                </c:pt>
              </c:strCache>
            </c:strRef>
          </c:tx>
          <c:spPr>
            <a:solidFill>
              <a:schemeClr val="accent2"/>
            </a:solidFill>
            <a:ln>
              <a:noFill/>
            </a:ln>
            <a:effectLst/>
          </c:spPr>
          <c:invertIfNegative val="0"/>
          <c:cat>
            <c:numRef>
              <c:f>Лист2!$J$3:$J$27</c:f>
              <c:numCache>
                <c:formatCode>yyyy</c:formatCode>
                <c:ptCount val="25"/>
                <c:pt idx="0">
                  <c:v>43101</c:v>
                </c:pt>
                <c:pt idx="1">
                  <c:v>43466</c:v>
                </c:pt>
                <c:pt idx="2">
                  <c:v>43831</c:v>
                </c:pt>
                <c:pt idx="3">
                  <c:v>44197</c:v>
                </c:pt>
                <c:pt idx="4">
                  <c:v>44562</c:v>
                </c:pt>
                <c:pt idx="5">
                  <c:v>44927</c:v>
                </c:pt>
                <c:pt idx="6">
                  <c:v>45292</c:v>
                </c:pt>
                <c:pt idx="7">
                  <c:v>45658</c:v>
                </c:pt>
                <c:pt idx="8">
                  <c:v>46023</c:v>
                </c:pt>
                <c:pt idx="9">
                  <c:v>46388</c:v>
                </c:pt>
                <c:pt idx="10">
                  <c:v>46753</c:v>
                </c:pt>
                <c:pt idx="11">
                  <c:v>47119</c:v>
                </c:pt>
                <c:pt idx="12">
                  <c:v>47484</c:v>
                </c:pt>
                <c:pt idx="13">
                  <c:v>47849</c:v>
                </c:pt>
                <c:pt idx="14">
                  <c:v>48214</c:v>
                </c:pt>
                <c:pt idx="15">
                  <c:v>48580</c:v>
                </c:pt>
                <c:pt idx="16">
                  <c:v>48945</c:v>
                </c:pt>
                <c:pt idx="17">
                  <c:v>49310</c:v>
                </c:pt>
                <c:pt idx="18">
                  <c:v>49675</c:v>
                </c:pt>
                <c:pt idx="19">
                  <c:v>50041</c:v>
                </c:pt>
                <c:pt idx="20">
                  <c:v>50406</c:v>
                </c:pt>
                <c:pt idx="21">
                  <c:v>50771</c:v>
                </c:pt>
                <c:pt idx="22">
                  <c:v>51136</c:v>
                </c:pt>
                <c:pt idx="23">
                  <c:v>51502</c:v>
                </c:pt>
                <c:pt idx="24">
                  <c:v>51867</c:v>
                </c:pt>
              </c:numCache>
            </c:numRef>
          </c:cat>
          <c:val>
            <c:numRef>
              <c:f>Лист2!$AT$3:$AT$27</c:f>
              <c:numCache>
                <c:formatCode>_(* #,##0.00_);_(* \(#,##0.00\);_(* "-"??_);_(@_)</c:formatCode>
                <c:ptCount val="25"/>
                <c:pt idx="0">
                  <c:v>-50456.048528455474</c:v>
                </c:pt>
                <c:pt idx="1">
                  <c:v>-44593.41581171588</c:v>
                </c:pt>
                <c:pt idx="2">
                  <c:v>-39399.411775073531</c:v>
                </c:pt>
                <c:pt idx="3">
                  <c:v>-29598.608543956077</c:v>
                </c:pt>
                <c:pt idx="4">
                  <c:v>-21815.52087510419</c:v>
                </c:pt>
                <c:pt idx="5">
                  <c:v>-12392.642606211586</c:v>
                </c:pt>
                <c:pt idx="6">
                  <c:v>25307.957472551232</c:v>
                </c:pt>
                <c:pt idx="7">
                  <c:v>25438.815820926251</c:v>
                </c:pt>
                <c:pt idx="8">
                  <c:v>25270.726168072739</c:v>
                </c:pt>
                <c:pt idx="9">
                  <c:v>22674.520900287345</c:v>
                </c:pt>
                <c:pt idx="10">
                  <c:v>20336.182795068071</c:v>
                </c:pt>
                <c:pt idx="11">
                  <c:v>18230.457939805561</c:v>
                </c:pt>
                <c:pt idx="12">
                  <c:v>16334.723764590239</c:v>
                </c:pt>
                <c:pt idx="13">
                  <c:v>12652.60289277328</c:v>
                </c:pt>
                <c:pt idx="14">
                  <c:v>9803.4917898756612</c:v>
                </c:pt>
                <c:pt idx="15">
                  <c:v>7599.0614748075159</c:v>
                </c:pt>
                <c:pt idx="16">
                  <c:v>5893.4340732742075</c:v>
                </c:pt>
                <c:pt idx="17">
                  <c:v>4573.7053301353835</c:v>
                </c:pt>
                <c:pt idx="18">
                  <c:v>3552.4573597649214</c:v>
                </c:pt>
                <c:pt idx="19">
                  <c:v>2762.0504304622073</c:v>
                </c:pt>
                <c:pt idx="20">
                  <c:v>2150.1488964695882</c:v>
                </c:pt>
                <c:pt idx="21">
                  <c:v>1676.2742054703492</c:v>
                </c:pt>
                <c:pt idx="22">
                  <c:v>1309.1194875672477</c:v>
                </c:pt>
                <c:pt idx="23">
                  <c:v>1024.4793841022063</c:v>
                </c:pt>
                <c:pt idx="24">
                  <c:v>-2179.6360198005218</c:v>
                </c:pt>
              </c:numCache>
            </c:numRef>
          </c:val>
          <c:extLst>
            <c:ext xmlns:c16="http://schemas.microsoft.com/office/drawing/2014/chart" uri="{C3380CC4-5D6E-409C-BE32-E72D297353CC}">
              <c16:uniqueId val="{00000001-5A2E-41AC-B4FC-C6CAF79D0717}"/>
            </c:ext>
          </c:extLst>
        </c:ser>
        <c:dLbls>
          <c:showLegendKey val="0"/>
          <c:showVal val="0"/>
          <c:showCatName val="0"/>
          <c:showSerName val="0"/>
          <c:showPercent val="0"/>
          <c:showBubbleSize val="0"/>
        </c:dLbls>
        <c:gapWidth val="219"/>
        <c:overlap val="-27"/>
        <c:axId val="544363208"/>
        <c:axId val="544363536"/>
      </c:barChart>
      <c:dateAx>
        <c:axId val="544363208"/>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4363536"/>
        <c:crosses val="autoZero"/>
        <c:auto val="1"/>
        <c:lblOffset val="100"/>
        <c:baseTimeUnit val="years"/>
      </c:dateAx>
      <c:valAx>
        <c:axId val="54436353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4363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Лист3!$F$1</c:f>
              <c:strCache>
                <c:ptCount val="1"/>
                <c:pt idx="0">
                  <c:v>NPV</c:v>
                </c:pt>
              </c:strCache>
            </c:strRef>
          </c:tx>
          <c:spPr>
            <a:ln w="28575" cap="rnd">
              <a:solidFill>
                <a:schemeClr val="accent1"/>
              </a:solidFill>
              <a:round/>
            </a:ln>
            <a:effectLst/>
          </c:spPr>
          <c:marker>
            <c:symbol val="none"/>
          </c:marker>
          <c:val>
            <c:numRef>
              <c:f>Лист3!$F$2:$F$42</c:f>
              <c:numCache>
                <c:formatCode>_-* #,##0\ _₽_-;\-* #,##0\ _₽_-;_-* "-"??\ _₽_-;_-@_-</c:formatCode>
                <c:ptCount val="41"/>
                <c:pt idx="0">
                  <c:v>6154.9260256867856</c:v>
                </c:pt>
                <c:pt idx="1">
                  <c:v>9862.7009061804038</c:v>
                </c:pt>
                <c:pt idx="2">
                  <c:v>12736.371411439482</c:v>
                </c:pt>
                <c:pt idx="3">
                  <c:v>14909.334344228804</c:v>
                </c:pt>
                <c:pt idx="4">
                  <c:v>16496.221074608038</c:v>
                </c:pt>
                <c:pt idx="5">
                  <c:v>17595.366271520084</c:v>
                </c:pt>
                <c:pt idx="6">
                  <c:v>18290.964808293142</c:v>
                </c:pt>
                <c:pt idx="7">
                  <c:v>18654.955180034671</c:v>
                </c:pt>
                <c:pt idx="8">
                  <c:v>18748.663145821636</c:v>
                </c:pt>
                <c:pt idx="9">
                  <c:v>18624.235233818534</c:v>
                </c:pt>
                <c:pt idx="10">
                  <c:v>18325.888158186743</c:v>
                </c:pt>
                <c:pt idx="11">
                  <c:v>17890.997035654073</c:v>
                </c:pt>
                <c:pt idx="12">
                  <c:v>17351.042506353144</c:v>
                </c:pt>
                <c:pt idx="13">
                  <c:v>16732.434413385636</c:v>
                </c:pt>
                <c:pt idx="14">
                  <c:v>16057.227539128424</c:v>
                </c:pt>
                <c:pt idx="15">
                  <c:v>15343.742998785216</c:v>
                </c:pt>
                <c:pt idx="16">
                  <c:v>14607.10722240408</c:v>
                </c:pt>
                <c:pt idx="17">
                  <c:v>13859.718988432422</c:v>
                </c:pt>
                <c:pt idx="18">
                  <c:v>13111.65368095655</c:v>
                </c:pt>
                <c:pt idx="19">
                  <c:v>12371.012807977311</c:v>
                </c:pt>
                <c:pt idx="20">
                  <c:v>11644.225820794887</c:v>
                </c:pt>
                <c:pt idx="21">
                  <c:v>10936.310398397813</c:v>
                </c:pt>
                <c:pt idx="22">
                  <c:v>10251.096591195879</c:v>
                </c:pt>
                <c:pt idx="23">
                  <c:v>9591.4195427355553</c:v>
                </c:pt>
                <c:pt idx="24">
                  <c:v>8959.2849149336053</c:v>
                </c:pt>
                <c:pt idx="25">
                  <c:v>8356.0106219361132</c:v>
                </c:pt>
                <c:pt idx="26">
                  <c:v>7782.3480212104378</c:v>
                </c:pt>
                <c:pt idx="27">
                  <c:v>7238.5853101988387</c:v>
                </c:pt>
                <c:pt idx="28">
                  <c:v>6724.6355260139744</c:v>
                </c:pt>
                <c:pt idx="29">
                  <c:v>6240.1112382564334</c:v>
                </c:pt>
                <c:pt idx="30">
                  <c:v>5784.3877558135673</c:v>
                </c:pt>
                <c:pt idx="31">
                  <c:v>5356.6564328185823</c:v>
                </c:pt>
                <c:pt idx="32">
                  <c:v>4955.9694527240399</c:v>
                </c:pt>
                <c:pt idx="33">
                  <c:v>4581.2772890797924</c:v>
                </c:pt>
                <c:pt idx="34">
                  <c:v>4231.4598839384325</c:v>
                </c:pt>
                <c:pt idx="35">
                  <c:v>3905.3524470578504</c:v>
                </c:pt>
                <c:pt idx="36">
                  <c:v>3601.7666587824897</c:v>
                </c:pt>
                <c:pt idx="37">
                  <c:v>3319.5079545095832</c:v>
                </c:pt>
                <c:pt idx="38">
                  <c:v>3057.3894770910338</c:v>
                </c:pt>
                <c:pt idx="39">
                  <c:v>2814.2432037226836</c:v>
                </c:pt>
                <c:pt idx="40">
                  <c:v>2588.9286843683412</c:v>
                </c:pt>
              </c:numCache>
            </c:numRef>
          </c:val>
          <c:smooth val="0"/>
          <c:extLst>
            <c:ext xmlns:c16="http://schemas.microsoft.com/office/drawing/2014/chart" uri="{C3380CC4-5D6E-409C-BE32-E72D297353CC}">
              <c16:uniqueId val="{00000000-6150-4587-AD44-DD44168FB6B5}"/>
            </c:ext>
          </c:extLst>
        </c:ser>
        <c:ser>
          <c:idx val="1"/>
          <c:order val="1"/>
          <c:tx>
            <c:strRef>
              <c:f>Лист3!$G$1</c:f>
              <c:strCache>
                <c:ptCount val="1"/>
                <c:pt idx="0">
                  <c:v>Option value</c:v>
                </c:pt>
              </c:strCache>
            </c:strRef>
          </c:tx>
          <c:spPr>
            <a:ln w="28575" cap="rnd">
              <a:solidFill>
                <a:schemeClr val="accent2"/>
              </a:solidFill>
              <a:round/>
            </a:ln>
            <a:effectLst/>
          </c:spPr>
          <c:marker>
            <c:symbol val="none"/>
          </c:marker>
          <c:val>
            <c:numRef>
              <c:f>Лист3!$G$2:$G$42</c:f>
              <c:numCache>
                <c:formatCode>_-* #,##0\ _₽_-;\-* #,##0\ _₽_-;_-* "-"??\ _₽_-;_-@_-</c:formatCode>
                <c:ptCount val="41"/>
                <c:pt idx="0">
                  <c:v>0</c:v>
                </c:pt>
                <c:pt idx="1">
                  <c:v>3707.7748804936182</c:v>
                </c:pt>
                <c:pt idx="2">
                  <c:v>6581.4453857526969</c:v>
                </c:pt>
                <c:pt idx="3">
                  <c:v>8754.4083185420186</c:v>
                </c:pt>
                <c:pt idx="4">
                  <c:v>10341.295048921253</c:v>
                </c:pt>
                <c:pt idx="5">
                  <c:v>11440.440245833299</c:v>
                </c:pt>
                <c:pt idx="6">
                  <c:v>12136.038782606356</c:v>
                </c:pt>
                <c:pt idx="7">
                  <c:v>12500.029154347885</c:v>
                </c:pt>
                <c:pt idx="8">
                  <c:v>12593.737120134851</c:v>
                </c:pt>
                <c:pt idx="9">
                  <c:v>12469.309208131748</c:v>
                </c:pt>
                <c:pt idx="10">
                  <c:v>12170.962132499957</c:v>
                </c:pt>
                <c:pt idx="11">
                  <c:v>11736.071009967287</c:v>
                </c:pt>
                <c:pt idx="12">
                  <c:v>11196.116480666358</c:v>
                </c:pt>
                <c:pt idx="13">
                  <c:v>10577.50838769885</c:v>
                </c:pt>
                <c:pt idx="14">
                  <c:v>9902.3015134416382</c:v>
                </c:pt>
                <c:pt idx="15">
                  <c:v>9188.81697309843</c:v>
                </c:pt>
                <c:pt idx="16">
                  <c:v>8452.1811967172944</c:v>
                </c:pt>
                <c:pt idx="17">
                  <c:v>7704.792962745636</c:v>
                </c:pt>
                <c:pt idx="18">
                  <c:v>6956.727655269764</c:v>
                </c:pt>
                <c:pt idx="19">
                  <c:v>6216.0867822905257</c:v>
                </c:pt>
                <c:pt idx="20">
                  <c:v>5489.2997951081015</c:v>
                </c:pt>
                <c:pt idx="21">
                  <c:v>4781.384372711027</c:v>
                </c:pt>
                <c:pt idx="22">
                  <c:v>4096.1705655090936</c:v>
                </c:pt>
                <c:pt idx="23">
                  <c:v>3436.4935170487697</c:v>
                </c:pt>
                <c:pt idx="24">
                  <c:v>2804.3588892468197</c:v>
                </c:pt>
                <c:pt idx="25">
                  <c:v>2201.0845962493277</c:v>
                </c:pt>
                <c:pt idx="26">
                  <c:v>1627.4219955236522</c:v>
                </c:pt>
                <c:pt idx="27">
                  <c:v>1083.6592845120531</c:v>
                </c:pt>
                <c:pt idx="28">
                  <c:v>569.70950032718883</c:v>
                </c:pt>
                <c:pt idx="29">
                  <c:v>85.185212569647774</c:v>
                </c:pt>
                <c:pt idx="30">
                  <c:v>-370.53826987321827</c:v>
                </c:pt>
                <c:pt idx="31">
                  <c:v>-798.26959286820329</c:v>
                </c:pt>
                <c:pt idx="32">
                  <c:v>-1198.9565729627457</c:v>
                </c:pt>
                <c:pt idx="33">
                  <c:v>-1573.6487366069932</c:v>
                </c:pt>
                <c:pt idx="34">
                  <c:v>-1923.466141748353</c:v>
                </c:pt>
                <c:pt idx="35">
                  <c:v>-2249.5735786289351</c:v>
                </c:pt>
                <c:pt idx="36">
                  <c:v>-2553.1593669042959</c:v>
                </c:pt>
                <c:pt idx="37">
                  <c:v>-2835.4180711772024</c:v>
                </c:pt>
                <c:pt idx="38">
                  <c:v>-3097.5365485957518</c:v>
                </c:pt>
                <c:pt idx="39">
                  <c:v>-3340.682821964102</c:v>
                </c:pt>
                <c:pt idx="40">
                  <c:v>-3565.9973413184443</c:v>
                </c:pt>
              </c:numCache>
            </c:numRef>
          </c:val>
          <c:smooth val="0"/>
          <c:extLst>
            <c:ext xmlns:c16="http://schemas.microsoft.com/office/drawing/2014/chart" uri="{C3380CC4-5D6E-409C-BE32-E72D297353CC}">
              <c16:uniqueId val="{00000001-6150-4587-AD44-DD44168FB6B5}"/>
            </c:ext>
          </c:extLst>
        </c:ser>
        <c:dLbls>
          <c:showLegendKey val="0"/>
          <c:showVal val="0"/>
          <c:showCatName val="0"/>
          <c:showSerName val="0"/>
          <c:showPercent val="0"/>
          <c:showBubbleSize val="0"/>
        </c:dLbls>
        <c:smooth val="0"/>
        <c:axId val="591944656"/>
        <c:axId val="591950560"/>
      </c:lineChart>
      <c:catAx>
        <c:axId val="5919446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1950560"/>
        <c:crosses val="autoZero"/>
        <c:auto val="1"/>
        <c:lblAlgn val="ctr"/>
        <c:lblOffset val="100"/>
        <c:noMultiLvlLbl val="0"/>
      </c:catAx>
      <c:valAx>
        <c:axId val="591950560"/>
        <c:scaling>
          <c:orientation val="minMax"/>
        </c:scaling>
        <c:delete val="0"/>
        <c:axPos val="l"/>
        <c:majorGridlines>
          <c:spPr>
            <a:ln w="9525" cap="flat" cmpd="sng" algn="ctr">
              <a:solidFill>
                <a:schemeClr val="tx1">
                  <a:lumMod val="15000"/>
                  <a:lumOff val="85000"/>
                </a:schemeClr>
              </a:solid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194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RedGrey">
      <a:dk1>
        <a:sysClr val="windowText" lastClr="000000"/>
      </a:dk1>
      <a:lt1>
        <a:sysClr val="window" lastClr="FFFFFF"/>
      </a:lt1>
      <a:dk2>
        <a:srgbClr val="44546A"/>
      </a:dk2>
      <a:lt2>
        <a:srgbClr val="E7E6E6"/>
      </a:lt2>
      <a:accent1>
        <a:srgbClr val="C00000"/>
      </a:accent1>
      <a:accent2>
        <a:srgbClr val="757070"/>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Lar14</b:Tag>
    <b:SourceType>Report</b:SourceType>
    <b:Guid>{56E4672A-C74F-49D0-811D-93EEA1C4BAFC}</b:Guid>
    <b:Title>Government Support to Upstream Oil &amp; Gas in Russia. How Subsidies Influence the Yamal LNG and Prirazlomnoe Projects</b:Title>
    <b:Year>2014</b:Year>
    <b:Publisher>IISD</b:Publisher>
    <b:Author>
      <b:Author>
        <b:NameList>
          <b:Person>
            <b:Last>L.P. Lunden</b:Last>
            <b:First>D.</b:First>
            <b:Middle>Fjaertoft</b:Middle>
          </b:Person>
        </b:NameList>
      </b:Author>
    </b:Author>
    <b:RefOrder>1</b:RefOrder>
  </b:Source>
</b:Sources>
</file>

<file path=customXml/itemProps1.xml><?xml version="1.0" encoding="utf-8"?>
<ds:datastoreItem xmlns:ds="http://schemas.openxmlformats.org/officeDocument/2006/customXml" ds:itemID="{A05DDD55-FD79-4F99-9190-69428356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40713</Words>
  <Characters>221887</Characters>
  <Application>Microsoft Office Word</Application>
  <DocSecurity>0</DocSecurity>
  <Lines>4350</Lines>
  <Paragraphs>1989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Зимин</dc:creator>
  <cp:lastModifiedBy>Илья Зимин</cp:lastModifiedBy>
  <cp:revision>2</cp:revision>
  <dcterms:created xsi:type="dcterms:W3CDTF">2017-05-31T20:41:00Z</dcterms:created>
  <dcterms:modified xsi:type="dcterms:W3CDTF">2017-05-31T20:41:00Z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http://www.zotero.org/styles/chicago-author-date</vt:lpwstr>
  </property>
  <property fmtid="{D5CDD505-2E9C-101B-9397-08002B2CF9AE}" pid="23" name="Mendeley Document_1">
    <vt:lpwstr>True</vt:lpwstr>
  </property>
  <property fmtid="{D5CDD505-2E9C-101B-9397-08002B2CF9AE}" pid="24" name="Mendeley Unique User Id_1">
    <vt:lpwstr>146c099a-b34c-395b-ada4-28d0031ab62a</vt:lpwstr>
  </property>
</Properties>
</file>