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111111"/>
          <w:spacing w:val="0"/>
          <w:sz w:val="18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111111"/>
          <w:spacing w:val="0"/>
          <w:sz w:val="18"/>
        </w:rPr>
      </w:r>
    </w:p>
    <w:p>
      <w:pPr>
        <w:pStyle w:val="Normal"/>
        <w:widowControl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111111"/>
          <w:spacing w:val="0"/>
          <w:sz w:val="18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111111"/>
          <w:spacing w:val="0"/>
          <w:sz w:val="18"/>
        </w:rPr>
      </w:r>
    </w:p>
    <w:p>
      <w:pPr>
        <w:pStyle w:val="Normal"/>
        <w:spacing w:lineRule="auto" w:line="240"/>
        <w:jc w:val="center"/>
        <w:rPr/>
      </w:pPr>
      <w:r>
        <w:rPr/>
        <w:t>ОТЗЫВ</w:t>
      </w:r>
    </w:p>
    <w:p>
      <w:pPr>
        <w:pStyle w:val="Normal"/>
        <w:spacing w:lineRule="auto" w:line="240"/>
        <w:jc w:val="center"/>
        <w:rPr/>
      </w:pPr>
      <w:r>
        <w:rPr/>
        <w:t xml:space="preserve">НАУЧНОГО РУКОВОДИТЕЛЯ </w:t>
      </w:r>
    </w:p>
    <w:p>
      <w:pPr>
        <w:pStyle w:val="Normal"/>
        <w:spacing w:lineRule="auto" w:line="240"/>
        <w:jc w:val="center"/>
        <w:rPr/>
      </w:pPr>
      <w:r>
        <w:rPr/>
        <w:t>ДОЦЕНТА ИНСТИТУТА ИСТОРИИ СПБГУ</w:t>
      </w:r>
    </w:p>
    <w:p>
      <w:pPr>
        <w:pStyle w:val="Normal"/>
        <w:spacing w:lineRule="auto" w:line="240"/>
        <w:jc w:val="center"/>
        <w:rPr/>
      </w:pPr>
      <w:r>
        <w:rPr/>
        <w:t>ВАСИЛИКА ВЛАДИМИРА ВЛАДИМИРОВИЧА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НА 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ПУСКН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 xml:space="preserve"> КВАЛИФИКАЦИОНН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У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АВЧЕНКОВОЙ АНАСТАСИИ ВАДИМОВНЫ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ЧЕШСКАЯ БИБЛИЯ 1506 ГОДА В СЛАВЯНСКОМ КНИГОПЕЧАТАНИИ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Работа А.В. Савченковой посвящена весьма интересной проблеме, связанной как с историей переводов и изданий Священного Писания, так и историей издательского дела. При всех сложностях и многообразии данной проблемы, автор в целом справляется с ней.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  <w:t xml:space="preserve">К сильной стороне работы относится подробная история книгопечатания, начиная от Гутенберга.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Автор рассматривает  издательское дело в чешских землях и показывает, что Чехия была лидером книгопечатания. В целом автор показывает также знание истории переводов Чешской Библии и аргументированно доказывает принадлежность издания 1506 года к утраквитсткой традиции. </w:t>
      </w:r>
    </w:p>
    <w:p>
      <w:pPr>
        <w:pStyle w:val="Normal"/>
        <w:widowControl/>
        <w:ind w:left="0" w:right="0" w:hanging="0"/>
        <w:jc w:val="left"/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 недостаткам работы относится прежде всего недостаточное исследование деятельности издателя Петра Лихтенштейна и отстутствия перечня его изданий, присутствующего в книге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Сatalogue of Books, printed on the continent of Europe 1501-1600. Vol. 1-2. Compiled by H.M Adams. Cambridge University Press. 1967. Vol. 2. P. 551.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Между тем, он представляет несомненный интерес, поскольку Лихтенштейн специализировался на издании арабских и еврейских книг:Логика Газали, Альманах Авраама бен Самуэля и т.д. Лихтенштейн т.о. был издателем высокой филологической культуры. Далее, А.В.Савченкова не сделала подробной росписи содержания памятника, несмотря на неоднократные рекомендации руководителя, а равно не попыталась определить филиграни по палеографическим альбомам. Между тем один из знаков — крест - б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олее всего соответствует №3462 и №3404 в альбоме В.М.Загребина. Альбом филиграней. Т. 2. Л. 1982. С.286.  Он может датироваться между 1487 и 1493 г.</w:t>
      </w:r>
    </w:p>
    <w:p>
      <w:pPr>
        <w:pStyle w:val="Normal"/>
        <w:widowControl/>
        <w:ind w:left="0" w:right="0" w:hanging="0"/>
        <w:jc w:val="left"/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  <w:t xml:space="preserve">В целом, работа состоялась и может быть оценена на «хорошо».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altName w:val="Helvetica"/>
    <w:charset w:val="01"/>
    <w:family w:val="auto"/>
    <w:pitch w:val="default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2017-05-25T07:49:44Z</dcterms:created>
  <dc:language>ru-RU</dc:language>
  <cp:revision>0</cp:revision>
</cp:coreProperties>
</file>