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24" w:rsidRDefault="008A7DD9" w:rsidP="00750ACA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</w:p>
    <w:p w:rsidR="008A7DD9" w:rsidRDefault="008A7DD9" w:rsidP="00750ACA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выпускную квалификационную работу Н.В. Рыбаковой на тему «Реализация коммуникативных установок в ситуации языковой игры в англоязычном диалоге»</w:t>
      </w:r>
    </w:p>
    <w:p w:rsidR="00A21FB0" w:rsidRDefault="00A21FB0" w:rsidP="00750ACA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3178EC" w:rsidRDefault="008A7DD9" w:rsidP="009C5473">
      <w:pPr>
        <w:spacing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ВКР Н.В. Рыбаковой рассматривается малоизученная и актуальная проблема – вопрос о роли коммуникативной установки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осуществлении языковой игры разных видов. Материалом исследования служат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микродиалогов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представляющих речь персонажей современных американских сериалов – молодёжи в возрасте от 20 до 35 лет.</w:t>
      </w:r>
      <w:r w:rsidR="00317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DD9" w:rsidRDefault="008A7DD9" w:rsidP="009C5473">
      <w:pPr>
        <w:spacing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работы – 60 страниц хорошо оформленного текста. Традиционные две главы и заключение дополняются пятью приложениями, куда вынесены схемы и таблицы. Список литературы насчитывает 51 название, в том числе 9 на английском языке.</w:t>
      </w:r>
    </w:p>
    <w:p w:rsidR="00750ACA" w:rsidRDefault="008A7DD9" w:rsidP="009C5473">
      <w:pPr>
        <w:spacing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главе находим подробный обзор современных работ по теории речевого общения, связанных с изучением языковой личности, речевой ситуации</w:t>
      </w:r>
      <w:r w:rsidR="00750ACA">
        <w:rPr>
          <w:rFonts w:ascii="Times New Roman" w:hAnsi="Times New Roman" w:cs="Times New Roman"/>
          <w:sz w:val="28"/>
          <w:szCs w:val="28"/>
        </w:rPr>
        <w:t xml:space="preserve">, коммуникативных установок и языковой игры. При этом отмечаются особенности американского национального характера, </w:t>
      </w:r>
      <w:r w:rsidR="00FB525B">
        <w:rPr>
          <w:rFonts w:ascii="Times New Roman" w:hAnsi="Times New Roman" w:cs="Times New Roman"/>
          <w:sz w:val="28"/>
          <w:szCs w:val="28"/>
        </w:rPr>
        <w:t>занимающие</w:t>
      </w:r>
      <w:r w:rsidR="00750ACA">
        <w:rPr>
          <w:rFonts w:ascii="Times New Roman" w:hAnsi="Times New Roman" w:cs="Times New Roman"/>
          <w:sz w:val="28"/>
          <w:szCs w:val="28"/>
        </w:rPr>
        <w:t xml:space="preserve"> важн</w:t>
      </w:r>
      <w:r w:rsidR="00FB525B">
        <w:rPr>
          <w:rFonts w:ascii="Times New Roman" w:hAnsi="Times New Roman" w:cs="Times New Roman"/>
          <w:sz w:val="28"/>
          <w:szCs w:val="28"/>
        </w:rPr>
        <w:t>ое место</w:t>
      </w:r>
      <w:r w:rsidR="00750ACA">
        <w:rPr>
          <w:rFonts w:ascii="Times New Roman" w:hAnsi="Times New Roman" w:cs="Times New Roman"/>
          <w:sz w:val="28"/>
          <w:szCs w:val="28"/>
        </w:rPr>
        <w:t xml:space="preserve"> в языковой игре.</w:t>
      </w:r>
    </w:p>
    <w:p w:rsidR="00674604" w:rsidRDefault="00750ACA" w:rsidP="009C5473">
      <w:pPr>
        <w:spacing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построения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положена классификация коммуникативных установок В.В. Богданова / Т.Е. Добровой. Анализ примеров сопровождается удачно сформулированными комментариями. В каждом разделе рассматриваются языковые средства осуществления двух основных видов языковой игры, из которых особенно интересным мне показался 2ой, контекстуальный, с аллюзиями, требующий от исследователя хорошего знания современной американской культуры</w:t>
      </w:r>
      <w:r w:rsidR="00674604">
        <w:rPr>
          <w:rFonts w:ascii="Times New Roman" w:hAnsi="Times New Roman" w:cs="Times New Roman"/>
          <w:sz w:val="28"/>
          <w:szCs w:val="28"/>
        </w:rPr>
        <w:t xml:space="preserve"> (см. пример № 17 и др.)</w:t>
      </w:r>
      <w:r>
        <w:rPr>
          <w:rFonts w:ascii="Times New Roman" w:hAnsi="Times New Roman" w:cs="Times New Roman"/>
          <w:sz w:val="28"/>
          <w:szCs w:val="28"/>
        </w:rPr>
        <w:t>. Интересен также анализ функций языковой игры в речевом общении</w:t>
      </w:r>
      <w:r w:rsidR="00674604">
        <w:rPr>
          <w:rFonts w:ascii="Times New Roman" w:hAnsi="Times New Roman" w:cs="Times New Roman"/>
          <w:sz w:val="28"/>
          <w:szCs w:val="28"/>
        </w:rPr>
        <w:t xml:space="preserve"> (см. примеры оценочной функции № 25, 30, 31 </w:t>
      </w:r>
      <w:r w:rsidR="00674604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D572B1">
        <w:rPr>
          <w:rFonts w:ascii="Times New Roman" w:hAnsi="Times New Roman" w:cs="Times New Roman"/>
          <w:sz w:val="28"/>
          <w:szCs w:val="28"/>
        </w:rPr>
        <w:t>многие другие</w:t>
      </w:r>
      <w:r w:rsidR="006746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При</w:t>
      </w:r>
      <w:r w:rsidR="00674604">
        <w:rPr>
          <w:rFonts w:ascii="Times New Roman" w:hAnsi="Times New Roman" w:cs="Times New Roman"/>
          <w:sz w:val="28"/>
          <w:szCs w:val="28"/>
        </w:rPr>
        <w:t xml:space="preserve"> этом</w:t>
      </w:r>
      <w:r>
        <w:rPr>
          <w:rFonts w:ascii="Times New Roman" w:hAnsi="Times New Roman" w:cs="Times New Roman"/>
          <w:sz w:val="28"/>
          <w:szCs w:val="28"/>
        </w:rPr>
        <w:t xml:space="preserve"> в конце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каждого раздела 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D5697">
        <w:rPr>
          <w:rFonts w:ascii="Times New Roman" w:hAnsi="Times New Roman" w:cs="Times New Roman"/>
          <w:sz w:val="28"/>
          <w:szCs w:val="28"/>
        </w:rPr>
        <w:t>данному</w:t>
      </w:r>
      <w:r>
        <w:rPr>
          <w:rFonts w:ascii="Times New Roman" w:hAnsi="Times New Roman" w:cs="Times New Roman"/>
          <w:sz w:val="28"/>
          <w:szCs w:val="28"/>
        </w:rPr>
        <w:t xml:space="preserve"> вопросу подытоживается и получает количественную характеристику.</w:t>
      </w:r>
      <w:r w:rsidR="00674604">
        <w:rPr>
          <w:rFonts w:ascii="Times New Roman" w:hAnsi="Times New Roman" w:cs="Times New Roman"/>
          <w:sz w:val="28"/>
          <w:szCs w:val="28"/>
        </w:rPr>
        <w:t xml:space="preserve"> Выводы по главам и заключение сформулированы четко, логично и аргументированно.</w:t>
      </w:r>
    </w:p>
    <w:p w:rsidR="004A3871" w:rsidRDefault="00674604" w:rsidP="004A3871">
      <w:pPr>
        <w:spacing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по работе носят частный характер. </w:t>
      </w:r>
      <w:r w:rsidRPr="00674604">
        <w:rPr>
          <w:rFonts w:ascii="Times New Roman" w:hAnsi="Times New Roman" w:cs="Times New Roman"/>
          <w:i/>
          <w:sz w:val="28"/>
          <w:szCs w:val="28"/>
        </w:rPr>
        <w:t>Во-первых</w:t>
      </w:r>
      <w:r>
        <w:rPr>
          <w:rFonts w:ascii="Times New Roman" w:hAnsi="Times New Roman" w:cs="Times New Roman"/>
          <w:sz w:val="28"/>
          <w:szCs w:val="28"/>
        </w:rPr>
        <w:t>, экспрессивность</w:t>
      </w:r>
      <w:r w:rsidR="008A7DD9">
        <w:rPr>
          <w:rFonts w:ascii="Times New Roman" w:hAnsi="Times New Roman" w:cs="Times New Roman"/>
          <w:sz w:val="28"/>
          <w:szCs w:val="28"/>
        </w:rPr>
        <w:t xml:space="preserve">   </w:t>
      </w:r>
      <w:r w:rsidR="004A3871">
        <w:rPr>
          <w:rFonts w:ascii="Times New Roman" w:hAnsi="Times New Roman" w:cs="Times New Roman"/>
          <w:sz w:val="28"/>
          <w:szCs w:val="28"/>
        </w:rPr>
        <w:t xml:space="preserve">в широком смысле ассоциируется с выразительностью, и в этом смысле все примеры с игрой слов в той или иной мере экспрессивны. В работе Н.В. Рыбаковой термин «экспрессивная функция» используется в узком смысле, </w:t>
      </w:r>
      <w:r w:rsidR="002D5697">
        <w:rPr>
          <w:rFonts w:ascii="Times New Roman" w:hAnsi="Times New Roman" w:cs="Times New Roman"/>
          <w:sz w:val="28"/>
          <w:szCs w:val="28"/>
        </w:rPr>
        <w:t>а</w:t>
      </w:r>
      <w:r w:rsidR="004A3871">
        <w:rPr>
          <w:rFonts w:ascii="Times New Roman" w:hAnsi="Times New Roman" w:cs="Times New Roman"/>
          <w:sz w:val="28"/>
          <w:szCs w:val="28"/>
        </w:rPr>
        <w:t xml:space="preserve"> критерии выделения сформулированы недостаточно четко (см. примеры № 7, 8).</w:t>
      </w:r>
    </w:p>
    <w:p w:rsidR="004A3871" w:rsidRDefault="004A3871" w:rsidP="004A3871">
      <w:pPr>
        <w:spacing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71">
        <w:rPr>
          <w:rFonts w:ascii="Times New Roman" w:hAnsi="Times New Roman" w:cs="Times New Roman"/>
          <w:i/>
          <w:sz w:val="28"/>
          <w:szCs w:val="28"/>
        </w:rPr>
        <w:t>Во-вторых</w:t>
      </w:r>
      <w:r>
        <w:rPr>
          <w:rFonts w:ascii="Times New Roman" w:hAnsi="Times New Roman" w:cs="Times New Roman"/>
          <w:sz w:val="28"/>
          <w:szCs w:val="28"/>
        </w:rPr>
        <w:t xml:space="preserve">, несмотря на то, что смешанный тип установок в работе упоминается, </w:t>
      </w:r>
      <w:r w:rsidR="002D5697">
        <w:rPr>
          <w:rFonts w:ascii="Times New Roman" w:hAnsi="Times New Roman" w:cs="Times New Roman"/>
          <w:sz w:val="28"/>
          <w:szCs w:val="28"/>
        </w:rPr>
        <w:t>можно предположить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5697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это явление гораздо более частотно, чем это представлено в работе. Так, в примере № 9 установка на себя совмещается с установкой на действительность, а в №15 – установка на адресата </w:t>
      </w:r>
      <w:r w:rsidR="002D5697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>с установкой на действительность.</w:t>
      </w:r>
    </w:p>
    <w:p w:rsidR="004A3871" w:rsidRDefault="004A3871" w:rsidP="004A3871">
      <w:pPr>
        <w:spacing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71">
        <w:rPr>
          <w:rFonts w:ascii="Times New Roman" w:hAnsi="Times New Roman" w:cs="Times New Roman"/>
          <w:i/>
          <w:sz w:val="28"/>
          <w:szCs w:val="28"/>
        </w:rPr>
        <w:t>В-третьих</w:t>
      </w:r>
      <w:r>
        <w:rPr>
          <w:rFonts w:ascii="Times New Roman" w:hAnsi="Times New Roman" w:cs="Times New Roman"/>
          <w:sz w:val="28"/>
          <w:szCs w:val="28"/>
        </w:rPr>
        <w:t>, желательно было бы</w:t>
      </w:r>
      <w:r w:rsidRPr="004A3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четко показать соотношение явлений «языковая игра» и «комический эффект» в п.1.2.1., где автор без комментариев переходит от </w:t>
      </w:r>
      <w:r w:rsidR="002D5697">
        <w:rPr>
          <w:rFonts w:ascii="Times New Roman" w:hAnsi="Times New Roman" w:cs="Times New Roman"/>
          <w:sz w:val="28"/>
          <w:szCs w:val="28"/>
        </w:rPr>
        <w:t xml:space="preserve">описания </w:t>
      </w:r>
      <w:r>
        <w:rPr>
          <w:rFonts w:ascii="Times New Roman" w:hAnsi="Times New Roman" w:cs="Times New Roman"/>
          <w:sz w:val="28"/>
          <w:szCs w:val="28"/>
        </w:rPr>
        <w:t>одного из них к другому.</w:t>
      </w:r>
    </w:p>
    <w:p w:rsidR="004A3871" w:rsidRDefault="004A3871" w:rsidP="004A3871">
      <w:pPr>
        <w:spacing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71">
        <w:rPr>
          <w:rFonts w:ascii="Times New Roman" w:hAnsi="Times New Roman" w:cs="Times New Roman"/>
          <w:i/>
          <w:sz w:val="28"/>
          <w:szCs w:val="28"/>
        </w:rPr>
        <w:t>В-четвертых</w:t>
      </w:r>
      <w:r>
        <w:rPr>
          <w:rFonts w:ascii="Times New Roman" w:hAnsi="Times New Roman" w:cs="Times New Roman"/>
          <w:sz w:val="28"/>
          <w:szCs w:val="28"/>
        </w:rPr>
        <w:t xml:space="preserve">, вопрос:  не следует ли функцию «игра ради игры» считать разновидностью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функции?</w:t>
      </w:r>
    </w:p>
    <w:p w:rsidR="008A7DD9" w:rsidRDefault="004A3871" w:rsidP="004A3871">
      <w:pPr>
        <w:spacing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следует подчеркнуть, что работа Н.В.</w:t>
      </w:r>
      <w:r w:rsidR="008C78AB">
        <w:rPr>
          <w:rFonts w:ascii="Times New Roman" w:hAnsi="Times New Roman" w:cs="Times New Roman"/>
          <w:sz w:val="28"/>
          <w:szCs w:val="28"/>
        </w:rPr>
        <w:t xml:space="preserve"> </w:t>
      </w:r>
      <w:r w:rsidR="00D74BFA">
        <w:rPr>
          <w:rFonts w:ascii="Times New Roman" w:hAnsi="Times New Roman" w:cs="Times New Roman"/>
          <w:sz w:val="28"/>
          <w:szCs w:val="28"/>
        </w:rPr>
        <w:t xml:space="preserve">Рыбаковой – это тщательно выполненное исследование, </w:t>
      </w:r>
      <w:r>
        <w:rPr>
          <w:rFonts w:ascii="Times New Roman" w:hAnsi="Times New Roman" w:cs="Times New Roman"/>
          <w:sz w:val="28"/>
          <w:szCs w:val="28"/>
        </w:rPr>
        <w:t>вполне отвеча</w:t>
      </w:r>
      <w:r w:rsidR="00D74BFA">
        <w:rPr>
          <w:rFonts w:ascii="Times New Roman" w:hAnsi="Times New Roman" w:cs="Times New Roman"/>
          <w:sz w:val="28"/>
          <w:szCs w:val="28"/>
        </w:rPr>
        <w:t>ющее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предъявляемым</w:t>
      </w:r>
      <w:r w:rsidR="008C78AB">
        <w:rPr>
          <w:rFonts w:ascii="Times New Roman" w:hAnsi="Times New Roman" w:cs="Times New Roman"/>
          <w:sz w:val="28"/>
          <w:szCs w:val="28"/>
        </w:rPr>
        <w:t xml:space="preserve"> к ВКР в СПбГУ.</w:t>
      </w:r>
      <w:r w:rsidR="008A7D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78AB" w:rsidRPr="00956776" w:rsidRDefault="008C78AB" w:rsidP="004A3871">
      <w:pPr>
        <w:spacing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30.05.17                                                         /  д.ф.н. А.Г. Поспелова/</w:t>
      </w:r>
    </w:p>
    <w:sectPr w:rsidR="008C78AB" w:rsidRPr="00956776" w:rsidSect="00750AC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76"/>
    <w:rsid w:val="002D5697"/>
    <w:rsid w:val="003178EC"/>
    <w:rsid w:val="004A3871"/>
    <w:rsid w:val="00674604"/>
    <w:rsid w:val="00750ACA"/>
    <w:rsid w:val="00855F2C"/>
    <w:rsid w:val="008A7DD9"/>
    <w:rsid w:val="008C78AB"/>
    <w:rsid w:val="00956776"/>
    <w:rsid w:val="00991724"/>
    <w:rsid w:val="0099611D"/>
    <w:rsid w:val="009C5473"/>
    <w:rsid w:val="00A21FB0"/>
    <w:rsid w:val="00D572B1"/>
    <w:rsid w:val="00D74BFA"/>
    <w:rsid w:val="00F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11</cp:revision>
  <dcterms:created xsi:type="dcterms:W3CDTF">2017-05-29T14:17:00Z</dcterms:created>
  <dcterms:modified xsi:type="dcterms:W3CDTF">2017-05-29T18:18:00Z</dcterms:modified>
</cp:coreProperties>
</file>