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1B" w:rsidRPr="00603B31" w:rsidRDefault="0055081B" w:rsidP="0055081B">
      <w:pPr>
        <w:autoSpaceDE w:val="0"/>
        <w:autoSpaceDN w:val="0"/>
        <w:adjustRightInd w:val="0"/>
        <w:spacing w:after="0" w:line="360" w:lineRule="auto"/>
        <w:jc w:val="center"/>
        <w:rPr>
          <w:rFonts w:ascii="Times New Roman" w:hAnsi="Times New Roman" w:cs="Times New Roman"/>
          <w:bCs/>
          <w:sz w:val="24"/>
          <w:szCs w:val="24"/>
        </w:rPr>
      </w:pPr>
      <w:r w:rsidRPr="00603B31">
        <w:rPr>
          <w:rFonts w:ascii="Times New Roman" w:hAnsi="Times New Roman" w:cs="Times New Roman"/>
          <w:bCs/>
          <w:sz w:val="24"/>
          <w:szCs w:val="24"/>
        </w:rPr>
        <w:t>ФГОУ ВПО «Санкт-Петербургский государственный университет»</w:t>
      </w:r>
    </w:p>
    <w:p w:rsidR="0055081B" w:rsidRPr="00603B31" w:rsidRDefault="00EA55EF" w:rsidP="0055081B">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Направление «Медицина»</w:t>
      </w:r>
    </w:p>
    <w:p w:rsidR="0055081B" w:rsidRPr="00603B31" w:rsidRDefault="0055081B" w:rsidP="0055081B">
      <w:pPr>
        <w:autoSpaceDE w:val="0"/>
        <w:autoSpaceDN w:val="0"/>
        <w:adjustRightInd w:val="0"/>
        <w:spacing w:after="0" w:line="360" w:lineRule="auto"/>
        <w:jc w:val="center"/>
        <w:rPr>
          <w:rFonts w:ascii="Times New Roman" w:hAnsi="Times New Roman" w:cs="Times New Roman"/>
          <w:bCs/>
          <w:sz w:val="24"/>
          <w:szCs w:val="24"/>
        </w:rPr>
      </w:pPr>
      <w:r w:rsidRPr="00603B31">
        <w:rPr>
          <w:rFonts w:ascii="Times New Roman" w:hAnsi="Times New Roman" w:cs="Times New Roman"/>
          <w:bCs/>
          <w:sz w:val="24"/>
          <w:szCs w:val="24"/>
        </w:rPr>
        <w:t>Кафедра акушерства, гинекологии и репродуктологии</w:t>
      </w:r>
    </w:p>
    <w:p w:rsidR="0055081B" w:rsidRPr="00603B31" w:rsidRDefault="0055081B" w:rsidP="0055081B">
      <w:pPr>
        <w:autoSpaceDE w:val="0"/>
        <w:autoSpaceDN w:val="0"/>
        <w:adjustRightInd w:val="0"/>
        <w:spacing w:after="0" w:line="360" w:lineRule="auto"/>
        <w:rPr>
          <w:rFonts w:ascii="Times New Roman" w:hAnsi="Times New Roman" w:cs="Times New Roman"/>
          <w:bCs/>
          <w:sz w:val="28"/>
          <w:szCs w:val="28"/>
        </w:rPr>
      </w:pPr>
    </w:p>
    <w:p w:rsidR="0055081B" w:rsidRPr="00603B31" w:rsidRDefault="0055081B" w:rsidP="0055081B">
      <w:pPr>
        <w:autoSpaceDE w:val="0"/>
        <w:autoSpaceDN w:val="0"/>
        <w:adjustRightInd w:val="0"/>
        <w:spacing w:after="0" w:line="360" w:lineRule="auto"/>
        <w:rPr>
          <w:rFonts w:ascii="Times New Roman" w:hAnsi="Times New Roman" w:cs="Times New Roman"/>
          <w:bCs/>
          <w:sz w:val="24"/>
          <w:szCs w:val="24"/>
        </w:rPr>
      </w:pPr>
      <w:r w:rsidRPr="00603B31">
        <w:rPr>
          <w:rFonts w:ascii="Times New Roman" w:hAnsi="Times New Roman" w:cs="Times New Roman"/>
          <w:bCs/>
          <w:sz w:val="24"/>
          <w:szCs w:val="24"/>
        </w:rPr>
        <w:t>Допускается к защите</w:t>
      </w:r>
    </w:p>
    <w:p w:rsidR="0055081B" w:rsidRPr="00603B31" w:rsidRDefault="0055081B" w:rsidP="0055081B">
      <w:pPr>
        <w:autoSpaceDE w:val="0"/>
        <w:autoSpaceDN w:val="0"/>
        <w:adjustRightInd w:val="0"/>
        <w:spacing w:after="0" w:line="360" w:lineRule="auto"/>
        <w:rPr>
          <w:rFonts w:ascii="Times New Roman" w:hAnsi="Times New Roman" w:cs="Times New Roman"/>
          <w:bCs/>
          <w:sz w:val="24"/>
          <w:szCs w:val="24"/>
        </w:rPr>
      </w:pPr>
      <w:r w:rsidRPr="00603B31">
        <w:rPr>
          <w:rFonts w:ascii="Times New Roman" w:hAnsi="Times New Roman" w:cs="Times New Roman"/>
          <w:bCs/>
          <w:sz w:val="24"/>
          <w:szCs w:val="24"/>
        </w:rPr>
        <w:t>Заведующий кафедрой:</w:t>
      </w:r>
    </w:p>
    <w:p w:rsidR="0055081B" w:rsidRPr="00603B31" w:rsidRDefault="00303FBA" w:rsidP="0055081B">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д.м.н., проф. </w:t>
      </w:r>
      <w:r w:rsidR="0055081B" w:rsidRPr="00603B31">
        <w:rPr>
          <w:rFonts w:ascii="Times New Roman" w:hAnsi="Times New Roman" w:cs="Times New Roman"/>
          <w:bCs/>
          <w:sz w:val="24"/>
          <w:szCs w:val="24"/>
        </w:rPr>
        <w:t>Ниаури Д.А.</w:t>
      </w:r>
    </w:p>
    <w:p w:rsidR="0055081B" w:rsidRPr="00603B31" w:rsidRDefault="0055081B" w:rsidP="0055081B">
      <w:pPr>
        <w:autoSpaceDE w:val="0"/>
        <w:autoSpaceDN w:val="0"/>
        <w:adjustRightInd w:val="0"/>
        <w:spacing w:after="0" w:line="360" w:lineRule="auto"/>
        <w:rPr>
          <w:rFonts w:ascii="Times New Roman" w:hAnsi="Times New Roman" w:cs="Times New Roman"/>
          <w:bCs/>
          <w:sz w:val="24"/>
          <w:szCs w:val="24"/>
        </w:rPr>
      </w:pPr>
      <w:r w:rsidRPr="00603B31">
        <w:rPr>
          <w:rFonts w:ascii="Times New Roman" w:hAnsi="Times New Roman" w:cs="Times New Roman"/>
          <w:bCs/>
          <w:sz w:val="24"/>
          <w:szCs w:val="24"/>
        </w:rPr>
        <w:t>«    »________________</w:t>
      </w:r>
    </w:p>
    <w:p w:rsidR="0055081B" w:rsidRPr="00603B31" w:rsidRDefault="0055081B" w:rsidP="0055081B">
      <w:pPr>
        <w:autoSpaceDE w:val="0"/>
        <w:autoSpaceDN w:val="0"/>
        <w:adjustRightInd w:val="0"/>
        <w:spacing w:after="0" w:line="360" w:lineRule="auto"/>
        <w:jc w:val="center"/>
        <w:rPr>
          <w:rFonts w:ascii="Times New Roman" w:hAnsi="Times New Roman" w:cs="Times New Roman"/>
          <w:bCs/>
          <w:sz w:val="28"/>
          <w:szCs w:val="28"/>
        </w:rPr>
      </w:pPr>
    </w:p>
    <w:p w:rsidR="0055081B" w:rsidRDefault="0055081B" w:rsidP="0055081B">
      <w:pPr>
        <w:autoSpaceDE w:val="0"/>
        <w:autoSpaceDN w:val="0"/>
        <w:adjustRightInd w:val="0"/>
        <w:spacing w:after="0" w:line="360" w:lineRule="auto"/>
        <w:jc w:val="center"/>
        <w:rPr>
          <w:rFonts w:ascii="Times New Roman" w:hAnsi="Times New Roman" w:cs="Times New Roman"/>
          <w:bCs/>
          <w:sz w:val="28"/>
          <w:szCs w:val="28"/>
        </w:rPr>
      </w:pPr>
    </w:p>
    <w:p w:rsidR="00EA55EF" w:rsidRPr="00603B31" w:rsidRDefault="00EA55EF" w:rsidP="0055081B">
      <w:pPr>
        <w:autoSpaceDE w:val="0"/>
        <w:autoSpaceDN w:val="0"/>
        <w:adjustRightInd w:val="0"/>
        <w:spacing w:after="0" w:line="360" w:lineRule="auto"/>
        <w:jc w:val="center"/>
        <w:rPr>
          <w:rFonts w:ascii="Times New Roman" w:hAnsi="Times New Roman" w:cs="Times New Roman"/>
          <w:bCs/>
          <w:sz w:val="28"/>
          <w:szCs w:val="28"/>
        </w:rPr>
      </w:pPr>
    </w:p>
    <w:p w:rsidR="0055081B" w:rsidRPr="00EA55EF" w:rsidRDefault="00EA55EF" w:rsidP="00EA55EF">
      <w:pPr>
        <w:autoSpaceDE w:val="0"/>
        <w:autoSpaceDN w:val="0"/>
        <w:adjustRightInd w:val="0"/>
        <w:spacing w:after="0" w:line="360" w:lineRule="auto"/>
        <w:jc w:val="center"/>
        <w:rPr>
          <w:rFonts w:ascii="Times New Roman" w:hAnsi="Times New Roman" w:cs="Times New Roman"/>
          <w:b/>
          <w:bCs/>
          <w:sz w:val="28"/>
          <w:szCs w:val="28"/>
        </w:rPr>
      </w:pPr>
      <w:r w:rsidRPr="00EA55EF">
        <w:rPr>
          <w:rFonts w:ascii="Times New Roman" w:hAnsi="Times New Roman" w:cs="Times New Roman"/>
          <w:b/>
          <w:bCs/>
          <w:sz w:val="28"/>
          <w:szCs w:val="28"/>
        </w:rPr>
        <w:t>ВЫПУСКНАЯ КВАЛИФИКАЦИОННАЯ РАБОТА</w:t>
      </w:r>
      <w:r>
        <w:rPr>
          <w:rFonts w:ascii="Times New Roman" w:hAnsi="Times New Roman" w:cs="Times New Roman"/>
          <w:b/>
          <w:bCs/>
          <w:sz w:val="28"/>
          <w:szCs w:val="28"/>
        </w:rPr>
        <w:t xml:space="preserve"> </w:t>
      </w:r>
      <w:r w:rsidR="0055081B" w:rsidRPr="00EA55EF">
        <w:rPr>
          <w:rFonts w:ascii="Times New Roman" w:hAnsi="Times New Roman" w:cs="Times New Roman"/>
          <w:b/>
          <w:bCs/>
          <w:sz w:val="28"/>
          <w:szCs w:val="28"/>
        </w:rPr>
        <w:t>НА ТЕМУ:</w:t>
      </w:r>
    </w:p>
    <w:p w:rsidR="0055081B" w:rsidRPr="00603B31" w:rsidRDefault="0055081B" w:rsidP="0055081B">
      <w:pPr>
        <w:autoSpaceDE w:val="0"/>
        <w:autoSpaceDN w:val="0"/>
        <w:adjustRightInd w:val="0"/>
        <w:spacing w:after="0" w:line="240" w:lineRule="auto"/>
        <w:jc w:val="center"/>
        <w:rPr>
          <w:rFonts w:ascii="Times New Roman" w:hAnsi="Times New Roman" w:cs="Times New Roman"/>
          <w:bCs/>
          <w:sz w:val="36"/>
          <w:szCs w:val="36"/>
          <w:u w:val="single"/>
        </w:rPr>
      </w:pPr>
      <w:r w:rsidRPr="00603B31">
        <w:rPr>
          <w:rFonts w:ascii="Times New Roman" w:hAnsi="Times New Roman" w:cs="Times New Roman"/>
          <w:bCs/>
          <w:sz w:val="36"/>
          <w:szCs w:val="36"/>
          <w:u w:val="single"/>
        </w:rPr>
        <w:t>Применение мио-инозитола в составе адьювантной терапии в циклах ЭКО у пациенток со «слабым ответом» на стимуляцию суперовуляции</w:t>
      </w:r>
      <w:r w:rsidRPr="00603B31">
        <w:rPr>
          <w:rFonts w:ascii="Times New Roman" w:hAnsi="Times New Roman" w:cs="Times New Roman"/>
          <w:b/>
          <w:bCs/>
          <w:sz w:val="36"/>
          <w:szCs w:val="36"/>
          <w:u w:val="single"/>
        </w:rPr>
        <w:t xml:space="preserve"> </w:t>
      </w:r>
      <w:r w:rsidRPr="00603B31">
        <w:rPr>
          <w:rFonts w:ascii="Times New Roman" w:hAnsi="Times New Roman" w:cs="Times New Roman"/>
          <w:bCs/>
          <w:sz w:val="36"/>
          <w:szCs w:val="36"/>
          <w:u w:val="single"/>
        </w:rPr>
        <w:t xml:space="preserve"> </w:t>
      </w:r>
    </w:p>
    <w:p w:rsidR="0055081B" w:rsidRPr="00603B31" w:rsidRDefault="0055081B" w:rsidP="0055081B">
      <w:pPr>
        <w:jc w:val="right"/>
        <w:rPr>
          <w:rFonts w:ascii="Times New Roman" w:hAnsi="Times New Roman" w:cs="Times New Roman"/>
          <w:b/>
          <w:bCs/>
          <w:sz w:val="28"/>
          <w:szCs w:val="28"/>
        </w:rPr>
      </w:pPr>
    </w:p>
    <w:p w:rsidR="0055081B" w:rsidRPr="00603B31" w:rsidRDefault="0055081B" w:rsidP="0055081B">
      <w:pPr>
        <w:spacing w:after="0" w:line="360" w:lineRule="auto"/>
        <w:jc w:val="right"/>
        <w:rPr>
          <w:rFonts w:ascii="Times New Roman" w:hAnsi="Times New Roman" w:cs="Times New Roman"/>
          <w:bCs/>
          <w:sz w:val="24"/>
          <w:szCs w:val="24"/>
        </w:rPr>
      </w:pPr>
    </w:p>
    <w:p w:rsidR="0055081B" w:rsidRPr="00603B31" w:rsidRDefault="0055081B" w:rsidP="0055081B">
      <w:pPr>
        <w:spacing w:line="240" w:lineRule="auto"/>
        <w:jc w:val="right"/>
        <w:rPr>
          <w:rFonts w:ascii="Times New Roman" w:hAnsi="Times New Roman" w:cs="Times New Roman"/>
          <w:bCs/>
          <w:sz w:val="24"/>
          <w:szCs w:val="24"/>
        </w:rPr>
      </w:pPr>
    </w:p>
    <w:p w:rsidR="0055081B" w:rsidRPr="00603B31" w:rsidRDefault="0055081B" w:rsidP="0055081B">
      <w:pPr>
        <w:spacing w:line="240" w:lineRule="auto"/>
        <w:jc w:val="right"/>
        <w:rPr>
          <w:rFonts w:ascii="Times New Roman" w:hAnsi="Times New Roman" w:cs="Times New Roman"/>
          <w:bCs/>
          <w:sz w:val="24"/>
          <w:szCs w:val="24"/>
        </w:rPr>
      </w:pPr>
      <w:r w:rsidRPr="00603B31">
        <w:rPr>
          <w:rFonts w:ascii="Times New Roman" w:hAnsi="Times New Roman" w:cs="Times New Roman"/>
          <w:bCs/>
          <w:sz w:val="24"/>
          <w:szCs w:val="24"/>
        </w:rPr>
        <w:t>Выполнила</w:t>
      </w:r>
    </w:p>
    <w:p w:rsidR="0055081B" w:rsidRPr="00603B31" w:rsidRDefault="0055081B" w:rsidP="0055081B">
      <w:pPr>
        <w:spacing w:line="240" w:lineRule="auto"/>
        <w:jc w:val="right"/>
        <w:rPr>
          <w:rFonts w:ascii="Times New Roman" w:hAnsi="Times New Roman" w:cs="Times New Roman"/>
          <w:bCs/>
          <w:sz w:val="24"/>
          <w:szCs w:val="24"/>
        </w:rPr>
      </w:pPr>
      <w:r w:rsidRPr="00603B31">
        <w:rPr>
          <w:rFonts w:ascii="Times New Roman" w:hAnsi="Times New Roman" w:cs="Times New Roman"/>
          <w:bCs/>
          <w:sz w:val="24"/>
          <w:szCs w:val="24"/>
        </w:rPr>
        <w:t>студентка 603 группы</w:t>
      </w:r>
    </w:p>
    <w:p w:rsidR="0055081B" w:rsidRPr="00603B31" w:rsidRDefault="0055081B" w:rsidP="0055081B">
      <w:pPr>
        <w:spacing w:line="240" w:lineRule="auto"/>
        <w:jc w:val="right"/>
        <w:rPr>
          <w:rFonts w:ascii="Times New Roman" w:hAnsi="Times New Roman" w:cs="Times New Roman"/>
          <w:bCs/>
          <w:sz w:val="24"/>
          <w:szCs w:val="24"/>
        </w:rPr>
      </w:pPr>
      <w:r w:rsidRPr="00603B31">
        <w:rPr>
          <w:rFonts w:ascii="Times New Roman" w:hAnsi="Times New Roman" w:cs="Times New Roman"/>
          <w:bCs/>
          <w:sz w:val="24"/>
          <w:szCs w:val="24"/>
        </w:rPr>
        <w:t>Кан Вита Анатольевна</w:t>
      </w:r>
    </w:p>
    <w:p w:rsidR="0055081B" w:rsidRPr="00603B31" w:rsidRDefault="0055081B" w:rsidP="0055081B">
      <w:pPr>
        <w:spacing w:line="240" w:lineRule="auto"/>
        <w:jc w:val="right"/>
        <w:rPr>
          <w:rFonts w:ascii="Times New Roman" w:hAnsi="Times New Roman" w:cs="Times New Roman"/>
          <w:bCs/>
          <w:sz w:val="24"/>
          <w:szCs w:val="24"/>
        </w:rPr>
      </w:pPr>
    </w:p>
    <w:p w:rsidR="0055081B" w:rsidRPr="00603B31" w:rsidRDefault="0055081B" w:rsidP="0055081B">
      <w:pPr>
        <w:spacing w:line="240" w:lineRule="auto"/>
        <w:jc w:val="right"/>
        <w:rPr>
          <w:rFonts w:ascii="Times New Roman" w:hAnsi="Times New Roman" w:cs="Times New Roman"/>
          <w:bCs/>
          <w:sz w:val="24"/>
          <w:szCs w:val="24"/>
        </w:rPr>
      </w:pPr>
      <w:r w:rsidRPr="00603B31">
        <w:rPr>
          <w:rFonts w:ascii="Times New Roman" w:hAnsi="Times New Roman" w:cs="Times New Roman"/>
          <w:bCs/>
          <w:sz w:val="24"/>
          <w:szCs w:val="24"/>
        </w:rPr>
        <w:t>Научный руководитель</w:t>
      </w:r>
    </w:p>
    <w:p w:rsidR="0055081B" w:rsidRPr="00603B31" w:rsidRDefault="0055081B" w:rsidP="0055081B">
      <w:pPr>
        <w:spacing w:line="240" w:lineRule="auto"/>
        <w:jc w:val="right"/>
        <w:rPr>
          <w:rFonts w:ascii="Times New Roman" w:hAnsi="Times New Roman" w:cs="Times New Roman"/>
          <w:bCs/>
          <w:sz w:val="24"/>
          <w:szCs w:val="24"/>
        </w:rPr>
      </w:pPr>
      <w:r w:rsidRPr="00603B31">
        <w:rPr>
          <w:rFonts w:ascii="Times New Roman" w:hAnsi="Times New Roman" w:cs="Times New Roman"/>
          <w:bCs/>
          <w:sz w:val="24"/>
          <w:szCs w:val="24"/>
        </w:rPr>
        <w:t>д.м.н.</w:t>
      </w:r>
      <w:r w:rsidR="00315103">
        <w:rPr>
          <w:rFonts w:ascii="Times New Roman" w:hAnsi="Times New Roman" w:cs="Times New Roman"/>
          <w:bCs/>
          <w:sz w:val="24"/>
          <w:szCs w:val="24"/>
        </w:rPr>
        <w:t>, доц.</w:t>
      </w:r>
      <w:r w:rsidRPr="00603B31">
        <w:rPr>
          <w:rFonts w:ascii="Times New Roman" w:hAnsi="Times New Roman" w:cs="Times New Roman"/>
          <w:bCs/>
          <w:sz w:val="24"/>
          <w:szCs w:val="24"/>
        </w:rPr>
        <w:t xml:space="preserve"> Гзгзян Александр Мкртичевич</w:t>
      </w:r>
    </w:p>
    <w:p w:rsidR="0055081B" w:rsidRPr="00603B31" w:rsidRDefault="0055081B" w:rsidP="0055081B">
      <w:pPr>
        <w:jc w:val="right"/>
        <w:rPr>
          <w:rFonts w:ascii="Times New Roman" w:hAnsi="Times New Roman" w:cs="Times New Roman"/>
          <w:bCs/>
          <w:sz w:val="28"/>
          <w:szCs w:val="28"/>
        </w:rPr>
      </w:pPr>
    </w:p>
    <w:p w:rsidR="0055081B" w:rsidRPr="00603B31" w:rsidRDefault="0055081B" w:rsidP="0055081B">
      <w:pPr>
        <w:jc w:val="right"/>
        <w:rPr>
          <w:rFonts w:ascii="Times New Roman" w:hAnsi="Times New Roman" w:cs="Times New Roman"/>
          <w:bCs/>
          <w:sz w:val="28"/>
          <w:szCs w:val="28"/>
        </w:rPr>
      </w:pPr>
    </w:p>
    <w:p w:rsidR="0055081B" w:rsidRPr="00603B31" w:rsidRDefault="0055081B" w:rsidP="0055081B">
      <w:pPr>
        <w:jc w:val="right"/>
        <w:rPr>
          <w:rFonts w:ascii="Times New Roman" w:hAnsi="Times New Roman" w:cs="Times New Roman"/>
          <w:bCs/>
          <w:sz w:val="28"/>
          <w:szCs w:val="28"/>
        </w:rPr>
      </w:pPr>
    </w:p>
    <w:p w:rsidR="0055081B" w:rsidRPr="00603B31" w:rsidRDefault="0055081B" w:rsidP="0055081B">
      <w:pPr>
        <w:jc w:val="right"/>
        <w:rPr>
          <w:rFonts w:ascii="Times New Roman" w:hAnsi="Times New Roman" w:cs="Times New Roman"/>
          <w:bCs/>
          <w:sz w:val="28"/>
          <w:szCs w:val="28"/>
        </w:rPr>
      </w:pPr>
    </w:p>
    <w:p w:rsidR="0055081B" w:rsidRPr="00603B31" w:rsidRDefault="0055081B" w:rsidP="0055081B">
      <w:pPr>
        <w:jc w:val="center"/>
        <w:rPr>
          <w:rFonts w:ascii="Times New Roman" w:hAnsi="Times New Roman" w:cs="Times New Roman"/>
          <w:bCs/>
          <w:sz w:val="24"/>
          <w:szCs w:val="24"/>
        </w:rPr>
      </w:pPr>
      <w:r w:rsidRPr="00603B31">
        <w:rPr>
          <w:rFonts w:ascii="Times New Roman" w:hAnsi="Times New Roman" w:cs="Times New Roman"/>
          <w:bCs/>
          <w:sz w:val="24"/>
          <w:szCs w:val="24"/>
        </w:rPr>
        <w:t>Санкт-Петербург</w:t>
      </w:r>
    </w:p>
    <w:p w:rsidR="0055081B" w:rsidRPr="00603B31" w:rsidRDefault="0055081B" w:rsidP="0055081B">
      <w:pPr>
        <w:jc w:val="center"/>
        <w:rPr>
          <w:rFonts w:ascii="Times New Roman" w:hAnsi="Times New Roman" w:cs="Times New Roman"/>
          <w:bCs/>
          <w:sz w:val="28"/>
          <w:szCs w:val="28"/>
        </w:rPr>
      </w:pPr>
      <w:r w:rsidRPr="00603B31">
        <w:rPr>
          <w:rFonts w:ascii="Times New Roman" w:hAnsi="Times New Roman" w:cs="Times New Roman"/>
          <w:bCs/>
          <w:sz w:val="24"/>
          <w:szCs w:val="24"/>
        </w:rPr>
        <w:t>2017</w:t>
      </w:r>
      <w:r w:rsidRPr="00603B31">
        <w:rPr>
          <w:rFonts w:ascii="Times New Roman" w:hAnsi="Times New Roman" w:cs="Times New Roman"/>
          <w:bCs/>
          <w:sz w:val="28"/>
          <w:szCs w:val="28"/>
        </w:rPr>
        <w:br w:type="page"/>
      </w:r>
    </w:p>
    <w:p w:rsidR="0055081B" w:rsidRPr="00603B31" w:rsidRDefault="0055081B">
      <w:pPr>
        <w:rPr>
          <w:rFonts w:ascii="Times New Roman" w:hAnsi="Times New Roman" w:cs="Times New Roman"/>
          <w:bCs/>
          <w:sz w:val="28"/>
          <w:szCs w:val="28"/>
        </w:rPr>
      </w:pPr>
      <w:r w:rsidRPr="00603B31">
        <w:rPr>
          <w:rFonts w:ascii="Times New Roman" w:hAnsi="Times New Roman" w:cs="Times New Roman"/>
          <w:bCs/>
          <w:sz w:val="28"/>
          <w:szCs w:val="28"/>
        </w:rPr>
        <w:lastRenderedPageBreak/>
        <w:t>ОГЛАВЛЕНИЕ</w:t>
      </w:r>
    </w:p>
    <w:p w:rsidR="0055081B" w:rsidRPr="00603B31" w:rsidRDefault="0055081B">
      <w:pPr>
        <w:rPr>
          <w:rFonts w:ascii="Times New Roman" w:hAnsi="Times New Roman" w:cs="Times New Roman"/>
          <w:bCs/>
          <w:sz w:val="28"/>
          <w:szCs w:val="28"/>
        </w:rPr>
      </w:pP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Список сокращений…………………………………</w:t>
      </w:r>
      <w:r w:rsidR="00287848" w:rsidRPr="00603B31">
        <w:rPr>
          <w:rFonts w:ascii="Times New Roman" w:hAnsi="Times New Roman" w:cs="Times New Roman"/>
          <w:bCs/>
          <w:sz w:val="24"/>
          <w:szCs w:val="24"/>
        </w:rPr>
        <w:t>………...…………………………………3</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Введение</w:t>
      </w:r>
      <w:r w:rsidR="002B138F"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w:t>
      </w:r>
      <w:r w:rsidR="008028E5"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4</w:t>
      </w:r>
    </w:p>
    <w:p w:rsidR="0055081B" w:rsidRPr="00603B31" w:rsidRDefault="0055081B" w:rsidP="005F6965">
      <w:pPr>
        <w:pStyle w:val="a3"/>
        <w:numPr>
          <w:ilvl w:val="0"/>
          <w:numId w:val="23"/>
        </w:num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Актуальность проблемы</w:t>
      </w:r>
      <w:r w:rsidR="00287848" w:rsidRPr="00603B31">
        <w:rPr>
          <w:rFonts w:ascii="Times New Roman" w:hAnsi="Times New Roman" w:cs="Times New Roman"/>
          <w:bCs/>
          <w:sz w:val="24"/>
          <w:szCs w:val="24"/>
        </w:rPr>
        <w:t>……………</w:t>
      </w:r>
      <w:r w:rsidR="005F6965" w:rsidRPr="00603B31">
        <w:rPr>
          <w:rFonts w:ascii="Times New Roman" w:hAnsi="Times New Roman" w:cs="Times New Roman"/>
          <w:bCs/>
          <w:sz w:val="24"/>
          <w:szCs w:val="24"/>
        </w:rPr>
        <w:t>.</w:t>
      </w:r>
      <w:r w:rsidR="00CE26BC">
        <w:rPr>
          <w:rFonts w:ascii="Times New Roman" w:hAnsi="Times New Roman" w:cs="Times New Roman"/>
          <w:bCs/>
          <w:sz w:val="24"/>
          <w:szCs w:val="24"/>
        </w:rPr>
        <w:t>……...</w:t>
      </w:r>
      <w:r w:rsidR="00287848" w:rsidRPr="00603B31">
        <w:rPr>
          <w:rFonts w:ascii="Times New Roman" w:hAnsi="Times New Roman" w:cs="Times New Roman"/>
          <w:bCs/>
          <w:sz w:val="24"/>
          <w:szCs w:val="24"/>
        </w:rPr>
        <w:t>………..</w:t>
      </w:r>
      <w:r w:rsidR="008028E5"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……4</w:t>
      </w:r>
    </w:p>
    <w:p w:rsidR="0055081B" w:rsidRPr="00603B31" w:rsidRDefault="0055081B" w:rsidP="005F6965">
      <w:pPr>
        <w:pStyle w:val="a3"/>
        <w:numPr>
          <w:ilvl w:val="0"/>
          <w:numId w:val="23"/>
        </w:numPr>
        <w:spacing w:after="0" w:line="360" w:lineRule="auto"/>
        <w:ind w:left="1040"/>
        <w:jc w:val="right"/>
        <w:rPr>
          <w:rFonts w:ascii="Times New Roman" w:hAnsi="Times New Roman" w:cs="Times New Roman"/>
          <w:bCs/>
          <w:sz w:val="24"/>
          <w:szCs w:val="24"/>
        </w:rPr>
      </w:pPr>
      <w:r w:rsidRPr="00603B31">
        <w:rPr>
          <w:rFonts w:ascii="Times New Roman" w:hAnsi="Times New Roman" w:cs="Times New Roman"/>
          <w:bCs/>
          <w:sz w:val="24"/>
          <w:szCs w:val="24"/>
        </w:rPr>
        <w:t>Цель и задачи исследования</w:t>
      </w:r>
      <w:r w:rsidR="002B138F" w:rsidRPr="00603B31">
        <w:rPr>
          <w:rFonts w:ascii="Times New Roman" w:hAnsi="Times New Roman" w:cs="Times New Roman"/>
          <w:bCs/>
          <w:sz w:val="24"/>
          <w:szCs w:val="24"/>
        </w:rPr>
        <w:t xml:space="preserve"> ...</w:t>
      </w:r>
      <w:r w:rsidR="005F6965" w:rsidRPr="00603B31">
        <w:rPr>
          <w:rFonts w:ascii="Times New Roman" w:hAnsi="Times New Roman" w:cs="Times New Roman"/>
          <w:bCs/>
          <w:sz w:val="24"/>
          <w:szCs w:val="24"/>
        </w:rPr>
        <w:t>...</w:t>
      </w:r>
      <w:r w:rsidR="008028E5" w:rsidRPr="00603B31">
        <w:rPr>
          <w:rFonts w:ascii="Times New Roman" w:hAnsi="Times New Roman" w:cs="Times New Roman"/>
          <w:bCs/>
          <w:sz w:val="24"/>
          <w:szCs w:val="24"/>
        </w:rPr>
        <w:t>…</w:t>
      </w:r>
      <w:r w:rsidR="005F6965" w:rsidRPr="00603B31">
        <w:rPr>
          <w:rFonts w:ascii="Times New Roman" w:hAnsi="Times New Roman" w:cs="Times New Roman"/>
          <w:bCs/>
          <w:sz w:val="24"/>
          <w:szCs w:val="24"/>
        </w:rPr>
        <w:t>..</w:t>
      </w:r>
      <w:r w:rsidR="008028E5"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………………...5</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Основная часть</w:t>
      </w:r>
      <w:r w:rsidR="00287848" w:rsidRPr="00603B31">
        <w:rPr>
          <w:rFonts w:ascii="Times New Roman" w:hAnsi="Times New Roman" w:cs="Times New Roman"/>
          <w:bCs/>
          <w:sz w:val="24"/>
          <w:szCs w:val="24"/>
        </w:rPr>
        <w:t>……………………………………</w:t>
      </w:r>
      <w:r w:rsidR="005F6965"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……………………………………………..6</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 xml:space="preserve">Глава </w:t>
      </w:r>
      <w:r w:rsidRPr="00603B31">
        <w:rPr>
          <w:rFonts w:ascii="Times New Roman" w:hAnsi="Times New Roman" w:cs="Times New Roman"/>
          <w:bCs/>
          <w:sz w:val="24"/>
          <w:szCs w:val="24"/>
          <w:lang w:val="en-US"/>
        </w:rPr>
        <w:t>I</w:t>
      </w:r>
      <w:r w:rsidRPr="00603B31">
        <w:rPr>
          <w:rFonts w:ascii="Times New Roman" w:hAnsi="Times New Roman" w:cs="Times New Roman"/>
          <w:bCs/>
          <w:sz w:val="24"/>
          <w:szCs w:val="24"/>
        </w:rPr>
        <w:t>. Обзор литературы</w:t>
      </w:r>
      <w:r w:rsidR="006A39C1"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……………………………………………………………………6</w:t>
      </w:r>
    </w:p>
    <w:p w:rsidR="008028E5" w:rsidRPr="00603B31" w:rsidRDefault="008028E5" w:rsidP="005F6965">
      <w:pPr>
        <w:spacing w:after="0" w:line="360" w:lineRule="auto"/>
        <w:ind w:left="705"/>
        <w:jc w:val="right"/>
        <w:rPr>
          <w:rFonts w:ascii="Times New Roman" w:hAnsi="Times New Roman" w:cs="Times New Roman"/>
          <w:bCs/>
          <w:sz w:val="24"/>
          <w:szCs w:val="24"/>
        </w:rPr>
      </w:pPr>
      <w:r w:rsidRPr="00603B31">
        <w:rPr>
          <w:rFonts w:ascii="Times New Roman" w:hAnsi="Times New Roman" w:cs="Times New Roman"/>
          <w:bCs/>
          <w:sz w:val="24"/>
          <w:szCs w:val="24"/>
        </w:rPr>
        <w:t>1.1</w:t>
      </w:r>
      <w:r w:rsidRPr="00603B31">
        <w:t xml:space="preserve"> </w:t>
      </w:r>
      <w:r w:rsidRPr="00603B31">
        <w:rPr>
          <w:rFonts w:ascii="Times New Roman" w:hAnsi="Times New Roman" w:cs="Times New Roman"/>
          <w:bCs/>
          <w:sz w:val="24"/>
          <w:szCs w:val="24"/>
        </w:rPr>
        <w:t xml:space="preserve">Современные представления об овариальном резерве и оптимальном ответе яичников  на стимуляцию суперовуляции в циклах ЭКО………………….…………6 </w:t>
      </w:r>
    </w:p>
    <w:p w:rsidR="008028E5" w:rsidRPr="00603B31" w:rsidRDefault="002B138F"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 xml:space="preserve">                  </w:t>
      </w:r>
      <w:r w:rsidR="008028E5" w:rsidRPr="00603B31">
        <w:rPr>
          <w:rFonts w:ascii="Times New Roman" w:hAnsi="Times New Roman" w:cs="Times New Roman"/>
          <w:bCs/>
          <w:sz w:val="24"/>
          <w:szCs w:val="24"/>
        </w:rPr>
        <w:t>1.2 «Слабый ответ» яичников на стимуляцию суперовуляции</w:t>
      </w:r>
      <w:r w:rsidR="00CE26BC">
        <w:rPr>
          <w:rFonts w:ascii="Times New Roman" w:hAnsi="Times New Roman" w:cs="Times New Roman"/>
          <w:bCs/>
          <w:sz w:val="24"/>
          <w:szCs w:val="24"/>
        </w:rPr>
        <w:t>.</w:t>
      </w:r>
      <w:r w:rsidR="008028E5" w:rsidRPr="00603B31">
        <w:rPr>
          <w:rFonts w:ascii="Times New Roman" w:hAnsi="Times New Roman" w:cs="Times New Roman"/>
          <w:bCs/>
          <w:sz w:val="24"/>
          <w:szCs w:val="24"/>
        </w:rPr>
        <w:t>……...…</w:t>
      </w:r>
      <w:r w:rsidR="00811CA0" w:rsidRPr="00603B31">
        <w:rPr>
          <w:rFonts w:ascii="Times New Roman" w:hAnsi="Times New Roman" w:cs="Times New Roman"/>
          <w:bCs/>
          <w:sz w:val="24"/>
          <w:szCs w:val="24"/>
        </w:rPr>
        <w:t>.</w:t>
      </w:r>
      <w:r w:rsidR="008028E5" w:rsidRPr="00603B31">
        <w:rPr>
          <w:rFonts w:ascii="Times New Roman" w:hAnsi="Times New Roman" w:cs="Times New Roman"/>
          <w:bCs/>
          <w:sz w:val="24"/>
          <w:szCs w:val="24"/>
        </w:rPr>
        <w:t>……...10</w:t>
      </w:r>
    </w:p>
    <w:p w:rsidR="008028E5" w:rsidRPr="00603B31" w:rsidRDefault="008028E5" w:rsidP="002B138F">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1.3 Общая характеристика мио-инозитола</w:t>
      </w:r>
      <w:r w:rsidR="002B138F" w:rsidRPr="00603B31">
        <w:rPr>
          <w:rFonts w:ascii="Times New Roman" w:hAnsi="Times New Roman" w:cs="Times New Roman"/>
          <w:bCs/>
          <w:sz w:val="24"/>
          <w:szCs w:val="24"/>
        </w:rPr>
        <w:t>....</w:t>
      </w:r>
      <w:r w:rsidR="00071013" w:rsidRPr="00603B31">
        <w:rPr>
          <w:rFonts w:ascii="Times New Roman" w:hAnsi="Times New Roman" w:cs="Times New Roman"/>
          <w:bCs/>
          <w:sz w:val="24"/>
          <w:szCs w:val="24"/>
        </w:rPr>
        <w:t>………………………...…….……19</w:t>
      </w:r>
    </w:p>
    <w:p w:rsidR="008028E5" w:rsidRPr="00603B31" w:rsidRDefault="008028E5"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1.4</w:t>
      </w:r>
      <w:r w:rsidR="00811CA0" w:rsidRPr="00603B31">
        <w:t xml:space="preserve"> </w:t>
      </w:r>
      <w:r w:rsidR="00811CA0" w:rsidRPr="00603B31">
        <w:rPr>
          <w:rFonts w:ascii="Times New Roman" w:hAnsi="Times New Roman" w:cs="Times New Roman"/>
          <w:bCs/>
          <w:sz w:val="24"/>
          <w:szCs w:val="24"/>
        </w:rPr>
        <w:t>Обзор молекулярно-физиологических эффектов мио-инозитола</w:t>
      </w:r>
      <w:r w:rsidR="002B138F" w:rsidRPr="00603B31">
        <w:rPr>
          <w:rFonts w:ascii="Times New Roman" w:hAnsi="Times New Roman" w:cs="Times New Roman"/>
          <w:bCs/>
          <w:sz w:val="24"/>
          <w:szCs w:val="24"/>
        </w:rPr>
        <w:t>....</w:t>
      </w:r>
      <w:r w:rsidR="00071013" w:rsidRPr="00603B31">
        <w:rPr>
          <w:rFonts w:ascii="Times New Roman" w:hAnsi="Times New Roman" w:cs="Times New Roman"/>
          <w:bCs/>
          <w:sz w:val="24"/>
          <w:szCs w:val="24"/>
        </w:rPr>
        <w:t>……….20</w:t>
      </w:r>
    </w:p>
    <w:p w:rsidR="008028E5" w:rsidRPr="00603B31" w:rsidRDefault="008028E5" w:rsidP="002B138F">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1.5</w:t>
      </w:r>
      <w:r w:rsidR="002B138F" w:rsidRPr="00603B31">
        <w:rPr>
          <w:rFonts w:ascii="Times New Roman" w:hAnsi="Times New Roman" w:cs="Times New Roman"/>
          <w:bCs/>
          <w:sz w:val="24"/>
          <w:szCs w:val="24"/>
        </w:rPr>
        <w:t xml:space="preserve"> Применение мио-инозитола....…</w:t>
      </w:r>
      <w:r w:rsidR="009E2E3A"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…………………21</w:t>
      </w:r>
    </w:p>
    <w:p w:rsidR="008028E5" w:rsidRPr="00603B31" w:rsidRDefault="008028E5"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1.6</w:t>
      </w:r>
      <w:r w:rsidR="00811CA0" w:rsidRPr="00603B31">
        <w:t xml:space="preserve"> </w:t>
      </w:r>
      <w:r w:rsidR="002B138F" w:rsidRPr="00603B31">
        <w:t xml:space="preserve"> </w:t>
      </w:r>
      <w:r w:rsidR="009E2E3A" w:rsidRPr="00603B31">
        <w:rPr>
          <w:rFonts w:ascii="Times New Roman" w:hAnsi="Times New Roman" w:cs="Times New Roman"/>
          <w:bCs/>
          <w:sz w:val="24"/>
          <w:szCs w:val="24"/>
        </w:rPr>
        <w:t>Влияние мио-инозитола на репродуктивную сист</w:t>
      </w:r>
      <w:r w:rsidR="002B138F" w:rsidRPr="00603B31">
        <w:rPr>
          <w:rFonts w:ascii="Times New Roman" w:hAnsi="Times New Roman" w:cs="Times New Roman"/>
          <w:bCs/>
          <w:sz w:val="24"/>
          <w:szCs w:val="24"/>
        </w:rPr>
        <w:t>ем</w:t>
      </w:r>
      <w:r w:rsidR="00CE26BC">
        <w:rPr>
          <w:rFonts w:ascii="Times New Roman" w:hAnsi="Times New Roman" w:cs="Times New Roman"/>
          <w:bCs/>
          <w:sz w:val="24"/>
          <w:szCs w:val="24"/>
        </w:rPr>
        <w:t>у</w:t>
      </w:r>
      <w:r w:rsidR="009E2E3A"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……………..22</w:t>
      </w:r>
    </w:p>
    <w:p w:rsidR="008028E5" w:rsidRPr="00603B31" w:rsidRDefault="008028E5"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1.7</w:t>
      </w:r>
      <w:r w:rsidR="00811CA0" w:rsidRPr="00603B31">
        <w:t xml:space="preserve"> </w:t>
      </w:r>
      <w:r w:rsidR="009E2E3A" w:rsidRPr="00603B31">
        <w:rPr>
          <w:rFonts w:ascii="Times New Roman" w:hAnsi="Times New Roman" w:cs="Times New Roman"/>
          <w:bCs/>
          <w:sz w:val="24"/>
          <w:szCs w:val="24"/>
        </w:rPr>
        <w:t>Влияние мио-инозитола на функ</w:t>
      </w:r>
      <w:r w:rsidR="00CE26BC">
        <w:rPr>
          <w:rFonts w:ascii="Times New Roman" w:hAnsi="Times New Roman" w:cs="Times New Roman"/>
          <w:bCs/>
          <w:sz w:val="24"/>
          <w:szCs w:val="24"/>
        </w:rPr>
        <w:t>цию</w:t>
      </w:r>
      <w:r w:rsidR="002B138F" w:rsidRPr="00603B31">
        <w:rPr>
          <w:rFonts w:ascii="Times New Roman" w:hAnsi="Times New Roman" w:cs="Times New Roman"/>
          <w:bCs/>
          <w:sz w:val="24"/>
          <w:szCs w:val="24"/>
        </w:rPr>
        <w:t xml:space="preserve"> яичников в рамках цикла ЭКО</w:t>
      </w:r>
      <w:r w:rsidR="00CE26BC">
        <w:rPr>
          <w:rFonts w:ascii="Times New Roman" w:hAnsi="Times New Roman" w:cs="Times New Roman"/>
          <w:bCs/>
          <w:sz w:val="24"/>
          <w:szCs w:val="24"/>
        </w:rPr>
        <w:t>...</w:t>
      </w:r>
      <w:r w:rsidR="002B138F" w:rsidRPr="00603B31">
        <w:rPr>
          <w:rFonts w:ascii="Times New Roman" w:hAnsi="Times New Roman" w:cs="Times New Roman"/>
          <w:bCs/>
          <w:sz w:val="24"/>
          <w:szCs w:val="24"/>
        </w:rPr>
        <w:t>…..23</w:t>
      </w:r>
    </w:p>
    <w:p w:rsidR="008028E5" w:rsidRPr="00603B31" w:rsidRDefault="008028E5"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1.8</w:t>
      </w:r>
      <w:r w:rsidR="009E2E3A" w:rsidRPr="00603B31">
        <w:rPr>
          <w:rFonts w:ascii="Times New Roman" w:hAnsi="Times New Roman" w:cs="Times New Roman"/>
          <w:bCs/>
          <w:sz w:val="24"/>
          <w:szCs w:val="24"/>
        </w:rPr>
        <w:t xml:space="preserve"> Форма выпуска препаратов, содержащих мио-инозитол</w:t>
      </w:r>
      <w:r w:rsidR="00811CA0" w:rsidRPr="00603B31">
        <w:rPr>
          <w:rFonts w:ascii="Times New Roman" w:hAnsi="Times New Roman" w:cs="Times New Roman"/>
          <w:bCs/>
          <w:sz w:val="24"/>
          <w:szCs w:val="24"/>
        </w:rPr>
        <w:t>..…</w:t>
      </w:r>
      <w:r w:rsidR="009E2E3A"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…25</w:t>
      </w:r>
    </w:p>
    <w:p w:rsidR="00811CA0" w:rsidRPr="00603B31" w:rsidRDefault="00811CA0"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1.9</w:t>
      </w:r>
      <w:r w:rsidRPr="00603B31">
        <w:t xml:space="preserve"> </w:t>
      </w:r>
      <w:r w:rsidRPr="00603B31">
        <w:rPr>
          <w:rFonts w:ascii="Times New Roman" w:hAnsi="Times New Roman" w:cs="Times New Roman"/>
          <w:bCs/>
          <w:sz w:val="24"/>
          <w:szCs w:val="24"/>
        </w:rPr>
        <w:t xml:space="preserve">Безопасность применения препаратов мио-инозитола </w:t>
      </w:r>
      <w:r w:rsidR="002B138F" w:rsidRPr="00603B31">
        <w:rPr>
          <w:rFonts w:ascii="Times New Roman" w:hAnsi="Times New Roman" w:cs="Times New Roman"/>
          <w:bCs/>
          <w:sz w:val="24"/>
          <w:szCs w:val="24"/>
        </w:rPr>
        <w:t>……….……………25</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 xml:space="preserve">Глава </w:t>
      </w:r>
      <w:r w:rsidRPr="00603B31">
        <w:rPr>
          <w:rFonts w:ascii="Times New Roman" w:hAnsi="Times New Roman" w:cs="Times New Roman"/>
          <w:bCs/>
          <w:sz w:val="24"/>
          <w:szCs w:val="24"/>
          <w:lang w:val="en-US"/>
        </w:rPr>
        <w:t>II</w:t>
      </w:r>
      <w:r w:rsidRPr="00603B31">
        <w:rPr>
          <w:rFonts w:ascii="Times New Roman" w:hAnsi="Times New Roman" w:cs="Times New Roman"/>
          <w:bCs/>
          <w:sz w:val="24"/>
          <w:szCs w:val="24"/>
        </w:rPr>
        <w:t>. Материалы и методы</w:t>
      </w:r>
      <w:r w:rsidR="00287848" w:rsidRPr="00603B31">
        <w:rPr>
          <w:rFonts w:ascii="Times New Roman" w:hAnsi="Times New Roman" w:cs="Times New Roman"/>
          <w:bCs/>
          <w:sz w:val="24"/>
          <w:szCs w:val="24"/>
        </w:rPr>
        <w:t>…………………………………………………………………</w:t>
      </w:r>
      <w:r w:rsidR="00071013" w:rsidRPr="00603B31">
        <w:rPr>
          <w:rFonts w:ascii="Times New Roman" w:hAnsi="Times New Roman" w:cs="Times New Roman"/>
          <w:bCs/>
          <w:sz w:val="24"/>
          <w:szCs w:val="24"/>
        </w:rPr>
        <w:t>27</w:t>
      </w:r>
    </w:p>
    <w:p w:rsidR="0055081B" w:rsidRPr="00603B31" w:rsidRDefault="0055081B" w:rsidP="005F6965">
      <w:pPr>
        <w:pStyle w:val="a3"/>
        <w:numPr>
          <w:ilvl w:val="1"/>
          <w:numId w:val="23"/>
        </w:num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Материалы исследования</w:t>
      </w:r>
      <w:r w:rsidR="00287848" w:rsidRPr="00603B31">
        <w:rPr>
          <w:rFonts w:ascii="Times New Roman" w:hAnsi="Times New Roman" w:cs="Times New Roman"/>
          <w:bCs/>
          <w:sz w:val="24"/>
          <w:szCs w:val="24"/>
        </w:rPr>
        <w:t>…………………………</w:t>
      </w:r>
      <w:r w:rsidR="00811CA0" w:rsidRPr="00603B31">
        <w:rPr>
          <w:rFonts w:ascii="Times New Roman" w:hAnsi="Times New Roman" w:cs="Times New Roman"/>
          <w:bCs/>
          <w:sz w:val="24"/>
          <w:szCs w:val="24"/>
        </w:rPr>
        <w:t>……………….</w:t>
      </w:r>
      <w:r w:rsidR="00287848" w:rsidRPr="00603B31">
        <w:rPr>
          <w:rFonts w:ascii="Times New Roman" w:hAnsi="Times New Roman" w:cs="Times New Roman"/>
          <w:bCs/>
          <w:sz w:val="24"/>
          <w:szCs w:val="24"/>
        </w:rPr>
        <w:t>………….</w:t>
      </w:r>
      <w:r w:rsidR="00071013" w:rsidRPr="00603B31">
        <w:rPr>
          <w:rFonts w:ascii="Times New Roman" w:hAnsi="Times New Roman" w:cs="Times New Roman"/>
          <w:bCs/>
          <w:sz w:val="24"/>
          <w:szCs w:val="24"/>
        </w:rPr>
        <w:t>27</w:t>
      </w:r>
    </w:p>
    <w:p w:rsidR="0055081B" w:rsidRPr="00603B31" w:rsidRDefault="0055081B" w:rsidP="005F6965">
      <w:pPr>
        <w:pStyle w:val="a3"/>
        <w:numPr>
          <w:ilvl w:val="1"/>
          <w:numId w:val="23"/>
        </w:num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Методы исследования</w:t>
      </w:r>
      <w:r w:rsidR="00287848" w:rsidRPr="00603B31">
        <w:rPr>
          <w:rFonts w:ascii="Times New Roman" w:hAnsi="Times New Roman" w:cs="Times New Roman"/>
          <w:bCs/>
          <w:sz w:val="24"/>
          <w:szCs w:val="24"/>
        </w:rPr>
        <w:t>…………………………………………………………</w:t>
      </w:r>
      <w:r w:rsidR="00071013" w:rsidRPr="00603B31">
        <w:rPr>
          <w:rFonts w:ascii="Times New Roman" w:hAnsi="Times New Roman" w:cs="Times New Roman"/>
          <w:bCs/>
          <w:sz w:val="24"/>
          <w:szCs w:val="24"/>
        </w:rPr>
        <w:t>2</w:t>
      </w:r>
      <w:r w:rsidR="002B138F" w:rsidRPr="00603B31">
        <w:rPr>
          <w:rFonts w:ascii="Times New Roman" w:hAnsi="Times New Roman" w:cs="Times New Roman"/>
          <w:bCs/>
          <w:sz w:val="24"/>
          <w:szCs w:val="24"/>
        </w:rPr>
        <w:t>7</w:t>
      </w:r>
    </w:p>
    <w:p w:rsidR="002B138F" w:rsidRPr="00603B31" w:rsidRDefault="002B138F" w:rsidP="002B138F">
      <w:pPr>
        <w:pStyle w:val="a3"/>
        <w:numPr>
          <w:ilvl w:val="2"/>
          <w:numId w:val="23"/>
        </w:num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Протокол стимуляции суперовуляции и ЭКО…………………….28</w:t>
      </w:r>
    </w:p>
    <w:p w:rsidR="002B138F" w:rsidRPr="00603B31" w:rsidRDefault="002B138F" w:rsidP="002B138F">
      <w:pPr>
        <w:pStyle w:val="a3"/>
        <w:numPr>
          <w:ilvl w:val="2"/>
          <w:numId w:val="23"/>
        </w:num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 xml:space="preserve">Морфологическая оценка качества эмбрионов …………………..28  </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 xml:space="preserve">Глава </w:t>
      </w:r>
      <w:r w:rsidRPr="00603B31">
        <w:rPr>
          <w:rFonts w:ascii="Times New Roman" w:hAnsi="Times New Roman" w:cs="Times New Roman"/>
          <w:bCs/>
          <w:sz w:val="24"/>
          <w:szCs w:val="24"/>
          <w:lang w:val="en-US"/>
        </w:rPr>
        <w:t>III</w:t>
      </w:r>
      <w:r w:rsidRPr="00603B31">
        <w:rPr>
          <w:rFonts w:ascii="Times New Roman" w:hAnsi="Times New Roman" w:cs="Times New Roman"/>
          <w:bCs/>
          <w:sz w:val="24"/>
          <w:szCs w:val="24"/>
        </w:rPr>
        <w:t>. Результаты исследования</w:t>
      </w:r>
      <w:r w:rsidR="00287848"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31</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ab/>
        <w:t>3.1 Общая характеристика исследуемых женщин</w:t>
      </w:r>
      <w:r w:rsidR="006A39C1"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……………………...……31</w:t>
      </w:r>
    </w:p>
    <w:p w:rsidR="0055081B" w:rsidRPr="00603B31" w:rsidRDefault="00287848"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ab/>
      </w:r>
      <w:r w:rsidR="00811CA0" w:rsidRPr="00603B31">
        <w:rPr>
          <w:rFonts w:ascii="Times New Roman" w:hAnsi="Times New Roman" w:cs="Times New Roman"/>
          <w:bCs/>
          <w:sz w:val="24"/>
          <w:szCs w:val="24"/>
        </w:rPr>
        <w:t xml:space="preserve">        </w:t>
      </w:r>
      <w:r w:rsidRPr="00603B31">
        <w:rPr>
          <w:rFonts w:ascii="Times New Roman" w:hAnsi="Times New Roman" w:cs="Times New Roman"/>
          <w:bCs/>
          <w:sz w:val="24"/>
          <w:szCs w:val="24"/>
        </w:rPr>
        <w:t>3.2</w:t>
      </w:r>
      <w:r w:rsidR="00811CA0" w:rsidRPr="00603B31">
        <w:rPr>
          <w:rFonts w:ascii="Times New Roman" w:hAnsi="Times New Roman" w:cs="Times New Roman"/>
          <w:bCs/>
          <w:sz w:val="24"/>
          <w:szCs w:val="24"/>
        </w:rPr>
        <w:t xml:space="preserve">  </w:t>
      </w:r>
      <w:r w:rsidRPr="00603B31">
        <w:rPr>
          <w:rFonts w:ascii="Times New Roman" w:hAnsi="Times New Roman" w:cs="Times New Roman"/>
          <w:bCs/>
          <w:sz w:val="24"/>
          <w:szCs w:val="24"/>
        </w:rPr>
        <w:t>Оценка эмбрио</w:t>
      </w:r>
      <w:r w:rsidR="006A39C1" w:rsidRPr="00603B31">
        <w:rPr>
          <w:rFonts w:ascii="Times New Roman" w:hAnsi="Times New Roman" w:cs="Times New Roman"/>
          <w:bCs/>
          <w:sz w:val="24"/>
          <w:szCs w:val="24"/>
        </w:rPr>
        <w:t>логического этапа ..</w:t>
      </w:r>
      <w:r w:rsidR="00811CA0" w:rsidRPr="00603B31">
        <w:rPr>
          <w:rFonts w:ascii="Times New Roman" w:hAnsi="Times New Roman" w:cs="Times New Roman"/>
          <w:bCs/>
          <w:sz w:val="24"/>
          <w:szCs w:val="24"/>
        </w:rPr>
        <w:t>……………………………</w:t>
      </w:r>
      <w:r w:rsidRPr="00603B31">
        <w:rPr>
          <w:rFonts w:ascii="Times New Roman" w:hAnsi="Times New Roman" w:cs="Times New Roman"/>
          <w:bCs/>
          <w:sz w:val="24"/>
          <w:szCs w:val="24"/>
        </w:rPr>
        <w:t>…</w:t>
      </w:r>
      <w:r w:rsidR="00811CA0" w:rsidRPr="00603B31">
        <w:rPr>
          <w:rFonts w:ascii="Times New Roman" w:hAnsi="Times New Roman" w:cs="Times New Roman"/>
          <w:bCs/>
          <w:sz w:val="24"/>
          <w:szCs w:val="24"/>
        </w:rPr>
        <w:t>.</w:t>
      </w:r>
      <w:r w:rsidRPr="00603B31">
        <w:rPr>
          <w:rFonts w:ascii="Times New Roman" w:hAnsi="Times New Roman" w:cs="Times New Roman"/>
          <w:bCs/>
          <w:sz w:val="24"/>
          <w:szCs w:val="24"/>
        </w:rPr>
        <w:t>…</w:t>
      </w:r>
      <w:r w:rsidR="00811CA0" w:rsidRPr="00603B31">
        <w:rPr>
          <w:rFonts w:ascii="Times New Roman" w:hAnsi="Times New Roman" w:cs="Times New Roman"/>
          <w:bCs/>
          <w:sz w:val="24"/>
          <w:szCs w:val="24"/>
        </w:rPr>
        <w:t>..</w:t>
      </w:r>
      <w:r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34</w:t>
      </w:r>
    </w:p>
    <w:p w:rsidR="0055081B" w:rsidRPr="00603B31" w:rsidRDefault="00287848"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ab/>
      </w:r>
      <w:r w:rsidR="00811CA0" w:rsidRPr="00603B31">
        <w:rPr>
          <w:rFonts w:ascii="Times New Roman" w:hAnsi="Times New Roman" w:cs="Times New Roman"/>
          <w:bCs/>
          <w:sz w:val="24"/>
          <w:szCs w:val="24"/>
        </w:rPr>
        <w:t xml:space="preserve">        </w:t>
      </w:r>
      <w:r w:rsidRPr="00603B31">
        <w:rPr>
          <w:rFonts w:ascii="Times New Roman" w:hAnsi="Times New Roman" w:cs="Times New Roman"/>
          <w:bCs/>
          <w:sz w:val="24"/>
          <w:szCs w:val="24"/>
        </w:rPr>
        <w:t>3.3 Анализ результатив</w:t>
      </w:r>
      <w:r w:rsidR="00811CA0" w:rsidRPr="00603B31">
        <w:rPr>
          <w:rFonts w:ascii="Times New Roman" w:hAnsi="Times New Roman" w:cs="Times New Roman"/>
          <w:bCs/>
          <w:sz w:val="24"/>
          <w:szCs w:val="24"/>
        </w:rPr>
        <w:t>нос</w:t>
      </w:r>
      <w:r w:rsidR="006A39C1" w:rsidRPr="00603B31">
        <w:rPr>
          <w:rFonts w:ascii="Times New Roman" w:hAnsi="Times New Roman" w:cs="Times New Roman"/>
          <w:bCs/>
          <w:sz w:val="24"/>
          <w:szCs w:val="24"/>
        </w:rPr>
        <w:t>ти протоколов ЭКО..</w:t>
      </w:r>
      <w:r w:rsidR="00071013" w:rsidRPr="00603B31">
        <w:rPr>
          <w:rFonts w:ascii="Times New Roman" w:hAnsi="Times New Roman" w:cs="Times New Roman"/>
          <w:bCs/>
          <w:sz w:val="24"/>
          <w:szCs w:val="24"/>
        </w:rPr>
        <w:t>………………………………3</w:t>
      </w:r>
      <w:r w:rsidR="002B138F" w:rsidRPr="00603B31">
        <w:rPr>
          <w:rFonts w:ascii="Times New Roman" w:hAnsi="Times New Roman" w:cs="Times New Roman"/>
          <w:bCs/>
          <w:sz w:val="24"/>
          <w:szCs w:val="24"/>
        </w:rPr>
        <w:t>5</w:t>
      </w:r>
    </w:p>
    <w:p w:rsidR="00287848" w:rsidRPr="00603B31" w:rsidRDefault="00287848"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ab/>
        <w:t>3.4 Оценка безопасности п</w:t>
      </w:r>
      <w:r w:rsidR="00811CA0" w:rsidRPr="00603B31">
        <w:rPr>
          <w:rFonts w:ascii="Times New Roman" w:hAnsi="Times New Roman" w:cs="Times New Roman"/>
          <w:bCs/>
          <w:sz w:val="24"/>
          <w:szCs w:val="24"/>
        </w:rPr>
        <w:t>рим</w:t>
      </w:r>
      <w:r w:rsidR="006A39C1" w:rsidRPr="00603B31">
        <w:rPr>
          <w:rFonts w:ascii="Times New Roman" w:hAnsi="Times New Roman" w:cs="Times New Roman"/>
          <w:bCs/>
          <w:sz w:val="24"/>
          <w:szCs w:val="24"/>
        </w:rPr>
        <w:t>енения мио-инозитола...</w:t>
      </w:r>
      <w:r w:rsidR="00071013" w:rsidRPr="00603B31">
        <w:rPr>
          <w:rFonts w:ascii="Times New Roman" w:hAnsi="Times New Roman" w:cs="Times New Roman"/>
          <w:bCs/>
          <w:sz w:val="24"/>
          <w:szCs w:val="24"/>
        </w:rPr>
        <w:t>………………………3</w:t>
      </w:r>
      <w:r w:rsidR="002B138F" w:rsidRPr="00603B31">
        <w:rPr>
          <w:rFonts w:ascii="Times New Roman" w:hAnsi="Times New Roman" w:cs="Times New Roman"/>
          <w:bCs/>
          <w:sz w:val="24"/>
          <w:szCs w:val="24"/>
        </w:rPr>
        <w:t>6</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Заключение</w:t>
      </w:r>
      <w:r w:rsidR="002B138F" w:rsidRPr="00603B31">
        <w:rPr>
          <w:rFonts w:ascii="Times New Roman" w:hAnsi="Times New Roman" w:cs="Times New Roman"/>
          <w:bCs/>
          <w:sz w:val="24"/>
          <w:szCs w:val="24"/>
        </w:rPr>
        <w:t>...</w:t>
      </w:r>
      <w:r w:rsidR="000C09B2" w:rsidRPr="00603B31">
        <w:rPr>
          <w:rFonts w:ascii="Times New Roman" w:hAnsi="Times New Roman" w:cs="Times New Roman"/>
          <w:bCs/>
          <w:sz w:val="24"/>
          <w:szCs w:val="24"/>
        </w:rPr>
        <w:t>………</w:t>
      </w:r>
      <w:r w:rsidR="00811CA0" w:rsidRPr="00603B31">
        <w:rPr>
          <w:rFonts w:ascii="Times New Roman" w:hAnsi="Times New Roman" w:cs="Times New Roman"/>
          <w:bCs/>
          <w:sz w:val="24"/>
          <w:szCs w:val="24"/>
        </w:rPr>
        <w:t>…</w:t>
      </w:r>
      <w:r w:rsidR="00071013" w:rsidRPr="00603B31">
        <w:rPr>
          <w:rFonts w:ascii="Times New Roman" w:hAnsi="Times New Roman" w:cs="Times New Roman"/>
          <w:bCs/>
          <w:sz w:val="24"/>
          <w:szCs w:val="24"/>
        </w:rPr>
        <w:t>………………………………………………………………….……..3</w:t>
      </w:r>
      <w:r w:rsidR="002B138F" w:rsidRPr="00603B31">
        <w:rPr>
          <w:rFonts w:ascii="Times New Roman" w:hAnsi="Times New Roman" w:cs="Times New Roman"/>
          <w:bCs/>
          <w:sz w:val="24"/>
          <w:szCs w:val="24"/>
        </w:rPr>
        <w:t>7</w:t>
      </w:r>
    </w:p>
    <w:p w:rsidR="0055081B" w:rsidRPr="00603B31" w:rsidRDefault="0055081B"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Выводы</w:t>
      </w:r>
      <w:r w:rsidR="002B138F" w:rsidRPr="00603B31">
        <w:rPr>
          <w:rFonts w:ascii="Times New Roman" w:hAnsi="Times New Roman" w:cs="Times New Roman"/>
          <w:bCs/>
          <w:sz w:val="24"/>
          <w:szCs w:val="24"/>
        </w:rPr>
        <w:t>...….…</w:t>
      </w:r>
      <w:r w:rsidR="000C09B2" w:rsidRPr="00603B31">
        <w:rPr>
          <w:rFonts w:ascii="Times New Roman" w:hAnsi="Times New Roman" w:cs="Times New Roman"/>
          <w:bCs/>
          <w:sz w:val="24"/>
          <w:szCs w:val="24"/>
        </w:rPr>
        <w:t>……</w:t>
      </w:r>
      <w:r w:rsidR="005F6965" w:rsidRPr="00603B31">
        <w:rPr>
          <w:rFonts w:ascii="Times New Roman" w:hAnsi="Times New Roman" w:cs="Times New Roman"/>
          <w:bCs/>
          <w:sz w:val="24"/>
          <w:szCs w:val="24"/>
        </w:rPr>
        <w:t>…</w:t>
      </w:r>
      <w:r w:rsidR="00811CA0" w:rsidRPr="00603B31">
        <w:rPr>
          <w:rFonts w:ascii="Times New Roman" w:hAnsi="Times New Roman" w:cs="Times New Roman"/>
          <w:bCs/>
          <w:sz w:val="24"/>
          <w:szCs w:val="24"/>
        </w:rPr>
        <w:t>…………………………………………………………</w:t>
      </w:r>
      <w:r w:rsidR="002B138F" w:rsidRPr="00603B31">
        <w:rPr>
          <w:rFonts w:ascii="Times New Roman" w:hAnsi="Times New Roman" w:cs="Times New Roman"/>
          <w:bCs/>
          <w:sz w:val="24"/>
          <w:szCs w:val="24"/>
        </w:rPr>
        <w:t>……………….40</w:t>
      </w:r>
    </w:p>
    <w:p w:rsidR="0055081B" w:rsidRPr="00603B31" w:rsidRDefault="002B138F" w:rsidP="005F6965">
      <w:pPr>
        <w:spacing w:after="0" w:line="360" w:lineRule="auto"/>
        <w:jc w:val="right"/>
        <w:rPr>
          <w:rFonts w:ascii="Times New Roman" w:hAnsi="Times New Roman" w:cs="Times New Roman"/>
          <w:bCs/>
          <w:sz w:val="24"/>
          <w:szCs w:val="24"/>
        </w:rPr>
      </w:pPr>
      <w:r w:rsidRPr="00603B31">
        <w:rPr>
          <w:rFonts w:ascii="Times New Roman" w:hAnsi="Times New Roman" w:cs="Times New Roman"/>
          <w:bCs/>
          <w:sz w:val="24"/>
          <w:szCs w:val="24"/>
        </w:rPr>
        <w:t>Список литератур.</w:t>
      </w:r>
      <w:r w:rsidR="005F6965" w:rsidRPr="00603B31">
        <w:rPr>
          <w:rFonts w:ascii="Times New Roman" w:hAnsi="Times New Roman" w:cs="Times New Roman"/>
          <w:bCs/>
          <w:sz w:val="24"/>
          <w:szCs w:val="24"/>
        </w:rPr>
        <w:t>………………</w:t>
      </w:r>
      <w:r w:rsidRPr="00603B31">
        <w:rPr>
          <w:rFonts w:ascii="Times New Roman" w:hAnsi="Times New Roman" w:cs="Times New Roman"/>
          <w:bCs/>
          <w:sz w:val="24"/>
          <w:szCs w:val="24"/>
        </w:rPr>
        <w:t>……………………………………………………….…….41</w:t>
      </w:r>
    </w:p>
    <w:p w:rsidR="00CB2EFE" w:rsidRPr="00603B31" w:rsidRDefault="00CB2EFE" w:rsidP="0055081B">
      <w:pPr>
        <w:pStyle w:val="a3"/>
        <w:autoSpaceDE w:val="0"/>
        <w:autoSpaceDN w:val="0"/>
        <w:adjustRightInd w:val="0"/>
        <w:spacing w:after="0" w:line="360" w:lineRule="auto"/>
        <w:ind w:left="1065"/>
        <w:rPr>
          <w:rFonts w:ascii="Times New Roman" w:hAnsi="Times New Roman" w:cs="Times New Roman"/>
          <w:b/>
          <w:bCs/>
          <w:sz w:val="28"/>
          <w:szCs w:val="28"/>
        </w:rPr>
      </w:pPr>
    </w:p>
    <w:p w:rsidR="0055081B" w:rsidRPr="00603B31" w:rsidRDefault="0055081B" w:rsidP="00CB2EFE">
      <w:pPr>
        <w:spacing w:after="0" w:line="360" w:lineRule="auto"/>
        <w:rPr>
          <w:rFonts w:ascii="Times New Roman" w:hAnsi="Times New Roman" w:cs="Times New Roman"/>
          <w:b/>
          <w:bCs/>
          <w:sz w:val="28"/>
          <w:szCs w:val="28"/>
        </w:rPr>
      </w:pPr>
    </w:p>
    <w:p w:rsidR="0055081B" w:rsidRPr="00603B31" w:rsidRDefault="0055081B">
      <w:pPr>
        <w:rPr>
          <w:rFonts w:ascii="Times New Roman" w:hAnsi="Times New Roman" w:cs="Times New Roman"/>
          <w:b/>
          <w:bCs/>
          <w:sz w:val="28"/>
          <w:szCs w:val="28"/>
        </w:rPr>
      </w:pPr>
      <w:r w:rsidRPr="00603B31">
        <w:rPr>
          <w:rFonts w:ascii="Times New Roman" w:hAnsi="Times New Roman" w:cs="Times New Roman"/>
          <w:b/>
          <w:bCs/>
          <w:sz w:val="28"/>
          <w:szCs w:val="28"/>
        </w:rPr>
        <w:br w:type="page"/>
      </w:r>
    </w:p>
    <w:p w:rsidR="00E77227" w:rsidRPr="00603B31" w:rsidRDefault="00E77227" w:rsidP="00CB2EFE">
      <w:pPr>
        <w:spacing w:after="0" w:line="360" w:lineRule="auto"/>
        <w:rPr>
          <w:rFonts w:ascii="Times New Roman" w:hAnsi="Times New Roman" w:cs="Times New Roman"/>
          <w:b/>
          <w:bCs/>
          <w:sz w:val="28"/>
          <w:szCs w:val="28"/>
        </w:rPr>
      </w:pPr>
      <w:r w:rsidRPr="00603B31">
        <w:rPr>
          <w:rFonts w:ascii="Times New Roman" w:hAnsi="Times New Roman" w:cs="Times New Roman"/>
          <w:b/>
          <w:bCs/>
          <w:sz w:val="28"/>
          <w:szCs w:val="28"/>
        </w:rPr>
        <w:t>Список сокращений</w:t>
      </w:r>
    </w:p>
    <w:p w:rsidR="000C09B2" w:rsidRPr="00603B31" w:rsidRDefault="000C09B2" w:rsidP="000C09B2">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а-ГнРГ – агонисты гонадотропин-рилизинг-гормона </w:t>
      </w:r>
    </w:p>
    <w:p w:rsidR="00811CA0" w:rsidRPr="00603B31" w:rsidRDefault="00811CA0" w:rsidP="000C09B2">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АМГ – антимюллеров гормон</w:t>
      </w:r>
    </w:p>
    <w:p w:rsidR="000C09B2" w:rsidRPr="00603B31" w:rsidRDefault="000C09B2" w:rsidP="000C09B2">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ант-ГнРГ – антагонисты гонадотропин-рилизинг-гормона </w:t>
      </w:r>
    </w:p>
    <w:p w:rsidR="00E77227" w:rsidRPr="00603B31" w:rsidRDefault="00E77227"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ВРТ - вспомогательные репродуктивные технологии</w:t>
      </w:r>
    </w:p>
    <w:p w:rsidR="000C09B2" w:rsidRPr="00603B31" w:rsidRDefault="000C09B2"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ГАМК – гамма-аминомасляная кислота</w:t>
      </w:r>
    </w:p>
    <w:p w:rsidR="009A3E9C"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ГнРГ – </w:t>
      </w:r>
      <w:r w:rsidRPr="00603B31">
        <w:rPr>
          <w:rFonts w:ascii="Times New Roman" w:hAnsi="Times New Roman" w:cs="Times New Roman"/>
          <w:sz w:val="28"/>
          <w:szCs w:val="28"/>
        </w:rPr>
        <w:t xml:space="preserve">гонадотропин-рилизинг-гормон </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ИМТ – </w:t>
      </w:r>
      <w:r w:rsidR="00E77227" w:rsidRPr="00603B31">
        <w:rPr>
          <w:rFonts w:ascii="Times New Roman" w:eastAsia="TimesNewRomanPSMT" w:hAnsi="Times New Roman" w:cs="Times New Roman"/>
          <w:color w:val="000000"/>
          <w:sz w:val="28"/>
          <w:szCs w:val="28"/>
        </w:rPr>
        <w:t>индекс массы тела</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МЧГ – </w:t>
      </w:r>
      <w:r w:rsidR="00E77227" w:rsidRPr="00603B31">
        <w:rPr>
          <w:rFonts w:ascii="Times New Roman" w:eastAsia="TimesNewRomanPSMT" w:hAnsi="Times New Roman" w:cs="Times New Roman"/>
          <w:color w:val="000000"/>
          <w:sz w:val="28"/>
          <w:szCs w:val="28"/>
        </w:rPr>
        <w:t>мочевые гонадотропины</w:t>
      </w:r>
    </w:p>
    <w:p w:rsidR="000C09B2" w:rsidRPr="00603B31" w:rsidRDefault="000C09B2"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рЛГ – рекомбинантный лютеинизирующий гормон</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рФСГ – </w:t>
      </w:r>
      <w:r w:rsidR="00E77227" w:rsidRPr="00603B31">
        <w:rPr>
          <w:rFonts w:ascii="Times New Roman" w:eastAsia="TimesNewRomanPSMT" w:hAnsi="Times New Roman" w:cs="Times New Roman"/>
          <w:color w:val="000000"/>
          <w:sz w:val="28"/>
          <w:szCs w:val="28"/>
        </w:rPr>
        <w:t>рекомбинантный фолликуло-стимулирующий гормон</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СГЯ – </w:t>
      </w:r>
      <w:r w:rsidR="00E77227" w:rsidRPr="00603B31">
        <w:rPr>
          <w:rFonts w:ascii="Times New Roman" w:eastAsia="TimesNewRomanPSMT" w:hAnsi="Times New Roman" w:cs="Times New Roman"/>
          <w:color w:val="000000"/>
          <w:sz w:val="28"/>
          <w:szCs w:val="28"/>
        </w:rPr>
        <w:t>синдром гиперстимуляции яичников</w:t>
      </w:r>
    </w:p>
    <w:p w:rsidR="000C09B2" w:rsidRPr="00603B31" w:rsidRDefault="000C09B2" w:rsidP="00E77227">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СМЭР – селективные модуляторы эстрогеновых рецепторов </w:t>
      </w:r>
    </w:p>
    <w:p w:rsidR="000C09B2" w:rsidRPr="00603B31" w:rsidRDefault="000C09B2" w:rsidP="00E77227">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СПКЯ – синдром поликистозных яичников</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B0B0B"/>
          <w:sz w:val="28"/>
          <w:szCs w:val="28"/>
        </w:rPr>
      </w:pPr>
      <w:r w:rsidRPr="00603B31">
        <w:rPr>
          <w:rFonts w:ascii="Times New Roman" w:eastAsia="TimesNewRomanPSMT" w:hAnsi="Times New Roman" w:cs="Times New Roman"/>
          <w:color w:val="0B0B0B"/>
          <w:sz w:val="28"/>
          <w:szCs w:val="28"/>
        </w:rPr>
        <w:t xml:space="preserve">УЗИ – </w:t>
      </w:r>
      <w:r w:rsidR="00E77227" w:rsidRPr="00603B31">
        <w:rPr>
          <w:rFonts w:ascii="Times New Roman" w:eastAsia="TimesNewRomanPSMT" w:hAnsi="Times New Roman" w:cs="Times New Roman"/>
          <w:color w:val="0B0B0B"/>
          <w:sz w:val="28"/>
          <w:szCs w:val="28"/>
        </w:rPr>
        <w:t>ультразвуковое исследование</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чМГ – </w:t>
      </w:r>
      <w:r w:rsidR="00E77227" w:rsidRPr="00603B31">
        <w:rPr>
          <w:rFonts w:ascii="Times New Roman" w:eastAsia="TimesNewRomanPSMT" w:hAnsi="Times New Roman" w:cs="Times New Roman"/>
          <w:color w:val="000000"/>
          <w:sz w:val="28"/>
          <w:szCs w:val="28"/>
        </w:rPr>
        <w:t>человеческие менопаузальные гонадотропины</w:t>
      </w:r>
    </w:p>
    <w:p w:rsidR="00E77227" w:rsidRPr="00603B31" w:rsidRDefault="009A3E9C"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 xml:space="preserve">ЭКО – </w:t>
      </w:r>
      <w:r w:rsidR="00E77227" w:rsidRPr="00603B31">
        <w:rPr>
          <w:rFonts w:ascii="Times New Roman" w:eastAsia="TimesNewRomanPSMT" w:hAnsi="Times New Roman" w:cs="Times New Roman"/>
          <w:color w:val="000000"/>
          <w:sz w:val="28"/>
          <w:szCs w:val="28"/>
        </w:rPr>
        <w:t>экстракорпоральное оплодотворение.</w:t>
      </w:r>
    </w:p>
    <w:p w:rsidR="000C09B2" w:rsidRPr="00603B31" w:rsidRDefault="000C09B2" w:rsidP="00E77227">
      <w:pPr>
        <w:autoSpaceDE w:val="0"/>
        <w:autoSpaceDN w:val="0"/>
        <w:adjustRightInd w:val="0"/>
        <w:spacing w:after="0" w:line="360" w:lineRule="auto"/>
        <w:rPr>
          <w:rFonts w:ascii="Times New Roman" w:eastAsia="TimesNewRomanPSMT" w:hAnsi="Times New Roman" w:cs="Times New Roman"/>
          <w:color w:val="000000"/>
          <w:sz w:val="28"/>
          <w:szCs w:val="28"/>
        </w:rPr>
      </w:pPr>
      <w:r w:rsidRPr="00603B31">
        <w:rPr>
          <w:rFonts w:ascii="Times New Roman" w:eastAsia="TimesNewRomanPSMT" w:hAnsi="Times New Roman" w:cs="Times New Roman"/>
          <w:color w:val="000000"/>
          <w:sz w:val="28"/>
          <w:szCs w:val="28"/>
        </w:rPr>
        <w:t>ХГ – хорионический гонадотропин</w:t>
      </w:r>
    </w:p>
    <w:p w:rsidR="00E77227" w:rsidRPr="00603B31" w:rsidRDefault="00E77227" w:rsidP="00E77227">
      <w:pPr>
        <w:autoSpaceDE w:val="0"/>
        <w:autoSpaceDN w:val="0"/>
        <w:adjustRightInd w:val="0"/>
        <w:spacing w:after="0" w:line="360" w:lineRule="auto"/>
        <w:rPr>
          <w:rFonts w:ascii="Times New Roman" w:eastAsia="TimesNewRomanPSMT" w:hAnsi="Times New Roman" w:cs="Times New Roman"/>
          <w:color w:val="0B0B0B"/>
          <w:sz w:val="28"/>
          <w:szCs w:val="28"/>
        </w:rPr>
      </w:pPr>
      <w:r w:rsidRPr="00603B31">
        <w:rPr>
          <w:rFonts w:ascii="Times New Roman" w:eastAsia="TimesNewRomanPS-ItalicMT" w:hAnsi="Times New Roman" w:cs="Times New Roman"/>
          <w:i/>
          <w:iCs/>
          <w:color w:val="0B0B0B"/>
          <w:sz w:val="28"/>
          <w:szCs w:val="28"/>
        </w:rPr>
        <w:t>β</w:t>
      </w:r>
      <w:r w:rsidR="009A3E9C" w:rsidRPr="00603B31">
        <w:rPr>
          <w:rFonts w:ascii="Times New Roman" w:eastAsia="TimesNewRomanPSMT" w:hAnsi="Times New Roman" w:cs="Times New Roman"/>
          <w:color w:val="0B0B0B"/>
          <w:sz w:val="28"/>
          <w:szCs w:val="28"/>
        </w:rPr>
        <w:t xml:space="preserve">-ХГЧ – </w:t>
      </w:r>
      <w:r w:rsidRPr="00603B31">
        <w:rPr>
          <w:rFonts w:ascii="Times New Roman" w:eastAsia="TimesNewRomanPSMT" w:hAnsi="Times New Roman" w:cs="Times New Roman"/>
          <w:color w:val="0B0B0B"/>
          <w:sz w:val="28"/>
          <w:szCs w:val="28"/>
        </w:rPr>
        <w:t>бета субъединица хорионического гонадотропина</w:t>
      </w:r>
      <w:r w:rsidR="005F6965" w:rsidRPr="00603B31">
        <w:rPr>
          <w:rFonts w:ascii="Times New Roman" w:eastAsia="TimesNewRomanPSMT" w:hAnsi="Times New Roman" w:cs="Times New Roman"/>
          <w:color w:val="0B0B0B"/>
          <w:sz w:val="28"/>
          <w:szCs w:val="28"/>
        </w:rPr>
        <w:t xml:space="preserve"> человека</w:t>
      </w:r>
    </w:p>
    <w:p w:rsidR="000C09B2" w:rsidRPr="00603B31" w:rsidRDefault="000C09B2">
      <w:pPr>
        <w:rPr>
          <w:rFonts w:ascii="Times New Roman" w:hAnsi="Times New Roman" w:cs="Times New Roman"/>
          <w:bCs/>
          <w:sz w:val="28"/>
          <w:szCs w:val="28"/>
          <w:lang w:val="en-US"/>
        </w:rPr>
      </w:pPr>
      <w:r w:rsidRPr="00603B31">
        <w:rPr>
          <w:rFonts w:ascii="Times New Roman" w:hAnsi="Times New Roman" w:cs="Times New Roman"/>
          <w:bCs/>
          <w:sz w:val="28"/>
          <w:szCs w:val="28"/>
          <w:lang w:val="en-US"/>
        </w:rPr>
        <w:t>ASRM</w:t>
      </w:r>
      <w:r w:rsidR="009A3E9C" w:rsidRPr="00603B31">
        <w:rPr>
          <w:rFonts w:ascii="Times New Roman" w:hAnsi="Times New Roman" w:cs="Times New Roman"/>
          <w:bCs/>
          <w:sz w:val="28"/>
          <w:szCs w:val="28"/>
          <w:lang w:val="en-US"/>
        </w:rPr>
        <w:t xml:space="preserve"> – </w:t>
      </w:r>
      <w:r w:rsidRPr="00603B31">
        <w:rPr>
          <w:rFonts w:ascii="Times New Roman" w:hAnsi="Times New Roman" w:cs="Times New Roman"/>
          <w:bCs/>
          <w:sz w:val="28"/>
          <w:szCs w:val="28"/>
          <w:lang w:val="en-US"/>
        </w:rPr>
        <w:t xml:space="preserve">American Society for Reproductive Medicine </w:t>
      </w:r>
    </w:p>
    <w:p w:rsidR="000C09B2" w:rsidRPr="00603B31" w:rsidRDefault="000C09B2">
      <w:pPr>
        <w:rPr>
          <w:rFonts w:ascii="Times New Roman" w:hAnsi="Times New Roman" w:cs="Times New Roman"/>
          <w:bCs/>
          <w:sz w:val="28"/>
          <w:szCs w:val="28"/>
          <w:lang w:val="en-US"/>
        </w:rPr>
      </w:pPr>
      <w:r w:rsidRPr="00603B31">
        <w:rPr>
          <w:rFonts w:ascii="Times New Roman" w:hAnsi="Times New Roman" w:cs="Times New Roman"/>
          <w:bCs/>
          <w:sz w:val="28"/>
          <w:szCs w:val="28"/>
          <w:lang w:val="en-US"/>
        </w:rPr>
        <w:t>ESHRE – European Society of Human Reproduction and Embryology</w:t>
      </w:r>
    </w:p>
    <w:p w:rsidR="0055081B" w:rsidRPr="00603B31" w:rsidRDefault="000C09B2">
      <w:pPr>
        <w:rPr>
          <w:rFonts w:ascii="Times New Roman" w:hAnsi="Times New Roman" w:cs="Times New Roman"/>
          <w:bCs/>
          <w:sz w:val="28"/>
          <w:szCs w:val="28"/>
          <w:lang w:val="en-US"/>
        </w:rPr>
      </w:pPr>
      <w:r w:rsidRPr="00603B31">
        <w:rPr>
          <w:rFonts w:ascii="Times New Roman" w:hAnsi="Times New Roman" w:cs="Times New Roman"/>
          <w:bCs/>
          <w:sz w:val="28"/>
          <w:szCs w:val="28"/>
          <w:lang w:val="en-US"/>
        </w:rPr>
        <w:t>SART – Society for Assisted Reproductive Technology</w:t>
      </w:r>
      <w:r w:rsidR="0055081B" w:rsidRPr="00603B31">
        <w:rPr>
          <w:rFonts w:ascii="Times New Roman" w:hAnsi="Times New Roman" w:cs="Times New Roman"/>
          <w:bCs/>
          <w:sz w:val="28"/>
          <w:szCs w:val="28"/>
          <w:lang w:val="en-US"/>
        </w:rPr>
        <w:br w:type="page"/>
      </w:r>
    </w:p>
    <w:p w:rsidR="008D5C8C" w:rsidRPr="00603B31" w:rsidRDefault="00E77227" w:rsidP="00E77227">
      <w:pPr>
        <w:spacing w:after="0" w:line="360" w:lineRule="auto"/>
        <w:rPr>
          <w:rFonts w:ascii="Times New Roman" w:hAnsi="Times New Roman" w:cs="Times New Roman"/>
          <w:b/>
          <w:bCs/>
          <w:sz w:val="28"/>
          <w:szCs w:val="28"/>
        </w:rPr>
      </w:pPr>
      <w:r w:rsidRPr="00603B31">
        <w:rPr>
          <w:rFonts w:ascii="Times New Roman" w:hAnsi="Times New Roman" w:cs="Times New Roman"/>
          <w:b/>
          <w:bCs/>
          <w:sz w:val="28"/>
          <w:szCs w:val="28"/>
        </w:rPr>
        <w:t>ВВЕДЕНИЕ</w:t>
      </w:r>
    </w:p>
    <w:p w:rsidR="00CB2EFE" w:rsidRPr="00603B31" w:rsidRDefault="00E77227" w:rsidP="00E77227">
      <w:pPr>
        <w:spacing w:after="0" w:line="360" w:lineRule="auto"/>
        <w:rPr>
          <w:rFonts w:ascii="Times New Roman" w:hAnsi="Times New Roman" w:cs="Times New Roman"/>
          <w:b/>
          <w:bCs/>
          <w:sz w:val="28"/>
          <w:szCs w:val="28"/>
        </w:rPr>
      </w:pPr>
      <w:r w:rsidRPr="00603B31">
        <w:rPr>
          <w:rFonts w:ascii="Times New Roman" w:hAnsi="Times New Roman" w:cs="Times New Roman"/>
          <w:b/>
          <w:bCs/>
          <w:sz w:val="28"/>
          <w:szCs w:val="28"/>
        </w:rPr>
        <w:t xml:space="preserve">1. </w:t>
      </w:r>
      <w:r w:rsidR="00CB2EFE" w:rsidRPr="00603B31">
        <w:rPr>
          <w:rFonts w:ascii="Times New Roman" w:hAnsi="Times New Roman" w:cs="Times New Roman"/>
          <w:b/>
          <w:bCs/>
          <w:sz w:val="28"/>
          <w:szCs w:val="28"/>
        </w:rPr>
        <w:t>Актуальность проблемы</w:t>
      </w:r>
    </w:p>
    <w:p w:rsidR="00C13DFA" w:rsidRPr="00603B31" w:rsidRDefault="00E77227" w:rsidP="00AC6375">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За последние десятилетия частота выявления бесплодия у женщин детородного возраста возросла. Так, мировая статистика указывает на то, что бесплодие встречается у 8-10% супружеских пар</w:t>
      </w:r>
      <w:r w:rsidR="003062C0" w:rsidRPr="00603B31">
        <w:rPr>
          <w:rFonts w:ascii="Times New Roman" w:hAnsi="Times New Roman" w:cs="Times New Roman"/>
          <w:sz w:val="28"/>
          <w:szCs w:val="28"/>
        </w:rPr>
        <w:t>[1</w:t>
      </w:r>
      <w:r w:rsidR="006A39C1" w:rsidRPr="00603B31">
        <w:rPr>
          <w:rFonts w:ascii="Times New Roman" w:hAnsi="Times New Roman" w:cs="Times New Roman"/>
          <w:sz w:val="28"/>
          <w:szCs w:val="28"/>
        </w:rPr>
        <w:t>8</w:t>
      </w:r>
      <w:r w:rsidR="00122DF9" w:rsidRPr="00603B31">
        <w:rPr>
          <w:rFonts w:ascii="Times New Roman" w:hAnsi="Times New Roman" w:cs="Times New Roman"/>
          <w:sz w:val="28"/>
          <w:szCs w:val="28"/>
        </w:rPr>
        <w:t>]</w:t>
      </w:r>
      <w:r w:rsidRPr="00603B31">
        <w:rPr>
          <w:rFonts w:ascii="Times New Roman" w:hAnsi="Times New Roman" w:cs="Times New Roman"/>
          <w:sz w:val="28"/>
          <w:szCs w:val="28"/>
        </w:rPr>
        <w:t>.</w:t>
      </w:r>
      <w:r w:rsidR="00AC6375" w:rsidRPr="00603B31">
        <w:rPr>
          <w:rFonts w:ascii="Times New Roman" w:hAnsi="Times New Roman" w:cs="Times New Roman"/>
          <w:sz w:val="28"/>
          <w:szCs w:val="28"/>
        </w:rPr>
        <w:t xml:space="preserve"> В </w:t>
      </w:r>
      <w:r w:rsidR="00C13DFA" w:rsidRPr="00603B31">
        <w:rPr>
          <w:rFonts w:ascii="Times New Roman" w:hAnsi="Times New Roman" w:cs="Times New Roman"/>
          <w:sz w:val="28"/>
          <w:szCs w:val="28"/>
        </w:rPr>
        <w:t xml:space="preserve">России в 2011 году было проведено обследование репродуктивного здоровья женщин. </w:t>
      </w:r>
      <w:r w:rsidR="00D270E4" w:rsidRPr="00603B31">
        <w:rPr>
          <w:rFonts w:ascii="Times New Roman" w:hAnsi="Times New Roman" w:cs="Times New Roman"/>
          <w:sz w:val="28"/>
          <w:szCs w:val="28"/>
        </w:rPr>
        <w:t>П</w:t>
      </w:r>
      <w:r w:rsidR="005D794E">
        <w:rPr>
          <w:rFonts w:ascii="Times New Roman" w:hAnsi="Times New Roman" w:cs="Times New Roman"/>
          <w:sz w:val="28"/>
          <w:szCs w:val="28"/>
        </w:rPr>
        <w:t xml:space="preserve">олученные данные показали, что </w:t>
      </w:r>
      <w:r w:rsidR="00C13DFA" w:rsidRPr="00603B31">
        <w:rPr>
          <w:rFonts w:ascii="Times New Roman" w:hAnsi="Times New Roman" w:cs="Times New Roman"/>
          <w:sz w:val="28"/>
          <w:szCs w:val="28"/>
        </w:rPr>
        <w:t xml:space="preserve">больше трети женщин репродуктивного возраста имеют ту или иную патологию </w:t>
      </w:r>
      <w:r w:rsidR="001D2283" w:rsidRPr="00603B31">
        <w:rPr>
          <w:rFonts w:ascii="Times New Roman" w:hAnsi="Times New Roman" w:cs="Times New Roman"/>
          <w:sz w:val="28"/>
          <w:szCs w:val="28"/>
        </w:rPr>
        <w:t>репродуктивной</w:t>
      </w:r>
      <w:r w:rsidR="00C13DFA" w:rsidRPr="00603B31">
        <w:rPr>
          <w:rFonts w:ascii="Times New Roman" w:hAnsi="Times New Roman" w:cs="Times New Roman"/>
          <w:sz w:val="28"/>
          <w:szCs w:val="28"/>
        </w:rPr>
        <w:t xml:space="preserve"> системы, которая вынуждае</w:t>
      </w:r>
      <w:r w:rsidR="001D2283" w:rsidRPr="00603B31">
        <w:rPr>
          <w:rFonts w:ascii="Times New Roman" w:hAnsi="Times New Roman" w:cs="Times New Roman"/>
          <w:sz w:val="28"/>
          <w:szCs w:val="28"/>
        </w:rPr>
        <w:t xml:space="preserve">т </w:t>
      </w:r>
      <w:r w:rsidR="00D270E4" w:rsidRPr="00603B31">
        <w:rPr>
          <w:rFonts w:ascii="Times New Roman" w:hAnsi="Times New Roman" w:cs="Times New Roman"/>
          <w:sz w:val="28"/>
          <w:szCs w:val="28"/>
        </w:rPr>
        <w:t>их обрати</w:t>
      </w:r>
      <w:r w:rsidR="00C13DFA" w:rsidRPr="00603B31">
        <w:rPr>
          <w:rFonts w:ascii="Times New Roman" w:hAnsi="Times New Roman" w:cs="Times New Roman"/>
          <w:sz w:val="28"/>
          <w:szCs w:val="28"/>
        </w:rPr>
        <w:t xml:space="preserve">ться в центры </w:t>
      </w:r>
      <w:r w:rsidR="001D2283" w:rsidRPr="00603B31">
        <w:rPr>
          <w:rFonts w:ascii="Times New Roman" w:hAnsi="Times New Roman" w:cs="Times New Roman"/>
          <w:sz w:val="28"/>
          <w:szCs w:val="28"/>
        </w:rPr>
        <w:t>ВРТ</w:t>
      </w:r>
      <w:r w:rsidR="00C13DFA" w:rsidRPr="00603B31">
        <w:rPr>
          <w:rFonts w:ascii="Times New Roman" w:hAnsi="Times New Roman" w:cs="Times New Roman"/>
          <w:sz w:val="28"/>
          <w:szCs w:val="28"/>
        </w:rPr>
        <w:t xml:space="preserve"> для лечения бесплодия</w:t>
      </w:r>
      <w:r w:rsidR="006A39C1" w:rsidRPr="00603B31">
        <w:rPr>
          <w:rFonts w:ascii="Times New Roman" w:hAnsi="Times New Roman" w:cs="Times New Roman"/>
          <w:sz w:val="28"/>
          <w:szCs w:val="28"/>
        </w:rPr>
        <w:t>[19</w:t>
      </w:r>
      <w:r w:rsidR="00122DF9" w:rsidRPr="00603B31">
        <w:rPr>
          <w:rFonts w:ascii="Times New Roman" w:hAnsi="Times New Roman" w:cs="Times New Roman"/>
          <w:sz w:val="28"/>
          <w:szCs w:val="28"/>
        </w:rPr>
        <w:t>]</w:t>
      </w:r>
      <w:r w:rsidR="000F3945" w:rsidRPr="00603B31">
        <w:rPr>
          <w:rFonts w:ascii="Times New Roman" w:hAnsi="Times New Roman" w:cs="Times New Roman"/>
          <w:sz w:val="28"/>
          <w:szCs w:val="28"/>
        </w:rPr>
        <w:t>. Наблюдается увеличение числа женщин старшего репрод</w:t>
      </w:r>
      <w:r w:rsidR="005D794E">
        <w:rPr>
          <w:rFonts w:ascii="Times New Roman" w:hAnsi="Times New Roman" w:cs="Times New Roman"/>
          <w:sz w:val="28"/>
          <w:szCs w:val="28"/>
        </w:rPr>
        <w:t xml:space="preserve">уктивного возраста (после 35 </w:t>
      </w:r>
      <w:r w:rsidR="000F3945" w:rsidRPr="00603B31">
        <w:rPr>
          <w:rFonts w:ascii="Times New Roman" w:hAnsi="Times New Roman" w:cs="Times New Roman"/>
          <w:sz w:val="28"/>
          <w:szCs w:val="28"/>
        </w:rPr>
        <w:t xml:space="preserve">лет), обращающихся в центры ЭКО с целью лечения бесплодия. Доля таких пациенток </w:t>
      </w:r>
      <w:r w:rsidR="005D794E">
        <w:rPr>
          <w:rFonts w:ascii="Times New Roman" w:hAnsi="Times New Roman" w:cs="Times New Roman"/>
          <w:sz w:val="28"/>
          <w:szCs w:val="28"/>
        </w:rPr>
        <w:t xml:space="preserve">на сегодняшний день </w:t>
      </w:r>
      <w:r w:rsidR="000F3945" w:rsidRPr="00603B31">
        <w:rPr>
          <w:rFonts w:ascii="Times New Roman" w:hAnsi="Times New Roman" w:cs="Times New Roman"/>
          <w:sz w:val="28"/>
          <w:szCs w:val="28"/>
        </w:rPr>
        <w:t xml:space="preserve">достигает </w:t>
      </w:r>
      <w:r w:rsidR="006A39C1" w:rsidRPr="00603B31">
        <w:rPr>
          <w:rFonts w:ascii="Times New Roman" w:hAnsi="Times New Roman" w:cs="Times New Roman"/>
          <w:sz w:val="28"/>
          <w:szCs w:val="28"/>
        </w:rPr>
        <w:t>37%[14</w:t>
      </w:r>
      <w:r w:rsidR="000F3945" w:rsidRPr="00603B31">
        <w:rPr>
          <w:rFonts w:ascii="Times New Roman" w:hAnsi="Times New Roman" w:cs="Times New Roman"/>
          <w:sz w:val="28"/>
          <w:szCs w:val="28"/>
        </w:rPr>
        <w:t xml:space="preserve">]. </w:t>
      </w:r>
    </w:p>
    <w:p w:rsidR="00CB2EFE" w:rsidRPr="00603B31" w:rsidRDefault="00C13DFA" w:rsidP="000C09B2">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В то же время </w:t>
      </w:r>
      <w:r w:rsidR="005D794E">
        <w:rPr>
          <w:rFonts w:ascii="Times New Roman" w:hAnsi="Times New Roman" w:cs="Times New Roman"/>
          <w:sz w:val="28"/>
          <w:szCs w:val="28"/>
        </w:rPr>
        <w:t xml:space="preserve">в связи </w:t>
      </w:r>
      <w:r w:rsidRPr="00603B31">
        <w:rPr>
          <w:rFonts w:ascii="Times New Roman" w:hAnsi="Times New Roman" w:cs="Times New Roman"/>
          <w:sz w:val="28"/>
          <w:szCs w:val="28"/>
        </w:rPr>
        <w:t>с ростом развития методов лечения бесплодия в отделения</w:t>
      </w:r>
      <w:r w:rsidR="001D2283" w:rsidRPr="00603B31">
        <w:rPr>
          <w:rFonts w:ascii="Times New Roman" w:hAnsi="Times New Roman" w:cs="Times New Roman"/>
          <w:sz w:val="28"/>
          <w:szCs w:val="28"/>
        </w:rPr>
        <w:t>х</w:t>
      </w:r>
      <w:r w:rsidRPr="00603B31">
        <w:rPr>
          <w:rFonts w:ascii="Times New Roman" w:hAnsi="Times New Roman" w:cs="Times New Roman"/>
          <w:sz w:val="28"/>
          <w:szCs w:val="28"/>
        </w:rPr>
        <w:t xml:space="preserve"> ВРТ в медицинской литературе появился термин «слабый ответ» на стимуляцию суперовуляции, под которым понимают</w:t>
      </w:r>
      <w:r w:rsidR="00CE26BC">
        <w:rPr>
          <w:rFonts w:ascii="Times New Roman" w:hAnsi="Times New Roman" w:cs="Times New Roman"/>
          <w:sz w:val="28"/>
          <w:szCs w:val="28"/>
        </w:rPr>
        <w:t xml:space="preserve"> получение</w:t>
      </w:r>
      <w:r w:rsidRPr="00603B31">
        <w:rPr>
          <w:rFonts w:ascii="Times New Roman" w:hAnsi="Times New Roman" w:cs="Times New Roman"/>
          <w:sz w:val="28"/>
          <w:szCs w:val="28"/>
        </w:rPr>
        <w:t xml:space="preserve"> 3-х </w:t>
      </w:r>
      <w:r w:rsidR="00CE26BC">
        <w:rPr>
          <w:rFonts w:ascii="Times New Roman" w:hAnsi="Times New Roman" w:cs="Times New Roman"/>
          <w:sz w:val="28"/>
          <w:szCs w:val="28"/>
        </w:rPr>
        <w:t>и менее ооцитов</w:t>
      </w:r>
      <w:r w:rsidRPr="00603B31">
        <w:rPr>
          <w:rFonts w:ascii="Times New Roman" w:hAnsi="Times New Roman" w:cs="Times New Roman"/>
          <w:sz w:val="28"/>
          <w:szCs w:val="28"/>
        </w:rPr>
        <w:t xml:space="preserve"> при стимуляции суперовуляции большими дозами гонадотропинов (более 300 МЕ/сутки)</w:t>
      </w:r>
      <w:r w:rsidR="00FE3B14" w:rsidRPr="00603B31">
        <w:rPr>
          <w:rFonts w:ascii="Times New Roman" w:hAnsi="Times New Roman" w:cs="Times New Roman"/>
          <w:sz w:val="28"/>
          <w:szCs w:val="28"/>
        </w:rPr>
        <w:t>[</w:t>
      </w:r>
      <w:r w:rsidR="006A39C1" w:rsidRPr="00603B31">
        <w:rPr>
          <w:rFonts w:ascii="Times New Roman" w:hAnsi="Times New Roman" w:cs="Times New Roman"/>
          <w:sz w:val="28"/>
          <w:szCs w:val="28"/>
        </w:rPr>
        <w:t>55</w:t>
      </w:r>
      <w:r w:rsidR="00122DF9" w:rsidRPr="00603B31">
        <w:rPr>
          <w:rFonts w:ascii="Times New Roman" w:hAnsi="Times New Roman" w:cs="Times New Roman"/>
          <w:sz w:val="28"/>
          <w:szCs w:val="28"/>
        </w:rPr>
        <w:t>]</w:t>
      </w:r>
      <w:r w:rsidRPr="00603B31">
        <w:rPr>
          <w:rFonts w:ascii="Times New Roman" w:hAnsi="Times New Roman" w:cs="Times New Roman"/>
          <w:sz w:val="28"/>
          <w:szCs w:val="28"/>
        </w:rPr>
        <w:t>. Р</w:t>
      </w:r>
      <w:r w:rsidR="00CB2EFE" w:rsidRPr="00603B31">
        <w:rPr>
          <w:rFonts w:ascii="Times New Roman" w:hAnsi="Times New Roman" w:cs="Times New Roman"/>
          <w:sz w:val="28"/>
          <w:szCs w:val="28"/>
        </w:rPr>
        <w:t>аспрост</w:t>
      </w:r>
      <w:r w:rsidR="005D794E">
        <w:rPr>
          <w:rFonts w:ascii="Times New Roman" w:hAnsi="Times New Roman" w:cs="Times New Roman"/>
          <w:sz w:val="28"/>
          <w:szCs w:val="28"/>
        </w:rPr>
        <w:t>ранё</w:t>
      </w:r>
      <w:r w:rsidR="00D270E4" w:rsidRPr="00603B31">
        <w:rPr>
          <w:rFonts w:ascii="Times New Roman" w:hAnsi="Times New Roman" w:cs="Times New Roman"/>
          <w:sz w:val="28"/>
          <w:szCs w:val="28"/>
        </w:rPr>
        <w:t xml:space="preserve">нность «слабого </w:t>
      </w:r>
      <w:r w:rsidR="00CB2EFE" w:rsidRPr="00603B31">
        <w:rPr>
          <w:rFonts w:ascii="Times New Roman" w:hAnsi="Times New Roman" w:cs="Times New Roman"/>
          <w:sz w:val="28"/>
          <w:szCs w:val="28"/>
        </w:rPr>
        <w:t>ответа</w:t>
      </w:r>
      <w:r w:rsidR="00D270E4" w:rsidRPr="00603B31">
        <w:rPr>
          <w:rFonts w:ascii="Times New Roman" w:hAnsi="Times New Roman" w:cs="Times New Roman"/>
          <w:sz w:val="28"/>
          <w:szCs w:val="28"/>
        </w:rPr>
        <w:t>»</w:t>
      </w:r>
      <w:r w:rsidR="00CB2EFE" w:rsidRPr="00603B31">
        <w:rPr>
          <w:rFonts w:ascii="Times New Roman" w:hAnsi="Times New Roman" w:cs="Times New Roman"/>
          <w:sz w:val="28"/>
          <w:szCs w:val="28"/>
        </w:rPr>
        <w:t xml:space="preserve"> в программах ЭКО составляет от 9 до 24%</w:t>
      </w:r>
      <w:r w:rsidR="00501F31" w:rsidRPr="00603B31">
        <w:rPr>
          <w:rFonts w:ascii="Times New Roman" w:hAnsi="Times New Roman" w:cs="Times New Roman"/>
          <w:sz w:val="28"/>
          <w:szCs w:val="28"/>
        </w:rPr>
        <w:t xml:space="preserve"> [</w:t>
      </w:r>
      <w:r w:rsidR="006A39C1" w:rsidRPr="00603B31">
        <w:rPr>
          <w:rFonts w:ascii="Times New Roman" w:hAnsi="Times New Roman" w:cs="Times New Roman"/>
          <w:sz w:val="28"/>
          <w:szCs w:val="28"/>
        </w:rPr>
        <w:t>24,45,7</w:t>
      </w:r>
      <w:r w:rsidR="009433A9" w:rsidRPr="00603B31">
        <w:rPr>
          <w:rFonts w:ascii="Times New Roman" w:hAnsi="Times New Roman" w:cs="Times New Roman"/>
          <w:sz w:val="28"/>
          <w:szCs w:val="28"/>
        </w:rPr>
        <w:t>8</w:t>
      </w:r>
      <w:r w:rsidR="00122DF9" w:rsidRPr="00603B31">
        <w:rPr>
          <w:rFonts w:ascii="Times New Roman" w:hAnsi="Times New Roman" w:cs="Times New Roman"/>
          <w:sz w:val="28"/>
          <w:szCs w:val="28"/>
        </w:rPr>
        <w:t>]</w:t>
      </w:r>
      <w:r w:rsidR="00D270E4" w:rsidRPr="00603B31">
        <w:rPr>
          <w:rFonts w:ascii="Times New Roman" w:hAnsi="Times New Roman" w:cs="Times New Roman"/>
          <w:sz w:val="28"/>
          <w:szCs w:val="28"/>
        </w:rPr>
        <w:t>. «Слабый ответ» приводит к снижению количества полученных ооцитов, отмене циклов ЭКО и значительному снижению вероятности наступления беременности</w:t>
      </w:r>
      <w:r w:rsidR="000E095F" w:rsidRPr="00603B31">
        <w:rPr>
          <w:rFonts w:ascii="Times New Roman" w:hAnsi="Times New Roman" w:cs="Times New Roman"/>
          <w:sz w:val="28"/>
          <w:szCs w:val="28"/>
        </w:rPr>
        <w:t>[</w:t>
      </w:r>
      <w:r w:rsidR="006A39C1" w:rsidRPr="00603B31">
        <w:rPr>
          <w:rFonts w:ascii="Times New Roman" w:hAnsi="Times New Roman" w:cs="Times New Roman"/>
          <w:sz w:val="28"/>
          <w:szCs w:val="28"/>
        </w:rPr>
        <w:t>7</w:t>
      </w:r>
      <w:r w:rsidR="009433A9" w:rsidRPr="00603B31">
        <w:rPr>
          <w:rFonts w:ascii="Times New Roman" w:hAnsi="Times New Roman" w:cs="Times New Roman"/>
          <w:sz w:val="28"/>
          <w:szCs w:val="28"/>
        </w:rPr>
        <w:t>4</w:t>
      </w:r>
      <w:r w:rsidR="001D2283" w:rsidRPr="00603B31">
        <w:rPr>
          <w:rFonts w:ascii="Times New Roman" w:hAnsi="Times New Roman" w:cs="Times New Roman"/>
          <w:sz w:val="28"/>
          <w:szCs w:val="28"/>
        </w:rPr>
        <w:t>]</w:t>
      </w:r>
      <w:r w:rsidR="00D270E4" w:rsidRPr="00603B31">
        <w:rPr>
          <w:rFonts w:ascii="Times New Roman" w:hAnsi="Times New Roman" w:cs="Times New Roman"/>
          <w:sz w:val="28"/>
          <w:szCs w:val="28"/>
        </w:rPr>
        <w:t>.</w:t>
      </w:r>
    </w:p>
    <w:p w:rsidR="00F75866" w:rsidRPr="00603B31" w:rsidRDefault="000F3945" w:rsidP="000C09B2">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Были исследованы различные методы повышения эффективности циклов ЭКО у пациенток со «слабым ответом» на стимуляцию суперовуляции. Одним из таких методов </w:t>
      </w:r>
      <w:r w:rsidR="00D270E4" w:rsidRPr="00603B31">
        <w:rPr>
          <w:rFonts w:ascii="Times New Roman" w:hAnsi="Times New Roman" w:cs="Times New Roman"/>
          <w:sz w:val="28"/>
          <w:szCs w:val="28"/>
        </w:rPr>
        <w:t xml:space="preserve">является применение мио-инозитола в качестве адьювантной терапии в программе ЭКО у пациенток со «слабым ответом» на стимуляцию суперовуляции. Мио-инозитол является ключевым звеном  </w:t>
      </w:r>
      <w:r w:rsidR="001D2283" w:rsidRPr="00603B31">
        <w:rPr>
          <w:rFonts w:ascii="Times New Roman" w:hAnsi="Times New Roman" w:cs="Times New Roman"/>
          <w:sz w:val="28"/>
          <w:szCs w:val="28"/>
        </w:rPr>
        <w:t>в системе сигнальной транс</w:t>
      </w:r>
      <w:r w:rsidR="00D270E4" w:rsidRPr="00603B31">
        <w:rPr>
          <w:rFonts w:ascii="Times New Roman" w:hAnsi="Times New Roman" w:cs="Times New Roman"/>
          <w:sz w:val="28"/>
          <w:szCs w:val="28"/>
        </w:rPr>
        <w:t>д</w:t>
      </w:r>
      <w:r w:rsidR="001D2283" w:rsidRPr="00603B31">
        <w:rPr>
          <w:rFonts w:ascii="Times New Roman" w:hAnsi="Times New Roman" w:cs="Times New Roman"/>
          <w:sz w:val="28"/>
          <w:szCs w:val="28"/>
        </w:rPr>
        <w:t>у</w:t>
      </w:r>
      <w:r w:rsidR="00D270E4" w:rsidRPr="00603B31">
        <w:rPr>
          <w:rFonts w:ascii="Times New Roman" w:hAnsi="Times New Roman" w:cs="Times New Roman"/>
          <w:sz w:val="28"/>
          <w:szCs w:val="28"/>
        </w:rPr>
        <w:t xml:space="preserve">кции и, согласно многочисленным исследованиям, </w:t>
      </w:r>
      <w:r w:rsidR="00122DF9" w:rsidRPr="00603B31">
        <w:rPr>
          <w:rFonts w:ascii="Times New Roman" w:hAnsi="Times New Roman" w:cs="Times New Roman"/>
          <w:sz w:val="28"/>
          <w:szCs w:val="28"/>
        </w:rPr>
        <w:t>норм</w:t>
      </w:r>
      <w:r w:rsidR="00AC6375" w:rsidRPr="00603B31">
        <w:rPr>
          <w:rFonts w:ascii="Times New Roman" w:hAnsi="Times New Roman" w:cs="Times New Roman"/>
          <w:sz w:val="28"/>
          <w:szCs w:val="28"/>
        </w:rPr>
        <w:t xml:space="preserve">ализует чувствительность </w:t>
      </w:r>
      <w:r w:rsidR="00122DF9" w:rsidRPr="00603B31">
        <w:rPr>
          <w:rFonts w:ascii="Times New Roman" w:hAnsi="Times New Roman" w:cs="Times New Roman"/>
          <w:sz w:val="28"/>
          <w:szCs w:val="28"/>
        </w:rPr>
        <w:t xml:space="preserve">яичников к инсулину, </w:t>
      </w:r>
      <w:r w:rsidRPr="00603B31">
        <w:rPr>
          <w:rFonts w:ascii="Times New Roman" w:hAnsi="Times New Roman" w:cs="Times New Roman"/>
          <w:sz w:val="28"/>
          <w:szCs w:val="28"/>
        </w:rPr>
        <w:t>ГнРГ</w:t>
      </w:r>
      <w:r w:rsidR="00122DF9" w:rsidRPr="00603B31">
        <w:rPr>
          <w:rFonts w:ascii="Times New Roman" w:hAnsi="Times New Roman" w:cs="Times New Roman"/>
          <w:sz w:val="28"/>
          <w:szCs w:val="28"/>
        </w:rPr>
        <w:t xml:space="preserve"> и ФСГ</w:t>
      </w:r>
      <w:r w:rsidR="00AC6375" w:rsidRPr="00603B31">
        <w:rPr>
          <w:rFonts w:ascii="Times New Roman" w:hAnsi="Times New Roman" w:cs="Times New Roman"/>
          <w:sz w:val="28"/>
          <w:szCs w:val="28"/>
        </w:rPr>
        <w:t>[</w:t>
      </w:r>
      <w:r w:rsidR="006A39C1" w:rsidRPr="00603B31">
        <w:rPr>
          <w:rFonts w:ascii="Times New Roman" w:hAnsi="Times New Roman" w:cs="Times New Roman"/>
          <w:sz w:val="28"/>
          <w:szCs w:val="28"/>
        </w:rPr>
        <w:t>28,62</w:t>
      </w:r>
      <w:r w:rsidR="00AC6375" w:rsidRPr="00603B31">
        <w:rPr>
          <w:rFonts w:ascii="Times New Roman" w:hAnsi="Times New Roman" w:cs="Times New Roman"/>
          <w:sz w:val="28"/>
          <w:szCs w:val="28"/>
        </w:rPr>
        <w:t>]</w:t>
      </w:r>
      <w:r w:rsidR="00122DF9" w:rsidRPr="00603B31">
        <w:rPr>
          <w:rFonts w:ascii="Times New Roman" w:hAnsi="Times New Roman" w:cs="Times New Roman"/>
          <w:sz w:val="28"/>
          <w:szCs w:val="28"/>
        </w:rPr>
        <w:t xml:space="preserve">. </w:t>
      </w:r>
    </w:p>
    <w:p w:rsidR="00AC6375" w:rsidRPr="00603B31" w:rsidRDefault="00AC6375" w:rsidP="001D2283">
      <w:pPr>
        <w:spacing w:after="0" w:line="360" w:lineRule="auto"/>
        <w:rPr>
          <w:rFonts w:ascii="Times New Roman" w:hAnsi="Times New Roman" w:cs="Times New Roman"/>
          <w:b/>
          <w:bCs/>
          <w:sz w:val="28"/>
          <w:szCs w:val="28"/>
        </w:rPr>
      </w:pPr>
    </w:p>
    <w:p w:rsidR="00CB2EFE" w:rsidRPr="00603B31" w:rsidRDefault="001D2283" w:rsidP="001D2283">
      <w:pPr>
        <w:spacing w:after="0" w:line="360" w:lineRule="auto"/>
        <w:rPr>
          <w:rFonts w:ascii="Times New Roman" w:hAnsi="Times New Roman" w:cs="Times New Roman"/>
          <w:b/>
          <w:bCs/>
          <w:sz w:val="28"/>
          <w:szCs w:val="28"/>
        </w:rPr>
      </w:pPr>
      <w:r w:rsidRPr="00603B31">
        <w:rPr>
          <w:rFonts w:ascii="Times New Roman" w:hAnsi="Times New Roman" w:cs="Times New Roman"/>
          <w:b/>
          <w:bCs/>
          <w:sz w:val="28"/>
          <w:szCs w:val="28"/>
        </w:rPr>
        <w:t>2. Цели и задачи</w:t>
      </w:r>
      <w:r w:rsidR="00CB2EFE" w:rsidRPr="00603B31">
        <w:rPr>
          <w:rFonts w:ascii="Times New Roman" w:hAnsi="Times New Roman" w:cs="Times New Roman"/>
          <w:b/>
          <w:bCs/>
          <w:sz w:val="28"/>
          <w:szCs w:val="28"/>
        </w:rPr>
        <w:t xml:space="preserve"> исследования</w:t>
      </w:r>
    </w:p>
    <w:p w:rsidR="001D2283" w:rsidRPr="00603B31" w:rsidRDefault="001D2283" w:rsidP="00CB2EFE">
      <w:pPr>
        <w:spacing w:after="0" w:line="360" w:lineRule="auto"/>
        <w:rPr>
          <w:rFonts w:ascii="Times New Roman" w:hAnsi="Times New Roman" w:cs="Times New Roman"/>
          <w:sz w:val="28"/>
          <w:szCs w:val="28"/>
        </w:rPr>
      </w:pPr>
      <w:r w:rsidRPr="00603B31">
        <w:rPr>
          <w:rFonts w:ascii="Times New Roman" w:hAnsi="Times New Roman" w:cs="Times New Roman"/>
          <w:sz w:val="28"/>
          <w:szCs w:val="28"/>
          <w:u w:val="single"/>
        </w:rPr>
        <w:t>Цель исследования</w:t>
      </w:r>
      <w:r w:rsidRPr="00603B31">
        <w:rPr>
          <w:rFonts w:ascii="Times New Roman" w:hAnsi="Times New Roman" w:cs="Times New Roman"/>
          <w:sz w:val="28"/>
          <w:szCs w:val="28"/>
        </w:rPr>
        <w:t>:</w:t>
      </w:r>
    </w:p>
    <w:p w:rsidR="00CB2EFE" w:rsidRPr="00603B31" w:rsidRDefault="00CB2EFE" w:rsidP="00CB2EFE">
      <w:p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оценить эффективность применения мио</w:t>
      </w:r>
      <w:r w:rsidR="009A3E9C" w:rsidRPr="00603B31">
        <w:rPr>
          <w:rFonts w:ascii="Times New Roman" w:hAnsi="Times New Roman" w:cs="Times New Roman"/>
          <w:sz w:val="28"/>
          <w:szCs w:val="28"/>
        </w:rPr>
        <w:t>-</w:t>
      </w:r>
      <w:r w:rsidRPr="00603B31">
        <w:rPr>
          <w:rFonts w:ascii="Times New Roman" w:hAnsi="Times New Roman" w:cs="Times New Roman"/>
          <w:sz w:val="28"/>
          <w:szCs w:val="28"/>
        </w:rPr>
        <w:t xml:space="preserve">инозитола в качестве адьювантной терапии в циклах ЭКО у пациенток со </w:t>
      </w:r>
      <w:r w:rsidR="001D2283" w:rsidRPr="00603B31">
        <w:rPr>
          <w:rFonts w:ascii="Times New Roman" w:hAnsi="Times New Roman" w:cs="Times New Roman"/>
          <w:sz w:val="28"/>
          <w:szCs w:val="28"/>
        </w:rPr>
        <w:t>«</w:t>
      </w:r>
      <w:r w:rsidRPr="00603B31">
        <w:rPr>
          <w:rFonts w:ascii="Times New Roman" w:hAnsi="Times New Roman" w:cs="Times New Roman"/>
          <w:sz w:val="28"/>
          <w:szCs w:val="28"/>
        </w:rPr>
        <w:t>слабым ответом</w:t>
      </w:r>
      <w:r w:rsidR="001D2283" w:rsidRPr="00603B31">
        <w:rPr>
          <w:rFonts w:ascii="Times New Roman" w:hAnsi="Times New Roman" w:cs="Times New Roman"/>
          <w:sz w:val="28"/>
          <w:szCs w:val="28"/>
        </w:rPr>
        <w:t>»</w:t>
      </w:r>
      <w:r w:rsidRPr="00603B31">
        <w:rPr>
          <w:rFonts w:ascii="Times New Roman" w:hAnsi="Times New Roman" w:cs="Times New Roman"/>
          <w:sz w:val="28"/>
          <w:szCs w:val="28"/>
        </w:rPr>
        <w:t xml:space="preserve"> на стимуляцию суперовуляции.</w:t>
      </w:r>
    </w:p>
    <w:p w:rsidR="00CB2EFE" w:rsidRPr="00603B31" w:rsidRDefault="00CB2EFE" w:rsidP="00CB2EFE">
      <w:pPr>
        <w:spacing w:after="0" w:line="360" w:lineRule="auto"/>
        <w:rPr>
          <w:rFonts w:ascii="Times New Roman" w:hAnsi="Times New Roman" w:cs="Times New Roman"/>
          <w:bCs/>
          <w:sz w:val="28"/>
          <w:szCs w:val="28"/>
          <w:u w:val="single"/>
          <w:lang w:val="en-US"/>
        </w:rPr>
      </w:pPr>
      <w:r w:rsidRPr="00603B31">
        <w:rPr>
          <w:rFonts w:ascii="Times New Roman" w:hAnsi="Times New Roman" w:cs="Times New Roman"/>
          <w:bCs/>
          <w:sz w:val="28"/>
          <w:szCs w:val="28"/>
          <w:u w:val="single"/>
        </w:rPr>
        <w:t>Задачи исследования</w:t>
      </w:r>
    </w:p>
    <w:p w:rsidR="00CB2EFE" w:rsidRPr="00603B31" w:rsidRDefault="009A3E9C" w:rsidP="00CB2EFE">
      <w:pPr>
        <w:numPr>
          <w:ilvl w:val="0"/>
          <w:numId w:val="15"/>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определить частоту наступления беременности у пациенток со «слабым ответом» на стимуляцию суперовуляции;</w:t>
      </w:r>
    </w:p>
    <w:p w:rsidR="00CB2EFE" w:rsidRPr="00603B31" w:rsidRDefault="009A3E9C" w:rsidP="00CB2EFE">
      <w:pPr>
        <w:numPr>
          <w:ilvl w:val="0"/>
          <w:numId w:val="15"/>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оценить характеристики эмбрионального этапа циклов ЭКО у пациенток со «слабым ответом» на стимуляцию суперовуляции;</w:t>
      </w:r>
    </w:p>
    <w:p w:rsidR="009A3E9C" w:rsidRPr="00603B31" w:rsidRDefault="009A3E9C" w:rsidP="00CB2EFE">
      <w:pPr>
        <w:numPr>
          <w:ilvl w:val="0"/>
          <w:numId w:val="15"/>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w:t>
      </w:r>
      <w:r w:rsidR="001D2283" w:rsidRPr="00603B31">
        <w:rPr>
          <w:rFonts w:ascii="Times New Roman" w:hAnsi="Times New Roman" w:cs="Times New Roman"/>
          <w:sz w:val="28"/>
          <w:szCs w:val="28"/>
        </w:rPr>
        <w:t>ц</w:t>
      </w:r>
      <w:r w:rsidR="00CB2EFE" w:rsidRPr="00603B31">
        <w:rPr>
          <w:rFonts w:ascii="Times New Roman" w:hAnsi="Times New Roman" w:cs="Times New Roman"/>
          <w:sz w:val="28"/>
          <w:szCs w:val="28"/>
        </w:rPr>
        <w:t>е</w:t>
      </w:r>
      <w:r w:rsidR="001D2283" w:rsidRPr="00603B31">
        <w:rPr>
          <w:rFonts w:ascii="Times New Roman" w:hAnsi="Times New Roman" w:cs="Times New Roman"/>
          <w:sz w:val="28"/>
          <w:szCs w:val="28"/>
        </w:rPr>
        <w:t>н</w:t>
      </w:r>
      <w:r w:rsidRPr="00603B31">
        <w:rPr>
          <w:rFonts w:ascii="Times New Roman" w:hAnsi="Times New Roman" w:cs="Times New Roman"/>
          <w:sz w:val="28"/>
          <w:szCs w:val="28"/>
        </w:rPr>
        <w:t xml:space="preserve">ить результаты </w:t>
      </w:r>
      <w:r w:rsidR="001D2283" w:rsidRPr="00603B31">
        <w:rPr>
          <w:rFonts w:ascii="Times New Roman" w:hAnsi="Times New Roman" w:cs="Times New Roman"/>
          <w:sz w:val="28"/>
          <w:szCs w:val="28"/>
        </w:rPr>
        <w:t>циклов</w:t>
      </w:r>
      <w:r w:rsidR="00CB2EFE" w:rsidRPr="00603B31">
        <w:rPr>
          <w:rFonts w:ascii="Times New Roman" w:hAnsi="Times New Roman" w:cs="Times New Roman"/>
          <w:sz w:val="28"/>
          <w:szCs w:val="28"/>
        </w:rPr>
        <w:t xml:space="preserve"> ЭКО у </w:t>
      </w:r>
      <w:r w:rsidR="001D2283" w:rsidRPr="00603B31">
        <w:rPr>
          <w:rFonts w:ascii="Times New Roman" w:hAnsi="Times New Roman" w:cs="Times New Roman"/>
          <w:sz w:val="28"/>
          <w:szCs w:val="28"/>
        </w:rPr>
        <w:t>пациенток</w:t>
      </w:r>
      <w:r w:rsidR="00CB2EFE" w:rsidRPr="00603B31">
        <w:rPr>
          <w:rFonts w:ascii="Times New Roman" w:hAnsi="Times New Roman" w:cs="Times New Roman"/>
          <w:sz w:val="28"/>
          <w:szCs w:val="28"/>
        </w:rPr>
        <w:t xml:space="preserve"> со </w:t>
      </w:r>
      <w:r w:rsidR="001D2283" w:rsidRPr="00603B31">
        <w:rPr>
          <w:rFonts w:ascii="Times New Roman" w:hAnsi="Times New Roman" w:cs="Times New Roman"/>
          <w:sz w:val="28"/>
          <w:szCs w:val="28"/>
        </w:rPr>
        <w:t>«</w:t>
      </w:r>
      <w:r w:rsidR="00CB2EFE" w:rsidRPr="00603B31">
        <w:rPr>
          <w:rFonts w:ascii="Times New Roman" w:hAnsi="Times New Roman" w:cs="Times New Roman"/>
          <w:sz w:val="28"/>
          <w:szCs w:val="28"/>
        </w:rPr>
        <w:t>слабым ответом</w:t>
      </w:r>
      <w:r w:rsidR="001D2283" w:rsidRPr="00603B31">
        <w:rPr>
          <w:rFonts w:ascii="Times New Roman" w:hAnsi="Times New Roman" w:cs="Times New Roman"/>
          <w:sz w:val="28"/>
          <w:szCs w:val="28"/>
        </w:rPr>
        <w:t>»</w:t>
      </w:r>
      <w:r w:rsidR="00CB2EFE" w:rsidRPr="00603B31">
        <w:rPr>
          <w:rFonts w:ascii="Times New Roman" w:hAnsi="Times New Roman" w:cs="Times New Roman"/>
          <w:sz w:val="28"/>
          <w:szCs w:val="28"/>
        </w:rPr>
        <w:t xml:space="preserve"> на стимуляцию суперовуляции в зависимости от приёма мио</w:t>
      </w:r>
      <w:r w:rsidR="001D2283" w:rsidRPr="00603B31">
        <w:rPr>
          <w:rFonts w:ascii="Times New Roman" w:hAnsi="Times New Roman" w:cs="Times New Roman"/>
          <w:sz w:val="28"/>
          <w:szCs w:val="28"/>
        </w:rPr>
        <w:t>-</w:t>
      </w:r>
      <w:r w:rsidRPr="00603B31">
        <w:rPr>
          <w:rFonts w:ascii="Times New Roman" w:hAnsi="Times New Roman" w:cs="Times New Roman"/>
          <w:sz w:val="28"/>
          <w:szCs w:val="28"/>
        </w:rPr>
        <w:t>инозитола;</w:t>
      </w:r>
    </w:p>
    <w:p w:rsidR="00CB2EFE" w:rsidRPr="00603B31" w:rsidRDefault="009A3E9C" w:rsidP="00CB2EFE">
      <w:pPr>
        <w:numPr>
          <w:ilvl w:val="0"/>
          <w:numId w:val="15"/>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определить частоту побочных эффектов, связанных с приёмом мио-инозитола в циклах ЭКО у пациенток со «слабым ответом» на стимуляцию суперовуляции.</w:t>
      </w:r>
      <w:r w:rsidR="00CB2EFE" w:rsidRPr="00603B31">
        <w:rPr>
          <w:rFonts w:ascii="Times New Roman" w:hAnsi="Times New Roman" w:cs="Times New Roman"/>
          <w:sz w:val="28"/>
          <w:szCs w:val="28"/>
        </w:rPr>
        <w:t xml:space="preserve"> </w:t>
      </w:r>
    </w:p>
    <w:p w:rsidR="00CB2EFE" w:rsidRPr="00603B31" w:rsidRDefault="00CB2EFE">
      <w:pPr>
        <w:rPr>
          <w:rFonts w:ascii="Times New Roman" w:hAnsi="Times New Roman" w:cs="Times New Roman"/>
          <w:b/>
          <w:bCs/>
          <w:sz w:val="28"/>
          <w:szCs w:val="28"/>
        </w:rPr>
      </w:pPr>
      <w:r w:rsidRPr="00603B31">
        <w:rPr>
          <w:rFonts w:ascii="Times New Roman" w:hAnsi="Times New Roman" w:cs="Times New Roman"/>
          <w:b/>
          <w:bCs/>
          <w:sz w:val="28"/>
          <w:szCs w:val="28"/>
        </w:rPr>
        <w:br w:type="page"/>
      </w:r>
    </w:p>
    <w:p w:rsidR="001D2283" w:rsidRPr="00603B31" w:rsidRDefault="001D2283" w:rsidP="001D2283">
      <w:pPr>
        <w:autoSpaceDE w:val="0"/>
        <w:autoSpaceDN w:val="0"/>
        <w:adjustRightInd w:val="0"/>
        <w:spacing w:after="0" w:line="360" w:lineRule="auto"/>
        <w:jc w:val="center"/>
        <w:rPr>
          <w:rFonts w:ascii="Times New Roman" w:hAnsi="Times New Roman" w:cs="Times New Roman"/>
          <w:b/>
          <w:bCs/>
          <w:sz w:val="28"/>
          <w:szCs w:val="28"/>
        </w:rPr>
      </w:pPr>
      <w:r w:rsidRPr="00603B31">
        <w:rPr>
          <w:rFonts w:ascii="Times New Roman" w:hAnsi="Times New Roman" w:cs="Times New Roman"/>
          <w:b/>
          <w:bCs/>
          <w:sz w:val="28"/>
          <w:szCs w:val="28"/>
        </w:rPr>
        <w:t xml:space="preserve">ГЛАВА </w:t>
      </w:r>
      <w:r w:rsidRPr="00603B31">
        <w:rPr>
          <w:rFonts w:ascii="Times New Roman" w:hAnsi="Times New Roman" w:cs="Times New Roman"/>
          <w:b/>
          <w:bCs/>
          <w:sz w:val="28"/>
          <w:szCs w:val="28"/>
          <w:lang w:val="en-US"/>
        </w:rPr>
        <w:t>I</w:t>
      </w:r>
      <w:r w:rsidR="00AC6375" w:rsidRPr="00603B31">
        <w:rPr>
          <w:rFonts w:ascii="Times New Roman" w:hAnsi="Times New Roman" w:cs="Times New Roman"/>
          <w:b/>
          <w:bCs/>
          <w:sz w:val="28"/>
          <w:szCs w:val="28"/>
        </w:rPr>
        <w:t>. ОБЗОР ЛИТЕРАТУРЫ</w:t>
      </w:r>
    </w:p>
    <w:p w:rsidR="008D5C8C" w:rsidRPr="00603B31" w:rsidRDefault="00E23DCD" w:rsidP="001D2283">
      <w:pPr>
        <w:autoSpaceDE w:val="0"/>
        <w:autoSpaceDN w:val="0"/>
        <w:adjustRightInd w:val="0"/>
        <w:spacing w:after="0" w:line="360" w:lineRule="auto"/>
        <w:rPr>
          <w:rFonts w:ascii="Times New Roman" w:eastAsia="TimesNewRomanPSMT-Identity-H" w:hAnsi="Times New Roman" w:cs="Times New Roman"/>
          <w:b/>
          <w:sz w:val="28"/>
          <w:szCs w:val="28"/>
        </w:rPr>
      </w:pPr>
      <w:r w:rsidRPr="00603B31">
        <w:rPr>
          <w:rFonts w:ascii="Times New Roman" w:eastAsia="TimesNewRomanPSMT-Identity-H" w:hAnsi="Times New Roman" w:cs="Times New Roman"/>
          <w:b/>
          <w:sz w:val="28"/>
          <w:szCs w:val="28"/>
        </w:rPr>
        <w:t>1.1 Современные представления об овариальном резерв</w:t>
      </w:r>
      <w:r w:rsidR="00AC6375" w:rsidRPr="00603B31">
        <w:rPr>
          <w:rFonts w:ascii="Times New Roman" w:eastAsia="TimesNewRomanPSMT-Identity-H" w:hAnsi="Times New Roman" w:cs="Times New Roman"/>
          <w:b/>
          <w:sz w:val="28"/>
          <w:szCs w:val="28"/>
        </w:rPr>
        <w:t>е и оптимальном ответе яичников</w:t>
      </w:r>
      <w:r w:rsidRPr="00603B31">
        <w:rPr>
          <w:rFonts w:ascii="Times New Roman" w:eastAsia="TimesNewRomanPSMT-Identity-H" w:hAnsi="Times New Roman" w:cs="Times New Roman"/>
          <w:b/>
          <w:sz w:val="28"/>
          <w:szCs w:val="28"/>
        </w:rPr>
        <w:t xml:space="preserve"> на стимуляцию суперовуляции в циклах ЭКО</w:t>
      </w:r>
    </w:p>
    <w:p w:rsidR="004E56A9" w:rsidRPr="00603B31" w:rsidRDefault="005831AD" w:rsidP="00CB567E">
      <w:pPr>
        <w:autoSpaceDE w:val="0"/>
        <w:autoSpaceDN w:val="0"/>
        <w:adjustRightInd w:val="0"/>
        <w:spacing w:after="0" w:line="360" w:lineRule="auto"/>
        <w:ind w:firstLine="708"/>
        <w:rPr>
          <w:rFonts w:ascii="Times New Roman" w:eastAsia="TimesNewRomanPSMT-Identity-H" w:hAnsi="Times New Roman" w:cs="Times New Roman"/>
          <w:sz w:val="28"/>
          <w:szCs w:val="28"/>
        </w:rPr>
      </w:pPr>
      <w:r w:rsidRPr="00603B31">
        <w:rPr>
          <w:rFonts w:ascii="Times New Roman" w:eastAsia="TimesNewRomanPSMT" w:hAnsi="Times New Roman" w:cs="Times New Roman"/>
          <w:sz w:val="28"/>
          <w:szCs w:val="28"/>
        </w:rPr>
        <w:t>На сегодняшний день н</w:t>
      </w:r>
      <w:r w:rsidR="004E56A9" w:rsidRPr="00603B31">
        <w:rPr>
          <w:rFonts w:ascii="Times New Roman" w:eastAsia="TimesNewRomanPSMT" w:hAnsi="Times New Roman" w:cs="Times New Roman"/>
          <w:sz w:val="28"/>
          <w:szCs w:val="28"/>
        </w:rPr>
        <w:t>аиболее эффективным методом вспомогательных репродуктивных технологий признано экстракорпор</w:t>
      </w:r>
      <w:r w:rsidRPr="00603B31">
        <w:rPr>
          <w:rFonts w:ascii="Times New Roman" w:eastAsia="TimesNewRomanPSMT" w:hAnsi="Times New Roman" w:cs="Times New Roman"/>
          <w:sz w:val="28"/>
          <w:szCs w:val="28"/>
        </w:rPr>
        <w:t>альное оплодотворение (ЭКО)</w:t>
      </w:r>
      <w:r w:rsidR="00CB567E" w:rsidRPr="00603B31">
        <w:rPr>
          <w:rFonts w:ascii="Times New Roman" w:eastAsia="TimesNewRomanPSMT" w:hAnsi="Times New Roman" w:cs="Times New Roman"/>
          <w:sz w:val="28"/>
          <w:szCs w:val="28"/>
        </w:rPr>
        <w:t>[1</w:t>
      </w:r>
      <w:r w:rsidR="004E56A9" w:rsidRPr="00603B31">
        <w:rPr>
          <w:rFonts w:ascii="Times New Roman" w:eastAsia="TimesNewRomanPSMT" w:hAnsi="Times New Roman" w:cs="Times New Roman"/>
          <w:sz w:val="28"/>
          <w:szCs w:val="28"/>
        </w:rPr>
        <w:t>].</w:t>
      </w:r>
      <w:r w:rsidRPr="00603B31">
        <w:rPr>
          <w:rFonts w:ascii="Times New Roman" w:eastAsia="TimesNewRomanPSMT" w:hAnsi="Times New Roman" w:cs="Times New Roman"/>
          <w:sz w:val="28"/>
          <w:szCs w:val="28"/>
        </w:rPr>
        <w:t xml:space="preserve"> Основным и важнейшим </w:t>
      </w:r>
      <w:r w:rsidR="004E56A9" w:rsidRPr="00603B31">
        <w:rPr>
          <w:rFonts w:ascii="Times New Roman" w:eastAsia="TimesNewRomanPSMT" w:hAnsi="Times New Roman" w:cs="Times New Roman"/>
          <w:sz w:val="28"/>
          <w:szCs w:val="28"/>
        </w:rPr>
        <w:t xml:space="preserve">этапом ЭКО является </w:t>
      </w:r>
      <w:r w:rsidRPr="00603B31">
        <w:rPr>
          <w:rFonts w:ascii="Times New Roman" w:eastAsia="TimesNewRomanPSMT" w:hAnsi="Times New Roman" w:cs="Times New Roman"/>
          <w:sz w:val="28"/>
          <w:szCs w:val="28"/>
        </w:rPr>
        <w:t xml:space="preserve">стимуляция суперовуляции, в ходе которой </w:t>
      </w:r>
      <w:r w:rsidR="005D794E" w:rsidRPr="00603B31">
        <w:rPr>
          <w:rFonts w:ascii="Times New Roman" w:eastAsia="TimesNewRomanPSMT" w:hAnsi="Times New Roman" w:cs="Times New Roman"/>
          <w:sz w:val="28"/>
          <w:szCs w:val="28"/>
        </w:rPr>
        <w:t xml:space="preserve">проводится медикаментозное воздействие препаратами гонадотропинов на яичники </w:t>
      </w:r>
      <w:r w:rsidR="004E56A9" w:rsidRPr="00603B31">
        <w:rPr>
          <w:rFonts w:ascii="Times New Roman" w:eastAsia="TimesNewRomanPSMT" w:hAnsi="Times New Roman" w:cs="Times New Roman"/>
          <w:sz w:val="28"/>
          <w:szCs w:val="28"/>
        </w:rPr>
        <w:t>с целью фо</w:t>
      </w:r>
      <w:r w:rsidRPr="00603B31">
        <w:rPr>
          <w:rFonts w:ascii="Times New Roman" w:eastAsia="TimesNewRomanPSMT" w:hAnsi="Times New Roman" w:cs="Times New Roman"/>
          <w:sz w:val="28"/>
          <w:szCs w:val="28"/>
        </w:rPr>
        <w:t xml:space="preserve">рмирования фолликулярного пула </w:t>
      </w:r>
      <w:r w:rsidR="004E56A9" w:rsidRPr="00603B31">
        <w:rPr>
          <w:rFonts w:ascii="Times New Roman" w:eastAsia="TimesNewRomanPSMT" w:hAnsi="Times New Roman" w:cs="Times New Roman"/>
          <w:sz w:val="28"/>
          <w:szCs w:val="28"/>
        </w:rPr>
        <w:t>и получения максимального</w:t>
      </w:r>
      <w:r w:rsidRPr="00603B31">
        <w:rPr>
          <w:rFonts w:ascii="Times New Roman" w:eastAsia="TimesNewRomanPSMT" w:hAnsi="Times New Roman" w:cs="Times New Roman"/>
          <w:sz w:val="28"/>
          <w:szCs w:val="28"/>
        </w:rPr>
        <w:t xml:space="preserve"> </w:t>
      </w:r>
      <w:r w:rsidR="004E56A9" w:rsidRPr="00603B31">
        <w:rPr>
          <w:rFonts w:ascii="Times New Roman" w:eastAsia="TimesNewRomanPSMT" w:hAnsi="Times New Roman" w:cs="Times New Roman"/>
          <w:sz w:val="28"/>
          <w:szCs w:val="28"/>
        </w:rPr>
        <w:t>количества ооцитов.</w:t>
      </w:r>
      <w:r w:rsidR="0032151E" w:rsidRPr="00603B31">
        <w:rPr>
          <w:rFonts w:ascii="Times New Roman" w:eastAsia="TimesNewRomanPSMT" w:hAnsi="Times New Roman" w:cs="Times New Roman"/>
          <w:sz w:val="28"/>
          <w:szCs w:val="28"/>
        </w:rPr>
        <w:t xml:space="preserve"> </w:t>
      </w:r>
      <w:r w:rsidR="0032151E" w:rsidRPr="00603B31">
        <w:rPr>
          <w:rFonts w:ascii="Times New Roman" w:eastAsia="TimesNewRomanPSMT-Identity-H" w:hAnsi="Times New Roman" w:cs="Times New Roman"/>
          <w:sz w:val="28"/>
          <w:szCs w:val="28"/>
        </w:rPr>
        <w:t>Под действием</w:t>
      </w:r>
      <w:r w:rsidR="0032151E" w:rsidRPr="00603B31">
        <w:rPr>
          <w:rFonts w:ascii="Times New Roman" w:eastAsia="TimesNewRomanPS-ItalicMT-Identi" w:hAnsi="Times New Roman" w:cs="Times New Roman"/>
          <w:i/>
          <w:iCs/>
          <w:sz w:val="28"/>
          <w:szCs w:val="28"/>
        </w:rPr>
        <w:t xml:space="preserve"> </w:t>
      </w:r>
      <w:r w:rsidR="00CE26BC">
        <w:rPr>
          <w:rFonts w:ascii="Times New Roman" w:eastAsia="TimesNewRomanPS-ItalicMT-Identi" w:hAnsi="Times New Roman" w:cs="Times New Roman"/>
          <w:iCs/>
          <w:sz w:val="28"/>
          <w:szCs w:val="28"/>
        </w:rPr>
        <w:t>применяемых</w:t>
      </w:r>
      <w:r w:rsidR="0032151E" w:rsidRPr="00603B31">
        <w:rPr>
          <w:rFonts w:ascii="Times New Roman" w:eastAsia="TimesNewRomanPS-ItalicMT-Identi" w:hAnsi="Times New Roman" w:cs="Times New Roman"/>
          <w:iCs/>
          <w:sz w:val="28"/>
          <w:szCs w:val="28"/>
        </w:rPr>
        <w:t xml:space="preserve"> препаратов гонадотропинов происходит</w:t>
      </w:r>
      <w:r w:rsidR="0032151E" w:rsidRPr="00603B31">
        <w:rPr>
          <w:rFonts w:ascii="Times New Roman" w:eastAsia="TimesNewRomanPSMT-Identity-H" w:hAnsi="Times New Roman" w:cs="Times New Roman"/>
          <w:sz w:val="28"/>
          <w:szCs w:val="28"/>
        </w:rPr>
        <w:t xml:space="preserve"> </w:t>
      </w:r>
      <w:r w:rsidR="00CE26BC">
        <w:rPr>
          <w:rFonts w:ascii="Times New Roman" w:eastAsia="TimesNewRomanPS-ItalicMT-Identi" w:hAnsi="Times New Roman" w:cs="Times New Roman"/>
          <w:iCs/>
          <w:sz w:val="28"/>
          <w:szCs w:val="28"/>
        </w:rPr>
        <w:t>одновременное созревание</w:t>
      </w:r>
      <w:r w:rsidR="0032151E" w:rsidRPr="00603B31">
        <w:rPr>
          <w:rFonts w:ascii="Times New Roman" w:eastAsia="TimesNewRomanPS-ItalicMT-Identi" w:hAnsi="Times New Roman" w:cs="Times New Roman"/>
          <w:iCs/>
          <w:sz w:val="28"/>
          <w:szCs w:val="28"/>
        </w:rPr>
        <w:t xml:space="preserve"> нескольких фолликулов. Таким образом, целью стимуляции суперовуляции является получение как можно большего </w:t>
      </w:r>
      <w:r w:rsidR="005D794E">
        <w:rPr>
          <w:rFonts w:ascii="Times New Roman" w:eastAsia="TimesNewRomanPS-ItalicMT-Identi" w:hAnsi="Times New Roman" w:cs="Times New Roman"/>
          <w:iCs/>
          <w:sz w:val="28"/>
          <w:szCs w:val="28"/>
        </w:rPr>
        <w:t>числа</w:t>
      </w:r>
      <w:r w:rsidR="0032151E" w:rsidRPr="00603B31">
        <w:rPr>
          <w:rFonts w:ascii="Times New Roman" w:eastAsia="TimesNewRomanPS-ItalicMT-Identi" w:hAnsi="Times New Roman" w:cs="Times New Roman"/>
          <w:iCs/>
          <w:sz w:val="28"/>
          <w:szCs w:val="28"/>
        </w:rPr>
        <w:t xml:space="preserve"> фолликулов, что в дальнейшем позволяет </w:t>
      </w:r>
      <w:r w:rsidR="005D794E">
        <w:rPr>
          <w:rFonts w:ascii="Times New Roman" w:eastAsia="TimesNewRomanPS-ItalicMT-Identi" w:hAnsi="Times New Roman" w:cs="Times New Roman"/>
          <w:iCs/>
          <w:sz w:val="28"/>
          <w:szCs w:val="28"/>
        </w:rPr>
        <w:t>повысить</w:t>
      </w:r>
      <w:r w:rsidR="0032151E" w:rsidRPr="00603B31">
        <w:rPr>
          <w:rFonts w:ascii="Times New Roman" w:eastAsia="TimesNewRomanPS-ItalicMT-Identi" w:hAnsi="Times New Roman" w:cs="Times New Roman"/>
          <w:iCs/>
          <w:sz w:val="28"/>
          <w:szCs w:val="28"/>
        </w:rPr>
        <w:t xml:space="preserve"> число эмбрионов, выделить из них эмбрионы наиболее высокого качества и </w:t>
      </w:r>
      <w:r w:rsidR="005D794E">
        <w:rPr>
          <w:rFonts w:ascii="Times New Roman" w:eastAsia="TimesNewRomanPS-ItalicMT-Identi" w:hAnsi="Times New Roman" w:cs="Times New Roman"/>
          <w:iCs/>
          <w:sz w:val="28"/>
          <w:szCs w:val="28"/>
        </w:rPr>
        <w:t>увеличить</w:t>
      </w:r>
      <w:r w:rsidR="0032151E" w:rsidRPr="00603B31">
        <w:rPr>
          <w:rFonts w:ascii="Times New Roman" w:eastAsia="TimesNewRomanPS-ItalicMT-Identi" w:hAnsi="Times New Roman" w:cs="Times New Roman"/>
          <w:iCs/>
          <w:sz w:val="28"/>
          <w:szCs w:val="28"/>
        </w:rPr>
        <w:t xml:space="preserve"> шансы наступления беременности при переносе таких эмбрионов в полость матки пациентки</w:t>
      </w:r>
      <w:r w:rsidR="005D794E">
        <w:rPr>
          <w:rFonts w:ascii="Times New Roman" w:eastAsia="TimesNewRomanPS-ItalicMT-Identi" w:hAnsi="Times New Roman" w:cs="Times New Roman"/>
          <w:iCs/>
          <w:sz w:val="28"/>
          <w:szCs w:val="28"/>
        </w:rPr>
        <w:t>, обратившейся в отделение ВРТ с целью лечения бесплодия</w:t>
      </w:r>
      <w:r w:rsidR="0032151E" w:rsidRPr="00603B31">
        <w:rPr>
          <w:rFonts w:ascii="Times New Roman" w:eastAsia="TimesNewRomanPS-ItalicMT-Identi" w:hAnsi="Times New Roman" w:cs="Times New Roman"/>
          <w:iCs/>
          <w:sz w:val="28"/>
          <w:szCs w:val="28"/>
        </w:rPr>
        <w:t xml:space="preserve">.  </w:t>
      </w:r>
    </w:p>
    <w:p w:rsidR="004E56A9" w:rsidRPr="00603B31" w:rsidRDefault="004E56A9" w:rsidP="0032151E">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В результате проведения т</w:t>
      </w:r>
      <w:r w:rsidR="00AC6375" w:rsidRPr="00603B31">
        <w:rPr>
          <w:rFonts w:ascii="Times New Roman" w:eastAsia="TimesNewRomanPSMT" w:hAnsi="Times New Roman" w:cs="Times New Roman"/>
          <w:sz w:val="28"/>
          <w:szCs w:val="28"/>
        </w:rPr>
        <w:t>ерапии гонадотропинами существуе</w:t>
      </w:r>
      <w:r w:rsidRPr="00603B31">
        <w:rPr>
          <w:rFonts w:ascii="Times New Roman" w:eastAsia="TimesNewRomanPSMT" w:hAnsi="Times New Roman" w:cs="Times New Roman"/>
          <w:sz w:val="28"/>
          <w:szCs w:val="28"/>
        </w:rPr>
        <w:t xml:space="preserve">т </w:t>
      </w:r>
      <w:r w:rsidR="0032151E" w:rsidRPr="00603B31">
        <w:rPr>
          <w:rFonts w:ascii="Times New Roman" w:eastAsia="TimesNewRomanPSMT" w:hAnsi="Times New Roman" w:cs="Times New Roman"/>
          <w:sz w:val="28"/>
          <w:szCs w:val="28"/>
        </w:rPr>
        <w:t xml:space="preserve">риск </w:t>
      </w:r>
      <w:r w:rsidR="005D794E">
        <w:rPr>
          <w:rFonts w:ascii="Times New Roman" w:eastAsia="TimesNewRomanPSMT" w:hAnsi="Times New Roman" w:cs="Times New Roman"/>
          <w:sz w:val="28"/>
          <w:szCs w:val="28"/>
        </w:rPr>
        <w:t xml:space="preserve">некоторых </w:t>
      </w:r>
      <w:r w:rsidR="0032151E" w:rsidRPr="00603B31">
        <w:rPr>
          <w:rFonts w:ascii="Times New Roman" w:eastAsia="TimesNewRomanPSMT" w:hAnsi="Times New Roman" w:cs="Times New Roman"/>
          <w:sz w:val="28"/>
          <w:szCs w:val="28"/>
        </w:rPr>
        <w:t>негативных последствий</w:t>
      </w:r>
      <w:r w:rsidRPr="00603B31">
        <w:rPr>
          <w:rFonts w:ascii="Times New Roman" w:eastAsia="TimesNewRomanPSMT" w:hAnsi="Times New Roman" w:cs="Times New Roman"/>
          <w:sz w:val="28"/>
          <w:szCs w:val="28"/>
        </w:rPr>
        <w:t>: синдро</w:t>
      </w:r>
      <w:r w:rsidR="0032151E" w:rsidRPr="00603B31">
        <w:rPr>
          <w:rFonts w:ascii="Times New Roman" w:eastAsia="TimesNewRomanPSMT" w:hAnsi="Times New Roman" w:cs="Times New Roman"/>
          <w:sz w:val="28"/>
          <w:szCs w:val="28"/>
        </w:rPr>
        <w:t xml:space="preserve">м гиперстимуляции яичников (СГЯ) </w:t>
      </w:r>
      <w:r w:rsidRPr="00603B31">
        <w:rPr>
          <w:rFonts w:ascii="Times New Roman" w:eastAsia="TimesNewRomanPSMT" w:hAnsi="Times New Roman" w:cs="Times New Roman"/>
          <w:sz w:val="28"/>
          <w:szCs w:val="28"/>
        </w:rPr>
        <w:t xml:space="preserve">и </w:t>
      </w:r>
      <w:r w:rsidR="00AC6375" w:rsidRPr="00603B31">
        <w:rPr>
          <w:rFonts w:ascii="Times New Roman" w:eastAsia="TimesNewRomanPSMT" w:hAnsi="Times New Roman" w:cs="Times New Roman"/>
          <w:sz w:val="28"/>
          <w:szCs w:val="28"/>
        </w:rPr>
        <w:t>неадекватный ответ яичников</w:t>
      </w:r>
      <w:r w:rsidR="00CB567E" w:rsidRPr="00603B31">
        <w:rPr>
          <w:rFonts w:ascii="Times New Roman" w:eastAsia="TimesNewRomanPSMT" w:hAnsi="Times New Roman" w:cs="Times New Roman"/>
          <w:sz w:val="28"/>
          <w:szCs w:val="28"/>
        </w:rPr>
        <w:t>[1</w:t>
      </w:r>
      <w:r w:rsidRPr="00603B31">
        <w:rPr>
          <w:rFonts w:ascii="Times New Roman" w:eastAsia="TimesNewRomanPSMT" w:hAnsi="Times New Roman" w:cs="Times New Roman"/>
          <w:sz w:val="28"/>
          <w:szCs w:val="28"/>
        </w:rPr>
        <w:t xml:space="preserve">]. Основные вопросы, касающиеся СГЯ, </w:t>
      </w:r>
      <w:r w:rsidR="0032151E" w:rsidRPr="00603B31">
        <w:rPr>
          <w:rFonts w:ascii="Times New Roman" w:eastAsia="TimesNewRomanPSMT" w:hAnsi="Times New Roman" w:cs="Times New Roman"/>
          <w:sz w:val="28"/>
          <w:szCs w:val="28"/>
        </w:rPr>
        <w:t>достаточно широко</w:t>
      </w:r>
      <w:r w:rsidRPr="00603B31">
        <w:rPr>
          <w:rFonts w:ascii="Times New Roman" w:eastAsia="TimesNewRomanPSMT" w:hAnsi="Times New Roman" w:cs="Times New Roman"/>
          <w:sz w:val="28"/>
          <w:szCs w:val="28"/>
        </w:rPr>
        <w:t xml:space="preserve"> освещены в </w:t>
      </w:r>
      <w:r w:rsidR="0032151E" w:rsidRPr="00603B31">
        <w:rPr>
          <w:rFonts w:ascii="Times New Roman" w:eastAsia="TimesNewRomanPSMT" w:hAnsi="Times New Roman" w:cs="Times New Roman"/>
          <w:sz w:val="28"/>
          <w:szCs w:val="28"/>
        </w:rPr>
        <w:t>медицинской</w:t>
      </w:r>
      <w:r w:rsidRPr="00603B31">
        <w:rPr>
          <w:rFonts w:ascii="Times New Roman" w:eastAsia="TimesNewRomanPSMT" w:hAnsi="Times New Roman" w:cs="Times New Roman"/>
          <w:sz w:val="28"/>
          <w:szCs w:val="28"/>
        </w:rPr>
        <w:t xml:space="preserve"> литературе, и в то же время </w:t>
      </w:r>
      <w:r w:rsidR="0032151E" w:rsidRPr="00603B31">
        <w:rPr>
          <w:rFonts w:ascii="Times New Roman" w:eastAsia="TimesNewRomanPSMT" w:hAnsi="Times New Roman" w:cs="Times New Roman"/>
          <w:sz w:val="28"/>
          <w:szCs w:val="28"/>
        </w:rPr>
        <w:t>гораздо меньше с</w:t>
      </w:r>
      <w:r w:rsidR="00AC6375" w:rsidRPr="00603B31">
        <w:rPr>
          <w:rFonts w:ascii="Times New Roman" w:eastAsia="TimesNewRomanPSMT" w:hAnsi="Times New Roman" w:cs="Times New Roman"/>
          <w:sz w:val="28"/>
          <w:szCs w:val="28"/>
        </w:rPr>
        <w:t>уществует научных работ, посвящё</w:t>
      </w:r>
      <w:r w:rsidR="0032151E" w:rsidRPr="00603B31">
        <w:rPr>
          <w:rFonts w:ascii="Times New Roman" w:eastAsia="TimesNewRomanPSMT" w:hAnsi="Times New Roman" w:cs="Times New Roman"/>
          <w:sz w:val="28"/>
          <w:szCs w:val="28"/>
        </w:rPr>
        <w:t xml:space="preserve">нных проблеме неадекватного ответа яичников, который выступает в качестве основной причины </w:t>
      </w:r>
      <w:r w:rsidR="00CE26BC">
        <w:rPr>
          <w:rFonts w:ascii="Times New Roman" w:eastAsia="TimesNewRomanPSMT" w:hAnsi="Times New Roman" w:cs="Times New Roman"/>
          <w:sz w:val="28"/>
          <w:szCs w:val="28"/>
        </w:rPr>
        <w:t>отмены циклов ЭКО</w:t>
      </w:r>
      <w:r w:rsidR="0032151E" w:rsidRPr="00603B31">
        <w:rPr>
          <w:rFonts w:ascii="Times New Roman" w:eastAsia="TimesNewRomanPSMT" w:hAnsi="Times New Roman" w:cs="Times New Roman"/>
          <w:sz w:val="28"/>
          <w:szCs w:val="28"/>
        </w:rPr>
        <w:t xml:space="preserve"> от </w:t>
      </w:r>
      <w:r w:rsidRPr="00603B31">
        <w:rPr>
          <w:rFonts w:ascii="Times New Roman" w:eastAsia="TimesNewRomanPSMT" w:hAnsi="Times New Roman" w:cs="Times New Roman"/>
          <w:sz w:val="28"/>
          <w:szCs w:val="28"/>
        </w:rPr>
        <w:t>11 до 24%</w:t>
      </w:r>
      <w:r w:rsidR="0032151E" w:rsidRPr="00603B31">
        <w:rPr>
          <w:rFonts w:ascii="Times New Roman" w:eastAsia="TimesNewRomanPSMT" w:hAnsi="Times New Roman" w:cs="Times New Roman"/>
          <w:sz w:val="28"/>
          <w:szCs w:val="28"/>
        </w:rPr>
        <w:t xml:space="preserve"> случ</w:t>
      </w:r>
      <w:r w:rsidR="00CB567E" w:rsidRPr="00603B31">
        <w:rPr>
          <w:rFonts w:ascii="Times New Roman" w:eastAsia="TimesNewRomanPSMT" w:hAnsi="Times New Roman" w:cs="Times New Roman"/>
          <w:sz w:val="28"/>
          <w:szCs w:val="28"/>
        </w:rPr>
        <w:t xml:space="preserve">аев, а при повторных циклах – </w:t>
      </w:r>
      <w:r w:rsidRPr="00603B31">
        <w:rPr>
          <w:rFonts w:ascii="Times New Roman" w:eastAsia="TimesNewRomanPSMT" w:hAnsi="Times New Roman" w:cs="Times New Roman"/>
          <w:sz w:val="28"/>
          <w:szCs w:val="28"/>
        </w:rPr>
        <w:t xml:space="preserve">более </w:t>
      </w:r>
      <w:r w:rsidR="0032151E" w:rsidRPr="00603B31">
        <w:rPr>
          <w:rFonts w:ascii="Times New Roman" w:eastAsia="TimesNewRomanPSMT" w:hAnsi="Times New Roman" w:cs="Times New Roman"/>
          <w:sz w:val="28"/>
          <w:szCs w:val="28"/>
        </w:rPr>
        <w:t>чем</w:t>
      </w:r>
      <w:r w:rsidR="00CB567E" w:rsidRPr="00603B31">
        <w:rPr>
          <w:rFonts w:ascii="Times New Roman" w:eastAsia="TimesNewRomanPSMT" w:hAnsi="Times New Roman" w:cs="Times New Roman"/>
          <w:sz w:val="28"/>
          <w:szCs w:val="28"/>
        </w:rPr>
        <w:t xml:space="preserve"> в </w:t>
      </w:r>
      <w:r w:rsidRPr="00603B31">
        <w:rPr>
          <w:rFonts w:ascii="Times New Roman" w:eastAsia="TimesNewRomanPSMT" w:hAnsi="Times New Roman" w:cs="Times New Roman"/>
          <w:sz w:val="28"/>
          <w:szCs w:val="28"/>
        </w:rPr>
        <w:t>45%</w:t>
      </w:r>
      <w:r w:rsidR="0032151E" w:rsidRPr="00603B31">
        <w:rPr>
          <w:rFonts w:ascii="Times New Roman" w:eastAsia="TimesNewRomanPSMT" w:hAnsi="Times New Roman" w:cs="Times New Roman"/>
          <w:sz w:val="28"/>
          <w:szCs w:val="28"/>
        </w:rPr>
        <w:t xml:space="preserve"> случаев</w:t>
      </w:r>
      <w:r w:rsidR="009433A9" w:rsidRPr="00603B31">
        <w:rPr>
          <w:rFonts w:ascii="Times New Roman" w:eastAsia="TimesNewRomanPSMT" w:hAnsi="Times New Roman" w:cs="Times New Roman"/>
          <w:sz w:val="28"/>
          <w:szCs w:val="28"/>
        </w:rPr>
        <w:t>[74</w:t>
      </w:r>
      <w:r w:rsidRPr="00603B31">
        <w:rPr>
          <w:rFonts w:ascii="Times New Roman" w:eastAsia="TimesNewRomanPSMT" w:hAnsi="Times New Roman" w:cs="Times New Roman"/>
          <w:sz w:val="28"/>
          <w:szCs w:val="28"/>
        </w:rPr>
        <w:t xml:space="preserve">]. </w:t>
      </w:r>
    </w:p>
    <w:p w:rsidR="008D5C8C" w:rsidRPr="00603B31" w:rsidRDefault="00404FF9" w:rsidP="0032151E">
      <w:pPr>
        <w:autoSpaceDE w:val="0"/>
        <w:autoSpaceDN w:val="0"/>
        <w:adjustRightInd w:val="0"/>
        <w:spacing w:after="0" w:line="360" w:lineRule="auto"/>
        <w:ind w:firstLine="708"/>
        <w:rPr>
          <w:rFonts w:ascii="Times New Roman" w:eastAsia="TimesNewRomanPSMT-Identity-H" w:hAnsi="Times New Roman" w:cs="Times New Roman"/>
          <w:sz w:val="28"/>
          <w:szCs w:val="28"/>
        </w:rPr>
      </w:pPr>
      <w:r w:rsidRPr="00603B31">
        <w:rPr>
          <w:rFonts w:ascii="Times New Roman" w:eastAsia="TimesNewRomanPSMT-Identity-H" w:hAnsi="Times New Roman" w:cs="Times New Roman"/>
          <w:sz w:val="28"/>
          <w:szCs w:val="28"/>
        </w:rPr>
        <w:t>Для прогнозирования результатов стимуляции суперовуляци</w:t>
      </w:r>
      <w:r w:rsidR="00C73F2B" w:rsidRPr="00603B31">
        <w:rPr>
          <w:rFonts w:ascii="Times New Roman" w:eastAsia="TimesNewRomanPSMT-Identity-H" w:hAnsi="Times New Roman" w:cs="Times New Roman"/>
          <w:sz w:val="28"/>
          <w:szCs w:val="28"/>
        </w:rPr>
        <w:t>и</w:t>
      </w:r>
      <w:r w:rsidRPr="00603B31">
        <w:rPr>
          <w:rFonts w:ascii="Times New Roman" w:eastAsia="TimesNewRomanPSMT-Identity-H" w:hAnsi="Times New Roman" w:cs="Times New Roman"/>
          <w:sz w:val="28"/>
          <w:szCs w:val="28"/>
        </w:rPr>
        <w:t>, а именно количества полученных фолликулов, в мировой практике используется термин «овариальный резерв», ко</w:t>
      </w:r>
      <w:r w:rsidR="00C73F2B" w:rsidRPr="00603B31">
        <w:rPr>
          <w:rFonts w:ascii="Times New Roman" w:eastAsia="TimesNewRomanPSMT-Identity-H" w:hAnsi="Times New Roman" w:cs="Times New Roman"/>
          <w:sz w:val="28"/>
          <w:szCs w:val="28"/>
        </w:rPr>
        <w:t xml:space="preserve">торый в </w:t>
      </w:r>
      <w:r w:rsidR="00AC6375" w:rsidRPr="00603B31">
        <w:rPr>
          <w:rFonts w:ascii="Times New Roman" w:eastAsia="TimesNewRomanPSMT-Identity-H" w:hAnsi="Times New Roman" w:cs="Times New Roman"/>
          <w:sz w:val="28"/>
          <w:szCs w:val="28"/>
        </w:rPr>
        <w:t xml:space="preserve">медицинской </w:t>
      </w:r>
      <w:r w:rsidR="00C73F2B" w:rsidRPr="00603B31">
        <w:rPr>
          <w:rFonts w:ascii="Times New Roman" w:eastAsia="TimesNewRomanPSMT-Identity-H" w:hAnsi="Times New Roman" w:cs="Times New Roman"/>
          <w:sz w:val="28"/>
          <w:szCs w:val="28"/>
        </w:rPr>
        <w:t>литературе описывается с 19</w:t>
      </w:r>
      <w:r w:rsidR="00AC6375" w:rsidRPr="00603B31">
        <w:rPr>
          <w:rFonts w:ascii="Times New Roman" w:eastAsia="TimesNewRomanPSMT-Identity-H" w:hAnsi="Times New Roman" w:cs="Times New Roman"/>
          <w:sz w:val="28"/>
          <w:szCs w:val="28"/>
        </w:rPr>
        <w:t>80-х годов</w:t>
      </w:r>
      <w:r w:rsidR="00C73F2B" w:rsidRPr="00603B31">
        <w:rPr>
          <w:rFonts w:ascii="Times New Roman" w:eastAsia="TimesNewRomanPSMT-Identity-H" w:hAnsi="Times New Roman" w:cs="Times New Roman"/>
          <w:sz w:val="28"/>
          <w:szCs w:val="28"/>
        </w:rPr>
        <w:t>[</w:t>
      </w:r>
      <w:r w:rsidR="0055270C" w:rsidRPr="00603B31">
        <w:rPr>
          <w:rFonts w:ascii="Times New Roman" w:eastAsia="TimesNewRomanPSMT-Identity-H" w:hAnsi="Times New Roman" w:cs="Times New Roman"/>
          <w:sz w:val="28"/>
          <w:szCs w:val="28"/>
        </w:rPr>
        <w:t>14</w:t>
      </w:r>
      <w:r w:rsidR="00C73F2B" w:rsidRPr="00603B31">
        <w:rPr>
          <w:rFonts w:ascii="Times New Roman" w:eastAsia="TimesNewRomanPSMT-Identity-H" w:hAnsi="Times New Roman" w:cs="Times New Roman"/>
          <w:sz w:val="28"/>
          <w:szCs w:val="28"/>
        </w:rPr>
        <w:t>]</w:t>
      </w:r>
      <w:r w:rsidRPr="00603B31">
        <w:rPr>
          <w:rFonts w:ascii="Times New Roman" w:eastAsia="TimesNewRomanPSMT-Identity-H" w:hAnsi="Times New Roman" w:cs="Times New Roman"/>
          <w:sz w:val="28"/>
          <w:szCs w:val="28"/>
        </w:rPr>
        <w:t>. Сегодня под этим термином понимают</w:t>
      </w:r>
      <w:r w:rsidR="00D90882" w:rsidRPr="00603B31">
        <w:rPr>
          <w:rFonts w:ascii="Times New Roman" w:eastAsia="TimesNewRomanPSMT-Identity-H" w:hAnsi="Times New Roman" w:cs="Times New Roman"/>
          <w:sz w:val="28"/>
          <w:szCs w:val="28"/>
        </w:rPr>
        <w:t xml:space="preserve"> функциональный резерв яичн</w:t>
      </w:r>
      <w:r w:rsidR="008D5C8C" w:rsidRPr="00603B31">
        <w:rPr>
          <w:rFonts w:ascii="Times New Roman" w:eastAsia="TimesNewRomanPSMT-Identity-H" w:hAnsi="Times New Roman" w:cs="Times New Roman"/>
          <w:sz w:val="28"/>
          <w:szCs w:val="28"/>
        </w:rPr>
        <w:t xml:space="preserve">ика, который определяет способность последнего к развитию здорового фолликула с полноценной яйцеклеткой. </w:t>
      </w:r>
      <w:r w:rsidR="008D5C8C" w:rsidRPr="00603B31">
        <w:rPr>
          <w:rFonts w:ascii="Times New Roman" w:eastAsia="TimesNewRomanPSMT" w:hAnsi="Times New Roman" w:cs="Times New Roman"/>
          <w:sz w:val="28"/>
          <w:szCs w:val="28"/>
        </w:rPr>
        <w:t>Овариальный резерв отражает количество находящихся в яичниках фолликулов (примордиальный пул и растущие фолликулы) и зависит от многих факторов, влияющих как на количественные параметры фолликулярного аппарата, так и на регуляцию фолликулогенеза. Таким образом, овариальный резерв является важнейшей составляющей репродуктивного потенциала женщины</w:t>
      </w:r>
      <w:r w:rsidR="0055270C" w:rsidRPr="00603B31">
        <w:rPr>
          <w:rFonts w:ascii="Times New Roman" w:eastAsia="TimesNewRomanPSMT" w:hAnsi="Times New Roman" w:cs="Times New Roman"/>
          <w:sz w:val="28"/>
          <w:szCs w:val="28"/>
        </w:rPr>
        <w:t>[14</w:t>
      </w:r>
      <w:r w:rsidR="00CB567E" w:rsidRPr="00603B31">
        <w:rPr>
          <w:rFonts w:ascii="Times New Roman" w:eastAsia="TimesNewRomanPSMT" w:hAnsi="Times New Roman" w:cs="Times New Roman"/>
          <w:sz w:val="28"/>
          <w:szCs w:val="28"/>
        </w:rPr>
        <w:t>]</w:t>
      </w:r>
      <w:r w:rsidR="008D5C8C" w:rsidRPr="00603B31">
        <w:rPr>
          <w:rFonts w:ascii="Times New Roman" w:eastAsia="TimesNewRomanPSMT" w:hAnsi="Times New Roman" w:cs="Times New Roman"/>
          <w:sz w:val="28"/>
          <w:szCs w:val="28"/>
        </w:rPr>
        <w:t>.</w:t>
      </w:r>
    </w:p>
    <w:p w:rsidR="008D5C8C" w:rsidRPr="00603B31" w:rsidRDefault="008D5C8C" w:rsidP="004E56A9">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Для оценки овариального резерва </w:t>
      </w:r>
      <w:r w:rsidR="00406933" w:rsidRPr="00603B31">
        <w:rPr>
          <w:rFonts w:ascii="Times New Roman" w:eastAsia="TimesNewRomanPSMT" w:hAnsi="Times New Roman" w:cs="Times New Roman"/>
          <w:sz w:val="28"/>
          <w:szCs w:val="28"/>
        </w:rPr>
        <w:t>принято определять</w:t>
      </w:r>
      <w:r w:rsidRPr="00603B31">
        <w:rPr>
          <w:rFonts w:ascii="Times New Roman" w:eastAsia="TimesNewRomanPSMT" w:hAnsi="Times New Roman" w:cs="Times New Roman"/>
          <w:sz w:val="28"/>
          <w:szCs w:val="28"/>
        </w:rPr>
        <w:t xml:space="preserve"> базальную (на 2–3-й</w:t>
      </w:r>
      <w:r w:rsidR="00406933" w:rsidRPr="00603B31">
        <w:rPr>
          <w:rFonts w:ascii="Times New Roman" w:eastAsia="TimesNewRomanPSMT" w:hAnsi="Times New Roman" w:cs="Times New Roman"/>
          <w:sz w:val="28"/>
          <w:szCs w:val="28"/>
        </w:rPr>
        <w:t xml:space="preserve"> </w:t>
      </w:r>
      <w:r w:rsidRPr="00603B31">
        <w:rPr>
          <w:rFonts w:ascii="Times New Roman" w:eastAsia="TimesNewRomanPSMT" w:hAnsi="Times New Roman" w:cs="Times New Roman"/>
          <w:sz w:val="28"/>
          <w:szCs w:val="28"/>
        </w:rPr>
        <w:t>день менструального цикла) концентрацию ФСГ, число антральных</w:t>
      </w:r>
    </w:p>
    <w:p w:rsidR="008D5C8C" w:rsidRPr="00603B31" w:rsidRDefault="008D5C8C" w:rsidP="008D5C8C">
      <w:p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фолликулов (от 2 д</w:t>
      </w:r>
      <w:r w:rsidR="00C73F2B" w:rsidRPr="00603B31">
        <w:rPr>
          <w:rFonts w:ascii="Times New Roman" w:eastAsia="TimesNewRomanPSMT" w:hAnsi="Times New Roman" w:cs="Times New Roman"/>
          <w:sz w:val="28"/>
          <w:szCs w:val="28"/>
        </w:rPr>
        <w:t xml:space="preserve">о 10 мм в диаметре) и </w:t>
      </w:r>
      <w:r w:rsidR="00406933" w:rsidRPr="00603B31">
        <w:rPr>
          <w:rFonts w:ascii="Times New Roman" w:eastAsia="TimesNewRomanPSMT" w:hAnsi="Times New Roman" w:cs="Times New Roman"/>
          <w:sz w:val="28"/>
          <w:szCs w:val="28"/>
        </w:rPr>
        <w:t>общий объё</w:t>
      </w:r>
      <w:r w:rsidRPr="00603B31">
        <w:rPr>
          <w:rFonts w:ascii="Times New Roman" w:eastAsia="TimesNewRomanPSMT" w:hAnsi="Times New Roman" w:cs="Times New Roman"/>
          <w:sz w:val="28"/>
          <w:szCs w:val="28"/>
        </w:rPr>
        <w:t>м яичников</w:t>
      </w:r>
      <w:r w:rsidR="00C73F2B" w:rsidRPr="00603B31">
        <w:rPr>
          <w:rFonts w:ascii="Times New Roman" w:eastAsia="TimesNewRomanPSMT" w:hAnsi="Times New Roman" w:cs="Times New Roman"/>
          <w:sz w:val="28"/>
          <w:szCs w:val="28"/>
        </w:rPr>
        <w:t>[</w:t>
      </w:r>
      <w:r w:rsidR="0055270C" w:rsidRPr="00603B31">
        <w:rPr>
          <w:rFonts w:ascii="Times New Roman" w:eastAsia="TimesNewRomanPSMT" w:hAnsi="Times New Roman" w:cs="Times New Roman"/>
          <w:sz w:val="28"/>
          <w:szCs w:val="28"/>
        </w:rPr>
        <w:t>14</w:t>
      </w:r>
      <w:r w:rsidR="00C73F2B" w:rsidRPr="00603B31">
        <w:rPr>
          <w:rFonts w:ascii="Times New Roman" w:eastAsia="TimesNewRomanPSMT" w:hAnsi="Times New Roman" w:cs="Times New Roman"/>
          <w:sz w:val="28"/>
          <w:szCs w:val="28"/>
        </w:rPr>
        <w:t>]</w:t>
      </w:r>
      <w:r w:rsidRPr="00603B31">
        <w:rPr>
          <w:rFonts w:ascii="Times New Roman" w:eastAsia="TimesNewRomanPSMT" w:hAnsi="Times New Roman" w:cs="Times New Roman"/>
          <w:sz w:val="28"/>
          <w:szCs w:val="28"/>
        </w:rPr>
        <w:t>.</w:t>
      </w:r>
    </w:p>
    <w:p w:rsidR="008D5C8C" w:rsidRPr="00603B31" w:rsidRDefault="00371288" w:rsidP="008D5C8C">
      <w:p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hAnsi="Times New Roman" w:cs="Times New Roman"/>
          <w:sz w:val="28"/>
          <w:szCs w:val="28"/>
        </w:rPr>
        <w:t xml:space="preserve">Назаренко Т.А. и Краснопольская К.В. (2013) </w:t>
      </w:r>
      <w:r w:rsidR="00406933" w:rsidRPr="00603B31">
        <w:rPr>
          <w:rFonts w:ascii="Times New Roman" w:eastAsia="TimesNewRomanPSMT" w:hAnsi="Times New Roman" w:cs="Times New Roman"/>
          <w:sz w:val="28"/>
          <w:szCs w:val="28"/>
        </w:rPr>
        <w:t xml:space="preserve">предлагают в качестве </w:t>
      </w:r>
      <w:r w:rsidR="00D23183">
        <w:rPr>
          <w:rFonts w:ascii="Times New Roman" w:eastAsia="TimesNewRomanPSMT" w:hAnsi="Times New Roman" w:cs="Times New Roman"/>
          <w:sz w:val="28"/>
          <w:szCs w:val="28"/>
        </w:rPr>
        <w:t>возможного</w:t>
      </w:r>
      <w:r w:rsidR="00406933" w:rsidRPr="00603B31">
        <w:rPr>
          <w:rFonts w:ascii="Times New Roman" w:eastAsia="TimesNewRomanPSMT" w:hAnsi="Times New Roman" w:cs="Times New Roman"/>
          <w:sz w:val="28"/>
          <w:szCs w:val="28"/>
        </w:rPr>
        <w:t xml:space="preserve"> предиктора качества ооцитов принимать возраст, а </w:t>
      </w:r>
      <w:r w:rsidR="00D23183">
        <w:rPr>
          <w:rFonts w:ascii="Times New Roman" w:eastAsia="TimesNewRomanPSMT" w:hAnsi="Times New Roman" w:cs="Times New Roman"/>
          <w:sz w:val="28"/>
          <w:szCs w:val="28"/>
        </w:rPr>
        <w:t>в качестве маркера</w:t>
      </w:r>
      <w:r w:rsidR="008D5C8C" w:rsidRPr="00603B31">
        <w:rPr>
          <w:rFonts w:ascii="Times New Roman" w:eastAsia="TimesNewRomanPSMT" w:hAnsi="Times New Roman" w:cs="Times New Roman"/>
          <w:sz w:val="28"/>
          <w:szCs w:val="28"/>
        </w:rPr>
        <w:t xml:space="preserve"> собственно фолликулярного резерва</w:t>
      </w:r>
      <w:r w:rsidR="00D23183">
        <w:rPr>
          <w:rFonts w:ascii="Times New Roman" w:eastAsia="TimesNewRomanPSMT" w:hAnsi="Times New Roman" w:cs="Times New Roman"/>
          <w:sz w:val="28"/>
          <w:szCs w:val="28"/>
        </w:rPr>
        <w:t xml:space="preserve"> принимать </w:t>
      </w:r>
      <w:r w:rsidR="00D23183" w:rsidRPr="00603B31">
        <w:rPr>
          <w:rFonts w:ascii="Times New Roman" w:eastAsia="TimesNewRomanPSMT" w:hAnsi="Times New Roman" w:cs="Times New Roman"/>
          <w:sz w:val="28"/>
          <w:szCs w:val="28"/>
        </w:rPr>
        <w:t>уровень ФСГ</w:t>
      </w:r>
      <w:r w:rsidR="008D5C8C" w:rsidRPr="00603B31">
        <w:rPr>
          <w:rFonts w:ascii="Times New Roman" w:eastAsia="TimesNewRomanPSMT" w:hAnsi="Times New Roman" w:cs="Times New Roman"/>
          <w:sz w:val="28"/>
          <w:szCs w:val="28"/>
        </w:rPr>
        <w:t>.</w:t>
      </w:r>
    </w:p>
    <w:p w:rsidR="008D5C8C" w:rsidRPr="00603B31" w:rsidRDefault="00D23183" w:rsidP="00406933">
      <w:pPr>
        <w:autoSpaceDE w:val="0"/>
        <w:autoSpaceDN w:val="0"/>
        <w:adjustRightInd w:val="0"/>
        <w:spacing w:after="0" w:line="360" w:lineRule="auto"/>
        <w:ind w:firstLine="708"/>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Принято выделять</w:t>
      </w:r>
      <w:r w:rsidR="008D5C8C" w:rsidRPr="00603B31">
        <w:rPr>
          <w:rFonts w:ascii="Times New Roman" w:eastAsia="TimesNewRomanPSMT" w:hAnsi="Times New Roman" w:cs="Times New Roman"/>
          <w:sz w:val="28"/>
          <w:szCs w:val="28"/>
        </w:rPr>
        <w:t xml:space="preserve"> следующие клинически значимые границы концентрации ФСГ (на 2–3-й день цикла), определяющие характер ответа </w:t>
      </w:r>
      <w:r w:rsidR="00C73F2B" w:rsidRPr="00603B31">
        <w:rPr>
          <w:rFonts w:ascii="Times New Roman" w:eastAsia="TimesNewRomanPSMT" w:hAnsi="Times New Roman" w:cs="Times New Roman"/>
          <w:sz w:val="28"/>
          <w:szCs w:val="28"/>
        </w:rPr>
        <w:t xml:space="preserve">на </w:t>
      </w:r>
      <w:r w:rsidR="008D5C8C" w:rsidRPr="00603B31">
        <w:rPr>
          <w:rFonts w:ascii="Times New Roman" w:eastAsia="TimesNewRomanPSMT" w:hAnsi="Times New Roman" w:cs="Times New Roman"/>
          <w:sz w:val="28"/>
          <w:szCs w:val="28"/>
        </w:rPr>
        <w:t>препараты</w:t>
      </w:r>
      <w:r w:rsidR="00406933" w:rsidRPr="00603B31">
        <w:rPr>
          <w:rFonts w:ascii="Times New Roman" w:eastAsia="TimesNewRomanPSMT" w:hAnsi="Times New Roman" w:cs="Times New Roman"/>
          <w:sz w:val="28"/>
          <w:szCs w:val="28"/>
        </w:rPr>
        <w:t xml:space="preserve"> гонадотропинов</w:t>
      </w:r>
      <w:r w:rsidR="0055270C" w:rsidRPr="00603B31">
        <w:rPr>
          <w:rFonts w:ascii="Times New Roman" w:eastAsia="TimesNewRomanPSMT" w:hAnsi="Times New Roman" w:cs="Times New Roman"/>
          <w:sz w:val="28"/>
          <w:szCs w:val="28"/>
        </w:rPr>
        <w:t>[14</w:t>
      </w:r>
      <w:r w:rsidR="00453321" w:rsidRPr="00603B31">
        <w:rPr>
          <w:rFonts w:ascii="Times New Roman" w:eastAsia="TimesNewRomanPSMT" w:hAnsi="Times New Roman" w:cs="Times New Roman"/>
          <w:sz w:val="28"/>
          <w:szCs w:val="28"/>
        </w:rPr>
        <w:t>]</w:t>
      </w:r>
      <w:r w:rsidR="008D5C8C" w:rsidRPr="00603B31">
        <w:rPr>
          <w:rFonts w:ascii="Times New Roman" w:eastAsia="TimesNewRomanPSMT" w:hAnsi="Times New Roman" w:cs="Times New Roman"/>
          <w:sz w:val="28"/>
          <w:szCs w:val="28"/>
        </w:rPr>
        <w:t>:</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b/>
          <w:bCs/>
          <w:sz w:val="28"/>
          <w:szCs w:val="28"/>
        </w:rPr>
        <w:t xml:space="preserve">• </w:t>
      </w:r>
      <w:r w:rsidR="00AC6375" w:rsidRPr="00603B31">
        <w:rPr>
          <w:rFonts w:ascii="Times New Roman" w:eastAsia="TimesNewRomanPSMT" w:hAnsi="Times New Roman" w:cs="Times New Roman"/>
          <w:sz w:val="28"/>
          <w:szCs w:val="28"/>
        </w:rPr>
        <w:t>3–8 МЕ/л – норма</w:t>
      </w:r>
      <w:r w:rsidR="00D23183">
        <w:rPr>
          <w:rFonts w:ascii="Times New Roman" w:eastAsia="TimesNewRomanPSMT" w:hAnsi="Times New Roman" w:cs="Times New Roman"/>
          <w:sz w:val="28"/>
          <w:szCs w:val="28"/>
        </w:rPr>
        <w:t>льные показатели</w:t>
      </w:r>
      <w:r w:rsidR="00AC6375" w:rsidRPr="00603B31">
        <w:rPr>
          <w:rFonts w:ascii="Times New Roman" w:eastAsia="TimesNewRomanPSMT" w:hAnsi="Times New Roman" w:cs="Times New Roman"/>
          <w:sz w:val="28"/>
          <w:szCs w:val="28"/>
        </w:rPr>
        <w:t>,</w:t>
      </w:r>
      <w:r w:rsidRPr="00603B31">
        <w:rPr>
          <w:rFonts w:ascii="Times New Roman" w:eastAsia="TimesNewRomanPSMT" w:hAnsi="Times New Roman" w:cs="Times New Roman"/>
          <w:sz w:val="28"/>
          <w:szCs w:val="28"/>
        </w:rPr>
        <w:t xml:space="preserve"> предполагается хороший ответ на стимуляцию;</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b/>
          <w:bCs/>
          <w:sz w:val="28"/>
          <w:szCs w:val="28"/>
        </w:rPr>
        <w:t xml:space="preserve">• </w:t>
      </w:r>
      <w:r w:rsidRPr="00603B31">
        <w:rPr>
          <w:rFonts w:ascii="Times New Roman" w:eastAsia="TimesNewRomanPSMT" w:hAnsi="Times New Roman" w:cs="Times New Roman"/>
          <w:sz w:val="28"/>
          <w:szCs w:val="28"/>
        </w:rPr>
        <w:t>8–10 МЕ/л – ответ может колебаться от нормального до умеренно сниженного;</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 xml:space="preserve">10–12 МЕ/л – низкий овариальный резерв, </w:t>
      </w:r>
      <w:r w:rsidR="00D23183">
        <w:rPr>
          <w:rFonts w:ascii="Times New Roman" w:eastAsia="TimesNewRomanPSMT" w:hAnsi="Times New Roman" w:cs="Times New Roman"/>
          <w:sz w:val="28"/>
          <w:szCs w:val="28"/>
        </w:rPr>
        <w:t xml:space="preserve">предполагается </w:t>
      </w:r>
      <w:r w:rsidRPr="00603B31">
        <w:rPr>
          <w:rFonts w:ascii="Times New Roman" w:eastAsia="TimesNewRomanPSMT" w:hAnsi="Times New Roman" w:cs="Times New Roman"/>
          <w:sz w:val="28"/>
          <w:szCs w:val="28"/>
        </w:rPr>
        <w:t>сниженный ответ на стимуляцию;</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12–17 МЕ/л – плохой ответ на стимуляцию и низкая частота наступления беременности;</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больше 17 МЕ/л – очень плохой ответ на стимуляцию.</w:t>
      </w:r>
    </w:p>
    <w:p w:rsidR="008D5C8C" w:rsidRPr="00603B31" w:rsidRDefault="008D5C8C" w:rsidP="00406933">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Другим </w:t>
      </w:r>
      <w:r w:rsidR="00D23183">
        <w:rPr>
          <w:rFonts w:ascii="Times New Roman" w:eastAsia="TimesNewRomanPSMT" w:hAnsi="Times New Roman" w:cs="Times New Roman"/>
          <w:sz w:val="28"/>
          <w:szCs w:val="28"/>
        </w:rPr>
        <w:t>потенциально</w:t>
      </w:r>
      <w:r w:rsidRPr="00603B31">
        <w:rPr>
          <w:rFonts w:ascii="Times New Roman" w:eastAsia="TimesNewRomanPSMT" w:hAnsi="Times New Roman" w:cs="Times New Roman"/>
          <w:sz w:val="28"/>
          <w:szCs w:val="28"/>
        </w:rPr>
        <w:t xml:space="preserve"> значимым маркером фолликулярного резерва, используемым для прогнозирования ответной реакции на препараты гонадотропинов, является определяемое с помощью УЗИ на 2–3-й день цикла число антральных фолликулов до 10 мм в диаметре</w:t>
      </w:r>
      <w:r w:rsidR="0055270C" w:rsidRPr="00603B31">
        <w:rPr>
          <w:rFonts w:ascii="Times New Roman" w:eastAsia="TimesNewRomanPSMT" w:hAnsi="Times New Roman" w:cs="Times New Roman"/>
          <w:sz w:val="28"/>
          <w:szCs w:val="28"/>
        </w:rPr>
        <w:t>[14</w:t>
      </w:r>
      <w:r w:rsidR="00453321" w:rsidRPr="00603B31">
        <w:rPr>
          <w:rFonts w:ascii="Times New Roman" w:eastAsia="TimesNewRomanPSMT" w:hAnsi="Times New Roman" w:cs="Times New Roman"/>
          <w:sz w:val="28"/>
          <w:szCs w:val="28"/>
        </w:rPr>
        <w:t>]</w:t>
      </w:r>
      <w:r w:rsidRPr="00603B31">
        <w:rPr>
          <w:rFonts w:ascii="Times New Roman" w:eastAsia="TimesNewRomanPSMT" w:hAnsi="Times New Roman" w:cs="Times New Roman"/>
          <w:sz w:val="28"/>
          <w:szCs w:val="28"/>
        </w:rPr>
        <w:t>:</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до 5 фол</w:t>
      </w:r>
      <w:r w:rsidR="00D90882" w:rsidRPr="00603B31">
        <w:rPr>
          <w:rFonts w:ascii="Times New Roman" w:eastAsia="TimesNewRomanPSMT" w:hAnsi="Times New Roman" w:cs="Times New Roman"/>
          <w:sz w:val="28"/>
          <w:szCs w:val="28"/>
        </w:rPr>
        <w:t xml:space="preserve">ликулов – предполагается </w:t>
      </w:r>
      <w:r w:rsidR="0063535F" w:rsidRPr="00603B31">
        <w:rPr>
          <w:rFonts w:ascii="Times New Roman" w:eastAsia="TimesNewRomanPSMT" w:hAnsi="Times New Roman" w:cs="Times New Roman"/>
          <w:sz w:val="28"/>
          <w:szCs w:val="28"/>
        </w:rPr>
        <w:t>плохой ответ</w:t>
      </w:r>
      <w:r w:rsidRPr="00603B31">
        <w:rPr>
          <w:rFonts w:ascii="Times New Roman" w:eastAsia="TimesNewRomanPSMT" w:hAnsi="Times New Roman" w:cs="Times New Roman"/>
          <w:sz w:val="28"/>
          <w:szCs w:val="28"/>
        </w:rPr>
        <w:t xml:space="preserve"> на стимуляцию, высокий риск отмены цикла</w:t>
      </w:r>
      <w:r w:rsidR="00D23183">
        <w:rPr>
          <w:rFonts w:ascii="Times New Roman" w:eastAsia="TimesNewRomanPSMT" w:hAnsi="Times New Roman" w:cs="Times New Roman"/>
          <w:sz w:val="28"/>
          <w:szCs w:val="28"/>
        </w:rPr>
        <w:t xml:space="preserve"> ЭКО</w:t>
      </w:r>
      <w:r w:rsidRPr="00603B31">
        <w:rPr>
          <w:rFonts w:ascii="Times New Roman" w:eastAsia="TimesNewRomanPSMT" w:hAnsi="Times New Roman" w:cs="Times New Roman"/>
          <w:sz w:val="28"/>
          <w:szCs w:val="28"/>
        </w:rPr>
        <w:t>;</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от 5 до</w:t>
      </w:r>
      <w:r w:rsidR="00D90882" w:rsidRPr="00603B31">
        <w:rPr>
          <w:rFonts w:ascii="Times New Roman" w:eastAsia="TimesNewRomanPSMT" w:hAnsi="Times New Roman" w:cs="Times New Roman"/>
          <w:sz w:val="28"/>
          <w:szCs w:val="28"/>
        </w:rPr>
        <w:t xml:space="preserve"> </w:t>
      </w:r>
      <w:r w:rsidR="0063535F" w:rsidRPr="00603B31">
        <w:rPr>
          <w:rFonts w:ascii="Times New Roman" w:eastAsia="TimesNewRomanPSMT" w:hAnsi="Times New Roman" w:cs="Times New Roman"/>
          <w:sz w:val="28"/>
          <w:szCs w:val="28"/>
        </w:rPr>
        <w:t>7 фолликулов – возможен сниженный ответ</w:t>
      </w:r>
      <w:r w:rsidRPr="00603B31">
        <w:rPr>
          <w:rFonts w:ascii="Times New Roman" w:eastAsia="TimesNewRomanPSMT" w:hAnsi="Times New Roman" w:cs="Times New Roman"/>
          <w:sz w:val="28"/>
          <w:szCs w:val="28"/>
        </w:rPr>
        <w:t xml:space="preserve">, требуется более высокая стартовая и </w:t>
      </w:r>
      <w:r w:rsidR="00D23183">
        <w:rPr>
          <w:rFonts w:ascii="Times New Roman" w:eastAsia="TimesNewRomanPSMT" w:hAnsi="Times New Roman" w:cs="Times New Roman"/>
          <w:sz w:val="28"/>
          <w:szCs w:val="28"/>
        </w:rPr>
        <w:t xml:space="preserve">суммарная </w:t>
      </w:r>
      <w:r w:rsidRPr="00603B31">
        <w:rPr>
          <w:rFonts w:ascii="Times New Roman" w:eastAsia="TimesNewRomanPSMT" w:hAnsi="Times New Roman" w:cs="Times New Roman"/>
          <w:sz w:val="28"/>
          <w:szCs w:val="28"/>
        </w:rPr>
        <w:t>доза ФСГ;</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 xml:space="preserve">8–12 фолликулов – умеренный ответ, умеренные стартовые и </w:t>
      </w:r>
      <w:r w:rsidR="00D23183">
        <w:rPr>
          <w:rFonts w:ascii="Times New Roman" w:eastAsia="TimesNewRomanPSMT" w:hAnsi="Times New Roman" w:cs="Times New Roman"/>
          <w:sz w:val="28"/>
          <w:szCs w:val="28"/>
        </w:rPr>
        <w:t xml:space="preserve">суммарные </w:t>
      </w:r>
      <w:r w:rsidRPr="00603B31">
        <w:rPr>
          <w:rFonts w:ascii="Times New Roman" w:eastAsia="TimesNewRomanPSMT" w:hAnsi="Times New Roman" w:cs="Times New Roman"/>
          <w:sz w:val="28"/>
          <w:szCs w:val="28"/>
        </w:rPr>
        <w:t>дозы ФСГ;</w:t>
      </w:r>
    </w:p>
    <w:p w:rsidR="008D5C8C"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 xml:space="preserve">13–20 фолликулов – хороший ответ на небольшие стартовые и </w:t>
      </w:r>
      <w:r w:rsidR="00D23183">
        <w:rPr>
          <w:rFonts w:ascii="Times New Roman" w:eastAsia="TimesNewRomanPSMT" w:hAnsi="Times New Roman" w:cs="Times New Roman"/>
          <w:sz w:val="28"/>
          <w:szCs w:val="28"/>
        </w:rPr>
        <w:t>суммарные</w:t>
      </w:r>
      <w:r w:rsidRPr="00603B31">
        <w:rPr>
          <w:rFonts w:ascii="Times New Roman" w:eastAsia="TimesNewRomanPSMT" w:hAnsi="Times New Roman" w:cs="Times New Roman"/>
          <w:sz w:val="28"/>
          <w:szCs w:val="28"/>
        </w:rPr>
        <w:t xml:space="preserve"> дозы ФСГ, умеренный риск СГЯ;</w:t>
      </w:r>
    </w:p>
    <w:p w:rsidR="00D90882" w:rsidRPr="00603B31" w:rsidRDefault="008D5C8C"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b/>
          <w:bCs/>
          <w:sz w:val="28"/>
          <w:szCs w:val="28"/>
        </w:rPr>
        <w:t xml:space="preserve">• </w:t>
      </w:r>
      <w:r w:rsidRPr="00603B31">
        <w:rPr>
          <w:rFonts w:ascii="Times New Roman" w:eastAsia="TimesNewRomanPSMT" w:hAnsi="Times New Roman" w:cs="Times New Roman"/>
          <w:sz w:val="28"/>
          <w:szCs w:val="28"/>
        </w:rPr>
        <w:t>более 20 фолликулов – чрезмерный ответ, высокий риск СГЯ.</w:t>
      </w:r>
    </w:p>
    <w:p w:rsidR="00D90882" w:rsidRPr="00603B31" w:rsidRDefault="00D90882" w:rsidP="00406933">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В последние годы для оценки состояния </w:t>
      </w:r>
      <w:r w:rsidR="00406933" w:rsidRPr="00603B31">
        <w:rPr>
          <w:rFonts w:ascii="Times New Roman" w:eastAsia="TimesNewRomanPSMT" w:hAnsi="Times New Roman" w:cs="Times New Roman"/>
          <w:sz w:val="28"/>
          <w:szCs w:val="28"/>
        </w:rPr>
        <w:t>овариального резерва и</w:t>
      </w:r>
      <w:r w:rsidRPr="00603B31">
        <w:rPr>
          <w:rFonts w:ascii="Times New Roman" w:eastAsia="TimesNewRomanPSMT" w:hAnsi="Times New Roman" w:cs="Times New Roman"/>
          <w:sz w:val="28"/>
          <w:szCs w:val="28"/>
        </w:rPr>
        <w:t xml:space="preserve"> прогнозирования ответной реакции яичнико</w:t>
      </w:r>
      <w:r w:rsidR="00406933" w:rsidRPr="00603B31">
        <w:rPr>
          <w:rFonts w:ascii="Times New Roman" w:eastAsia="TimesNewRomanPSMT" w:hAnsi="Times New Roman" w:cs="Times New Roman"/>
          <w:sz w:val="28"/>
          <w:szCs w:val="28"/>
        </w:rPr>
        <w:t>в на стимуляцию суперовуляции</w:t>
      </w:r>
      <w:r w:rsidR="00AC6375" w:rsidRPr="00603B31">
        <w:rPr>
          <w:rFonts w:ascii="Times New Roman" w:eastAsia="TimesNewRomanPSMT" w:hAnsi="Times New Roman" w:cs="Times New Roman"/>
          <w:sz w:val="28"/>
          <w:szCs w:val="28"/>
        </w:rPr>
        <w:t xml:space="preserve"> стали </w:t>
      </w:r>
      <w:r w:rsidR="00C7339F" w:rsidRPr="00603B31">
        <w:rPr>
          <w:rFonts w:ascii="Times New Roman" w:eastAsia="TimesNewRomanPSMT" w:hAnsi="Times New Roman" w:cs="Times New Roman"/>
          <w:sz w:val="28"/>
          <w:szCs w:val="28"/>
        </w:rPr>
        <w:t>использ</w:t>
      </w:r>
      <w:r w:rsidR="00AC6375" w:rsidRPr="00603B31">
        <w:rPr>
          <w:rFonts w:ascii="Times New Roman" w:eastAsia="TimesNewRomanPSMT" w:hAnsi="Times New Roman" w:cs="Times New Roman"/>
          <w:sz w:val="28"/>
          <w:szCs w:val="28"/>
        </w:rPr>
        <w:t>овать</w:t>
      </w:r>
      <w:r w:rsidRPr="00603B31">
        <w:rPr>
          <w:rFonts w:ascii="Times New Roman" w:eastAsia="TimesNewRomanPSMT" w:hAnsi="Times New Roman" w:cs="Times New Roman"/>
          <w:sz w:val="28"/>
          <w:szCs w:val="28"/>
        </w:rPr>
        <w:t xml:space="preserve"> определ</w:t>
      </w:r>
      <w:r w:rsidR="00C7339F" w:rsidRPr="00603B31">
        <w:rPr>
          <w:rFonts w:ascii="Times New Roman" w:eastAsia="TimesNewRomanPSMT" w:hAnsi="Times New Roman" w:cs="Times New Roman"/>
          <w:sz w:val="28"/>
          <w:szCs w:val="28"/>
        </w:rPr>
        <w:t>е</w:t>
      </w:r>
      <w:r w:rsidR="00406933" w:rsidRPr="00603B31">
        <w:rPr>
          <w:rFonts w:ascii="Times New Roman" w:eastAsia="TimesNewRomanPSMT" w:hAnsi="Times New Roman" w:cs="Times New Roman"/>
          <w:sz w:val="28"/>
          <w:szCs w:val="28"/>
        </w:rPr>
        <w:t xml:space="preserve">ние уровня </w:t>
      </w:r>
      <w:r w:rsidR="00C73F2B" w:rsidRPr="00603B31">
        <w:rPr>
          <w:rFonts w:ascii="Times New Roman" w:eastAsia="TimesNewRomanPSMT" w:hAnsi="Times New Roman" w:cs="Times New Roman"/>
          <w:sz w:val="28"/>
          <w:szCs w:val="28"/>
        </w:rPr>
        <w:t>антимюллерова гормона (АМГ)</w:t>
      </w:r>
      <w:r w:rsidR="00453321" w:rsidRPr="00603B31">
        <w:rPr>
          <w:rFonts w:ascii="Times New Roman" w:eastAsia="TimesNewRomanPSMT" w:hAnsi="Times New Roman" w:cs="Times New Roman"/>
          <w:sz w:val="28"/>
          <w:szCs w:val="28"/>
        </w:rPr>
        <w:t>[73]</w:t>
      </w:r>
      <w:r w:rsidRPr="00603B31">
        <w:rPr>
          <w:rFonts w:ascii="Times New Roman" w:eastAsia="TimesNewRomanPSMT" w:hAnsi="Times New Roman" w:cs="Times New Roman"/>
          <w:sz w:val="28"/>
          <w:szCs w:val="28"/>
        </w:rPr>
        <w:t>.</w:t>
      </w:r>
    </w:p>
    <w:p w:rsidR="002D2C90" w:rsidRPr="00603B31" w:rsidRDefault="00C73F2B"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АМГ</w:t>
      </w:r>
      <w:r w:rsidR="00406933" w:rsidRPr="00603B31">
        <w:rPr>
          <w:rFonts w:ascii="Times New Roman" w:eastAsia="TimesNewRomanPSMT" w:hAnsi="Times New Roman" w:cs="Times New Roman"/>
          <w:sz w:val="28"/>
          <w:szCs w:val="28"/>
        </w:rPr>
        <w:t xml:space="preserve"> </w:t>
      </w:r>
      <w:r w:rsidRPr="00603B31">
        <w:rPr>
          <w:rFonts w:ascii="Times New Roman" w:hAnsi="Times New Roman" w:cs="Times New Roman"/>
          <w:sz w:val="28"/>
          <w:szCs w:val="28"/>
        </w:rPr>
        <w:t xml:space="preserve">является димерным гликопротеином, </w:t>
      </w:r>
      <w:r w:rsidR="00D23183">
        <w:rPr>
          <w:rFonts w:ascii="Times New Roman" w:hAnsi="Times New Roman" w:cs="Times New Roman"/>
          <w:sz w:val="28"/>
          <w:szCs w:val="28"/>
        </w:rPr>
        <w:t xml:space="preserve">который относится </w:t>
      </w:r>
      <w:r w:rsidRPr="00603B31">
        <w:rPr>
          <w:rFonts w:ascii="Times New Roman" w:hAnsi="Times New Roman" w:cs="Times New Roman"/>
          <w:sz w:val="28"/>
          <w:szCs w:val="28"/>
        </w:rPr>
        <w:t xml:space="preserve"> к семейству трансформирующих факторов роста</w:t>
      </w:r>
      <w:r w:rsidRPr="00603B31">
        <w:rPr>
          <w:rFonts w:ascii="Times New Roman" w:eastAsia="TimesNewRomanPSMT" w:hAnsi="Times New Roman" w:cs="Times New Roman"/>
          <w:sz w:val="28"/>
          <w:szCs w:val="28"/>
        </w:rPr>
        <w:t xml:space="preserve">. Гормон </w:t>
      </w:r>
      <w:r w:rsidR="00D2028A" w:rsidRPr="00603B31">
        <w:rPr>
          <w:rFonts w:ascii="Times New Roman" w:eastAsia="TimesNewRomanPSMT" w:hAnsi="Times New Roman" w:cs="Times New Roman"/>
          <w:sz w:val="28"/>
          <w:szCs w:val="28"/>
        </w:rPr>
        <w:t xml:space="preserve">продуцируется </w:t>
      </w:r>
      <w:r w:rsidR="00406933" w:rsidRPr="00603B31">
        <w:rPr>
          <w:rFonts w:ascii="Times New Roman" w:eastAsia="TimesNewRomanPSMT" w:hAnsi="Times New Roman" w:cs="Times New Roman"/>
          <w:sz w:val="28"/>
          <w:szCs w:val="28"/>
        </w:rPr>
        <w:t xml:space="preserve">у мужчин </w:t>
      </w:r>
      <w:r w:rsidR="00D2028A" w:rsidRPr="00603B31">
        <w:rPr>
          <w:rFonts w:ascii="Times New Roman" w:eastAsia="TimesNewRomanPSMT" w:hAnsi="Times New Roman" w:cs="Times New Roman"/>
          <w:sz w:val="28"/>
          <w:szCs w:val="28"/>
        </w:rPr>
        <w:t xml:space="preserve">клетками Сертоли и вызывает </w:t>
      </w:r>
      <w:r w:rsidR="00D23183">
        <w:rPr>
          <w:rFonts w:ascii="Times New Roman" w:eastAsia="TimesNewRomanPSMT" w:hAnsi="Times New Roman" w:cs="Times New Roman"/>
          <w:sz w:val="28"/>
          <w:szCs w:val="28"/>
        </w:rPr>
        <w:t xml:space="preserve">последовательный </w:t>
      </w:r>
      <w:r w:rsidR="00D2028A" w:rsidRPr="00603B31">
        <w:rPr>
          <w:rFonts w:ascii="Times New Roman" w:eastAsia="TimesNewRomanPSMT" w:hAnsi="Times New Roman" w:cs="Times New Roman"/>
          <w:sz w:val="28"/>
          <w:szCs w:val="28"/>
        </w:rPr>
        <w:t>регресс органов мюллерова протока (маточных</w:t>
      </w:r>
      <w:r w:rsidR="005129B0" w:rsidRPr="00603B31">
        <w:rPr>
          <w:rFonts w:ascii="Times New Roman" w:eastAsia="TimesNewRomanPSMT" w:hAnsi="Times New Roman" w:cs="Times New Roman"/>
          <w:sz w:val="28"/>
          <w:szCs w:val="28"/>
        </w:rPr>
        <w:t xml:space="preserve"> </w:t>
      </w:r>
      <w:r w:rsidR="002D2C90" w:rsidRPr="00603B31">
        <w:rPr>
          <w:rFonts w:ascii="Times New Roman" w:eastAsia="TimesNewRomanPSMT" w:hAnsi="Times New Roman" w:cs="Times New Roman"/>
          <w:sz w:val="28"/>
          <w:szCs w:val="28"/>
        </w:rPr>
        <w:t xml:space="preserve">труб, матки и верхней части влагалища). </w:t>
      </w:r>
      <w:r w:rsidR="00D23183">
        <w:rPr>
          <w:rFonts w:ascii="Times New Roman" w:eastAsia="TimesNewRomanPSMT" w:hAnsi="Times New Roman" w:cs="Times New Roman"/>
          <w:sz w:val="28"/>
          <w:szCs w:val="28"/>
        </w:rPr>
        <w:t xml:space="preserve">У женщин АМГ вырабатывается </w:t>
      </w:r>
      <w:r w:rsidR="00D23183">
        <w:rPr>
          <w:rFonts w:ascii="Times New Roman" w:hAnsi="Times New Roman" w:cs="Times New Roman"/>
          <w:sz w:val="28"/>
          <w:szCs w:val="28"/>
        </w:rPr>
        <w:t>в</w:t>
      </w:r>
      <w:r w:rsidR="004E56A9" w:rsidRPr="00603B31">
        <w:rPr>
          <w:rFonts w:ascii="Times New Roman" w:hAnsi="Times New Roman" w:cs="Times New Roman"/>
          <w:sz w:val="28"/>
          <w:szCs w:val="28"/>
        </w:rPr>
        <w:t xml:space="preserve"> яич</w:t>
      </w:r>
      <w:r w:rsidR="00D23183">
        <w:rPr>
          <w:rFonts w:ascii="Times New Roman" w:hAnsi="Times New Roman" w:cs="Times New Roman"/>
          <w:sz w:val="28"/>
          <w:szCs w:val="28"/>
        </w:rPr>
        <w:t xml:space="preserve">никах </w:t>
      </w:r>
      <w:r w:rsidR="004E56A9" w:rsidRPr="00603B31">
        <w:rPr>
          <w:rFonts w:ascii="Times New Roman" w:hAnsi="Times New Roman" w:cs="Times New Roman"/>
          <w:sz w:val="28"/>
          <w:szCs w:val="28"/>
        </w:rPr>
        <w:t>от пренатального периода до менопаузы. Этот гормон выделяется клетками</w:t>
      </w:r>
      <w:r w:rsidR="00AC6375" w:rsidRPr="00603B31">
        <w:rPr>
          <w:rFonts w:ascii="Times New Roman" w:hAnsi="Times New Roman" w:cs="Times New Roman"/>
          <w:sz w:val="28"/>
          <w:szCs w:val="28"/>
        </w:rPr>
        <w:t xml:space="preserve"> гранулё</w:t>
      </w:r>
      <w:r w:rsidRPr="00603B31">
        <w:rPr>
          <w:rFonts w:ascii="Times New Roman" w:hAnsi="Times New Roman" w:cs="Times New Roman"/>
          <w:sz w:val="28"/>
          <w:szCs w:val="28"/>
        </w:rPr>
        <w:t xml:space="preserve">зы растущих фолликулов </w:t>
      </w:r>
      <w:r w:rsidR="004E56A9" w:rsidRPr="00603B31">
        <w:rPr>
          <w:rFonts w:ascii="Times New Roman" w:hAnsi="Times New Roman" w:cs="Times New Roman"/>
          <w:sz w:val="28"/>
          <w:szCs w:val="28"/>
        </w:rPr>
        <w:t xml:space="preserve">от преантральной стадии вплоть до размера антральных фолликулов 6-8 мм в диаметре. После достижения фолликулов размера 8 мм и более уровень АМГ резко падает и возрастает </w:t>
      </w:r>
      <w:r w:rsidR="00D23183">
        <w:rPr>
          <w:rFonts w:ascii="Times New Roman" w:hAnsi="Times New Roman" w:cs="Times New Roman"/>
          <w:sz w:val="28"/>
          <w:szCs w:val="28"/>
        </w:rPr>
        <w:t>продукция эстрадиола за счёт повышения активности ароматазы</w:t>
      </w:r>
      <w:r w:rsidR="004E56A9" w:rsidRPr="00603B31">
        <w:rPr>
          <w:rFonts w:ascii="Times New Roman" w:hAnsi="Times New Roman" w:cs="Times New Roman"/>
          <w:sz w:val="28"/>
          <w:szCs w:val="28"/>
        </w:rPr>
        <w:t xml:space="preserve">. </w:t>
      </w:r>
      <w:r w:rsidR="00453321" w:rsidRPr="00603B31">
        <w:rPr>
          <w:rFonts w:ascii="Times New Roman" w:eastAsia="TimesNewRomanPSMT" w:hAnsi="Times New Roman" w:cs="Times New Roman"/>
          <w:sz w:val="28"/>
          <w:szCs w:val="28"/>
        </w:rPr>
        <w:t xml:space="preserve">Продукция АМГ не зависит от уровня ФСГ и не меняется в течение менструального </w:t>
      </w:r>
      <w:r w:rsidR="00D23183">
        <w:rPr>
          <w:rFonts w:ascii="Times New Roman" w:eastAsia="TimesNewRomanPSMT" w:hAnsi="Times New Roman" w:cs="Times New Roman"/>
          <w:sz w:val="28"/>
          <w:szCs w:val="28"/>
        </w:rPr>
        <w:t xml:space="preserve">цикла. Таким образом, АМГ является </w:t>
      </w:r>
      <w:r w:rsidR="00453321" w:rsidRPr="00603B31">
        <w:rPr>
          <w:rFonts w:ascii="Times New Roman" w:eastAsia="TimesNewRomanPSMT" w:hAnsi="Times New Roman" w:cs="Times New Roman"/>
          <w:sz w:val="28"/>
          <w:szCs w:val="28"/>
        </w:rPr>
        <w:t xml:space="preserve">маркером, отражающим величину пула примордиальных фолликулов, т.е. репродуктивный потенциал пациентки. </w:t>
      </w:r>
      <w:r w:rsidR="002D2C90" w:rsidRPr="00603B31">
        <w:rPr>
          <w:rFonts w:ascii="Times New Roman" w:eastAsia="TimesNewRomanPSMT" w:hAnsi="Times New Roman" w:cs="Times New Roman"/>
          <w:sz w:val="28"/>
          <w:szCs w:val="28"/>
        </w:rPr>
        <w:t>Нормативные значе</w:t>
      </w:r>
      <w:r w:rsidR="005129B0" w:rsidRPr="00603B31">
        <w:rPr>
          <w:rFonts w:ascii="Times New Roman" w:eastAsia="TimesNewRomanPSMT" w:hAnsi="Times New Roman" w:cs="Times New Roman"/>
          <w:sz w:val="28"/>
          <w:szCs w:val="28"/>
        </w:rPr>
        <w:t>н</w:t>
      </w:r>
      <w:r w:rsidR="002D2C90" w:rsidRPr="00603B31">
        <w:rPr>
          <w:rFonts w:ascii="Times New Roman" w:eastAsia="TimesNewRomanPSMT" w:hAnsi="Times New Roman" w:cs="Times New Roman"/>
          <w:sz w:val="28"/>
          <w:szCs w:val="28"/>
        </w:rPr>
        <w:t>и</w:t>
      </w:r>
      <w:r w:rsidR="005129B0" w:rsidRPr="00603B31">
        <w:rPr>
          <w:rFonts w:ascii="Times New Roman" w:eastAsia="TimesNewRomanPSMT" w:hAnsi="Times New Roman" w:cs="Times New Roman"/>
          <w:sz w:val="28"/>
          <w:szCs w:val="28"/>
        </w:rPr>
        <w:t xml:space="preserve">я </w:t>
      </w:r>
      <w:r w:rsidR="002D2C90" w:rsidRPr="00603B31">
        <w:rPr>
          <w:rFonts w:ascii="Times New Roman" w:eastAsia="TimesNewRomanPSMT" w:hAnsi="Times New Roman" w:cs="Times New Roman"/>
          <w:sz w:val="28"/>
          <w:szCs w:val="28"/>
        </w:rPr>
        <w:t>для АМГ</w:t>
      </w:r>
      <w:r w:rsidR="005129B0" w:rsidRPr="00603B31">
        <w:rPr>
          <w:rFonts w:ascii="Times New Roman" w:eastAsia="TimesNewRomanPSMT" w:hAnsi="Times New Roman" w:cs="Times New Roman"/>
          <w:sz w:val="28"/>
          <w:szCs w:val="28"/>
        </w:rPr>
        <w:t xml:space="preserve"> </w:t>
      </w:r>
      <w:r w:rsidR="002D2C90" w:rsidRPr="00603B31">
        <w:rPr>
          <w:rFonts w:ascii="Times New Roman" w:eastAsia="TimesNewRomanPSMT" w:hAnsi="Times New Roman" w:cs="Times New Roman"/>
          <w:sz w:val="28"/>
          <w:szCs w:val="28"/>
        </w:rPr>
        <w:t xml:space="preserve">находятся в </w:t>
      </w:r>
      <w:r w:rsidR="00D23183">
        <w:rPr>
          <w:rFonts w:ascii="Times New Roman" w:eastAsia="TimesNewRomanPSMT" w:hAnsi="Times New Roman" w:cs="Times New Roman"/>
          <w:sz w:val="28"/>
          <w:szCs w:val="28"/>
        </w:rPr>
        <w:t>пределах</w:t>
      </w:r>
      <w:r w:rsidR="002D2C90" w:rsidRPr="00603B31">
        <w:rPr>
          <w:rFonts w:ascii="Times New Roman" w:eastAsia="TimesNewRomanPSMT" w:hAnsi="Times New Roman" w:cs="Times New Roman"/>
          <w:sz w:val="28"/>
          <w:szCs w:val="28"/>
        </w:rPr>
        <w:t xml:space="preserve"> от 1,0 до 2,5 нг/мл.</w:t>
      </w:r>
      <w:r w:rsidR="004E56A9" w:rsidRPr="00603B31">
        <w:rPr>
          <w:rFonts w:ascii="Times New Roman" w:hAnsi="Times New Roman" w:cs="Times New Roman"/>
          <w:sz w:val="28"/>
          <w:szCs w:val="28"/>
        </w:rPr>
        <w:t xml:space="preserve"> Снижение АМГ свидетельствует об </w:t>
      </w:r>
      <w:r w:rsidR="00AC6375" w:rsidRPr="00603B31">
        <w:rPr>
          <w:rFonts w:ascii="Times New Roman" w:hAnsi="Times New Roman" w:cs="Times New Roman"/>
          <w:sz w:val="28"/>
          <w:szCs w:val="28"/>
        </w:rPr>
        <w:t>уменьшении овариального резерва</w:t>
      </w:r>
      <w:r w:rsidRPr="00603B31">
        <w:rPr>
          <w:rFonts w:ascii="Times New Roman" w:hAnsi="Times New Roman" w:cs="Times New Roman"/>
          <w:sz w:val="28"/>
          <w:szCs w:val="28"/>
        </w:rPr>
        <w:t>[</w:t>
      </w:r>
      <w:r w:rsidR="00CB567E" w:rsidRPr="00603B31">
        <w:rPr>
          <w:rFonts w:ascii="Times New Roman" w:hAnsi="Times New Roman" w:cs="Times New Roman"/>
          <w:sz w:val="28"/>
          <w:szCs w:val="28"/>
        </w:rPr>
        <w:t>2</w:t>
      </w:r>
      <w:r w:rsidRPr="00603B31">
        <w:rPr>
          <w:rFonts w:ascii="Times New Roman" w:hAnsi="Times New Roman" w:cs="Times New Roman"/>
          <w:sz w:val="28"/>
          <w:szCs w:val="28"/>
        </w:rPr>
        <w:t>]</w:t>
      </w:r>
      <w:r w:rsidR="004E56A9" w:rsidRPr="00603B31">
        <w:rPr>
          <w:rFonts w:ascii="Times New Roman" w:hAnsi="Times New Roman" w:cs="Times New Roman"/>
          <w:sz w:val="28"/>
          <w:szCs w:val="28"/>
        </w:rPr>
        <w:t>.</w:t>
      </w:r>
    </w:p>
    <w:p w:rsidR="002D2C90" w:rsidRPr="00603B31" w:rsidRDefault="00D23183" w:rsidP="00C73F2B">
      <w:pPr>
        <w:autoSpaceDE w:val="0"/>
        <w:autoSpaceDN w:val="0"/>
        <w:adjustRightInd w:val="0"/>
        <w:spacing w:after="0" w:line="360" w:lineRule="auto"/>
        <w:ind w:firstLine="708"/>
        <w:rPr>
          <w:rFonts w:ascii="Times New Roman" w:hAnsi="Times New Roman" w:cs="Times New Roman"/>
          <w:sz w:val="28"/>
          <w:szCs w:val="28"/>
        </w:rPr>
      </w:pPr>
      <w:r>
        <w:rPr>
          <w:rFonts w:ascii="Times New Roman" w:eastAsia="TimesNewRomanPSMT" w:hAnsi="Times New Roman" w:cs="Times New Roman"/>
          <w:sz w:val="28"/>
          <w:szCs w:val="28"/>
        </w:rPr>
        <w:t>Обобщая данные клинические</w:t>
      </w:r>
      <w:r w:rsidR="002D2C90" w:rsidRPr="00603B31">
        <w:rPr>
          <w:rFonts w:ascii="Times New Roman" w:eastAsia="TimesNewRomanPSMT" w:hAnsi="Times New Roman" w:cs="Times New Roman"/>
          <w:sz w:val="28"/>
          <w:szCs w:val="28"/>
        </w:rPr>
        <w:t>, биохим</w:t>
      </w:r>
      <w:r>
        <w:rPr>
          <w:rFonts w:ascii="Times New Roman" w:eastAsia="TimesNewRomanPSMT" w:hAnsi="Times New Roman" w:cs="Times New Roman"/>
          <w:sz w:val="28"/>
          <w:szCs w:val="28"/>
        </w:rPr>
        <w:t>ические и ультразвуковые</w:t>
      </w:r>
      <w:r w:rsidR="005129B0" w:rsidRPr="00603B31">
        <w:rPr>
          <w:rFonts w:ascii="Times New Roman" w:eastAsia="TimesNewRomanPSMT" w:hAnsi="Times New Roman" w:cs="Times New Roman"/>
          <w:sz w:val="28"/>
          <w:szCs w:val="28"/>
        </w:rPr>
        <w:t xml:space="preserve"> характ</w:t>
      </w:r>
      <w:r w:rsidR="002D2C90" w:rsidRPr="00603B31">
        <w:rPr>
          <w:rFonts w:ascii="Times New Roman" w:eastAsia="TimesNewRomanPSMT" w:hAnsi="Times New Roman" w:cs="Times New Roman"/>
          <w:sz w:val="28"/>
          <w:szCs w:val="28"/>
        </w:rPr>
        <w:t>еристик</w:t>
      </w:r>
      <w:r>
        <w:rPr>
          <w:rFonts w:ascii="Times New Roman" w:eastAsia="TimesNewRomanPSMT" w:hAnsi="Times New Roman" w:cs="Times New Roman"/>
          <w:sz w:val="28"/>
          <w:szCs w:val="28"/>
        </w:rPr>
        <w:t xml:space="preserve">и, </w:t>
      </w:r>
      <w:r w:rsidR="00067D14">
        <w:rPr>
          <w:rFonts w:ascii="Times New Roman" w:hAnsi="Times New Roman" w:cs="Times New Roman"/>
          <w:sz w:val="28"/>
          <w:szCs w:val="28"/>
        </w:rPr>
        <w:t>Назаренко Т.А. и Краснопольской</w:t>
      </w:r>
      <w:r w:rsidRPr="00603B31">
        <w:rPr>
          <w:rFonts w:ascii="Times New Roman" w:hAnsi="Times New Roman" w:cs="Times New Roman"/>
          <w:sz w:val="28"/>
          <w:szCs w:val="28"/>
        </w:rPr>
        <w:t xml:space="preserve"> К.В. (2013) </w:t>
      </w:r>
      <w:r>
        <w:rPr>
          <w:rFonts w:ascii="Times New Roman" w:eastAsia="TimesNewRomanPSMT" w:hAnsi="Times New Roman" w:cs="Times New Roman"/>
          <w:sz w:val="28"/>
          <w:szCs w:val="28"/>
        </w:rPr>
        <w:t xml:space="preserve">удалось </w:t>
      </w:r>
      <w:r w:rsidR="002D2C90" w:rsidRPr="00603B31">
        <w:rPr>
          <w:rFonts w:ascii="Times New Roman" w:eastAsia="TimesNewRomanPSMT" w:hAnsi="Times New Roman" w:cs="Times New Roman"/>
          <w:sz w:val="28"/>
          <w:szCs w:val="28"/>
        </w:rPr>
        <w:t xml:space="preserve">сформулировать представление </w:t>
      </w:r>
      <w:r w:rsidR="005129B0" w:rsidRPr="00603B31">
        <w:rPr>
          <w:rFonts w:ascii="Times New Roman" w:eastAsia="TimesNewRomanPSMT" w:hAnsi="Times New Roman" w:cs="Times New Roman"/>
          <w:sz w:val="28"/>
          <w:szCs w:val="28"/>
        </w:rPr>
        <w:t>о показателях нормального, сниж</w:t>
      </w:r>
      <w:r w:rsidR="002D2C90" w:rsidRPr="00603B31">
        <w:rPr>
          <w:rFonts w:ascii="Times New Roman" w:eastAsia="TimesNewRomanPSMT" w:hAnsi="Times New Roman" w:cs="Times New Roman"/>
          <w:sz w:val="28"/>
          <w:szCs w:val="28"/>
        </w:rPr>
        <w:t>енного и высо</w:t>
      </w:r>
      <w:r w:rsidR="005129B0" w:rsidRPr="00603B31">
        <w:rPr>
          <w:rFonts w:ascii="Times New Roman" w:eastAsia="TimesNewRomanPSMT" w:hAnsi="Times New Roman" w:cs="Times New Roman"/>
          <w:sz w:val="28"/>
          <w:szCs w:val="28"/>
        </w:rPr>
        <w:t>ко</w:t>
      </w:r>
      <w:r w:rsidR="002D2C90" w:rsidRPr="00603B31">
        <w:rPr>
          <w:rFonts w:ascii="Times New Roman" w:eastAsia="TimesNewRomanPSMT" w:hAnsi="Times New Roman" w:cs="Times New Roman"/>
          <w:sz w:val="28"/>
          <w:szCs w:val="28"/>
        </w:rPr>
        <w:t>го овариального резерва, которые</w:t>
      </w:r>
      <w:r>
        <w:rPr>
          <w:rFonts w:ascii="Times New Roman" w:eastAsia="TimesNewRomanPSMT" w:hAnsi="Times New Roman" w:cs="Times New Roman"/>
          <w:sz w:val="28"/>
          <w:szCs w:val="28"/>
        </w:rPr>
        <w:t xml:space="preserve">, в свою очередь, </w:t>
      </w:r>
      <w:r w:rsidR="002D2C90" w:rsidRPr="00603B31">
        <w:rPr>
          <w:rFonts w:ascii="Times New Roman" w:eastAsia="TimesNewRomanPSMT" w:hAnsi="Times New Roman" w:cs="Times New Roman"/>
          <w:sz w:val="28"/>
          <w:szCs w:val="28"/>
        </w:rPr>
        <w:t xml:space="preserve"> можно рассматривать как предикторы </w:t>
      </w:r>
      <w:r w:rsidR="00406933" w:rsidRPr="00603B31">
        <w:rPr>
          <w:rFonts w:ascii="Times New Roman" w:eastAsia="TimesNewRomanPSMT" w:hAnsi="Times New Roman" w:cs="Times New Roman"/>
          <w:sz w:val="28"/>
          <w:szCs w:val="28"/>
        </w:rPr>
        <w:t xml:space="preserve">для адекватного, «слабого» и </w:t>
      </w:r>
      <w:r w:rsidR="002D2C90" w:rsidRPr="00603B31">
        <w:rPr>
          <w:rFonts w:ascii="Times New Roman" w:eastAsia="TimesNewRomanPSMT" w:hAnsi="Times New Roman" w:cs="Times New Roman"/>
          <w:sz w:val="28"/>
          <w:szCs w:val="28"/>
        </w:rPr>
        <w:t>чрезмерног</w:t>
      </w:r>
      <w:r w:rsidR="00406933" w:rsidRPr="00603B31">
        <w:rPr>
          <w:rFonts w:ascii="Times New Roman" w:eastAsia="TimesNewRomanPSMT" w:hAnsi="Times New Roman" w:cs="Times New Roman"/>
          <w:sz w:val="28"/>
          <w:szCs w:val="28"/>
        </w:rPr>
        <w:t xml:space="preserve">о </w:t>
      </w:r>
      <w:r w:rsidR="005129B0" w:rsidRPr="00603B31">
        <w:rPr>
          <w:rFonts w:ascii="Times New Roman" w:eastAsia="TimesNewRomanPSMT" w:hAnsi="Times New Roman" w:cs="Times New Roman"/>
          <w:sz w:val="28"/>
          <w:szCs w:val="28"/>
        </w:rPr>
        <w:t xml:space="preserve">ответа на гонадотропины </w:t>
      </w:r>
      <w:r w:rsidR="00453321" w:rsidRPr="00603B31">
        <w:rPr>
          <w:rFonts w:ascii="Times New Roman" w:eastAsia="TimesNewRomanPSMT" w:hAnsi="Times New Roman" w:cs="Times New Roman"/>
          <w:sz w:val="28"/>
          <w:szCs w:val="28"/>
        </w:rPr>
        <w:t xml:space="preserve">при стимуляции суперовуляции в циклах </w:t>
      </w:r>
      <w:r w:rsidR="002D2C90" w:rsidRPr="00603B31">
        <w:rPr>
          <w:rFonts w:ascii="Times New Roman" w:eastAsia="TimesNewRomanPSMT" w:hAnsi="Times New Roman" w:cs="Times New Roman"/>
          <w:sz w:val="28"/>
          <w:szCs w:val="28"/>
        </w:rPr>
        <w:t>ЭКО.</w:t>
      </w:r>
    </w:p>
    <w:p w:rsidR="002D2C90" w:rsidRPr="00603B31" w:rsidRDefault="00067D14"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Показателями</w:t>
      </w:r>
      <w:r w:rsidR="005129B0" w:rsidRPr="00603B31">
        <w:rPr>
          <w:rFonts w:ascii="Times New Roman" w:eastAsia="TimesNewRomanPSMT" w:hAnsi="Times New Roman" w:cs="Times New Roman"/>
          <w:sz w:val="28"/>
          <w:szCs w:val="28"/>
        </w:rPr>
        <w:t xml:space="preserve"> но</w:t>
      </w:r>
      <w:r w:rsidR="002D2C90" w:rsidRPr="00603B31">
        <w:rPr>
          <w:rFonts w:ascii="Times New Roman" w:eastAsia="TimesNewRomanPSMT" w:hAnsi="Times New Roman" w:cs="Times New Roman"/>
          <w:sz w:val="28"/>
          <w:szCs w:val="28"/>
        </w:rPr>
        <w:t>р</w:t>
      </w:r>
      <w:r w:rsidR="005129B0" w:rsidRPr="00603B31">
        <w:rPr>
          <w:rFonts w:ascii="Times New Roman" w:eastAsia="TimesNewRomanPSMT" w:hAnsi="Times New Roman" w:cs="Times New Roman"/>
          <w:sz w:val="28"/>
          <w:szCs w:val="28"/>
        </w:rPr>
        <w:t>м</w:t>
      </w:r>
      <w:r w:rsidR="002D2C90" w:rsidRPr="00603B31">
        <w:rPr>
          <w:rFonts w:ascii="Times New Roman" w:eastAsia="TimesNewRomanPSMT" w:hAnsi="Times New Roman" w:cs="Times New Roman"/>
          <w:sz w:val="28"/>
          <w:szCs w:val="28"/>
        </w:rPr>
        <w:t>ального овариальног</w:t>
      </w:r>
      <w:r>
        <w:rPr>
          <w:rFonts w:ascii="Times New Roman" w:eastAsia="TimesNewRomanPSMT" w:hAnsi="Times New Roman" w:cs="Times New Roman"/>
          <w:sz w:val="28"/>
          <w:szCs w:val="28"/>
        </w:rPr>
        <w:t>о резерва (предикторами</w:t>
      </w:r>
      <w:r w:rsidR="00406933" w:rsidRPr="00603B31">
        <w:rPr>
          <w:rFonts w:ascii="Times New Roman" w:eastAsia="TimesNewRomanPSMT" w:hAnsi="Times New Roman" w:cs="Times New Roman"/>
          <w:sz w:val="28"/>
          <w:szCs w:val="28"/>
        </w:rPr>
        <w:t xml:space="preserve"> адекватного </w:t>
      </w:r>
      <w:r w:rsidR="002D2C90" w:rsidRPr="00603B31">
        <w:rPr>
          <w:rFonts w:ascii="Times New Roman" w:eastAsia="TimesNewRomanPSMT" w:hAnsi="Times New Roman" w:cs="Times New Roman"/>
          <w:sz w:val="28"/>
          <w:szCs w:val="28"/>
        </w:rPr>
        <w:t>ответа яичников на гона</w:t>
      </w:r>
      <w:r w:rsidR="005129B0" w:rsidRPr="00603B31">
        <w:rPr>
          <w:rFonts w:ascii="Times New Roman" w:eastAsia="TimesNewRomanPSMT" w:hAnsi="Times New Roman" w:cs="Times New Roman"/>
          <w:sz w:val="28"/>
          <w:szCs w:val="28"/>
        </w:rPr>
        <w:t>д</w:t>
      </w:r>
      <w:r w:rsidR="002D2C90" w:rsidRPr="00603B31">
        <w:rPr>
          <w:rFonts w:ascii="Times New Roman" w:eastAsia="TimesNewRomanPSMT" w:hAnsi="Times New Roman" w:cs="Times New Roman"/>
          <w:sz w:val="28"/>
          <w:szCs w:val="28"/>
        </w:rPr>
        <w:t>отропины)</w:t>
      </w:r>
      <w:r>
        <w:rPr>
          <w:rFonts w:ascii="Times New Roman" w:eastAsia="TimesNewRomanPSMT" w:hAnsi="Times New Roman" w:cs="Times New Roman"/>
          <w:sz w:val="28"/>
          <w:szCs w:val="28"/>
        </w:rPr>
        <w:t>служат</w:t>
      </w:r>
      <w:r w:rsidR="0055270C" w:rsidRPr="00603B31">
        <w:rPr>
          <w:rFonts w:ascii="Times New Roman" w:eastAsia="TimesNewRomanPSMT" w:hAnsi="Times New Roman" w:cs="Times New Roman"/>
          <w:sz w:val="28"/>
          <w:szCs w:val="28"/>
        </w:rPr>
        <w:t>[14</w:t>
      </w:r>
      <w:r w:rsidR="00453321" w:rsidRPr="00603B31">
        <w:rPr>
          <w:rFonts w:ascii="Times New Roman" w:eastAsia="TimesNewRomanPSMT" w:hAnsi="Times New Roman" w:cs="Times New Roman"/>
          <w:sz w:val="28"/>
          <w:szCs w:val="28"/>
        </w:rPr>
        <w:t>]</w:t>
      </w:r>
      <w:r w:rsidR="002D2C90" w:rsidRPr="00603B31">
        <w:rPr>
          <w:rFonts w:ascii="Times New Roman" w:eastAsia="TimesNewRomanPSMT" w:hAnsi="Times New Roman" w:cs="Times New Roman"/>
          <w:sz w:val="28"/>
          <w:szCs w:val="28"/>
        </w:rPr>
        <w:t>:</w:t>
      </w:r>
    </w:p>
    <w:p w:rsidR="002D2C90" w:rsidRPr="00603B31" w:rsidRDefault="00453321" w:rsidP="002D2C90">
      <w:pPr>
        <w:pStyle w:val="a3"/>
        <w:numPr>
          <w:ilvl w:val="0"/>
          <w:numId w:val="37"/>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возраст пациентки – менее </w:t>
      </w:r>
      <w:r w:rsidR="002D2C90" w:rsidRPr="00603B31">
        <w:rPr>
          <w:rFonts w:ascii="Times New Roman" w:eastAsia="TimesNewRomanPSMT" w:hAnsi="Times New Roman" w:cs="Times New Roman"/>
          <w:sz w:val="28"/>
          <w:szCs w:val="28"/>
        </w:rPr>
        <w:t>35 лет</w:t>
      </w:r>
      <w:r w:rsidR="00406933" w:rsidRPr="00603B31">
        <w:rPr>
          <w:rFonts w:ascii="Times New Roman" w:eastAsia="TimesNewRomanPSMT" w:hAnsi="Times New Roman" w:cs="Times New Roman"/>
          <w:sz w:val="28"/>
          <w:szCs w:val="28"/>
        </w:rPr>
        <w:t>;</w:t>
      </w:r>
    </w:p>
    <w:p w:rsidR="002D2C90" w:rsidRPr="00603B31" w:rsidRDefault="00453321" w:rsidP="002D2C90">
      <w:pPr>
        <w:pStyle w:val="a3"/>
        <w:numPr>
          <w:ilvl w:val="0"/>
          <w:numId w:val="37"/>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д</w:t>
      </w:r>
      <w:r w:rsidR="002D2C90" w:rsidRPr="00603B31">
        <w:rPr>
          <w:rFonts w:ascii="Times New Roman" w:eastAsia="TimesNewRomanPSMT" w:hAnsi="Times New Roman" w:cs="Times New Roman"/>
          <w:sz w:val="28"/>
          <w:szCs w:val="28"/>
        </w:rPr>
        <w:t>лительность</w:t>
      </w:r>
      <w:r w:rsidR="005129B0" w:rsidRPr="00603B31">
        <w:rPr>
          <w:rFonts w:ascii="Times New Roman" w:eastAsia="TimesNewRomanPSMT" w:hAnsi="Times New Roman" w:cs="Times New Roman"/>
          <w:sz w:val="28"/>
          <w:szCs w:val="28"/>
        </w:rPr>
        <w:t xml:space="preserve"> мен</w:t>
      </w:r>
      <w:r w:rsidR="002D2C90" w:rsidRPr="00603B31">
        <w:rPr>
          <w:rFonts w:ascii="Times New Roman" w:eastAsia="TimesNewRomanPSMT" w:hAnsi="Times New Roman" w:cs="Times New Roman"/>
          <w:sz w:val="28"/>
          <w:szCs w:val="28"/>
        </w:rPr>
        <w:t>с</w:t>
      </w:r>
      <w:r w:rsidR="005129B0" w:rsidRPr="00603B31">
        <w:rPr>
          <w:rFonts w:ascii="Times New Roman" w:eastAsia="TimesNewRomanPSMT" w:hAnsi="Times New Roman" w:cs="Times New Roman"/>
          <w:sz w:val="28"/>
          <w:szCs w:val="28"/>
        </w:rPr>
        <w:t>т</w:t>
      </w:r>
      <w:r w:rsidR="002D2C90" w:rsidRPr="00603B31">
        <w:rPr>
          <w:rFonts w:ascii="Times New Roman" w:eastAsia="TimesNewRomanPSMT" w:hAnsi="Times New Roman" w:cs="Times New Roman"/>
          <w:sz w:val="28"/>
          <w:szCs w:val="28"/>
        </w:rPr>
        <w:t>руального цикла – 27-30 дней</w:t>
      </w:r>
      <w:r w:rsidR="00406933" w:rsidRPr="00603B31">
        <w:rPr>
          <w:rFonts w:ascii="Times New Roman" w:eastAsia="TimesNewRomanPSMT" w:hAnsi="Times New Roman" w:cs="Times New Roman"/>
          <w:sz w:val="28"/>
          <w:szCs w:val="28"/>
        </w:rPr>
        <w:t>;</w:t>
      </w:r>
    </w:p>
    <w:p w:rsidR="002D2C90" w:rsidRPr="00603B31" w:rsidRDefault="00453321" w:rsidP="002D2C90">
      <w:pPr>
        <w:pStyle w:val="a3"/>
        <w:numPr>
          <w:ilvl w:val="0"/>
          <w:numId w:val="37"/>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у</w:t>
      </w:r>
      <w:r w:rsidR="002D2C90" w:rsidRPr="00603B31">
        <w:rPr>
          <w:rFonts w:ascii="Times New Roman" w:eastAsia="TimesNewRomanPSMT" w:hAnsi="Times New Roman" w:cs="Times New Roman"/>
          <w:sz w:val="28"/>
          <w:szCs w:val="28"/>
        </w:rPr>
        <w:t>ровень</w:t>
      </w:r>
      <w:r w:rsidR="005129B0" w:rsidRPr="00603B31">
        <w:rPr>
          <w:rFonts w:ascii="Times New Roman" w:eastAsia="TimesNewRomanPSMT" w:hAnsi="Times New Roman" w:cs="Times New Roman"/>
          <w:sz w:val="28"/>
          <w:szCs w:val="28"/>
        </w:rPr>
        <w:t xml:space="preserve"> ФСГ на 2-3-й день менст</w:t>
      </w:r>
      <w:r w:rsidR="002D2C90" w:rsidRPr="00603B31">
        <w:rPr>
          <w:rFonts w:ascii="Times New Roman" w:eastAsia="TimesNewRomanPSMT" w:hAnsi="Times New Roman" w:cs="Times New Roman"/>
          <w:sz w:val="28"/>
          <w:szCs w:val="28"/>
        </w:rPr>
        <w:t>р</w:t>
      </w:r>
      <w:r w:rsidR="005129B0" w:rsidRPr="00603B31">
        <w:rPr>
          <w:rFonts w:ascii="Times New Roman" w:eastAsia="TimesNewRomanPSMT" w:hAnsi="Times New Roman" w:cs="Times New Roman"/>
          <w:sz w:val="28"/>
          <w:szCs w:val="28"/>
        </w:rPr>
        <w:t>уального цик</w:t>
      </w:r>
      <w:r w:rsidR="002D2C90" w:rsidRPr="00603B31">
        <w:rPr>
          <w:rFonts w:ascii="Times New Roman" w:eastAsia="TimesNewRomanPSMT" w:hAnsi="Times New Roman" w:cs="Times New Roman"/>
          <w:sz w:val="28"/>
          <w:szCs w:val="28"/>
        </w:rPr>
        <w:t>ла – до 8 МЕ/л</w:t>
      </w:r>
      <w:r w:rsidR="00406933" w:rsidRPr="00603B31">
        <w:rPr>
          <w:rFonts w:ascii="Times New Roman" w:eastAsia="TimesNewRomanPSMT" w:hAnsi="Times New Roman" w:cs="Times New Roman"/>
          <w:sz w:val="28"/>
          <w:szCs w:val="28"/>
        </w:rPr>
        <w:t>;</w:t>
      </w:r>
    </w:p>
    <w:p w:rsidR="002D2C90" w:rsidRPr="00603B31" w:rsidRDefault="00453321" w:rsidP="002D2C90">
      <w:pPr>
        <w:pStyle w:val="a3"/>
        <w:numPr>
          <w:ilvl w:val="0"/>
          <w:numId w:val="37"/>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ч</w:t>
      </w:r>
      <w:r w:rsidR="002D2C90" w:rsidRPr="00603B31">
        <w:rPr>
          <w:rFonts w:ascii="Times New Roman" w:eastAsia="TimesNewRomanPSMT" w:hAnsi="Times New Roman" w:cs="Times New Roman"/>
          <w:sz w:val="28"/>
          <w:szCs w:val="28"/>
        </w:rPr>
        <w:t xml:space="preserve">исло </w:t>
      </w:r>
      <w:r w:rsidR="00CE26BC">
        <w:rPr>
          <w:rFonts w:ascii="Times New Roman" w:eastAsia="TimesNewRomanPSMT" w:hAnsi="Times New Roman" w:cs="Times New Roman"/>
          <w:sz w:val="28"/>
          <w:szCs w:val="28"/>
        </w:rPr>
        <w:t>антральных</w:t>
      </w:r>
      <w:r w:rsidR="005129B0" w:rsidRPr="00603B31">
        <w:rPr>
          <w:rFonts w:ascii="Times New Roman" w:eastAsia="TimesNewRomanPSMT" w:hAnsi="Times New Roman" w:cs="Times New Roman"/>
          <w:sz w:val="28"/>
          <w:szCs w:val="28"/>
        </w:rPr>
        <w:t xml:space="preserve"> фолликулов менее 10 мм в диа</w:t>
      </w:r>
      <w:r w:rsidR="002D2C90" w:rsidRPr="00603B31">
        <w:rPr>
          <w:rFonts w:ascii="Times New Roman" w:eastAsia="TimesNewRomanPSMT" w:hAnsi="Times New Roman" w:cs="Times New Roman"/>
          <w:sz w:val="28"/>
          <w:szCs w:val="28"/>
        </w:rPr>
        <w:t>ме</w:t>
      </w:r>
      <w:r w:rsidR="005129B0" w:rsidRPr="00603B31">
        <w:rPr>
          <w:rFonts w:ascii="Times New Roman" w:eastAsia="TimesNewRomanPSMT" w:hAnsi="Times New Roman" w:cs="Times New Roman"/>
          <w:sz w:val="28"/>
          <w:szCs w:val="28"/>
        </w:rPr>
        <w:t>т</w:t>
      </w:r>
      <w:r w:rsidR="002D2C90" w:rsidRPr="00603B31">
        <w:rPr>
          <w:rFonts w:ascii="Times New Roman" w:eastAsia="TimesNewRomanPSMT" w:hAnsi="Times New Roman" w:cs="Times New Roman"/>
          <w:sz w:val="28"/>
          <w:szCs w:val="28"/>
        </w:rPr>
        <w:t xml:space="preserve">ре на 2-3-й день </w:t>
      </w:r>
      <w:r w:rsidR="00067D14" w:rsidRPr="00603B31">
        <w:rPr>
          <w:rFonts w:ascii="Times New Roman" w:eastAsia="TimesNewRomanPSMT" w:hAnsi="Times New Roman" w:cs="Times New Roman"/>
          <w:sz w:val="28"/>
          <w:szCs w:val="28"/>
        </w:rPr>
        <w:t xml:space="preserve">менструального </w:t>
      </w:r>
      <w:r w:rsidR="002D2C90" w:rsidRPr="00603B31">
        <w:rPr>
          <w:rFonts w:ascii="Times New Roman" w:eastAsia="TimesNewRomanPSMT" w:hAnsi="Times New Roman" w:cs="Times New Roman"/>
          <w:sz w:val="28"/>
          <w:szCs w:val="28"/>
        </w:rPr>
        <w:t>цикла – не менее 5 в каж</w:t>
      </w:r>
      <w:r w:rsidR="005129B0" w:rsidRPr="00603B31">
        <w:rPr>
          <w:rFonts w:ascii="Times New Roman" w:eastAsia="TimesNewRomanPSMT" w:hAnsi="Times New Roman" w:cs="Times New Roman"/>
          <w:sz w:val="28"/>
          <w:szCs w:val="28"/>
        </w:rPr>
        <w:t>д</w:t>
      </w:r>
      <w:r w:rsidR="002D2C90" w:rsidRPr="00603B31">
        <w:rPr>
          <w:rFonts w:ascii="Times New Roman" w:eastAsia="TimesNewRomanPSMT" w:hAnsi="Times New Roman" w:cs="Times New Roman"/>
          <w:sz w:val="28"/>
          <w:szCs w:val="28"/>
        </w:rPr>
        <w:t>ом яичнике</w:t>
      </w:r>
      <w:r w:rsidR="00406933" w:rsidRPr="00603B31">
        <w:rPr>
          <w:rFonts w:ascii="Times New Roman" w:eastAsia="TimesNewRomanPSMT" w:hAnsi="Times New Roman" w:cs="Times New Roman"/>
          <w:sz w:val="28"/>
          <w:szCs w:val="28"/>
        </w:rPr>
        <w:t>;</w:t>
      </w:r>
    </w:p>
    <w:p w:rsidR="002D2C90" w:rsidRPr="00603B31" w:rsidRDefault="00453321" w:rsidP="00406933">
      <w:pPr>
        <w:pStyle w:val="a3"/>
        <w:numPr>
          <w:ilvl w:val="0"/>
          <w:numId w:val="37"/>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о</w:t>
      </w:r>
      <w:r w:rsidR="00406933" w:rsidRPr="00603B31">
        <w:rPr>
          <w:rFonts w:ascii="Times New Roman" w:eastAsia="TimesNewRomanPSMT" w:hAnsi="Times New Roman" w:cs="Times New Roman"/>
          <w:sz w:val="28"/>
          <w:szCs w:val="28"/>
        </w:rPr>
        <w:t>бъём яичника – не менее 8 см</w:t>
      </w:r>
      <w:r w:rsidR="00406933" w:rsidRPr="00603B31">
        <w:rPr>
          <w:rFonts w:ascii="Times New Roman" w:eastAsia="TimesNewRomanPSMT" w:hAnsi="Times New Roman" w:cs="Times New Roman"/>
          <w:sz w:val="28"/>
          <w:szCs w:val="28"/>
          <w:vertAlign w:val="superscript"/>
        </w:rPr>
        <w:t>3</w:t>
      </w:r>
      <w:r w:rsidR="00406933" w:rsidRPr="00603B31">
        <w:rPr>
          <w:rFonts w:ascii="Times New Roman" w:eastAsia="TimesNewRomanPSMT" w:hAnsi="Times New Roman" w:cs="Times New Roman"/>
          <w:sz w:val="28"/>
          <w:szCs w:val="28"/>
        </w:rPr>
        <w:t>;</w:t>
      </w:r>
    </w:p>
    <w:p w:rsidR="002D2C90" w:rsidRPr="00603B31" w:rsidRDefault="00453321" w:rsidP="002D2C90">
      <w:pPr>
        <w:pStyle w:val="a3"/>
        <w:numPr>
          <w:ilvl w:val="0"/>
          <w:numId w:val="37"/>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у</w:t>
      </w:r>
      <w:r w:rsidR="002D2C90" w:rsidRPr="00603B31">
        <w:rPr>
          <w:rFonts w:ascii="Times New Roman" w:eastAsia="TimesNewRomanPSMT" w:hAnsi="Times New Roman" w:cs="Times New Roman"/>
          <w:sz w:val="28"/>
          <w:szCs w:val="28"/>
        </w:rPr>
        <w:t>ровень АМГ – 1,0-2,5 нг</w:t>
      </w:r>
      <w:r w:rsidR="002D2C90" w:rsidRPr="00603B31">
        <w:rPr>
          <w:rFonts w:ascii="Times New Roman" w:eastAsia="TimesNewRomanPSMT" w:hAnsi="Times New Roman" w:cs="Times New Roman"/>
          <w:sz w:val="28"/>
          <w:szCs w:val="28"/>
          <w:lang w:val="en-US"/>
        </w:rPr>
        <w:t>/</w:t>
      </w:r>
      <w:r w:rsidR="002D2C90" w:rsidRPr="00603B31">
        <w:rPr>
          <w:rFonts w:ascii="Times New Roman" w:eastAsia="TimesNewRomanPSMT" w:hAnsi="Times New Roman" w:cs="Times New Roman"/>
          <w:sz w:val="28"/>
          <w:szCs w:val="28"/>
        </w:rPr>
        <w:t>мл.</w:t>
      </w:r>
    </w:p>
    <w:p w:rsidR="00D411B0" w:rsidRPr="00603B31" w:rsidRDefault="002D2C90"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У пациенток</w:t>
      </w:r>
      <w:r w:rsidR="005129B0" w:rsidRPr="00603B31">
        <w:rPr>
          <w:rFonts w:ascii="Times New Roman" w:eastAsia="TimesNewRomanPSMT" w:hAnsi="Times New Roman" w:cs="Times New Roman"/>
          <w:sz w:val="28"/>
          <w:szCs w:val="28"/>
        </w:rPr>
        <w:t xml:space="preserve"> с указанными характеристиками о</w:t>
      </w:r>
      <w:r w:rsidR="00D411B0" w:rsidRPr="00603B31">
        <w:rPr>
          <w:rFonts w:ascii="Times New Roman" w:eastAsia="TimesNewRomanPSMT" w:hAnsi="Times New Roman" w:cs="Times New Roman"/>
          <w:sz w:val="28"/>
          <w:szCs w:val="28"/>
        </w:rPr>
        <w:t>т</w:t>
      </w:r>
      <w:r w:rsidR="005129B0" w:rsidRPr="00603B31">
        <w:rPr>
          <w:rFonts w:ascii="Times New Roman" w:eastAsia="TimesNewRomanPSMT" w:hAnsi="Times New Roman" w:cs="Times New Roman"/>
          <w:sz w:val="28"/>
          <w:szCs w:val="28"/>
        </w:rPr>
        <w:t>м</w:t>
      </w:r>
      <w:r w:rsidR="00D411B0" w:rsidRPr="00603B31">
        <w:rPr>
          <w:rFonts w:ascii="Times New Roman" w:eastAsia="TimesNewRomanPSMT" w:hAnsi="Times New Roman" w:cs="Times New Roman"/>
          <w:sz w:val="28"/>
          <w:szCs w:val="28"/>
        </w:rPr>
        <w:t xml:space="preserve">ечается </w:t>
      </w:r>
      <w:r w:rsidR="00406933" w:rsidRPr="00603B31">
        <w:rPr>
          <w:rFonts w:ascii="Times New Roman" w:eastAsia="TimesNewRomanPSMT" w:hAnsi="Times New Roman" w:cs="Times New Roman"/>
          <w:sz w:val="28"/>
          <w:szCs w:val="28"/>
        </w:rPr>
        <w:t xml:space="preserve">адекватный ответ на введение </w:t>
      </w:r>
      <w:r w:rsidR="00D411B0" w:rsidRPr="00603B31">
        <w:rPr>
          <w:rFonts w:ascii="Times New Roman" w:eastAsia="TimesNewRomanPSMT" w:hAnsi="Times New Roman" w:cs="Times New Roman"/>
          <w:sz w:val="28"/>
          <w:szCs w:val="28"/>
        </w:rPr>
        <w:t>препаратов</w:t>
      </w:r>
      <w:r w:rsidR="00406933" w:rsidRPr="00603B31">
        <w:rPr>
          <w:rFonts w:ascii="Times New Roman" w:eastAsia="TimesNewRomanPSMT" w:hAnsi="Times New Roman" w:cs="Times New Roman"/>
          <w:sz w:val="28"/>
          <w:szCs w:val="28"/>
        </w:rPr>
        <w:t xml:space="preserve"> гонадотропинов</w:t>
      </w:r>
      <w:r w:rsidR="00D411B0" w:rsidRPr="00603B31">
        <w:rPr>
          <w:rFonts w:ascii="Times New Roman" w:eastAsia="TimesNewRomanPSMT" w:hAnsi="Times New Roman" w:cs="Times New Roman"/>
          <w:sz w:val="28"/>
          <w:szCs w:val="28"/>
        </w:rPr>
        <w:t xml:space="preserve">, однако </w:t>
      </w:r>
      <w:r w:rsidR="00067D14">
        <w:rPr>
          <w:rFonts w:ascii="Times New Roman" w:eastAsia="TimesNewRomanPSMT" w:hAnsi="Times New Roman" w:cs="Times New Roman"/>
          <w:sz w:val="28"/>
          <w:szCs w:val="28"/>
        </w:rPr>
        <w:t>полностью не исключается вероятность  развития</w:t>
      </w:r>
      <w:r w:rsidR="00406933" w:rsidRPr="00603B31">
        <w:rPr>
          <w:rFonts w:ascii="Times New Roman" w:eastAsia="TimesNewRomanPSMT" w:hAnsi="Times New Roman" w:cs="Times New Roman"/>
          <w:sz w:val="28"/>
          <w:szCs w:val="28"/>
        </w:rPr>
        <w:t xml:space="preserve"> синдрома гиперстимуляции яичников</w:t>
      </w:r>
      <w:r w:rsidR="00D411B0" w:rsidRPr="00603B31">
        <w:rPr>
          <w:rFonts w:ascii="Times New Roman" w:eastAsia="TimesNewRomanPSMT" w:hAnsi="Times New Roman" w:cs="Times New Roman"/>
          <w:sz w:val="28"/>
          <w:szCs w:val="28"/>
        </w:rPr>
        <w:t>.</w:t>
      </w:r>
    </w:p>
    <w:p w:rsidR="00406933" w:rsidRPr="00603B31" w:rsidRDefault="00067D14" w:rsidP="00CB567E">
      <w:pPr>
        <w:autoSpaceDE w:val="0"/>
        <w:autoSpaceDN w:val="0"/>
        <w:adjustRightInd w:val="0"/>
        <w:spacing w:after="0" w:line="360" w:lineRule="auto"/>
        <w:ind w:firstLine="708"/>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Показателями</w:t>
      </w:r>
      <w:r w:rsidR="00406933" w:rsidRPr="00603B31">
        <w:rPr>
          <w:rFonts w:ascii="Times New Roman" w:eastAsia="TimesNewRomanPSMT" w:hAnsi="Times New Roman" w:cs="Times New Roman"/>
          <w:sz w:val="28"/>
          <w:szCs w:val="28"/>
        </w:rPr>
        <w:t xml:space="preserve"> высокого </w:t>
      </w:r>
      <w:r>
        <w:rPr>
          <w:rFonts w:ascii="Times New Roman" w:eastAsia="TimesNewRomanPSMT" w:hAnsi="Times New Roman" w:cs="Times New Roman"/>
          <w:sz w:val="28"/>
          <w:szCs w:val="28"/>
        </w:rPr>
        <w:t>овариального резерва (предикторами</w:t>
      </w:r>
      <w:r w:rsidR="00406933" w:rsidRPr="00603B31">
        <w:rPr>
          <w:rFonts w:ascii="Times New Roman" w:eastAsia="TimesNewRomanPSMT" w:hAnsi="Times New Roman" w:cs="Times New Roman"/>
          <w:sz w:val="28"/>
          <w:szCs w:val="28"/>
        </w:rPr>
        <w:t xml:space="preserve"> чрезмерного ответа яичников на гонадотропины)</w:t>
      </w:r>
      <w:r>
        <w:rPr>
          <w:rFonts w:ascii="Times New Roman" w:eastAsia="TimesNewRomanPSMT" w:hAnsi="Times New Roman" w:cs="Times New Roman"/>
          <w:sz w:val="28"/>
          <w:szCs w:val="28"/>
        </w:rPr>
        <w:t xml:space="preserve"> являются</w:t>
      </w:r>
      <w:r w:rsidR="0055270C" w:rsidRPr="00603B31">
        <w:rPr>
          <w:rFonts w:ascii="Times New Roman" w:eastAsia="TimesNewRomanPSMT" w:hAnsi="Times New Roman" w:cs="Times New Roman"/>
          <w:sz w:val="28"/>
          <w:szCs w:val="28"/>
        </w:rPr>
        <w:t>[14</w:t>
      </w:r>
      <w:r w:rsidR="00453321" w:rsidRPr="00603B31">
        <w:rPr>
          <w:rFonts w:ascii="Times New Roman" w:eastAsia="TimesNewRomanPSMT" w:hAnsi="Times New Roman" w:cs="Times New Roman"/>
          <w:sz w:val="28"/>
          <w:szCs w:val="28"/>
        </w:rPr>
        <w:t>]</w:t>
      </w:r>
      <w:r w:rsidR="00406933" w:rsidRPr="00603B31">
        <w:rPr>
          <w:rFonts w:ascii="Times New Roman" w:eastAsia="TimesNewRomanPSMT" w:hAnsi="Times New Roman" w:cs="Times New Roman"/>
          <w:sz w:val="28"/>
          <w:szCs w:val="28"/>
        </w:rPr>
        <w:t>:</w:t>
      </w:r>
    </w:p>
    <w:p w:rsidR="00406933" w:rsidRPr="00603B31" w:rsidRDefault="00453321" w:rsidP="00406933">
      <w:pPr>
        <w:pStyle w:val="a3"/>
        <w:numPr>
          <w:ilvl w:val="0"/>
          <w:numId w:val="39"/>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возраст пациентки – </w:t>
      </w:r>
      <w:r w:rsidR="00406933" w:rsidRPr="00603B31">
        <w:rPr>
          <w:rFonts w:ascii="Times New Roman" w:eastAsia="TimesNewRomanPSMT" w:hAnsi="Times New Roman" w:cs="Times New Roman"/>
          <w:sz w:val="28"/>
          <w:szCs w:val="28"/>
        </w:rPr>
        <w:t>менее 30 лет;</w:t>
      </w:r>
    </w:p>
    <w:p w:rsidR="00406933" w:rsidRPr="00603B31" w:rsidRDefault="00453321" w:rsidP="00406933">
      <w:pPr>
        <w:pStyle w:val="a3"/>
        <w:numPr>
          <w:ilvl w:val="0"/>
          <w:numId w:val="39"/>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д</w:t>
      </w:r>
      <w:r w:rsidR="00406933" w:rsidRPr="00603B31">
        <w:rPr>
          <w:rFonts w:ascii="Times New Roman" w:eastAsia="TimesNewRomanPSMT" w:hAnsi="Times New Roman" w:cs="Times New Roman"/>
          <w:sz w:val="28"/>
          <w:szCs w:val="28"/>
        </w:rPr>
        <w:t>лительность менструального цикла – 30-35 дней;</w:t>
      </w:r>
    </w:p>
    <w:p w:rsidR="00406933" w:rsidRPr="00603B31" w:rsidRDefault="00453321" w:rsidP="00406933">
      <w:pPr>
        <w:pStyle w:val="a3"/>
        <w:numPr>
          <w:ilvl w:val="0"/>
          <w:numId w:val="39"/>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у</w:t>
      </w:r>
      <w:r w:rsidR="00406933" w:rsidRPr="00603B31">
        <w:rPr>
          <w:rFonts w:ascii="Times New Roman" w:eastAsia="TimesNewRomanPSMT" w:hAnsi="Times New Roman" w:cs="Times New Roman"/>
          <w:sz w:val="28"/>
          <w:szCs w:val="28"/>
        </w:rPr>
        <w:t xml:space="preserve">ровень ФСГ на 2-3-й </w:t>
      </w:r>
      <w:r w:rsidR="0063535F" w:rsidRPr="00603B31">
        <w:rPr>
          <w:rFonts w:ascii="Times New Roman" w:eastAsia="TimesNewRomanPSMT" w:hAnsi="Times New Roman" w:cs="Times New Roman"/>
          <w:sz w:val="28"/>
          <w:szCs w:val="28"/>
        </w:rPr>
        <w:t xml:space="preserve">день </w:t>
      </w:r>
      <w:r w:rsidR="00406933" w:rsidRPr="00603B31">
        <w:rPr>
          <w:rFonts w:ascii="Times New Roman" w:eastAsia="TimesNewRomanPSMT" w:hAnsi="Times New Roman" w:cs="Times New Roman"/>
          <w:sz w:val="28"/>
          <w:szCs w:val="28"/>
        </w:rPr>
        <w:t>менструального цикла – менее 8 МЕ/л;</w:t>
      </w:r>
    </w:p>
    <w:p w:rsidR="00406933" w:rsidRPr="00603B31" w:rsidRDefault="00406933" w:rsidP="00406933">
      <w:pPr>
        <w:pStyle w:val="a3"/>
        <w:numPr>
          <w:ilvl w:val="0"/>
          <w:numId w:val="39"/>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число базальных фолликулов менее 10 мм в диаметре на </w:t>
      </w:r>
      <w:r w:rsidR="00067D14">
        <w:rPr>
          <w:rFonts w:ascii="Times New Roman" w:eastAsia="TimesNewRomanPSMT" w:hAnsi="Times New Roman" w:cs="Times New Roman"/>
          <w:sz w:val="28"/>
          <w:szCs w:val="28"/>
        </w:rPr>
        <w:t xml:space="preserve">2–3-й день менструального цикла – </w:t>
      </w:r>
      <w:r w:rsidRPr="00603B31">
        <w:rPr>
          <w:rFonts w:ascii="Times New Roman" w:eastAsia="TimesNewRomanPSMT" w:hAnsi="Times New Roman" w:cs="Times New Roman"/>
          <w:sz w:val="28"/>
          <w:szCs w:val="28"/>
        </w:rPr>
        <w:t>более 10 в каждом яичнике;</w:t>
      </w:r>
    </w:p>
    <w:p w:rsidR="00406933" w:rsidRPr="00603B31" w:rsidRDefault="00406933" w:rsidP="00406933">
      <w:pPr>
        <w:pStyle w:val="a3"/>
        <w:numPr>
          <w:ilvl w:val="0"/>
          <w:numId w:val="39"/>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объём яичников – боле</w:t>
      </w:r>
      <w:r w:rsidR="0063535F" w:rsidRPr="00603B31">
        <w:rPr>
          <w:rFonts w:ascii="Times New Roman" w:eastAsia="TimesNewRomanPSMT" w:hAnsi="Times New Roman" w:cs="Times New Roman"/>
          <w:sz w:val="28"/>
          <w:szCs w:val="28"/>
        </w:rPr>
        <w:t>е 12</w:t>
      </w:r>
      <w:r w:rsidRPr="00603B31">
        <w:rPr>
          <w:rFonts w:ascii="Times New Roman" w:eastAsia="TimesNewRomanPSMT" w:hAnsi="Times New Roman" w:cs="Times New Roman"/>
          <w:sz w:val="28"/>
          <w:szCs w:val="28"/>
        </w:rPr>
        <w:t xml:space="preserve"> см</w:t>
      </w:r>
      <w:r w:rsidRPr="00603B31">
        <w:rPr>
          <w:rFonts w:ascii="Times New Roman" w:eastAsia="TimesNewRomanPSMT" w:hAnsi="Times New Roman" w:cs="Times New Roman"/>
          <w:sz w:val="28"/>
          <w:szCs w:val="28"/>
          <w:vertAlign w:val="superscript"/>
        </w:rPr>
        <w:t>3</w:t>
      </w:r>
      <w:r w:rsidRPr="00603B31">
        <w:rPr>
          <w:rFonts w:ascii="Times New Roman" w:eastAsia="TimesNewRomanPSMT" w:hAnsi="Times New Roman" w:cs="Times New Roman"/>
          <w:sz w:val="28"/>
          <w:szCs w:val="28"/>
        </w:rPr>
        <w:t xml:space="preserve">; </w:t>
      </w:r>
    </w:p>
    <w:p w:rsidR="00406933" w:rsidRPr="00603B31" w:rsidRDefault="00453321" w:rsidP="00406933">
      <w:pPr>
        <w:pStyle w:val="a3"/>
        <w:numPr>
          <w:ilvl w:val="0"/>
          <w:numId w:val="38"/>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у</w:t>
      </w:r>
      <w:r w:rsidR="0063535F" w:rsidRPr="00603B31">
        <w:rPr>
          <w:rFonts w:ascii="Times New Roman" w:eastAsia="TimesNewRomanPSMT" w:hAnsi="Times New Roman" w:cs="Times New Roman"/>
          <w:sz w:val="28"/>
          <w:szCs w:val="28"/>
        </w:rPr>
        <w:t xml:space="preserve">ровень АМГ – </w:t>
      </w:r>
      <w:r w:rsidR="00406933" w:rsidRPr="00603B31">
        <w:rPr>
          <w:rFonts w:ascii="Times New Roman" w:eastAsia="TimesNewRomanPSMT" w:hAnsi="Times New Roman" w:cs="Times New Roman"/>
          <w:sz w:val="28"/>
          <w:szCs w:val="28"/>
        </w:rPr>
        <w:t>больше 2,5 нг/мл</w:t>
      </w:r>
      <w:r w:rsidR="000E7981" w:rsidRPr="00603B31">
        <w:rPr>
          <w:rFonts w:ascii="Times New Roman" w:eastAsia="TimesNewRomanPSMT" w:hAnsi="Times New Roman" w:cs="Times New Roman"/>
          <w:sz w:val="28"/>
          <w:szCs w:val="28"/>
        </w:rPr>
        <w:t>.</w:t>
      </w:r>
    </w:p>
    <w:p w:rsidR="00406933" w:rsidRPr="00603B31" w:rsidRDefault="00406933" w:rsidP="00453321">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 xml:space="preserve">У пациенток с </w:t>
      </w:r>
      <w:r w:rsidR="00067D14">
        <w:rPr>
          <w:rFonts w:ascii="Times New Roman" w:eastAsia="TimesNewRomanPSMT" w:hAnsi="Times New Roman" w:cs="Times New Roman"/>
          <w:sz w:val="28"/>
          <w:szCs w:val="28"/>
        </w:rPr>
        <w:t xml:space="preserve">такими </w:t>
      </w:r>
      <w:r w:rsidRPr="00603B31">
        <w:rPr>
          <w:rFonts w:ascii="Times New Roman" w:eastAsia="TimesNewRomanPSMT" w:hAnsi="Times New Roman" w:cs="Times New Roman"/>
          <w:sz w:val="28"/>
          <w:szCs w:val="28"/>
        </w:rPr>
        <w:t xml:space="preserve">показателями высокого овариального резерва отмечается хороший ответ на индукторы </w:t>
      </w:r>
      <w:r w:rsidR="000E7981" w:rsidRPr="00603B31">
        <w:rPr>
          <w:rFonts w:ascii="Times New Roman" w:eastAsia="TimesNewRomanPSMT" w:hAnsi="Times New Roman" w:cs="Times New Roman"/>
          <w:sz w:val="28"/>
          <w:szCs w:val="28"/>
        </w:rPr>
        <w:t>овуляции. Таким женщинам</w:t>
      </w:r>
      <w:r w:rsidRPr="00603B31">
        <w:rPr>
          <w:rFonts w:ascii="Times New Roman" w:eastAsia="TimesNewRomanPSMT" w:hAnsi="Times New Roman" w:cs="Times New Roman"/>
          <w:sz w:val="28"/>
          <w:szCs w:val="28"/>
        </w:rPr>
        <w:t xml:space="preserve"> требуются ни</w:t>
      </w:r>
      <w:r w:rsidR="000E7981" w:rsidRPr="00603B31">
        <w:rPr>
          <w:rFonts w:ascii="Times New Roman" w:eastAsia="TimesNewRomanPSMT" w:hAnsi="Times New Roman" w:cs="Times New Roman"/>
          <w:sz w:val="28"/>
          <w:szCs w:val="28"/>
        </w:rPr>
        <w:t>зкие дозы гонадотропинов для стимуляции</w:t>
      </w:r>
      <w:r w:rsidRPr="00603B31">
        <w:rPr>
          <w:rFonts w:ascii="Times New Roman" w:eastAsia="TimesNewRomanPSMT" w:hAnsi="Times New Roman" w:cs="Times New Roman"/>
          <w:sz w:val="28"/>
          <w:szCs w:val="28"/>
        </w:rPr>
        <w:t xml:space="preserve"> роста фолликулов. </w:t>
      </w:r>
      <w:r w:rsidR="00067D14">
        <w:rPr>
          <w:rFonts w:ascii="Times New Roman" w:eastAsia="TimesNewRomanPSMT" w:hAnsi="Times New Roman" w:cs="Times New Roman"/>
          <w:sz w:val="28"/>
          <w:szCs w:val="28"/>
        </w:rPr>
        <w:t>В противном случае, п</w:t>
      </w:r>
      <w:r w:rsidR="00453321" w:rsidRPr="00603B31">
        <w:rPr>
          <w:rFonts w:ascii="Times New Roman" w:eastAsia="TimesNewRomanPSMT" w:hAnsi="Times New Roman" w:cs="Times New Roman"/>
          <w:sz w:val="28"/>
          <w:szCs w:val="28"/>
        </w:rPr>
        <w:t>овышение</w:t>
      </w:r>
      <w:r w:rsidR="000E7981" w:rsidRPr="00603B31">
        <w:rPr>
          <w:rFonts w:ascii="Times New Roman" w:eastAsia="TimesNewRomanPSMT" w:hAnsi="Times New Roman" w:cs="Times New Roman"/>
          <w:sz w:val="28"/>
          <w:szCs w:val="28"/>
        </w:rPr>
        <w:t xml:space="preserve"> стартовой </w:t>
      </w:r>
      <w:r w:rsidR="00067D14">
        <w:rPr>
          <w:rFonts w:ascii="Times New Roman" w:eastAsia="TimesNewRomanPSMT" w:hAnsi="Times New Roman" w:cs="Times New Roman"/>
          <w:sz w:val="28"/>
          <w:szCs w:val="28"/>
        </w:rPr>
        <w:t xml:space="preserve">или суммарной </w:t>
      </w:r>
      <w:r w:rsidR="000E7981" w:rsidRPr="00603B31">
        <w:rPr>
          <w:rFonts w:ascii="Times New Roman" w:eastAsia="TimesNewRomanPSMT" w:hAnsi="Times New Roman" w:cs="Times New Roman"/>
          <w:sz w:val="28"/>
          <w:szCs w:val="28"/>
        </w:rPr>
        <w:t>дозы может спровоцировать развитие синдрома гиперстимуляции яичников</w:t>
      </w:r>
      <w:r w:rsidRPr="00603B31">
        <w:rPr>
          <w:rFonts w:ascii="Times New Roman" w:eastAsia="TimesNewRomanPSMT" w:hAnsi="Times New Roman" w:cs="Times New Roman"/>
          <w:sz w:val="28"/>
          <w:szCs w:val="28"/>
        </w:rPr>
        <w:t>.</w:t>
      </w:r>
    </w:p>
    <w:p w:rsidR="00CE26BC" w:rsidRDefault="00CE26BC" w:rsidP="001D2283">
      <w:pPr>
        <w:autoSpaceDE w:val="0"/>
        <w:autoSpaceDN w:val="0"/>
        <w:adjustRightInd w:val="0"/>
        <w:spacing w:after="0" w:line="360" w:lineRule="auto"/>
        <w:rPr>
          <w:rFonts w:ascii="Times New Roman" w:eastAsia="TimesNewRomanPSMT-Identity-H" w:hAnsi="Times New Roman" w:cs="Times New Roman"/>
          <w:b/>
          <w:sz w:val="28"/>
          <w:szCs w:val="28"/>
        </w:rPr>
      </w:pPr>
    </w:p>
    <w:p w:rsidR="001D2283" w:rsidRPr="00603B31" w:rsidRDefault="000E7981" w:rsidP="001D2283">
      <w:pPr>
        <w:autoSpaceDE w:val="0"/>
        <w:autoSpaceDN w:val="0"/>
        <w:adjustRightInd w:val="0"/>
        <w:spacing w:after="0" w:line="360" w:lineRule="auto"/>
        <w:rPr>
          <w:rFonts w:ascii="Times New Roman" w:eastAsia="TimesNewRomanPSMT-Identity-H" w:hAnsi="Times New Roman" w:cs="Times New Roman"/>
          <w:b/>
          <w:sz w:val="28"/>
          <w:szCs w:val="28"/>
        </w:rPr>
      </w:pPr>
      <w:r w:rsidRPr="00603B31">
        <w:rPr>
          <w:rFonts w:ascii="Times New Roman" w:eastAsia="TimesNewRomanPSMT-Identity-H" w:hAnsi="Times New Roman" w:cs="Times New Roman"/>
          <w:b/>
          <w:sz w:val="28"/>
          <w:szCs w:val="28"/>
        </w:rPr>
        <w:t>1.2 «</w:t>
      </w:r>
      <w:r w:rsidR="001D2283" w:rsidRPr="00603B31">
        <w:rPr>
          <w:rFonts w:ascii="Times New Roman" w:eastAsia="TimesNewRomanPSMT-Identity-H" w:hAnsi="Times New Roman" w:cs="Times New Roman"/>
          <w:b/>
          <w:sz w:val="28"/>
          <w:szCs w:val="28"/>
        </w:rPr>
        <w:t>Слабый ответ</w:t>
      </w:r>
      <w:r w:rsidRPr="00603B31">
        <w:rPr>
          <w:rFonts w:ascii="Times New Roman" w:eastAsia="TimesNewRomanPSMT-Identity-H" w:hAnsi="Times New Roman" w:cs="Times New Roman"/>
          <w:b/>
          <w:sz w:val="28"/>
          <w:szCs w:val="28"/>
        </w:rPr>
        <w:t>»</w:t>
      </w:r>
      <w:r w:rsidR="001D2283" w:rsidRPr="00603B31">
        <w:rPr>
          <w:rFonts w:ascii="Times New Roman" w:eastAsia="TimesNewRomanPSMT-Identity-H" w:hAnsi="Times New Roman" w:cs="Times New Roman"/>
          <w:b/>
          <w:sz w:val="28"/>
          <w:szCs w:val="28"/>
        </w:rPr>
        <w:t xml:space="preserve"> яичников на стимуляцию суперовуляции.</w:t>
      </w:r>
    </w:p>
    <w:p w:rsidR="001D2283" w:rsidRPr="00603B31" w:rsidRDefault="001D2283" w:rsidP="006A14B6">
      <w:pPr>
        <w:autoSpaceDE w:val="0"/>
        <w:autoSpaceDN w:val="0"/>
        <w:adjustRightInd w:val="0"/>
        <w:spacing w:after="0" w:line="360" w:lineRule="auto"/>
        <w:ind w:firstLine="708"/>
        <w:rPr>
          <w:rFonts w:ascii="Times New Roman" w:eastAsia="MyriadPro-Light" w:hAnsi="Times New Roman" w:cs="Times New Roman"/>
          <w:sz w:val="28"/>
          <w:szCs w:val="28"/>
        </w:rPr>
      </w:pPr>
      <w:r w:rsidRPr="00603B31">
        <w:rPr>
          <w:rFonts w:ascii="Times New Roman" w:eastAsia="MyriadPro-Light" w:hAnsi="Times New Roman" w:cs="Times New Roman"/>
          <w:sz w:val="28"/>
          <w:szCs w:val="28"/>
        </w:rPr>
        <w:t xml:space="preserve">Далеко не </w:t>
      </w:r>
      <w:r w:rsidR="00067D14">
        <w:rPr>
          <w:rFonts w:ascii="Times New Roman" w:eastAsia="MyriadPro-Light" w:hAnsi="Times New Roman" w:cs="Times New Roman"/>
          <w:sz w:val="28"/>
          <w:szCs w:val="28"/>
        </w:rPr>
        <w:t>всегда</w:t>
      </w:r>
      <w:r w:rsidR="0063535F" w:rsidRPr="00603B31">
        <w:rPr>
          <w:rFonts w:ascii="Times New Roman" w:eastAsia="MyriadPro-Light" w:hAnsi="Times New Roman" w:cs="Times New Roman"/>
          <w:sz w:val="28"/>
          <w:szCs w:val="28"/>
        </w:rPr>
        <w:t xml:space="preserve"> удаё</w:t>
      </w:r>
      <w:r w:rsidR="000E7981" w:rsidRPr="00603B31">
        <w:rPr>
          <w:rFonts w:ascii="Times New Roman" w:eastAsia="MyriadPro-Light" w:hAnsi="Times New Roman" w:cs="Times New Roman"/>
          <w:sz w:val="28"/>
          <w:szCs w:val="28"/>
        </w:rPr>
        <w:t>тся в результате стимуляции</w:t>
      </w:r>
      <w:r w:rsidRPr="00603B31">
        <w:rPr>
          <w:rFonts w:ascii="Times New Roman" w:eastAsia="MyriadPro-Light" w:hAnsi="Times New Roman" w:cs="Times New Roman"/>
          <w:sz w:val="28"/>
          <w:szCs w:val="28"/>
        </w:rPr>
        <w:t xml:space="preserve"> суперовуляции получить необходимое или хотя бы минимально достаточное количество ооцитов. </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Во многом результат процедуры ЭКО зависит от состояния пациентки, а именно от достаточного количества ооцитов</w:t>
      </w:r>
      <w:r w:rsidR="00067D14">
        <w:rPr>
          <w:rFonts w:ascii="Times New Roman" w:hAnsi="Times New Roman" w:cs="Times New Roman"/>
          <w:sz w:val="28"/>
          <w:szCs w:val="28"/>
        </w:rPr>
        <w:t xml:space="preserve"> хорошего качества</w:t>
      </w:r>
      <w:r w:rsidRPr="00603B31">
        <w:rPr>
          <w:rFonts w:ascii="Times New Roman" w:hAnsi="Times New Roman" w:cs="Times New Roman"/>
          <w:sz w:val="28"/>
          <w:szCs w:val="28"/>
        </w:rPr>
        <w:t xml:space="preserve">, что </w:t>
      </w:r>
      <w:r w:rsidR="00067D14">
        <w:rPr>
          <w:rFonts w:ascii="Times New Roman" w:hAnsi="Times New Roman" w:cs="Times New Roman"/>
          <w:sz w:val="28"/>
          <w:szCs w:val="28"/>
        </w:rPr>
        <w:t>является основной характеристикой овариального резерва</w:t>
      </w:r>
      <w:r w:rsidRPr="00603B31">
        <w:rPr>
          <w:rFonts w:ascii="Times New Roman" w:hAnsi="Times New Roman" w:cs="Times New Roman"/>
          <w:sz w:val="28"/>
          <w:szCs w:val="28"/>
        </w:rPr>
        <w:t xml:space="preserve"> женщины. </w:t>
      </w:r>
    </w:p>
    <w:p w:rsidR="001D2283" w:rsidRPr="00603B31" w:rsidRDefault="00067D14" w:rsidP="000E7981">
      <w:pPr>
        <w:spacing w:after="0" w:line="360" w:lineRule="auto"/>
        <w:ind w:firstLine="360"/>
        <w:rPr>
          <w:rFonts w:ascii="Times New Roman" w:hAnsi="Times New Roman" w:cs="Times New Roman"/>
          <w:sz w:val="28"/>
          <w:szCs w:val="28"/>
        </w:rPr>
      </w:pPr>
      <w:r>
        <w:rPr>
          <w:rFonts w:ascii="Times New Roman" w:hAnsi="Times New Roman" w:cs="Times New Roman"/>
          <w:bCs/>
          <w:iCs/>
          <w:sz w:val="28"/>
          <w:szCs w:val="28"/>
        </w:rPr>
        <w:t>В качестве показателей</w:t>
      </w:r>
      <w:r w:rsidR="001D2283" w:rsidRPr="00603B31">
        <w:rPr>
          <w:rFonts w:ascii="Times New Roman" w:hAnsi="Times New Roman" w:cs="Times New Roman"/>
          <w:bCs/>
          <w:iCs/>
          <w:sz w:val="28"/>
          <w:szCs w:val="28"/>
        </w:rPr>
        <w:t xml:space="preserve"> низко</w:t>
      </w:r>
      <w:r>
        <w:rPr>
          <w:rFonts w:ascii="Times New Roman" w:hAnsi="Times New Roman" w:cs="Times New Roman"/>
          <w:bCs/>
          <w:iCs/>
          <w:sz w:val="28"/>
          <w:szCs w:val="28"/>
        </w:rPr>
        <w:t>го овариального резерва принимаются следующие</w:t>
      </w:r>
      <w:r w:rsidR="0055270C" w:rsidRPr="00603B31">
        <w:rPr>
          <w:rFonts w:ascii="Times New Roman" w:hAnsi="Times New Roman" w:cs="Times New Roman"/>
          <w:bCs/>
          <w:iCs/>
          <w:sz w:val="28"/>
          <w:szCs w:val="28"/>
        </w:rPr>
        <w:t>[14]</w:t>
      </w:r>
      <w:r w:rsidR="001D2283" w:rsidRPr="00603B31">
        <w:rPr>
          <w:rFonts w:ascii="Times New Roman" w:hAnsi="Times New Roman" w:cs="Times New Roman"/>
          <w:bCs/>
          <w:iCs/>
          <w:sz w:val="28"/>
          <w:szCs w:val="28"/>
        </w:rPr>
        <w:t>:</w:t>
      </w:r>
    </w:p>
    <w:p w:rsidR="001D2283" w:rsidRPr="00603B31" w:rsidRDefault="001D2283" w:rsidP="006A14B6">
      <w:pPr>
        <w:pStyle w:val="a3"/>
        <w:numPr>
          <w:ilvl w:val="0"/>
          <w:numId w:val="30"/>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возраст пациентки </w:t>
      </w:r>
      <w:r w:rsidR="00CB567E" w:rsidRPr="00603B31">
        <w:rPr>
          <w:rFonts w:ascii="Times New Roman" w:hAnsi="Times New Roman" w:cs="Times New Roman"/>
          <w:sz w:val="28"/>
          <w:szCs w:val="28"/>
        </w:rPr>
        <w:t xml:space="preserve"> </w:t>
      </w:r>
      <w:r w:rsidRPr="00603B31">
        <w:rPr>
          <w:rFonts w:ascii="Times New Roman" w:hAnsi="Times New Roman" w:cs="Times New Roman"/>
          <w:sz w:val="28"/>
          <w:szCs w:val="28"/>
        </w:rPr>
        <w:t>превышает 35 лет;</w:t>
      </w:r>
    </w:p>
    <w:p w:rsidR="001D2283" w:rsidRPr="00603B31" w:rsidRDefault="001D2283" w:rsidP="006A14B6">
      <w:pPr>
        <w:pStyle w:val="a3"/>
        <w:numPr>
          <w:ilvl w:val="0"/>
          <w:numId w:val="30"/>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длительность менструального цикла – 24–26 дней;</w:t>
      </w:r>
    </w:p>
    <w:p w:rsidR="001D2283" w:rsidRPr="00603B31" w:rsidRDefault="001D2283" w:rsidP="006A14B6">
      <w:pPr>
        <w:pStyle w:val="a3"/>
        <w:numPr>
          <w:ilvl w:val="0"/>
          <w:numId w:val="30"/>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уровень ФСГ на 2–3-й день менструального цикла – более 10 МЕ/л;</w:t>
      </w:r>
    </w:p>
    <w:p w:rsidR="001D2283" w:rsidRPr="00603B31" w:rsidRDefault="001D2283" w:rsidP="006A14B6">
      <w:pPr>
        <w:pStyle w:val="a3"/>
        <w:numPr>
          <w:ilvl w:val="0"/>
          <w:numId w:val="30"/>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число </w:t>
      </w:r>
      <w:r w:rsidR="00CE26BC">
        <w:rPr>
          <w:rFonts w:ascii="Times New Roman" w:hAnsi="Times New Roman" w:cs="Times New Roman"/>
          <w:sz w:val="28"/>
          <w:szCs w:val="28"/>
        </w:rPr>
        <w:t>антральных</w:t>
      </w:r>
      <w:r w:rsidRPr="00603B31">
        <w:rPr>
          <w:rFonts w:ascii="Times New Roman" w:hAnsi="Times New Roman" w:cs="Times New Roman"/>
          <w:sz w:val="28"/>
          <w:szCs w:val="28"/>
        </w:rPr>
        <w:t xml:space="preserve"> фолликулов менее 10 мм в диаметре на 2–3-й день менструального цикла менее 5</w:t>
      </w:r>
      <w:r w:rsidR="00CE26BC">
        <w:rPr>
          <w:rFonts w:ascii="Times New Roman" w:hAnsi="Times New Roman" w:cs="Times New Roman"/>
          <w:sz w:val="28"/>
          <w:szCs w:val="28"/>
        </w:rPr>
        <w:t>-7 в обоих яичниках</w:t>
      </w:r>
      <w:r w:rsidRPr="00603B31">
        <w:rPr>
          <w:rFonts w:ascii="Times New Roman" w:hAnsi="Times New Roman" w:cs="Times New Roman"/>
          <w:sz w:val="28"/>
          <w:szCs w:val="28"/>
        </w:rPr>
        <w:t>;</w:t>
      </w:r>
    </w:p>
    <w:p w:rsidR="001D2283" w:rsidRPr="00603B31" w:rsidRDefault="0063535F" w:rsidP="006A14B6">
      <w:pPr>
        <w:pStyle w:val="a3"/>
        <w:numPr>
          <w:ilvl w:val="0"/>
          <w:numId w:val="30"/>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объё</w:t>
      </w:r>
      <w:r w:rsidR="001D2283" w:rsidRPr="00603B31">
        <w:rPr>
          <w:rFonts w:ascii="Times New Roman" w:hAnsi="Times New Roman" w:cs="Times New Roman"/>
          <w:sz w:val="28"/>
          <w:szCs w:val="28"/>
        </w:rPr>
        <w:t>м яичников – менее 8 см</w:t>
      </w:r>
      <w:r w:rsidR="001D2283" w:rsidRPr="00603B31">
        <w:rPr>
          <w:rFonts w:ascii="Times New Roman" w:hAnsi="Times New Roman" w:cs="Times New Roman"/>
          <w:sz w:val="28"/>
          <w:szCs w:val="28"/>
          <w:vertAlign w:val="superscript"/>
        </w:rPr>
        <w:t>3</w:t>
      </w:r>
      <w:r w:rsidR="001D2283" w:rsidRPr="00603B31">
        <w:rPr>
          <w:rFonts w:ascii="Times New Roman" w:hAnsi="Times New Roman" w:cs="Times New Roman"/>
          <w:sz w:val="28"/>
          <w:szCs w:val="28"/>
        </w:rPr>
        <w:t>;</w:t>
      </w:r>
    </w:p>
    <w:p w:rsidR="00CB567E" w:rsidRPr="00603B31" w:rsidRDefault="00CB567E" w:rsidP="00CB567E">
      <w:pPr>
        <w:pStyle w:val="a3"/>
        <w:numPr>
          <w:ilvl w:val="0"/>
          <w:numId w:val="30"/>
        </w:numPr>
        <w:autoSpaceDE w:val="0"/>
        <w:autoSpaceDN w:val="0"/>
        <w:adjustRightInd w:val="0"/>
        <w:spacing w:after="0" w:line="360" w:lineRule="auto"/>
        <w:rPr>
          <w:rFonts w:ascii="Times New Roman" w:eastAsia="TimesNewRomanPSMT" w:hAnsi="Times New Roman" w:cs="Times New Roman"/>
          <w:sz w:val="28"/>
          <w:szCs w:val="28"/>
        </w:rPr>
      </w:pPr>
      <w:r w:rsidRPr="00603B31">
        <w:rPr>
          <w:rFonts w:ascii="Times New Roman" w:eastAsia="TimesNewRomanPSMT" w:hAnsi="Times New Roman" w:cs="Times New Roman"/>
          <w:sz w:val="28"/>
          <w:szCs w:val="28"/>
        </w:rPr>
        <w:t>уровень АМГ – менее 1 нг/мл.</w:t>
      </w:r>
    </w:p>
    <w:p w:rsidR="000E7981" w:rsidRPr="00603B31" w:rsidRDefault="000E7981" w:rsidP="00CB567E">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Наличие у пациентки таких показателей требует использования более высоких </w:t>
      </w:r>
      <w:r w:rsidR="00067D14">
        <w:rPr>
          <w:rFonts w:ascii="Times New Roman" w:hAnsi="Times New Roman" w:cs="Times New Roman"/>
          <w:sz w:val="28"/>
          <w:szCs w:val="28"/>
        </w:rPr>
        <w:t xml:space="preserve">стартовых и суммарных </w:t>
      </w:r>
      <w:r w:rsidRPr="00603B31">
        <w:rPr>
          <w:rFonts w:ascii="Times New Roman" w:hAnsi="Times New Roman" w:cs="Times New Roman"/>
          <w:sz w:val="28"/>
          <w:szCs w:val="28"/>
        </w:rPr>
        <w:t xml:space="preserve">доз гонадотропинов в связи с вероятным развитием «слабого ответа» на стимуляцию суперовуляции.  </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Данные междуна</w:t>
      </w:r>
      <w:r w:rsidR="00067D14">
        <w:rPr>
          <w:rFonts w:ascii="Times New Roman" w:hAnsi="Times New Roman" w:cs="Times New Roman"/>
          <w:sz w:val="28"/>
          <w:szCs w:val="28"/>
        </w:rPr>
        <w:t>родной литературы о распространё</w:t>
      </w:r>
      <w:r w:rsidRPr="00603B31">
        <w:rPr>
          <w:rFonts w:ascii="Times New Roman" w:hAnsi="Times New Roman" w:cs="Times New Roman"/>
          <w:sz w:val="28"/>
          <w:szCs w:val="28"/>
        </w:rPr>
        <w:t xml:space="preserve">нности </w:t>
      </w:r>
      <w:r w:rsidR="00067D14">
        <w:rPr>
          <w:rFonts w:ascii="Times New Roman" w:hAnsi="Times New Roman" w:cs="Times New Roman"/>
          <w:sz w:val="28"/>
          <w:szCs w:val="28"/>
        </w:rPr>
        <w:t>«</w:t>
      </w:r>
      <w:r w:rsidRPr="00603B31">
        <w:rPr>
          <w:rFonts w:ascii="Times New Roman" w:hAnsi="Times New Roman" w:cs="Times New Roman"/>
          <w:sz w:val="28"/>
          <w:szCs w:val="28"/>
        </w:rPr>
        <w:t>слабого</w:t>
      </w:r>
      <w:r w:rsidR="00067D14">
        <w:rPr>
          <w:rFonts w:ascii="Times New Roman" w:hAnsi="Times New Roman" w:cs="Times New Roman"/>
          <w:sz w:val="28"/>
          <w:szCs w:val="28"/>
        </w:rPr>
        <w:t>»</w:t>
      </w:r>
      <w:r w:rsidRPr="00603B31">
        <w:rPr>
          <w:rFonts w:ascii="Times New Roman" w:hAnsi="Times New Roman" w:cs="Times New Roman"/>
          <w:sz w:val="28"/>
          <w:szCs w:val="28"/>
        </w:rPr>
        <w:t xml:space="preserve"> овариального ответа на стимуляцию суперовуляции колеблются от 9 до 24%</w:t>
      </w:r>
      <w:r w:rsidR="0055270C" w:rsidRPr="00603B31">
        <w:rPr>
          <w:rFonts w:ascii="Times New Roman" w:hAnsi="Times New Roman" w:cs="Times New Roman"/>
          <w:sz w:val="28"/>
          <w:szCs w:val="28"/>
        </w:rPr>
        <w:t>[24,45,7</w:t>
      </w:r>
      <w:r w:rsidR="009433A9" w:rsidRPr="00603B31">
        <w:rPr>
          <w:rFonts w:ascii="Times New Roman" w:hAnsi="Times New Roman" w:cs="Times New Roman"/>
          <w:sz w:val="28"/>
          <w:szCs w:val="28"/>
        </w:rPr>
        <w:t>8</w:t>
      </w:r>
      <w:r w:rsidRPr="00603B31">
        <w:rPr>
          <w:rFonts w:ascii="Times New Roman" w:hAnsi="Times New Roman" w:cs="Times New Roman"/>
          <w:sz w:val="28"/>
          <w:szCs w:val="28"/>
        </w:rPr>
        <w:t>]. В исследованиях ASRM/SART были получены данные об отмене 14,1% циклов ЭКО, в 50% – по причине «слабого» овариального ответа[</w:t>
      </w:r>
      <w:r w:rsidR="009433A9" w:rsidRPr="00603B31">
        <w:rPr>
          <w:rFonts w:ascii="Times New Roman" w:hAnsi="Times New Roman" w:cs="Times New Roman"/>
          <w:sz w:val="28"/>
          <w:szCs w:val="28"/>
        </w:rPr>
        <w:t>71</w:t>
      </w:r>
      <w:r w:rsidRPr="00603B31">
        <w:rPr>
          <w:rFonts w:ascii="Times New Roman" w:hAnsi="Times New Roman" w:cs="Times New Roman"/>
          <w:sz w:val="28"/>
          <w:szCs w:val="28"/>
        </w:rPr>
        <w:t xml:space="preserve">]. Вероятно, это связано с различиями в </w:t>
      </w:r>
      <w:r w:rsidR="00067D14">
        <w:rPr>
          <w:rFonts w:ascii="Times New Roman" w:hAnsi="Times New Roman" w:cs="Times New Roman"/>
          <w:sz w:val="28"/>
          <w:szCs w:val="28"/>
        </w:rPr>
        <w:t xml:space="preserve">терминологии, а именно в </w:t>
      </w:r>
      <w:r w:rsidRPr="00603B31">
        <w:rPr>
          <w:rFonts w:ascii="Times New Roman" w:hAnsi="Times New Roman" w:cs="Times New Roman"/>
          <w:sz w:val="28"/>
          <w:szCs w:val="28"/>
        </w:rPr>
        <w:t>определении данного понятия.</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В современных источниках литературы встречаются различные формулировки, определяющие </w:t>
      </w:r>
      <w:r w:rsidR="00067D14">
        <w:rPr>
          <w:rFonts w:ascii="Times New Roman" w:hAnsi="Times New Roman" w:cs="Times New Roman"/>
          <w:sz w:val="28"/>
          <w:szCs w:val="28"/>
        </w:rPr>
        <w:t xml:space="preserve">сниженный показатель </w:t>
      </w:r>
      <w:r w:rsidRPr="00603B31">
        <w:rPr>
          <w:rFonts w:ascii="Times New Roman" w:hAnsi="Times New Roman" w:cs="Times New Roman"/>
          <w:sz w:val="28"/>
          <w:szCs w:val="28"/>
        </w:rPr>
        <w:t>ответа яичника на стимуляцию: «слабый» («poor»), «низкий» («low»), «неадекватный» («inadequate»), «субоптимальный» («suboptimal»).</w:t>
      </w:r>
      <w:r w:rsidRPr="00603B31">
        <w:rPr>
          <w:rFonts w:ascii="Times New Roman" w:eastAsia="Times New Roman,Bold" w:hAnsi="Times New Roman" w:cs="Times New Roman"/>
          <w:color w:val="000000"/>
          <w:sz w:val="28"/>
          <w:szCs w:val="28"/>
        </w:rPr>
        <w:t xml:space="preserve"> </w:t>
      </w:r>
      <w:r w:rsidRPr="00603B31">
        <w:rPr>
          <w:rFonts w:ascii="Times New Roman" w:hAnsi="Times New Roman" w:cs="Times New Roman"/>
          <w:sz w:val="28"/>
          <w:szCs w:val="28"/>
        </w:rPr>
        <w:t xml:space="preserve">Часто термин «слабый» </w:t>
      </w:r>
      <w:r w:rsidR="00067D14">
        <w:rPr>
          <w:rFonts w:ascii="Times New Roman" w:hAnsi="Times New Roman" w:cs="Times New Roman"/>
          <w:sz w:val="28"/>
          <w:szCs w:val="28"/>
        </w:rPr>
        <w:t>овариальный ответ ассоциирует</w:t>
      </w:r>
      <w:r w:rsidRPr="00603B31">
        <w:rPr>
          <w:rFonts w:ascii="Times New Roman" w:hAnsi="Times New Roman" w:cs="Times New Roman"/>
          <w:sz w:val="28"/>
          <w:szCs w:val="28"/>
        </w:rPr>
        <w:t xml:space="preserve">ся с низким овариальным резервом. В связи с отсутствием единых критериев определения «слабого» овариального ответа до 2010 г. не </w:t>
      </w:r>
      <w:r w:rsidR="00067D14">
        <w:rPr>
          <w:rFonts w:ascii="Times New Roman" w:hAnsi="Times New Roman" w:cs="Times New Roman"/>
          <w:sz w:val="28"/>
          <w:szCs w:val="28"/>
        </w:rPr>
        <w:t>существовало</w:t>
      </w:r>
      <w:r w:rsidRPr="00603B31">
        <w:rPr>
          <w:rFonts w:ascii="Times New Roman" w:hAnsi="Times New Roman" w:cs="Times New Roman"/>
          <w:sz w:val="28"/>
          <w:szCs w:val="28"/>
        </w:rPr>
        <w:t xml:space="preserve"> достаточного числа </w:t>
      </w:r>
      <w:r w:rsidR="00067D14">
        <w:rPr>
          <w:rFonts w:ascii="Times New Roman" w:hAnsi="Times New Roman" w:cs="Times New Roman"/>
          <w:sz w:val="28"/>
          <w:szCs w:val="28"/>
        </w:rPr>
        <w:t>достоверных данных</w:t>
      </w:r>
      <w:r w:rsidRPr="00603B31">
        <w:rPr>
          <w:rFonts w:ascii="Times New Roman" w:hAnsi="Times New Roman" w:cs="Times New Roman"/>
          <w:sz w:val="28"/>
          <w:szCs w:val="28"/>
        </w:rPr>
        <w:t xml:space="preserve"> для </w:t>
      </w:r>
      <w:r w:rsidR="00067D14">
        <w:rPr>
          <w:rFonts w:ascii="Times New Roman" w:hAnsi="Times New Roman" w:cs="Times New Roman"/>
          <w:sz w:val="28"/>
          <w:szCs w:val="28"/>
        </w:rPr>
        <w:t xml:space="preserve">всемирного </w:t>
      </w:r>
      <w:r w:rsidRPr="00603B31">
        <w:rPr>
          <w:rFonts w:ascii="Times New Roman" w:hAnsi="Times New Roman" w:cs="Times New Roman"/>
          <w:sz w:val="28"/>
          <w:szCs w:val="28"/>
        </w:rPr>
        <w:t xml:space="preserve">внедрения практических рекомендаций по улучшению </w:t>
      </w:r>
      <w:r w:rsidR="00067D14">
        <w:rPr>
          <w:rFonts w:ascii="Times New Roman" w:hAnsi="Times New Roman" w:cs="Times New Roman"/>
          <w:sz w:val="28"/>
          <w:szCs w:val="28"/>
        </w:rPr>
        <w:t>результатов</w:t>
      </w:r>
      <w:r w:rsidR="0055270C" w:rsidRPr="00603B31">
        <w:rPr>
          <w:rFonts w:ascii="Times New Roman" w:hAnsi="Times New Roman" w:cs="Times New Roman"/>
          <w:sz w:val="28"/>
          <w:szCs w:val="28"/>
        </w:rPr>
        <w:t xml:space="preserve"> лечения таких пациенток</w:t>
      </w:r>
      <w:r w:rsidR="00067D14">
        <w:rPr>
          <w:rFonts w:ascii="Times New Roman" w:hAnsi="Times New Roman" w:cs="Times New Roman"/>
          <w:sz w:val="28"/>
          <w:szCs w:val="28"/>
        </w:rPr>
        <w:t xml:space="preserve"> методами ВРТ</w:t>
      </w:r>
      <w:r w:rsidR="0055270C" w:rsidRPr="00603B31">
        <w:rPr>
          <w:rFonts w:ascii="Times New Roman" w:hAnsi="Times New Roman" w:cs="Times New Roman"/>
          <w:sz w:val="28"/>
          <w:szCs w:val="28"/>
        </w:rPr>
        <w:t>[24</w:t>
      </w:r>
      <w:r w:rsidRPr="00603B31">
        <w:rPr>
          <w:rFonts w:ascii="Times New Roman" w:hAnsi="Times New Roman" w:cs="Times New Roman"/>
          <w:sz w:val="28"/>
          <w:szCs w:val="28"/>
        </w:rPr>
        <w:t>].</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Впервые попытка точно охарактеризовать пациенток со «слабым» овариальным ответом была предпринята Европейским Обществом Репродукции и Эмбриологии Человека (ESHRE) в 2011 г. на семинаре в Болонье (Италия)[</w:t>
      </w:r>
      <w:r w:rsidR="0055270C" w:rsidRPr="00603B31">
        <w:rPr>
          <w:rFonts w:ascii="Times New Roman" w:hAnsi="Times New Roman" w:cs="Times New Roman"/>
          <w:sz w:val="28"/>
          <w:szCs w:val="28"/>
        </w:rPr>
        <w:t>55</w:t>
      </w:r>
      <w:r w:rsidRPr="00603B31">
        <w:rPr>
          <w:rFonts w:ascii="Times New Roman" w:hAnsi="Times New Roman" w:cs="Times New Roman"/>
          <w:sz w:val="28"/>
          <w:szCs w:val="28"/>
        </w:rPr>
        <w:t>]. По критериям ESHRE</w:t>
      </w:r>
      <w:r w:rsidR="00067D14">
        <w:rPr>
          <w:rFonts w:ascii="Times New Roman" w:hAnsi="Times New Roman" w:cs="Times New Roman"/>
          <w:sz w:val="28"/>
          <w:szCs w:val="28"/>
        </w:rPr>
        <w:t xml:space="preserve"> под «слабым» овариальным</w:t>
      </w:r>
      <w:r w:rsidRPr="00603B31">
        <w:rPr>
          <w:rFonts w:ascii="Times New Roman" w:hAnsi="Times New Roman" w:cs="Times New Roman"/>
          <w:sz w:val="28"/>
          <w:szCs w:val="28"/>
        </w:rPr>
        <w:t xml:space="preserve"> ответ</w:t>
      </w:r>
      <w:r w:rsidR="00067D14">
        <w:rPr>
          <w:rFonts w:ascii="Times New Roman" w:hAnsi="Times New Roman" w:cs="Times New Roman"/>
          <w:sz w:val="28"/>
          <w:szCs w:val="28"/>
        </w:rPr>
        <w:t xml:space="preserve">ом следует понимать </w:t>
      </w:r>
      <w:r w:rsidRPr="00603B31">
        <w:rPr>
          <w:rFonts w:ascii="Times New Roman" w:hAnsi="Times New Roman" w:cs="Times New Roman"/>
          <w:sz w:val="28"/>
          <w:szCs w:val="28"/>
        </w:rPr>
        <w:t>созревание менее 3-х фолликулов при стимуляции суперовуляции большими дозами гонадотропинов (более 300 МЕ/сутки). Для диагностики «слабого» овариального ответа необходимо наличие как минимум двух из трёх перечисленных критериев:</w:t>
      </w:r>
    </w:p>
    <w:p w:rsidR="001E475D" w:rsidRPr="00603B31" w:rsidRDefault="001E475D" w:rsidP="001E475D">
      <w:pPr>
        <w:pStyle w:val="a3"/>
        <w:numPr>
          <w:ilvl w:val="0"/>
          <w:numId w:val="21"/>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возраст </w:t>
      </w:r>
      <w:r w:rsidR="00A4128A">
        <w:rPr>
          <w:rFonts w:ascii="Times New Roman" w:hAnsi="Times New Roman" w:cs="Times New Roman"/>
          <w:sz w:val="28"/>
          <w:szCs w:val="28"/>
        </w:rPr>
        <w:t>пациентки</w:t>
      </w:r>
      <w:r w:rsidRPr="00603B31">
        <w:rPr>
          <w:rFonts w:ascii="Times New Roman" w:hAnsi="Times New Roman" w:cs="Times New Roman"/>
          <w:sz w:val="28"/>
          <w:szCs w:val="28"/>
        </w:rPr>
        <w:t xml:space="preserve"> более 40 лет или наличие других факторов риска «слабого» овариального ответа;</w:t>
      </w:r>
    </w:p>
    <w:p w:rsidR="001E475D" w:rsidRPr="00603B31" w:rsidRDefault="001E475D" w:rsidP="001E475D">
      <w:pPr>
        <w:pStyle w:val="a3"/>
        <w:numPr>
          <w:ilvl w:val="0"/>
          <w:numId w:val="21"/>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указание на «слабый» овариальный ответ в анамнезе;</w:t>
      </w:r>
    </w:p>
    <w:p w:rsidR="001E475D" w:rsidRPr="00603B31" w:rsidRDefault="001E475D" w:rsidP="001E475D">
      <w:pPr>
        <w:pStyle w:val="a3"/>
        <w:numPr>
          <w:ilvl w:val="0"/>
          <w:numId w:val="21"/>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данные, указывающие на снижение овариального резерва: количество антральных фолликулов менее 5</w:t>
      </w:r>
      <w:r w:rsidR="00CE26BC">
        <w:rPr>
          <w:rFonts w:ascii="Times New Roman" w:hAnsi="Times New Roman" w:cs="Times New Roman"/>
          <w:sz w:val="28"/>
          <w:szCs w:val="28"/>
        </w:rPr>
        <w:t>-7</w:t>
      </w:r>
      <w:r w:rsidRPr="00603B31">
        <w:rPr>
          <w:rFonts w:ascii="Times New Roman" w:hAnsi="Times New Roman" w:cs="Times New Roman"/>
          <w:sz w:val="28"/>
          <w:szCs w:val="28"/>
        </w:rPr>
        <w:t xml:space="preserve"> и/или показатель АМГ в крови менее 1 нг/мл.</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В </w:t>
      </w:r>
      <w:r w:rsidR="00A4128A">
        <w:rPr>
          <w:rFonts w:ascii="Times New Roman" w:hAnsi="Times New Roman" w:cs="Times New Roman"/>
          <w:sz w:val="28"/>
          <w:szCs w:val="28"/>
        </w:rPr>
        <w:t xml:space="preserve">случае если пациентка в </w:t>
      </w:r>
      <w:r w:rsidRPr="00603B31">
        <w:rPr>
          <w:rFonts w:ascii="Times New Roman" w:hAnsi="Times New Roman" w:cs="Times New Roman"/>
          <w:sz w:val="28"/>
          <w:szCs w:val="28"/>
        </w:rPr>
        <w:t>возрасте менее 40 лет</w:t>
      </w:r>
      <w:r w:rsidR="00A4128A">
        <w:rPr>
          <w:rFonts w:ascii="Times New Roman" w:hAnsi="Times New Roman" w:cs="Times New Roman"/>
          <w:sz w:val="28"/>
          <w:szCs w:val="28"/>
        </w:rPr>
        <w:t xml:space="preserve"> не имеет признаков </w:t>
      </w:r>
      <w:r w:rsidRPr="00603B31">
        <w:rPr>
          <w:rFonts w:ascii="Times New Roman" w:hAnsi="Times New Roman" w:cs="Times New Roman"/>
          <w:sz w:val="28"/>
          <w:szCs w:val="28"/>
        </w:rPr>
        <w:t>сниженного овариального резерва</w:t>
      </w:r>
      <w:r w:rsidR="00A4128A">
        <w:rPr>
          <w:rFonts w:ascii="Times New Roman" w:hAnsi="Times New Roman" w:cs="Times New Roman"/>
          <w:sz w:val="28"/>
          <w:szCs w:val="28"/>
        </w:rPr>
        <w:t>,</w:t>
      </w:r>
      <w:r w:rsidRPr="00603B31">
        <w:rPr>
          <w:rFonts w:ascii="Times New Roman" w:hAnsi="Times New Roman" w:cs="Times New Roman"/>
          <w:sz w:val="28"/>
          <w:szCs w:val="28"/>
        </w:rPr>
        <w:t xml:space="preserve"> для диагностики «слабого» овариального ответа достаточно наличия двух эпизодов «слабого» ответа в анамнезе[</w:t>
      </w:r>
      <w:r w:rsidR="0055270C" w:rsidRPr="00603B31">
        <w:rPr>
          <w:rFonts w:ascii="Times New Roman" w:hAnsi="Times New Roman" w:cs="Times New Roman"/>
          <w:sz w:val="28"/>
          <w:szCs w:val="28"/>
        </w:rPr>
        <w:t>55</w:t>
      </w:r>
      <w:r w:rsidRPr="00603B31">
        <w:rPr>
          <w:rFonts w:ascii="Times New Roman" w:hAnsi="Times New Roman" w:cs="Times New Roman"/>
          <w:sz w:val="28"/>
          <w:szCs w:val="28"/>
        </w:rPr>
        <w:t>].</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Несмотря на принятые крите</w:t>
      </w:r>
      <w:r w:rsidR="00A4128A">
        <w:rPr>
          <w:rFonts w:ascii="Times New Roman" w:hAnsi="Times New Roman" w:cs="Times New Roman"/>
          <w:sz w:val="28"/>
          <w:szCs w:val="28"/>
        </w:rPr>
        <w:t>рии, среди учё</w:t>
      </w:r>
      <w:r w:rsidRPr="00603B31">
        <w:rPr>
          <w:rFonts w:ascii="Times New Roman" w:hAnsi="Times New Roman" w:cs="Times New Roman"/>
          <w:sz w:val="28"/>
          <w:szCs w:val="28"/>
        </w:rPr>
        <w:t xml:space="preserve">ных до сих пор существуют разногласия в определении этого состояния. По мнению ряда авторов, помимо числа </w:t>
      </w:r>
      <w:r w:rsidR="00A4128A">
        <w:rPr>
          <w:rFonts w:ascii="Times New Roman" w:hAnsi="Times New Roman" w:cs="Times New Roman"/>
          <w:sz w:val="28"/>
          <w:szCs w:val="28"/>
        </w:rPr>
        <w:t>антральных</w:t>
      </w:r>
      <w:r w:rsidRPr="00603B31">
        <w:rPr>
          <w:rFonts w:ascii="Times New Roman" w:hAnsi="Times New Roman" w:cs="Times New Roman"/>
          <w:sz w:val="28"/>
          <w:szCs w:val="28"/>
        </w:rPr>
        <w:t xml:space="preserve"> фолликулов среди критериев «слабого ответа» следует учитывать уровень эстрадиола (Е2) &lt; 100пг/мл на 5-й день гормональной стимуляции или &lt; 300-500 пг/мл в день введения триггера овуляции</w:t>
      </w:r>
      <w:r w:rsidR="0055270C" w:rsidRPr="00603B31">
        <w:rPr>
          <w:rFonts w:ascii="Times New Roman" w:hAnsi="Times New Roman" w:cs="Times New Roman"/>
          <w:sz w:val="28"/>
          <w:szCs w:val="28"/>
        </w:rPr>
        <w:t>[45,51</w:t>
      </w:r>
      <w:r w:rsidRPr="00603B31">
        <w:rPr>
          <w:rFonts w:ascii="Times New Roman" w:hAnsi="Times New Roman" w:cs="Times New Roman"/>
          <w:sz w:val="28"/>
          <w:szCs w:val="28"/>
        </w:rPr>
        <w:t xml:space="preserve">]. </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Назаренко Т.А. и Краснопольская К.В. (2013) предлагают следующее определение «слабому ответу» на стимуляцию суперовуляции – </w:t>
      </w:r>
      <w:r w:rsidRPr="00603B31">
        <w:rPr>
          <w:rFonts w:ascii="Times New Roman" w:eastAsia="TimesNewRomanPS-ItalicMT" w:hAnsi="Times New Roman" w:cs="Times New Roman"/>
          <w:iCs/>
          <w:sz w:val="28"/>
          <w:szCs w:val="28"/>
        </w:rPr>
        <w:t>это недостаточная реакция яичников на введение даже больших доз (более 300 МЕ/сут.) гонадотропинов, когда в схемах стимуляции, применяемых в контролируем</w:t>
      </w:r>
      <w:r w:rsidR="00A4128A">
        <w:rPr>
          <w:rFonts w:ascii="Times New Roman" w:eastAsia="TimesNewRomanPS-ItalicMT" w:hAnsi="Times New Roman" w:cs="Times New Roman"/>
          <w:iCs/>
          <w:sz w:val="28"/>
          <w:szCs w:val="28"/>
        </w:rPr>
        <w:t>ых циклах программы ЭКО, не удаё</w:t>
      </w:r>
      <w:r w:rsidRPr="00603B31">
        <w:rPr>
          <w:rFonts w:ascii="Times New Roman" w:eastAsia="TimesNewRomanPS-ItalicMT" w:hAnsi="Times New Roman" w:cs="Times New Roman"/>
          <w:iCs/>
          <w:sz w:val="28"/>
          <w:szCs w:val="28"/>
        </w:rPr>
        <w:t>тся обеспечить роста и созревания более 3 фолликулов[1</w:t>
      </w:r>
      <w:r w:rsidR="0055270C" w:rsidRPr="00603B31">
        <w:rPr>
          <w:rFonts w:ascii="Times New Roman" w:eastAsia="TimesNewRomanPS-ItalicMT" w:hAnsi="Times New Roman" w:cs="Times New Roman"/>
          <w:iCs/>
          <w:sz w:val="28"/>
          <w:szCs w:val="28"/>
        </w:rPr>
        <w:t>4</w:t>
      </w:r>
      <w:r w:rsidRPr="00603B31">
        <w:rPr>
          <w:rFonts w:ascii="Times New Roman" w:eastAsia="TimesNewRomanPS-ItalicMT" w:hAnsi="Times New Roman" w:cs="Times New Roman"/>
          <w:iCs/>
          <w:sz w:val="28"/>
          <w:szCs w:val="28"/>
        </w:rPr>
        <w:t>].</w:t>
      </w:r>
      <w:r w:rsidRPr="00603B31">
        <w:rPr>
          <w:rFonts w:ascii="Times New Roman" w:hAnsi="Times New Roman" w:cs="Times New Roman"/>
          <w:sz w:val="28"/>
          <w:szCs w:val="28"/>
        </w:rPr>
        <w:t xml:space="preserve"> Однако</w:t>
      </w:r>
      <w:r w:rsidR="00A4128A">
        <w:rPr>
          <w:rFonts w:ascii="Times New Roman" w:hAnsi="Times New Roman" w:cs="Times New Roman"/>
          <w:sz w:val="28"/>
          <w:szCs w:val="28"/>
        </w:rPr>
        <w:t>, по мнению авторов,</w:t>
      </w:r>
      <w:r w:rsidRPr="00603B31">
        <w:rPr>
          <w:rFonts w:ascii="Times New Roman" w:hAnsi="Times New Roman" w:cs="Times New Roman"/>
          <w:sz w:val="28"/>
          <w:szCs w:val="28"/>
        </w:rPr>
        <w:t xml:space="preserve"> не является целесообразным диагностировать «слабый ответ» по наличию единственного эпизода, так как он может быть случайным и не повторится в следующем цикле, если увеличить стартовую дозу гонадотропинов или изменить протокол стимуляции</w:t>
      </w:r>
      <w:r w:rsidR="0055270C" w:rsidRPr="00603B31">
        <w:rPr>
          <w:rFonts w:ascii="Times New Roman" w:hAnsi="Times New Roman" w:cs="Times New Roman"/>
          <w:sz w:val="28"/>
          <w:szCs w:val="28"/>
        </w:rPr>
        <w:t>[22</w:t>
      </w:r>
      <w:r w:rsidRPr="00603B31">
        <w:rPr>
          <w:rFonts w:ascii="Times New Roman" w:hAnsi="Times New Roman" w:cs="Times New Roman"/>
          <w:sz w:val="28"/>
          <w:szCs w:val="28"/>
        </w:rPr>
        <w:t>].</w:t>
      </w:r>
    </w:p>
    <w:p w:rsidR="00371288" w:rsidRPr="00603B31" w:rsidRDefault="00A4128A" w:rsidP="000E7981">
      <w:pPr>
        <w:spacing w:after="0" w:line="360" w:lineRule="auto"/>
        <w:ind w:firstLine="708"/>
        <w:rPr>
          <w:rFonts w:ascii="Times New Roman" w:hAnsi="Times New Roman" w:cs="Times New Roman"/>
          <w:sz w:val="28"/>
          <w:szCs w:val="28"/>
        </w:rPr>
      </w:pPr>
      <w:r>
        <w:rPr>
          <w:rFonts w:ascii="Times New Roman" w:eastAsia="TimesNewRomanPSMT" w:hAnsi="Times New Roman" w:cs="Times New Roman"/>
          <w:sz w:val="28"/>
          <w:szCs w:val="28"/>
        </w:rPr>
        <w:t xml:space="preserve">Наиболее распространёнными </w:t>
      </w:r>
      <w:r w:rsidR="00371288" w:rsidRPr="00603B31">
        <w:rPr>
          <w:rFonts w:ascii="Times New Roman" w:eastAsia="TimesNewRomanPSMT" w:hAnsi="Times New Roman" w:cs="Times New Roman"/>
          <w:sz w:val="28"/>
          <w:szCs w:val="28"/>
        </w:rPr>
        <w:t xml:space="preserve">факторами, которые негативно влияют на </w:t>
      </w:r>
      <w:r w:rsidR="001E475D" w:rsidRPr="00603B31">
        <w:rPr>
          <w:rFonts w:ascii="Times New Roman" w:eastAsia="TimesNewRomanPSMT" w:hAnsi="Times New Roman" w:cs="Times New Roman"/>
          <w:sz w:val="28"/>
          <w:szCs w:val="28"/>
        </w:rPr>
        <w:t>овариальный</w:t>
      </w:r>
      <w:r w:rsidR="00371288" w:rsidRPr="00603B31">
        <w:rPr>
          <w:rFonts w:ascii="Times New Roman" w:eastAsia="TimesNewRomanPSMT" w:hAnsi="Times New Roman" w:cs="Times New Roman"/>
          <w:sz w:val="28"/>
          <w:szCs w:val="28"/>
        </w:rPr>
        <w:t xml:space="preserve"> резерв, являются поздний репродуктивный возраст женщины и оперативные вмешательства на яичниках и маточных</w:t>
      </w:r>
      <w:r w:rsidR="0063535F" w:rsidRPr="00603B31">
        <w:rPr>
          <w:rFonts w:ascii="Times New Roman" w:eastAsia="TimesNewRomanPSMT" w:hAnsi="Times New Roman" w:cs="Times New Roman"/>
          <w:sz w:val="28"/>
          <w:szCs w:val="28"/>
        </w:rPr>
        <w:t xml:space="preserve"> трубах</w:t>
      </w:r>
      <w:r w:rsidR="0055270C" w:rsidRPr="00603B31">
        <w:rPr>
          <w:rFonts w:ascii="Times New Roman" w:eastAsia="TimesNewRomanPSMT" w:hAnsi="Times New Roman" w:cs="Times New Roman"/>
          <w:sz w:val="28"/>
          <w:szCs w:val="28"/>
        </w:rPr>
        <w:t>[14</w:t>
      </w:r>
      <w:r w:rsidR="00371288" w:rsidRPr="00603B31">
        <w:rPr>
          <w:rFonts w:ascii="Times New Roman" w:eastAsia="TimesNewRomanPSMT" w:hAnsi="Times New Roman" w:cs="Times New Roman"/>
          <w:sz w:val="28"/>
          <w:szCs w:val="28"/>
        </w:rPr>
        <w:t>].</w:t>
      </w:r>
    </w:p>
    <w:p w:rsidR="001D2283" w:rsidRPr="00603B31" w:rsidRDefault="001D2283" w:rsidP="00A4128A">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Возраст является ведущим фактором, </w:t>
      </w:r>
      <w:r w:rsidR="00A4128A">
        <w:rPr>
          <w:rFonts w:ascii="Times New Roman" w:hAnsi="Times New Roman" w:cs="Times New Roman"/>
          <w:sz w:val="28"/>
          <w:szCs w:val="28"/>
        </w:rPr>
        <w:t xml:space="preserve">оказывающим прямое воздействие на фолликулярный </w:t>
      </w:r>
      <w:r w:rsidRPr="00603B31">
        <w:rPr>
          <w:rFonts w:ascii="Times New Roman" w:hAnsi="Times New Roman" w:cs="Times New Roman"/>
          <w:sz w:val="28"/>
          <w:szCs w:val="28"/>
        </w:rPr>
        <w:t xml:space="preserve">резерв </w:t>
      </w:r>
      <w:r w:rsidR="00A4128A">
        <w:rPr>
          <w:rFonts w:ascii="Times New Roman" w:hAnsi="Times New Roman" w:cs="Times New Roman"/>
          <w:sz w:val="28"/>
          <w:szCs w:val="28"/>
        </w:rPr>
        <w:t xml:space="preserve">женщины </w:t>
      </w:r>
      <w:r w:rsidRPr="00603B31">
        <w:rPr>
          <w:rFonts w:ascii="Times New Roman" w:hAnsi="Times New Roman" w:cs="Times New Roman"/>
          <w:sz w:val="28"/>
          <w:szCs w:val="28"/>
        </w:rPr>
        <w:t xml:space="preserve">и результаты ЭКО </w:t>
      </w:r>
      <w:r w:rsidR="00A4128A">
        <w:rPr>
          <w:rFonts w:ascii="Times New Roman" w:hAnsi="Times New Roman" w:cs="Times New Roman"/>
          <w:sz w:val="28"/>
          <w:szCs w:val="28"/>
        </w:rPr>
        <w:t xml:space="preserve">в целом. По данным Регистра ВРТ </w:t>
      </w:r>
      <w:r w:rsidRPr="00603B31">
        <w:rPr>
          <w:rFonts w:ascii="Times New Roman" w:hAnsi="Times New Roman" w:cs="Times New Roman"/>
          <w:sz w:val="28"/>
          <w:szCs w:val="28"/>
        </w:rPr>
        <w:t>РАРЧ доля женщин 35 лет и старше, кото</w:t>
      </w:r>
      <w:r w:rsidR="00A4128A">
        <w:rPr>
          <w:rFonts w:ascii="Times New Roman" w:hAnsi="Times New Roman" w:cs="Times New Roman"/>
          <w:sz w:val="28"/>
          <w:szCs w:val="28"/>
        </w:rPr>
        <w:t>рые обратились за помощью в отделение ВРТ с целью лечения бесплодия</w:t>
      </w:r>
      <w:r w:rsidRPr="00603B31">
        <w:rPr>
          <w:rFonts w:ascii="Times New Roman" w:hAnsi="Times New Roman" w:cs="Times New Roman"/>
          <w:sz w:val="28"/>
          <w:szCs w:val="28"/>
        </w:rPr>
        <w:t>, составляет ок</w:t>
      </w:r>
      <w:r w:rsidR="00A4128A">
        <w:rPr>
          <w:rFonts w:ascii="Times New Roman" w:hAnsi="Times New Roman" w:cs="Times New Roman"/>
          <w:sz w:val="28"/>
          <w:szCs w:val="28"/>
        </w:rPr>
        <w:t xml:space="preserve">оло 40% и среди них порядка 27% </w:t>
      </w:r>
      <w:r w:rsidRPr="00603B31">
        <w:rPr>
          <w:rFonts w:ascii="Times New Roman" w:hAnsi="Times New Roman" w:cs="Times New Roman"/>
          <w:sz w:val="28"/>
          <w:szCs w:val="28"/>
        </w:rPr>
        <w:t>пациенток в возрасте 40 лет и старше</w:t>
      </w:r>
      <w:r w:rsidR="003062C0" w:rsidRPr="00603B31">
        <w:rPr>
          <w:rFonts w:ascii="Times New Roman" w:hAnsi="Times New Roman" w:cs="Times New Roman"/>
          <w:sz w:val="28"/>
          <w:szCs w:val="28"/>
        </w:rPr>
        <w:t>[1</w:t>
      </w:r>
      <w:r w:rsidR="00CB567E" w:rsidRPr="00603B31">
        <w:rPr>
          <w:rFonts w:ascii="Times New Roman" w:hAnsi="Times New Roman" w:cs="Times New Roman"/>
          <w:sz w:val="28"/>
          <w:szCs w:val="28"/>
        </w:rPr>
        <w:t>5</w:t>
      </w:r>
      <w:r w:rsidRPr="00603B31">
        <w:rPr>
          <w:rFonts w:ascii="Times New Roman" w:hAnsi="Times New Roman" w:cs="Times New Roman"/>
          <w:sz w:val="28"/>
          <w:szCs w:val="28"/>
        </w:rPr>
        <w:t xml:space="preserve">]. </w:t>
      </w:r>
    </w:p>
    <w:p w:rsidR="001D2283" w:rsidRPr="00603B31" w:rsidRDefault="00A4128A" w:rsidP="006A14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Под одним из </w:t>
      </w:r>
      <w:r>
        <w:rPr>
          <w:rFonts w:ascii="Times New Roman" w:hAnsi="Times New Roman" w:cs="Times New Roman"/>
          <w:iCs/>
          <w:sz w:val="28"/>
          <w:szCs w:val="28"/>
        </w:rPr>
        <w:t>возрастных изменений</w:t>
      </w:r>
      <w:r w:rsidR="001D2283" w:rsidRPr="00603B31">
        <w:rPr>
          <w:rFonts w:ascii="Times New Roman" w:hAnsi="Times New Roman" w:cs="Times New Roman"/>
          <w:i/>
          <w:iCs/>
          <w:sz w:val="28"/>
          <w:szCs w:val="28"/>
        </w:rPr>
        <w:t xml:space="preserve"> </w:t>
      </w:r>
      <w:r w:rsidR="001D2283" w:rsidRPr="00603B31">
        <w:rPr>
          <w:rFonts w:ascii="Times New Roman" w:hAnsi="Times New Roman" w:cs="Times New Roman"/>
          <w:sz w:val="28"/>
          <w:szCs w:val="28"/>
        </w:rPr>
        <w:t>репродукти</w:t>
      </w:r>
      <w:r w:rsidR="0063535F" w:rsidRPr="00603B31">
        <w:rPr>
          <w:rFonts w:ascii="Times New Roman" w:hAnsi="Times New Roman" w:cs="Times New Roman"/>
          <w:sz w:val="28"/>
          <w:szCs w:val="28"/>
        </w:rPr>
        <w:t xml:space="preserve">вной системы </w:t>
      </w:r>
      <w:r>
        <w:rPr>
          <w:rFonts w:ascii="Times New Roman" w:hAnsi="Times New Roman" w:cs="Times New Roman"/>
          <w:sz w:val="28"/>
          <w:szCs w:val="28"/>
        </w:rPr>
        <w:t xml:space="preserve">понимают </w:t>
      </w:r>
      <w:r w:rsidR="0063535F" w:rsidRPr="00603B31">
        <w:rPr>
          <w:rFonts w:ascii="Times New Roman" w:hAnsi="Times New Roman" w:cs="Times New Roman"/>
          <w:sz w:val="28"/>
          <w:szCs w:val="28"/>
        </w:rPr>
        <w:t>процесс её</w:t>
      </w:r>
      <w:r>
        <w:rPr>
          <w:rFonts w:ascii="Times New Roman" w:hAnsi="Times New Roman" w:cs="Times New Roman"/>
          <w:sz w:val="28"/>
          <w:szCs w:val="28"/>
        </w:rPr>
        <w:t xml:space="preserve"> старения, который </w:t>
      </w:r>
      <w:r w:rsidR="001D2283" w:rsidRPr="00603B31">
        <w:rPr>
          <w:rFonts w:ascii="Times New Roman" w:hAnsi="Times New Roman" w:cs="Times New Roman"/>
          <w:sz w:val="28"/>
          <w:szCs w:val="28"/>
        </w:rPr>
        <w:t xml:space="preserve">проявляется </w:t>
      </w:r>
      <w:r>
        <w:rPr>
          <w:rFonts w:ascii="Times New Roman" w:hAnsi="Times New Roman" w:cs="Times New Roman"/>
          <w:sz w:val="28"/>
          <w:szCs w:val="28"/>
        </w:rPr>
        <w:t xml:space="preserve">не только </w:t>
      </w:r>
      <w:r w:rsidR="001D2283" w:rsidRPr="00603B31">
        <w:rPr>
          <w:rFonts w:ascii="Times New Roman" w:hAnsi="Times New Roman" w:cs="Times New Roman"/>
          <w:sz w:val="28"/>
          <w:szCs w:val="28"/>
        </w:rPr>
        <w:t>в истощении</w:t>
      </w:r>
      <w:r w:rsidR="006A14B6"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rPr>
        <w:t xml:space="preserve">количественного запаса фолликулов, </w:t>
      </w:r>
      <w:r>
        <w:rPr>
          <w:rFonts w:ascii="Times New Roman" w:hAnsi="Times New Roman" w:cs="Times New Roman"/>
          <w:sz w:val="28"/>
          <w:szCs w:val="28"/>
        </w:rPr>
        <w:t xml:space="preserve">но и </w:t>
      </w:r>
      <w:r w:rsidR="001D2283" w:rsidRPr="00603B31">
        <w:rPr>
          <w:rFonts w:ascii="Times New Roman" w:hAnsi="Times New Roman" w:cs="Times New Roman"/>
          <w:sz w:val="28"/>
          <w:szCs w:val="28"/>
        </w:rPr>
        <w:t xml:space="preserve">в их качественных дефектах, ослабляющих способность </w:t>
      </w:r>
      <w:r>
        <w:rPr>
          <w:rFonts w:ascii="Times New Roman" w:hAnsi="Times New Roman" w:cs="Times New Roman"/>
          <w:sz w:val="28"/>
          <w:szCs w:val="28"/>
        </w:rPr>
        <w:t xml:space="preserve">отобранных </w:t>
      </w:r>
      <w:r w:rsidR="001D2283" w:rsidRPr="00603B31">
        <w:rPr>
          <w:rFonts w:ascii="Times New Roman" w:hAnsi="Times New Roman" w:cs="Times New Roman"/>
          <w:sz w:val="28"/>
          <w:szCs w:val="28"/>
        </w:rPr>
        <w:t xml:space="preserve">фолликулов реагировать на </w:t>
      </w:r>
      <w:r>
        <w:rPr>
          <w:rFonts w:ascii="Times New Roman" w:hAnsi="Times New Roman" w:cs="Times New Roman"/>
          <w:sz w:val="28"/>
          <w:szCs w:val="28"/>
        </w:rPr>
        <w:t>стимуляцию препаратами гонадотропинов</w:t>
      </w:r>
      <w:r w:rsidR="00A467AF" w:rsidRPr="00603B31">
        <w:rPr>
          <w:rFonts w:ascii="Times New Roman" w:hAnsi="Times New Roman" w:cs="Times New Roman"/>
          <w:sz w:val="28"/>
          <w:szCs w:val="28"/>
        </w:rPr>
        <w:t>[</w:t>
      </w:r>
      <w:r w:rsidR="0055270C" w:rsidRPr="00603B31">
        <w:rPr>
          <w:rFonts w:ascii="Times New Roman" w:hAnsi="Times New Roman" w:cs="Times New Roman"/>
          <w:sz w:val="28"/>
          <w:szCs w:val="28"/>
        </w:rPr>
        <w:t>9</w:t>
      </w:r>
      <w:r w:rsidR="001D2283" w:rsidRPr="00603B31">
        <w:rPr>
          <w:rFonts w:ascii="Times New Roman" w:hAnsi="Times New Roman" w:cs="Times New Roman"/>
          <w:sz w:val="28"/>
          <w:szCs w:val="28"/>
        </w:rPr>
        <w:t xml:space="preserve">]. Возрастной фактор также </w:t>
      </w:r>
      <w:r>
        <w:rPr>
          <w:rFonts w:ascii="Times New Roman" w:hAnsi="Times New Roman" w:cs="Times New Roman"/>
          <w:sz w:val="28"/>
          <w:szCs w:val="28"/>
        </w:rPr>
        <w:t xml:space="preserve">значительно </w:t>
      </w:r>
      <w:r w:rsidR="001D2283" w:rsidRPr="00603B31">
        <w:rPr>
          <w:rFonts w:ascii="Times New Roman" w:hAnsi="Times New Roman" w:cs="Times New Roman"/>
          <w:sz w:val="28"/>
          <w:szCs w:val="28"/>
        </w:rPr>
        <w:t>ограничивает возможность получения из выделенных ооцитов качест</w:t>
      </w:r>
      <w:r w:rsidR="00222EF9">
        <w:rPr>
          <w:rFonts w:ascii="Times New Roman" w:hAnsi="Times New Roman" w:cs="Times New Roman"/>
          <w:sz w:val="28"/>
          <w:szCs w:val="28"/>
        </w:rPr>
        <w:t xml:space="preserve">венных эмбрионов, способных </w:t>
      </w:r>
      <w:r w:rsidR="001D2283" w:rsidRPr="00603B31">
        <w:rPr>
          <w:rFonts w:ascii="Times New Roman" w:hAnsi="Times New Roman" w:cs="Times New Roman"/>
          <w:sz w:val="28"/>
          <w:szCs w:val="28"/>
        </w:rPr>
        <w:t xml:space="preserve">к </w:t>
      </w:r>
      <w:r w:rsidR="000E7981" w:rsidRPr="00603B31">
        <w:rPr>
          <w:rFonts w:ascii="Times New Roman" w:hAnsi="Times New Roman" w:cs="Times New Roman"/>
          <w:sz w:val="28"/>
          <w:szCs w:val="28"/>
        </w:rPr>
        <w:t>импла</w:t>
      </w:r>
      <w:r w:rsidR="001D2283" w:rsidRPr="00603B31">
        <w:rPr>
          <w:rFonts w:ascii="Times New Roman" w:hAnsi="Times New Roman" w:cs="Times New Roman"/>
          <w:sz w:val="28"/>
          <w:szCs w:val="28"/>
        </w:rPr>
        <w:t>н</w:t>
      </w:r>
      <w:r w:rsidR="000E7981" w:rsidRPr="00603B31">
        <w:rPr>
          <w:rFonts w:ascii="Times New Roman" w:hAnsi="Times New Roman" w:cs="Times New Roman"/>
          <w:sz w:val="28"/>
          <w:szCs w:val="28"/>
        </w:rPr>
        <w:t>т</w:t>
      </w:r>
      <w:r w:rsidR="001D2283" w:rsidRPr="00603B31">
        <w:rPr>
          <w:rFonts w:ascii="Times New Roman" w:hAnsi="Times New Roman" w:cs="Times New Roman"/>
          <w:sz w:val="28"/>
          <w:szCs w:val="28"/>
        </w:rPr>
        <w:t>ации в эндометрий и последующему успешному развитию</w:t>
      </w:r>
      <w:r w:rsidR="001769DF" w:rsidRPr="00603B31">
        <w:rPr>
          <w:rFonts w:ascii="Times New Roman" w:hAnsi="Times New Roman" w:cs="Times New Roman"/>
          <w:sz w:val="28"/>
          <w:szCs w:val="28"/>
        </w:rPr>
        <w:t>[13,20</w:t>
      </w:r>
      <w:r w:rsidR="001D2283" w:rsidRPr="00603B31">
        <w:rPr>
          <w:rFonts w:ascii="Times New Roman" w:hAnsi="Times New Roman" w:cs="Times New Roman"/>
          <w:sz w:val="28"/>
          <w:szCs w:val="28"/>
        </w:rPr>
        <w:t>].</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Началом позднего репродуктивного периода принято считать возраст </w:t>
      </w:r>
      <w:r w:rsidR="00222EF9">
        <w:rPr>
          <w:rFonts w:ascii="Times New Roman" w:hAnsi="Times New Roman" w:cs="Times New Roman"/>
          <w:sz w:val="28"/>
          <w:szCs w:val="28"/>
        </w:rPr>
        <w:t>старше 35 лет</w:t>
      </w:r>
      <w:r w:rsidRPr="00603B31">
        <w:rPr>
          <w:rFonts w:ascii="Times New Roman" w:hAnsi="Times New Roman" w:cs="Times New Roman"/>
          <w:sz w:val="28"/>
          <w:szCs w:val="28"/>
        </w:rPr>
        <w:t xml:space="preserve">. Существует мнение, что </w:t>
      </w:r>
      <w:r w:rsidR="00222EF9" w:rsidRPr="00603B31">
        <w:rPr>
          <w:rFonts w:ascii="Times New Roman" w:hAnsi="Times New Roman" w:cs="Times New Roman"/>
          <w:sz w:val="28"/>
          <w:szCs w:val="28"/>
        </w:rPr>
        <w:t xml:space="preserve">уже после 30 лет начинают проявляться </w:t>
      </w:r>
      <w:r w:rsidRPr="00603B31">
        <w:rPr>
          <w:rFonts w:ascii="Times New Roman" w:hAnsi="Times New Roman" w:cs="Times New Roman"/>
          <w:sz w:val="28"/>
          <w:szCs w:val="28"/>
        </w:rPr>
        <w:t>инволютивные процессы, обусловл</w:t>
      </w:r>
      <w:r w:rsidR="00222EF9">
        <w:rPr>
          <w:rFonts w:ascii="Times New Roman" w:hAnsi="Times New Roman" w:cs="Times New Roman"/>
          <w:sz w:val="28"/>
          <w:szCs w:val="28"/>
        </w:rPr>
        <w:t>ивающие субфертильность</w:t>
      </w:r>
      <w:r w:rsidRPr="00603B31">
        <w:rPr>
          <w:rFonts w:ascii="Times New Roman" w:hAnsi="Times New Roman" w:cs="Times New Roman"/>
          <w:sz w:val="28"/>
          <w:szCs w:val="28"/>
        </w:rPr>
        <w:t xml:space="preserve"> , а после 35 лет </w:t>
      </w:r>
      <w:r w:rsidR="00222EF9">
        <w:rPr>
          <w:rFonts w:ascii="Times New Roman" w:hAnsi="Times New Roman" w:cs="Times New Roman"/>
          <w:sz w:val="28"/>
          <w:szCs w:val="28"/>
        </w:rPr>
        <w:t xml:space="preserve">снижается вероятность наступления </w:t>
      </w:r>
      <w:r w:rsidRPr="00603B31">
        <w:rPr>
          <w:rFonts w:ascii="Times New Roman" w:hAnsi="Times New Roman" w:cs="Times New Roman"/>
          <w:sz w:val="28"/>
          <w:szCs w:val="28"/>
        </w:rPr>
        <w:t xml:space="preserve">не только спонтанной, но </w:t>
      </w:r>
      <w:r w:rsidR="00222EF9">
        <w:rPr>
          <w:rFonts w:ascii="Times New Roman" w:hAnsi="Times New Roman" w:cs="Times New Roman"/>
          <w:sz w:val="28"/>
          <w:szCs w:val="28"/>
        </w:rPr>
        <w:t>и индуцированной (во время циклов</w:t>
      </w:r>
      <w:r w:rsidRPr="00603B31">
        <w:rPr>
          <w:rFonts w:ascii="Times New Roman" w:hAnsi="Times New Roman" w:cs="Times New Roman"/>
          <w:sz w:val="28"/>
          <w:szCs w:val="28"/>
        </w:rPr>
        <w:t xml:space="preserve"> ЭКО) беременности с использованием собственных ооцитов</w:t>
      </w:r>
      <w:r w:rsidR="001769DF" w:rsidRPr="00603B31">
        <w:rPr>
          <w:rFonts w:ascii="Times New Roman" w:hAnsi="Times New Roman" w:cs="Times New Roman"/>
          <w:sz w:val="28"/>
          <w:szCs w:val="28"/>
        </w:rPr>
        <w:t>[20,36</w:t>
      </w:r>
      <w:r w:rsidR="00222EF9">
        <w:rPr>
          <w:rFonts w:ascii="Times New Roman" w:hAnsi="Times New Roman" w:cs="Times New Roman"/>
          <w:sz w:val="28"/>
          <w:szCs w:val="28"/>
        </w:rPr>
        <w:t>]. С</w:t>
      </w:r>
      <w:r w:rsidRPr="00603B31">
        <w:rPr>
          <w:rFonts w:ascii="Times New Roman" w:hAnsi="Times New Roman" w:cs="Times New Roman"/>
          <w:sz w:val="28"/>
          <w:szCs w:val="28"/>
        </w:rPr>
        <w:t xml:space="preserve">реди возрастных женщин доля </w:t>
      </w:r>
      <w:r w:rsidR="000F3945" w:rsidRPr="00603B31">
        <w:rPr>
          <w:rFonts w:ascii="Times New Roman" w:hAnsi="Times New Roman" w:cs="Times New Roman"/>
          <w:sz w:val="28"/>
          <w:szCs w:val="28"/>
        </w:rPr>
        <w:t>пациенток</w:t>
      </w:r>
      <w:r w:rsidRPr="00603B31">
        <w:rPr>
          <w:rFonts w:ascii="Times New Roman" w:hAnsi="Times New Roman" w:cs="Times New Roman"/>
          <w:sz w:val="28"/>
          <w:szCs w:val="28"/>
        </w:rPr>
        <w:t xml:space="preserve"> с</w:t>
      </w:r>
      <w:r w:rsidR="00222EF9">
        <w:rPr>
          <w:rFonts w:ascii="Times New Roman" w:hAnsi="Times New Roman" w:cs="Times New Roman"/>
          <w:sz w:val="28"/>
          <w:szCs w:val="28"/>
        </w:rPr>
        <w:t>о</w:t>
      </w:r>
      <w:r w:rsidRPr="00603B31">
        <w:rPr>
          <w:rFonts w:ascii="Times New Roman" w:hAnsi="Times New Roman" w:cs="Times New Roman"/>
          <w:sz w:val="28"/>
          <w:szCs w:val="28"/>
        </w:rPr>
        <w:t xml:space="preserve"> </w:t>
      </w:r>
      <w:r w:rsidR="00222EF9">
        <w:rPr>
          <w:rFonts w:ascii="Times New Roman" w:hAnsi="Times New Roman" w:cs="Times New Roman"/>
          <w:sz w:val="28"/>
          <w:szCs w:val="28"/>
        </w:rPr>
        <w:t>сниженным</w:t>
      </w:r>
      <w:r w:rsidR="00222EF9" w:rsidRPr="00603B31">
        <w:rPr>
          <w:rFonts w:ascii="Times New Roman" w:hAnsi="Times New Roman" w:cs="Times New Roman"/>
          <w:sz w:val="28"/>
          <w:szCs w:val="28"/>
        </w:rPr>
        <w:t xml:space="preserve"> овариаль</w:t>
      </w:r>
      <w:r w:rsidR="00222EF9">
        <w:rPr>
          <w:rFonts w:ascii="Times New Roman" w:hAnsi="Times New Roman" w:cs="Times New Roman"/>
          <w:sz w:val="28"/>
          <w:szCs w:val="28"/>
        </w:rPr>
        <w:t>ным</w:t>
      </w:r>
      <w:r w:rsidR="00222EF9" w:rsidRPr="00603B31">
        <w:rPr>
          <w:rFonts w:ascii="Times New Roman" w:hAnsi="Times New Roman" w:cs="Times New Roman"/>
          <w:sz w:val="28"/>
          <w:szCs w:val="28"/>
        </w:rPr>
        <w:t xml:space="preserve"> резерв</w:t>
      </w:r>
      <w:r w:rsidR="00222EF9">
        <w:rPr>
          <w:rFonts w:ascii="Times New Roman" w:hAnsi="Times New Roman" w:cs="Times New Roman"/>
          <w:sz w:val="28"/>
          <w:szCs w:val="28"/>
        </w:rPr>
        <w:t>ом</w:t>
      </w:r>
      <w:r w:rsidR="00222EF9" w:rsidRPr="00603B31">
        <w:rPr>
          <w:rFonts w:ascii="Times New Roman" w:hAnsi="Times New Roman" w:cs="Times New Roman"/>
          <w:sz w:val="28"/>
          <w:szCs w:val="28"/>
        </w:rPr>
        <w:t xml:space="preserve"> </w:t>
      </w:r>
      <w:r w:rsidR="00222EF9">
        <w:rPr>
          <w:rFonts w:ascii="Times New Roman" w:hAnsi="Times New Roman" w:cs="Times New Roman"/>
          <w:sz w:val="28"/>
          <w:szCs w:val="28"/>
        </w:rPr>
        <w:t xml:space="preserve">достигает </w:t>
      </w:r>
      <w:r w:rsidR="0063535F" w:rsidRPr="00603B31">
        <w:rPr>
          <w:rFonts w:ascii="Times New Roman" w:hAnsi="Times New Roman" w:cs="Times New Roman"/>
          <w:sz w:val="28"/>
          <w:szCs w:val="28"/>
        </w:rPr>
        <w:t>30</w:t>
      </w:r>
      <w:r w:rsidRPr="00603B31">
        <w:rPr>
          <w:rFonts w:ascii="Times New Roman" w:hAnsi="Times New Roman" w:cs="Times New Roman"/>
          <w:sz w:val="28"/>
          <w:szCs w:val="28"/>
        </w:rPr>
        <w:t>%</w:t>
      </w:r>
      <w:r w:rsidR="00222EF9">
        <w:rPr>
          <w:rFonts w:ascii="Times New Roman" w:hAnsi="Times New Roman" w:cs="Times New Roman"/>
          <w:sz w:val="28"/>
          <w:szCs w:val="28"/>
        </w:rPr>
        <w:t xml:space="preserve"> против 10% в общей популяции</w:t>
      </w:r>
      <w:r w:rsidR="000E095F" w:rsidRPr="00603B31">
        <w:rPr>
          <w:rFonts w:ascii="Times New Roman" w:hAnsi="Times New Roman" w:cs="Times New Roman"/>
          <w:sz w:val="28"/>
          <w:szCs w:val="28"/>
        </w:rPr>
        <w:t>[</w:t>
      </w:r>
      <w:r w:rsidR="001769DF" w:rsidRPr="00603B31">
        <w:rPr>
          <w:rFonts w:ascii="Times New Roman" w:hAnsi="Times New Roman" w:cs="Times New Roman"/>
          <w:sz w:val="28"/>
          <w:szCs w:val="28"/>
        </w:rPr>
        <w:t>7</w:t>
      </w:r>
      <w:r w:rsidR="009433A9" w:rsidRPr="00603B31">
        <w:rPr>
          <w:rFonts w:ascii="Times New Roman" w:hAnsi="Times New Roman" w:cs="Times New Roman"/>
          <w:sz w:val="28"/>
          <w:szCs w:val="28"/>
        </w:rPr>
        <w:t>3</w:t>
      </w:r>
      <w:r w:rsidRPr="00603B31">
        <w:rPr>
          <w:rFonts w:ascii="Times New Roman" w:hAnsi="Times New Roman" w:cs="Times New Roman"/>
          <w:sz w:val="28"/>
          <w:szCs w:val="28"/>
        </w:rPr>
        <w:t>].</w:t>
      </w:r>
    </w:p>
    <w:p w:rsidR="001D2283" w:rsidRPr="00603B31" w:rsidRDefault="00222EF9" w:rsidP="006A14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Предполагаемыми п</w:t>
      </w:r>
      <w:r w:rsidR="001D2283" w:rsidRPr="00603B31">
        <w:rPr>
          <w:rFonts w:ascii="Times New Roman" w:hAnsi="Times New Roman" w:cs="Times New Roman"/>
          <w:sz w:val="28"/>
          <w:szCs w:val="28"/>
        </w:rPr>
        <w:t>ричинами возрастной количественной редукции фоллику</w:t>
      </w:r>
      <w:r w:rsidR="000E7981" w:rsidRPr="00603B31">
        <w:rPr>
          <w:rFonts w:ascii="Times New Roman" w:hAnsi="Times New Roman" w:cs="Times New Roman"/>
          <w:sz w:val="28"/>
          <w:szCs w:val="28"/>
        </w:rPr>
        <w:t>лярного резерва</w:t>
      </w:r>
      <w:r w:rsidR="006A14B6"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rPr>
        <w:t>являются</w:t>
      </w:r>
      <w:r w:rsidR="001769DF" w:rsidRPr="00603B31">
        <w:rPr>
          <w:rFonts w:ascii="Times New Roman" w:hAnsi="Times New Roman" w:cs="Times New Roman"/>
          <w:sz w:val="28"/>
          <w:szCs w:val="28"/>
        </w:rPr>
        <w:t>[20</w:t>
      </w:r>
      <w:r w:rsidR="001D2283" w:rsidRPr="00603B31">
        <w:rPr>
          <w:rFonts w:ascii="Times New Roman" w:hAnsi="Times New Roman" w:cs="Times New Roman"/>
          <w:sz w:val="28"/>
          <w:szCs w:val="28"/>
        </w:rPr>
        <w:t>]:</w:t>
      </w:r>
    </w:p>
    <w:p w:rsidR="001D2283" w:rsidRPr="00603B31" w:rsidRDefault="001D2283" w:rsidP="001D2283">
      <w:pPr>
        <w:pStyle w:val="a3"/>
        <w:numPr>
          <w:ilvl w:val="0"/>
          <w:numId w:val="3"/>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происходящее в репродуктивном периоде </w:t>
      </w:r>
      <w:r w:rsidR="00222EF9">
        <w:rPr>
          <w:rFonts w:ascii="Times New Roman" w:hAnsi="Times New Roman" w:cs="Times New Roman"/>
          <w:sz w:val="28"/>
          <w:szCs w:val="28"/>
        </w:rPr>
        <w:t>постоянное</w:t>
      </w:r>
      <w:r w:rsidRPr="00603B31">
        <w:rPr>
          <w:rFonts w:ascii="Times New Roman" w:hAnsi="Times New Roman" w:cs="Times New Roman"/>
          <w:sz w:val="28"/>
          <w:szCs w:val="28"/>
        </w:rPr>
        <w:t xml:space="preserve"> убывание окончательно созревающих ооцитов при их овуляции и параллельно наблюдаемая в каждом цикле атрезия рекрутир</w:t>
      </w:r>
      <w:r w:rsidR="00222EF9">
        <w:rPr>
          <w:rFonts w:ascii="Times New Roman" w:hAnsi="Times New Roman" w:cs="Times New Roman"/>
          <w:sz w:val="28"/>
          <w:szCs w:val="28"/>
        </w:rPr>
        <w:t xml:space="preserve">ованных недоминантных </w:t>
      </w:r>
      <w:r w:rsidRPr="00603B31">
        <w:rPr>
          <w:rFonts w:ascii="Times New Roman" w:hAnsi="Times New Roman" w:cs="Times New Roman"/>
          <w:sz w:val="28"/>
          <w:szCs w:val="28"/>
        </w:rPr>
        <w:t>фолликулов;</w:t>
      </w:r>
    </w:p>
    <w:p w:rsidR="001D2283" w:rsidRPr="00603B31" w:rsidRDefault="001D2283" w:rsidP="001D2283">
      <w:pPr>
        <w:pStyle w:val="a3"/>
        <w:numPr>
          <w:ilvl w:val="0"/>
          <w:numId w:val="3"/>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продолжающаяся с внутриутробного периода фоновая </w:t>
      </w:r>
      <w:r w:rsidR="00222EF9">
        <w:rPr>
          <w:rFonts w:ascii="Times New Roman" w:hAnsi="Times New Roman" w:cs="Times New Roman"/>
          <w:sz w:val="28"/>
          <w:szCs w:val="28"/>
        </w:rPr>
        <w:t xml:space="preserve">атрезия </w:t>
      </w:r>
      <w:r w:rsidRPr="00603B31">
        <w:rPr>
          <w:rFonts w:ascii="Times New Roman" w:hAnsi="Times New Roman" w:cs="Times New Roman"/>
          <w:sz w:val="28"/>
          <w:szCs w:val="28"/>
        </w:rPr>
        <w:t>примордиальных фолликулов.</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Сокращение общего пула примордиальных фолликулов становится</w:t>
      </w:r>
      <w:r w:rsidR="00222EF9">
        <w:rPr>
          <w:rFonts w:ascii="Times New Roman" w:hAnsi="Times New Roman" w:cs="Times New Roman"/>
          <w:sz w:val="28"/>
          <w:szCs w:val="28"/>
        </w:rPr>
        <w:t xml:space="preserve"> основной </w:t>
      </w:r>
      <w:r w:rsidRPr="00603B31">
        <w:rPr>
          <w:rFonts w:ascii="Times New Roman" w:hAnsi="Times New Roman" w:cs="Times New Roman"/>
          <w:sz w:val="28"/>
          <w:szCs w:val="28"/>
        </w:rPr>
        <w:t xml:space="preserve"> причиной прогрессирующе</w:t>
      </w:r>
      <w:r w:rsidR="00222EF9">
        <w:rPr>
          <w:rFonts w:ascii="Times New Roman" w:hAnsi="Times New Roman" w:cs="Times New Roman"/>
          <w:sz w:val="28"/>
          <w:szCs w:val="28"/>
        </w:rPr>
        <w:t>го уменьшения у женщин старше 35</w:t>
      </w:r>
      <w:r w:rsidRPr="00603B31">
        <w:rPr>
          <w:rFonts w:ascii="Times New Roman" w:hAnsi="Times New Roman" w:cs="Times New Roman"/>
          <w:sz w:val="28"/>
          <w:szCs w:val="28"/>
        </w:rPr>
        <w:t xml:space="preserve"> лет числа малых антральных фолликулов, обладающих чувствительностью к ФСГ.</w:t>
      </w:r>
    </w:p>
    <w:p w:rsidR="001D2283" w:rsidRPr="00603B31" w:rsidRDefault="001D2283" w:rsidP="0063535F">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При развитии </w:t>
      </w:r>
      <w:r w:rsidR="0063535F" w:rsidRPr="00603B31">
        <w:rPr>
          <w:rFonts w:ascii="Times New Roman" w:hAnsi="Times New Roman" w:cs="Times New Roman"/>
          <w:sz w:val="28"/>
          <w:szCs w:val="28"/>
        </w:rPr>
        <w:t>«слабого»</w:t>
      </w:r>
      <w:r w:rsidRPr="00603B31">
        <w:rPr>
          <w:rFonts w:ascii="Times New Roman" w:hAnsi="Times New Roman" w:cs="Times New Roman"/>
          <w:sz w:val="28"/>
          <w:szCs w:val="28"/>
        </w:rPr>
        <w:t xml:space="preserve"> ответа у пациенток старшей возрастной группы вероятность успешной имплантации переносимых эмбрионов оказывается достоверно меньше, чем у более молодых женщин с аналогичной ослабленной реакцией на </w:t>
      </w:r>
      <w:r w:rsidR="00222EF9">
        <w:rPr>
          <w:rFonts w:ascii="Times New Roman" w:hAnsi="Times New Roman" w:cs="Times New Roman"/>
          <w:sz w:val="28"/>
          <w:szCs w:val="28"/>
        </w:rPr>
        <w:t>препараты гонадотропинов</w:t>
      </w:r>
      <w:r w:rsidR="001769DF" w:rsidRPr="00603B31">
        <w:rPr>
          <w:rFonts w:ascii="Times New Roman" w:hAnsi="Times New Roman" w:cs="Times New Roman"/>
          <w:sz w:val="28"/>
          <w:szCs w:val="28"/>
        </w:rPr>
        <w:t xml:space="preserve"> [20</w:t>
      </w:r>
      <w:r w:rsidRPr="00603B31">
        <w:rPr>
          <w:rFonts w:ascii="Times New Roman" w:hAnsi="Times New Roman" w:cs="Times New Roman"/>
          <w:sz w:val="28"/>
          <w:szCs w:val="28"/>
        </w:rPr>
        <w:t>]. Это</w:t>
      </w:r>
      <w:r w:rsidR="00222EF9">
        <w:rPr>
          <w:rFonts w:ascii="Times New Roman" w:hAnsi="Times New Roman" w:cs="Times New Roman"/>
          <w:sz w:val="28"/>
          <w:szCs w:val="28"/>
        </w:rPr>
        <w:t>т факт</w:t>
      </w:r>
      <w:r w:rsidRPr="00603B31">
        <w:rPr>
          <w:rFonts w:ascii="Times New Roman" w:hAnsi="Times New Roman" w:cs="Times New Roman"/>
          <w:sz w:val="28"/>
          <w:szCs w:val="28"/>
        </w:rPr>
        <w:t xml:space="preserve"> объясняется тем, что возрастной фактор негативно влияет не только на количественные параметры фолликулогенеза, но и на качество созревающих ооцитов. Кроме того, при увеличении возраста пациенток </w:t>
      </w:r>
      <w:r w:rsidR="00222EF9">
        <w:rPr>
          <w:rFonts w:ascii="Times New Roman" w:hAnsi="Times New Roman" w:cs="Times New Roman"/>
          <w:sz w:val="28"/>
          <w:szCs w:val="28"/>
        </w:rPr>
        <w:t xml:space="preserve">возрастает </w:t>
      </w:r>
      <w:r w:rsidR="00222EF9" w:rsidRPr="00603B31">
        <w:rPr>
          <w:rFonts w:ascii="Times New Roman" w:hAnsi="Times New Roman" w:cs="Times New Roman"/>
          <w:sz w:val="28"/>
          <w:szCs w:val="28"/>
        </w:rPr>
        <w:t>частоты внутриматочной патологии проявляемой в виде гиперпластических (полипы) и атрофических процессов, синехий, хронического эндометрита, миомы и аденомиоза</w:t>
      </w:r>
      <w:r w:rsidR="00222EF9">
        <w:rPr>
          <w:rFonts w:ascii="Times New Roman" w:hAnsi="Times New Roman" w:cs="Times New Roman"/>
          <w:sz w:val="28"/>
          <w:szCs w:val="28"/>
        </w:rPr>
        <w:t xml:space="preserve">, что неизбежно </w:t>
      </w:r>
      <w:r w:rsidR="00222EF9" w:rsidRPr="00603B31">
        <w:rPr>
          <w:rFonts w:ascii="Times New Roman" w:hAnsi="Times New Roman" w:cs="Times New Roman"/>
          <w:sz w:val="28"/>
          <w:szCs w:val="28"/>
        </w:rPr>
        <w:t>препятствуе</w:t>
      </w:r>
      <w:r w:rsidR="00222EF9">
        <w:rPr>
          <w:rFonts w:ascii="Times New Roman" w:hAnsi="Times New Roman" w:cs="Times New Roman"/>
          <w:sz w:val="28"/>
          <w:szCs w:val="28"/>
        </w:rPr>
        <w:t>т</w:t>
      </w:r>
      <w:r w:rsidR="00222EF9" w:rsidRPr="00603B31">
        <w:rPr>
          <w:rFonts w:ascii="Times New Roman" w:hAnsi="Times New Roman" w:cs="Times New Roman"/>
          <w:sz w:val="28"/>
          <w:szCs w:val="28"/>
        </w:rPr>
        <w:t xml:space="preserve"> </w:t>
      </w:r>
      <w:r w:rsidRPr="00603B31">
        <w:rPr>
          <w:rFonts w:ascii="Times New Roman" w:hAnsi="Times New Roman" w:cs="Times New Roman"/>
          <w:sz w:val="28"/>
          <w:szCs w:val="28"/>
        </w:rPr>
        <w:t>успешной имплантации переносимых эмбрионов</w:t>
      </w:r>
      <w:r w:rsidR="00A467AF" w:rsidRPr="00603B31">
        <w:rPr>
          <w:rFonts w:ascii="Times New Roman" w:hAnsi="Times New Roman" w:cs="Times New Roman"/>
          <w:sz w:val="28"/>
          <w:szCs w:val="28"/>
        </w:rPr>
        <w:t>[</w:t>
      </w:r>
      <w:r w:rsidR="001769DF" w:rsidRPr="00603B31">
        <w:rPr>
          <w:rFonts w:ascii="Times New Roman" w:hAnsi="Times New Roman" w:cs="Times New Roman"/>
          <w:sz w:val="28"/>
          <w:szCs w:val="28"/>
        </w:rPr>
        <w:t>8</w:t>
      </w:r>
      <w:r w:rsidRPr="00603B31">
        <w:rPr>
          <w:rFonts w:ascii="Times New Roman" w:hAnsi="Times New Roman" w:cs="Times New Roman"/>
          <w:sz w:val="28"/>
          <w:szCs w:val="28"/>
        </w:rPr>
        <w:t>].</w:t>
      </w:r>
    </w:p>
    <w:p w:rsidR="001E475D" w:rsidRPr="00603B31" w:rsidRDefault="001E475D" w:rsidP="001E475D">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В связи с увеличением числа женщин старшего репродукт</w:t>
      </w:r>
      <w:r w:rsidR="00222EF9">
        <w:rPr>
          <w:rFonts w:ascii="Times New Roman" w:hAnsi="Times New Roman" w:cs="Times New Roman"/>
          <w:sz w:val="28"/>
          <w:szCs w:val="28"/>
        </w:rPr>
        <w:t>ивного возраста (после 35</w:t>
      </w:r>
      <w:r w:rsidRPr="00603B31">
        <w:rPr>
          <w:rFonts w:ascii="Times New Roman" w:hAnsi="Times New Roman" w:cs="Times New Roman"/>
          <w:sz w:val="28"/>
          <w:szCs w:val="28"/>
        </w:rPr>
        <w:t xml:space="preserve">), обращающихся в </w:t>
      </w:r>
      <w:r w:rsidR="00222EF9">
        <w:rPr>
          <w:rFonts w:ascii="Times New Roman" w:hAnsi="Times New Roman" w:cs="Times New Roman"/>
          <w:sz w:val="28"/>
          <w:szCs w:val="28"/>
        </w:rPr>
        <w:t>отделение ВРТ</w:t>
      </w:r>
      <w:r w:rsidRPr="00603B31">
        <w:rPr>
          <w:rFonts w:ascii="Times New Roman" w:hAnsi="Times New Roman" w:cs="Times New Roman"/>
          <w:sz w:val="28"/>
          <w:szCs w:val="28"/>
        </w:rPr>
        <w:t xml:space="preserve"> с целью лечения бесплодия, количество пациенток со сниженным овариальным резервом и предпосылками к развитию «слабого ответа» также повышается, что обуславливает актуальность данной проблемы. </w:t>
      </w:r>
      <w:r w:rsidR="00222EF9">
        <w:rPr>
          <w:rFonts w:ascii="Times New Roman" w:hAnsi="Times New Roman" w:cs="Times New Roman"/>
          <w:sz w:val="28"/>
          <w:szCs w:val="28"/>
        </w:rPr>
        <w:t>На сегодняшний день д</w:t>
      </w:r>
      <w:r w:rsidRPr="00603B31">
        <w:rPr>
          <w:rFonts w:ascii="Times New Roman" w:hAnsi="Times New Roman" w:cs="Times New Roman"/>
          <w:sz w:val="28"/>
          <w:szCs w:val="28"/>
        </w:rPr>
        <w:t>оля таких пациенток достигает 37%[14].</w:t>
      </w:r>
    </w:p>
    <w:p w:rsidR="001D2283" w:rsidRPr="00603B31" w:rsidRDefault="00222EF9" w:rsidP="006A14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К распространё</w:t>
      </w:r>
      <w:r w:rsidR="001D2283" w:rsidRPr="00603B31">
        <w:rPr>
          <w:rFonts w:ascii="Times New Roman" w:hAnsi="Times New Roman" w:cs="Times New Roman"/>
          <w:sz w:val="28"/>
          <w:szCs w:val="28"/>
        </w:rPr>
        <w:t xml:space="preserve">нным причинам ослабления чувствительности к гонадотропинам, не связанным с возрастным фактором, </w:t>
      </w:r>
      <w:r>
        <w:rPr>
          <w:rFonts w:ascii="Times New Roman" w:hAnsi="Times New Roman" w:cs="Times New Roman"/>
          <w:sz w:val="28"/>
          <w:szCs w:val="28"/>
        </w:rPr>
        <w:t>принято относить</w:t>
      </w:r>
      <w:r w:rsidR="001D2283" w:rsidRPr="00603B31">
        <w:rPr>
          <w:rFonts w:ascii="Times New Roman" w:hAnsi="Times New Roman" w:cs="Times New Roman"/>
          <w:sz w:val="28"/>
          <w:szCs w:val="28"/>
        </w:rPr>
        <w:t>:</w:t>
      </w:r>
    </w:p>
    <w:p w:rsidR="001D2283" w:rsidRPr="00603B31" w:rsidRDefault="001D2283" w:rsidP="001D2283">
      <w:pPr>
        <w:pStyle w:val="a3"/>
        <w:numPr>
          <w:ilvl w:val="0"/>
          <w:numId w:val="16"/>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резекции яичников, сопровождаемые потерей больших объемов коркового вещества (</w:t>
      </w:r>
      <w:r w:rsidR="00222EF9">
        <w:rPr>
          <w:rFonts w:ascii="Times New Roman" w:hAnsi="Times New Roman" w:cs="Times New Roman"/>
          <w:sz w:val="28"/>
          <w:szCs w:val="28"/>
        </w:rPr>
        <w:t xml:space="preserve">при этом </w:t>
      </w:r>
      <w:r w:rsidRPr="00603B31">
        <w:rPr>
          <w:rFonts w:ascii="Times New Roman" w:hAnsi="Times New Roman" w:cs="Times New Roman"/>
          <w:sz w:val="28"/>
          <w:szCs w:val="28"/>
        </w:rPr>
        <w:t>сокращается фолликулярный запас) и стромы яичников (уменьшается активность образования яичниковых андрогенов, поддержива</w:t>
      </w:r>
      <w:r w:rsidR="0063535F" w:rsidRPr="00603B31">
        <w:rPr>
          <w:rFonts w:ascii="Times New Roman" w:hAnsi="Times New Roman" w:cs="Times New Roman"/>
          <w:sz w:val="28"/>
          <w:szCs w:val="28"/>
        </w:rPr>
        <w:t>ющих чувствительность к ФСГ)</w:t>
      </w:r>
      <w:r w:rsidR="00A467AF" w:rsidRPr="00603B31">
        <w:rPr>
          <w:rFonts w:ascii="Times New Roman" w:hAnsi="Times New Roman" w:cs="Times New Roman"/>
          <w:sz w:val="28"/>
          <w:szCs w:val="28"/>
        </w:rPr>
        <w:t>[</w:t>
      </w:r>
      <w:r w:rsidR="001769DF" w:rsidRPr="00603B31">
        <w:rPr>
          <w:rFonts w:ascii="Times New Roman" w:hAnsi="Times New Roman" w:cs="Times New Roman"/>
          <w:sz w:val="28"/>
          <w:szCs w:val="28"/>
        </w:rPr>
        <w:t>6</w:t>
      </w:r>
      <w:r w:rsidR="00A467AF" w:rsidRPr="00603B31">
        <w:rPr>
          <w:rFonts w:ascii="Times New Roman" w:hAnsi="Times New Roman" w:cs="Times New Roman"/>
          <w:sz w:val="28"/>
          <w:szCs w:val="28"/>
        </w:rPr>
        <w:t>,</w:t>
      </w:r>
      <w:r w:rsidR="001769DF" w:rsidRPr="00603B31">
        <w:rPr>
          <w:rFonts w:ascii="Times New Roman" w:hAnsi="Times New Roman" w:cs="Times New Roman"/>
          <w:sz w:val="28"/>
          <w:szCs w:val="28"/>
        </w:rPr>
        <w:t>7</w:t>
      </w:r>
      <w:r w:rsidRPr="00603B31">
        <w:rPr>
          <w:rFonts w:ascii="Times New Roman" w:hAnsi="Times New Roman" w:cs="Times New Roman"/>
          <w:sz w:val="28"/>
          <w:szCs w:val="28"/>
        </w:rPr>
        <w:t>];</w:t>
      </w:r>
    </w:p>
    <w:p w:rsidR="001D2283" w:rsidRPr="00603B31" w:rsidRDefault="001D2283" w:rsidP="001D2283">
      <w:pPr>
        <w:pStyle w:val="a3"/>
        <w:numPr>
          <w:ilvl w:val="0"/>
          <w:numId w:val="16"/>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повторные операции на органах малого таза, провоцирующие </w:t>
      </w:r>
      <w:r w:rsidR="00222EF9">
        <w:rPr>
          <w:rFonts w:ascii="Times New Roman" w:hAnsi="Times New Roman" w:cs="Times New Roman"/>
          <w:sz w:val="28"/>
          <w:szCs w:val="28"/>
        </w:rPr>
        <w:t xml:space="preserve">в свою очередь </w:t>
      </w:r>
      <w:r w:rsidRPr="00603B31">
        <w:rPr>
          <w:rFonts w:ascii="Times New Roman" w:hAnsi="Times New Roman" w:cs="Times New Roman"/>
          <w:sz w:val="28"/>
          <w:szCs w:val="28"/>
        </w:rPr>
        <w:t>спаечный процесс и ухудшение кровоснабжения</w:t>
      </w:r>
      <w:r w:rsidR="00A467AF" w:rsidRPr="00603B31">
        <w:rPr>
          <w:rFonts w:ascii="Times New Roman" w:hAnsi="Times New Roman" w:cs="Times New Roman"/>
          <w:sz w:val="28"/>
          <w:szCs w:val="28"/>
        </w:rPr>
        <w:t xml:space="preserve"> коркового вещества яични</w:t>
      </w:r>
      <w:r w:rsidR="0063535F" w:rsidRPr="00603B31">
        <w:rPr>
          <w:rFonts w:ascii="Times New Roman" w:hAnsi="Times New Roman" w:cs="Times New Roman"/>
          <w:sz w:val="28"/>
          <w:szCs w:val="28"/>
        </w:rPr>
        <w:t>ков</w:t>
      </w:r>
      <w:r w:rsidR="00A467AF" w:rsidRPr="00603B31">
        <w:rPr>
          <w:rFonts w:ascii="Times New Roman" w:hAnsi="Times New Roman" w:cs="Times New Roman"/>
          <w:sz w:val="28"/>
          <w:szCs w:val="28"/>
        </w:rPr>
        <w:t>[</w:t>
      </w:r>
      <w:r w:rsidR="001769DF" w:rsidRPr="00603B31">
        <w:rPr>
          <w:rFonts w:ascii="Times New Roman" w:hAnsi="Times New Roman" w:cs="Times New Roman"/>
          <w:sz w:val="28"/>
          <w:szCs w:val="28"/>
        </w:rPr>
        <w:t>6</w:t>
      </w:r>
      <w:r w:rsidRPr="00603B31">
        <w:rPr>
          <w:rFonts w:ascii="Times New Roman" w:hAnsi="Times New Roman" w:cs="Times New Roman"/>
          <w:sz w:val="28"/>
          <w:szCs w:val="28"/>
        </w:rPr>
        <w:t>];</w:t>
      </w:r>
    </w:p>
    <w:p w:rsidR="001D2283" w:rsidRPr="00603B31" w:rsidRDefault="001D2283" w:rsidP="001D2283">
      <w:pPr>
        <w:pStyle w:val="a3"/>
        <w:numPr>
          <w:ilvl w:val="0"/>
          <w:numId w:val="17"/>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нар</w:t>
      </w:r>
      <w:r w:rsidR="00EF111B" w:rsidRPr="00603B31">
        <w:rPr>
          <w:rFonts w:ascii="Times New Roman" w:hAnsi="Times New Roman" w:cs="Times New Roman"/>
          <w:sz w:val="28"/>
          <w:szCs w:val="28"/>
        </w:rPr>
        <w:t>ужный г</w:t>
      </w:r>
      <w:r w:rsidR="003062C0" w:rsidRPr="00603B31">
        <w:rPr>
          <w:rFonts w:ascii="Times New Roman" w:hAnsi="Times New Roman" w:cs="Times New Roman"/>
          <w:sz w:val="28"/>
          <w:szCs w:val="28"/>
        </w:rPr>
        <w:t>енитальный эндометриоз[</w:t>
      </w:r>
      <w:r w:rsidR="001769DF" w:rsidRPr="00603B31">
        <w:rPr>
          <w:rFonts w:ascii="Times New Roman" w:hAnsi="Times New Roman" w:cs="Times New Roman"/>
          <w:sz w:val="28"/>
          <w:szCs w:val="28"/>
          <w:lang w:val="en-US"/>
        </w:rPr>
        <w:t>1</w:t>
      </w:r>
      <w:r w:rsidR="001769DF" w:rsidRPr="00603B31">
        <w:rPr>
          <w:rFonts w:ascii="Times New Roman" w:hAnsi="Times New Roman" w:cs="Times New Roman"/>
          <w:sz w:val="28"/>
          <w:szCs w:val="28"/>
        </w:rPr>
        <w:t>4</w:t>
      </w:r>
      <w:r w:rsidRPr="00603B31">
        <w:rPr>
          <w:rFonts w:ascii="Times New Roman" w:hAnsi="Times New Roman" w:cs="Times New Roman"/>
          <w:sz w:val="28"/>
          <w:szCs w:val="28"/>
        </w:rPr>
        <w:t>];</w:t>
      </w:r>
    </w:p>
    <w:p w:rsidR="001D2283" w:rsidRPr="00603B31" w:rsidRDefault="001D2283" w:rsidP="001D2283">
      <w:pPr>
        <w:pStyle w:val="a3"/>
        <w:numPr>
          <w:ilvl w:val="0"/>
          <w:numId w:val="17"/>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аутоиммунный оофорит (при аутоиммунном тиреоидите, гипотиреозе и друг</w:t>
      </w:r>
      <w:r w:rsidR="001769DF" w:rsidRPr="00603B31">
        <w:rPr>
          <w:rFonts w:ascii="Times New Roman" w:hAnsi="Times New Roman" w:cs="Times New Roman"/>
          <w:sz w:val="28"/>
          <w:szCs w:val="28"/>
        </w:rPr>
        <w:t>их аутоиммунных заболеваниях)[4,21</w:t>
      </w:r>
      <w:r w:rsidRPr="00603B31">
        <w:rPr>
          <w:rFonts w:ascii="Times New Roman" w:hAnsi="Times New Roman" w:cs="Times New Roman"/>
          <w:sz w:val="28"/>
          <w:szCs w:val="28"/>
        </w:rPr>
        <w:t>];</w:t>
      </w:r>
    </w:p>
    <w:p w:rsidR="001D2283" w:rsidRPr="00603B31" w:rsidRDefault="001D2283" w:rsidP="001D2283">
      <w:pPr>
        <w:pStyle w:val="a3"/>
        <w:numPr>
          <w:ilvl w:val="0"/>
          <w:numId w:val="17"/>
        </w:numPr>
        <w:spacing w:line="360" w:lineRule="auto"/>
        <w:rPr>
          <w:rFonts w:ascii="Times New Roman" w:hAnsi="Times New Roman" w:cs="Times New Roman"/>
          <w:sz w:val="28"/>
          <w:szCs w:val="28"/>
        </w:rPr>
      </w:pPr>
      <w:r w:rsidRPr="00603B31">
        <w:rPr>
          <w:rFonts w:ascii="Times New Roman" w:hAnsi="Times New Roman" w:cs="Times New Roman"/>
          <w:sz w:val="28"/>
          <w:szCs w:val="28"/>
        </w:rPr>
        <w:t>влияние различных ятрогенных факторов (химио-, радиотерапия при онкологических заболеваниях)</w:t>
      </w:r>
      <w:r w:rsidR="00A467AF" w:rsidRPr="00603B31">
        <w:rPr>
          <w:rFonts w:ascii="Times New Roman" w:hAnsi="Times New Roman" w:cs="Times New Roman"/>
          <w:sz w:val="28"/>
          <w:szCs w:val="28"/>
        </w:rPr>
        <w:t>[</w:t>
      </w:r>
      <w:r w:rsidR="001769DF" w:rsidRPr="00603B31">
        <w:rPr>
          <w:rFonts w:ascii="Times New Roman" w:hAnsi="Times New Roman" w:cs="Times New Roman"/>
          <w:sz w:val="28"/>
          <w:szCs w:val="28"/>
        </w:rPr>
        <w:t>50</w:t>
      </w:r>
      <w:r w:rsidRPr="00603B31">
        <w:rPr>
          <w:rFonts w:ascii="Times New Roman" w:hAnsi="Times New Roman" w:cs="Times New Roman"/>
          <w:sz w:val="28"/>
          <w:szCs w:val="28"/>
        </w:rPr>
        <w:t>];</w:t>
      </w:r>
    </w:p>
    <w:p w:rsidR="001D2283" w:rsidRPr="00603B31" w:rsidRDefault="001D2283" w:rsidP="001D2283">
      <w:pPr>
        <w:pStyle w:val="a3"/>
        <w:numPr>
          <w:ilvl w:val="0"/>
          <w:numId w:val="17"/>
        </w:numPr>
        <w:spacing w:line="360" w:lineRule="auto"/>
        <w:rPr>
          <w:rFonts w:ascii="Times New Roman" w:hAnsi="Times New Roman" w:cs="Times New Roman"/>
          <w:sz w:val="28"/>
          <w:szCs w:val="28"/>
        </w:rPr>
      </w:pPr>
      <w:r w:rsidRPr="00603B31">
        <w:rPr>
          <w:rFonts w:ascii="Times New Roman" w:hAnsi="Times New Roman" w:cs="Times New Roman"/>
          <w:sz w:val="28"/>
          <w:szCs w:val="28"/>
        </w:rPr>
        <w:t>высокий ИМТ</w:t>
      </w:r>
      <w:r w:rsidR="001769DF" w:rsidRPr="00603B31">
        <w:rPr>
          <w:rFonts w:ascii="Times New Roman" w:hAnsi="Times New Roman" w:cs="Times New Roman"/>
          <w:sz w:val="28"/>
          <w:szCs w:val="28"/>
          <w:lang w:val="en-US"/>
        </w:rPr>
        <w:t>[</w:t>
      </w:r>
      <w:r w:rsidR="001769DF" w:rsidRPr="00603B31">
        <w:rPr>
          <w:rFonts w:ascii="Times New Roman" w:hAnsi="Times New Roman" w:cs="Times New Roman"/>
          <w:sz w:val="28"/>
          <w:szCs w:val="28"/>
        </w:rPr>
        <w:t>6</w:t>
      </w:r>
      <w:r w:rsidRPr="00603B31">
        <w:rPr>
          <w:rFonts w:ascii="Times New Roman" w:hAnsi="Times New Roman" w:cs="Times New Roman"/>
          <w:sz w:val="28"/>
          <w:szCs w:val="28"/>
          <w:lang w:val="en-US"/>
        </w:rPr>
        <w:t>]</w:t>
      </w:r>
      <w:r w:rsidRPr="00603B31">
        <w:rPr>
          <w:rFonts w:ascii="Times New Roman" w:hAnsi="Times New Roman" w:cs="Times New Roman"/>
          <w:sz w:val="28"/>
          <w:szCs w:val="28"/>
        </w:rPr>
        <w:t>;</w:t>
      </w:r>
    </w:p>
    <w:p w:rsidR="001D2283" w:rsidRPr="00603B31" w:rsidRDefault="00222EF9" w:rsidP="006A14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Среди причин ослабле</w:t>
      </w:r>
      <w:r w:rsidR="001D2283" w:rsidRPr="00603B31">
        <w:rPr>
          <w:rFonts w:ascii="Times New Roman" w:hAnsi="Times New Roman" w:cs="Times New Roman"/>
          <w:sz w:val="28"/>
          <w:szCs w:val="28"/>
        </w:rPr>
        <w:t xml:space="preserve">нной реакции на гонадотропины в случаях идиопатического бесплодия </w:t>
      </w:r>
      <w:r>
        <w:rPr>
          <w:rFonts w:ascii="Times New Roman" w:hAnsi="Times New Roman" w:cs="Times New Roman"/>
          <w:sz w:val="28"/>
          <w:szCs w:val="28"/>
        </w:rPr>
        <w:t>выделяют</w:t>
      </w:r>
      <w:r w:rsidR="001D2283" w:rsidRPr="00603B31">
        <w:rPr>
          <w:rFonts w:ascii="Times New Roman" w:hAnsi="Times New Roman" w:cs="Times New Roman"/>
          <w:sz w:val="28"/>
          <w:szCs w:val="28"/>
        </w:rPr>
        <w:t>:</w:t>
      </w:r>
    </w:p>
    <w:p w:rsidR="001D2283" w:rsidRPr="00603B31" w:rsidRDefault="001D2283" w:rsidP="001D2283">
      <w:pPr>
        <w:pStyle w:val="a3"/>
        <w:numPr>
          <w:ilvl w:val="0"/>
          <w:numId w:val="18"/>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образование аутоантител против растущих фолликулов с сохранением иммунологической толерантности к примордиальным и первичным фолликулам (в таких случаях аутоиммунный оофорит не сопровождается типичными гормональными и ультразвуковыми признаками</w:t>
      </w:r>
      <w:r w:rsidR="0063535F" w:rsidRPr="00603B31">
        <w:rPr>
          <w:rFonts w:ascii="Times New Roman" w:hAnsi="Times New Roman" w:cs="Times New Roman"/>
          <w:sz w:val="28"/>
          <w:szCs w:val="28"/>
        </w:rPr>
        <w:t xml:space="preserve"> редукции овариального резерва)</w:t>
      </w:r>
      <w:r w:rsidRPr="00603B31">
        <w:rPr>
          <w:rFonts w:ascii="Times New Roman" w:hAnsi="Times New Roman" w:cs="Times New Roman"/>
          <w:sz w:val="28"/>
          <w:szCs w:val="28"/>
        </w:rPr>
        <w:t>[</w:t>
      </w:r>
      <w:r w:rsidR="001769DF" w:rsidRPr="00603B31">
        <w:rPr>
          <w:rFonts w:ascii="Times New Roman" w:hAnsi="Times New Roman" w:cs="Times New Roman"/>
          <w:sz w:val="28"/>
          <w:szCs w:val="28"/>
        </w:rPr>
        <w:t>4,21</w:t>
      </w:r>
      <w:r w:rsidRPr="00603B31">
        <w:rPr>
          <w:rFonts w:ascii="Times New Roman" w:hAnsi="Times New Roman" w:cs="Times New Roman"/>
          <w:sz w:val="28"/>
          <w:szCs w:val="28"/>
        </w:rPr>
        <w:t>];</w:t>
      </w:r>
    </w:p>
    <w:p w:rsidR="001D2283" w:rsidRPr="00603B31" w:rsidRDefault="0063535F" w:rsidP="001D2283">
      <w:pPr>
        <w:pStyle w:val="a3"/>
        <w:numPr>
          <w:ilvl w:val="0"/>
          <w:numId w:val="18"/>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врождё</w:t>
      </w:r>
      <w:r w:rsidR="001D2283" w:rsidRPr="00603B31">
        <w:rPr>
          <w:rFonts w:ascii="Times New Roman" w:hAnsi="Times New Roman" w:cs="Times New Roman"/>
          <w:sz w:val="28"/>
          <w:szCs w:val="28"/>
        </w:rPr>
        <w:t xml:space="preserve">нные изменения ФСГ–рецепторов фолликулярного </w:t>
      </w:r>
      <w:r w:rsidR="00D16144">
        <w:rPr>
          <w:rFonts w:ascii="Times New Roman" w:hAnsi="Times New Roman" w:cs="Times New Roman"/>
          <w:sz w:val="28"/>
          <w:szCs w:val="28"/>
        </w:rPr>
        <w:t>аппарата</w:t>
      </w:r>
      <w:r w:rsidR="000B178D" w:rsidRPr="00603B31">
        <w:rPr>
          <w:rFonts w:ascii="Times New Roman" w:hAnsi="Times New Roman" w:cs="Times New Roman"/>
          <w:sz w:val="28"/>
          <w:szCs w:val="28"/>
        </w:rPr>
        <w:t>[</w:t>
      </w:r>
      <w:r w:rsidR="001769DF" w:rsidRPr="00603B31">
        <w:rPr>
          <w:rFonts w:ascii="Times New Roman" w:hAnsi="Times New Roman" w:cs="Times New Roman"/>
          <w:sz w:val="28"/>
          <w:szCs w:val="28"/>
        </w:rPr>
        <w:t>25,40</w:t>
      </w:r>
      <w:r w:rsidR="001D2283" w:rsidRPr="00603B31">
        <w:rPr>
          <w:rFonts w:ascii="Times New Roman" w:hAnsi="Times New Roman" w:cs="Times New Roman"/>
          <w:sz w:val="28"/>
          <w:szCs w:val="28"/>
        </w:rPr>
        <w:t>].</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Ослабленная реакция яичников на гонадотропины мо</w:t>
      </w:r>
      <w:r w:rsidR="0063535F" w:rsidRPr="00603B31">
        <w:rPr>
          <w:rFonts w:ascii="Times New Roman" w:hAnsi="Times New Roman" w:cs="Times New Roman"/>
          <w:sz w:val="28"/>
          <w:szCs w:val="28"/>
        </w:rPr>
        <w:t>жет наблюдаться также при врождё</w:t>
      </w:r>
      <w:r w:rsidRPr="00603B31">
        <w:rPr>
          <w:rFonts w:ascii="Times New Roman" w:hAnsi="Times New Roman" w:cs="Times New Roman"/>
          <w:sz w:val="28"/>
          <w:szCs w:val="28"/>
        </w:rPr>
        <w:t>нном полиморфизме молекул ЛГ (v-β-ЛГ)</w:t>
      </w:r>
      <w:r w:rsidR="001769DF" w:rsidRPr="00603B31">
        <w:rPr>
          <w:rFonts w:ascii="Times New Roman" w:hAnsi="Times New Roman" w:cs="Times New Roman"/>
          <w:sz w:val="28"/>
          <w:szCs w:val="28"/>
        </w:rPr>
        <w:t>[44</w:t>
      </w:r>
      <w:r w:rsidRPr="00603B31">
        <w:rPr>
          <w:rFonts w:ascii="Times New Roman" w:hAnsi="Times New Roman" w:cs="Times New Roman"/>
          <w:sz w:val="28"/>
          <w:szCs w:val="28"/>
        </w:rPr>
        <w:t>]. При структурных</w:t>
      </w:r>
      <w:r w:rsidR="006A14B6" w:rsidRPr="00603B31">
        <w:rPr>
          <w:rFonts w:ascii="Times New Roman" w:hAnsi="Times New Roman" w:cs="Times New Roman"/>
          <w:sz w:val="28"/>
          <w:szCs w:val="28"/>
        </w:rPr>
        <w:t xml:space="preserve"> </w:t>
      </w:r>
      <w:r w:rsidRPr="00603B31">
        <w:rPr>
          <w:rFonts w:ascii="Times New Roman" w:hAnsi="Times New Roman" w:cs="Times New Roman"/>
          <w:sz w:val="28"/>
          <w:szCs w:val="28"/>
        </w:rPr>
        <w:t>изменениях эндогенного ЛГ ослабляется чувствительность к ФСГ, поскольку молекулы v-β-ЛГ, в отличие от нормальных молекул ЛГ, не активируют синтез андрогенов (увел</w:t>
      </w:r>
      <w:r w:rsidR="0063535F" w:rsidRPr="00603B31">
        <w:rPr>
          <w:rFonts w:ascii="Times New Roman" w:hAnsi="Times New Roman" w:cs="Times New Roman"/>
          <w:sz w:val="28"/>
          <w:szCs w:val="28"/>
        </w:rPr>
        <w:t>ичивающих чувствительность ФСГ–</w:t>
      </w:r>
      <w:r w:rsidRPr="00603B31">
        <w:rPr>
          <w:rFonts w:ascii="Times New Roman" w:hAnsi="Times New Roman" w:cs="Times New Roman"/>
          <w:sz w:val="28"/>
          <w:szCs w:val="28"/>
        </w:rPr>
        <w:t xml:space="preserve">рецепторов) и </w:t>
      </w:r>
      <w:r w:rsidR="00D16144">
        <w:rPr>
          <w:rFonts w:ascii="Times New Roman" w:hAnsi="Times New Roman" w:cs="Times New Roman"/>
          <w:sz w:val="28"/>
          <w:szCs w:val="28"/>
        </w:rPr>
        <w:t xml:space="preserve">тем самым </w:t>
      </w:r>
      <w:r w:rsidRPr="00603B31">
        <w:rPr>
          <w:rFonts w:ascii="Times New Roman" w:hAnsi="Times New Roman" w:cs="Times New Roman"/>
          <w:sz w:val="28"/>
          <w:szCs w:val="28"/>
        </w:rPr>
        <w:t xml:space="preserve">не обеспечивают </w:t>
      </w:r>
      <w:r w:rsidR="00D16144">
        <w:rPr>
          <w:rFonts w:ascii="Times New Roman" w:hAnsi="Times New Roman" w:cs="Times New Roman"/>
          <w:sz w:val="28"/>
          <w:szCs w:val="28"/>
        </w:rPr>
        <w:t xml:space="preserve">должным образом </w:t>
      </w:r>
      <w:r w:rsidRPr="00603B31">
        <w:rPr>
          <w:rFonts w:ascii="Times New Roman" w:hAnsi="Times New Roman" w:cs="Times New Roman"/>
          <w:sz w:val="28"/>
          <w:szCs w:val="28"/>
        </w:rPr>
        <w:t>поддержание стимулирующего эффекта ФСГ на индуцируемый фолликулогенез</w:t>
      </w:r>
      <w:r w:rsidR="001769DF" w:rsidRPr="00603B31">
        <w:rPr>
          <w:rFonts w:ascii="Times New Roman" w:hAnsi="Times New Roman" w:cs="Times New Roman"/>
          <w:sz w:val="28"/>
          <w:szCs w:val="28"/>
        </w:rPr>
        <w:t>[45</w:t>
      </w:r>
      <w:r w:rsidRPr="00603B31">
        <w:rPr>
          <w:rFonts w:ascii="Times New Roman" w:hAnsi="Times New Roman" w:cs="Times New Roman"/>
          <w:sz w:val="28"/>
          <w:szCs w:val="28"/>
        </w:rPr>
        <w:t>].</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Непредвиденный «слабый» овариальный ответ может встречаться у группы пациенток молодого возраста, имеющих нормальные результаты предварительного обследования, у которых отсутст</w:t>
      </w:r>
      <w:r w:rsidR="00371288" w:rsidRPr="00603B31">
        <w:rPr>
          <w:rFonts w:ascii="Times New Roman" w:hAnsi="Times New Roman" w:cs="Times New Roman"/>
          <w:sz w:val="28"/>
          <w:szCs w:val="28"/>
        </w:rPr>
        <w:t>вуют доказанные причины «слабого</w:t>
      </w:r>
      <w:r w:rsidRPr="00603B31">
        <w:rPr>
          <w:rFonts w:ascii="Times New Roman" w:hAnsi="Times New Roman" w:cs="Times New Roman"/>
          <w:sz w:val="28"/>
          <w:szCs w:val="28"/>
        </w:rPr>
        <w:t xml:space="preserve">» ответа на стимуляцию функции яичников. Лечение таких </w:t>
      </w:r>
      <w:r w:rsidR="001E475D" w:rsidRPr="00603B31">
        <w:rPr>
          <w:rFonts w:ascii="Times New Roman" w:hAnsi="Times New Roman" w:cs="Times New Roman"/>
          <w:sz w:val="28"/>
          <w:szCs w:val="28"/>
        </w:rPr>
        <w:t>пациенток</w:t>
      </w:r>
      <w:r w:rsidRPr="00603B31">
        <w:rPr>
          <w:rFonts w:ascii="Times New Roman" w:hAnsi="Times New Roman" w:cs="Times New Roman"/>
          <w:sz w:val="28"/>
          <w:szCs w:val="28"/>
        </w:rPr>
        <w:t xml:space="preserve"> </w:t>
      </w:r>
      <w:r w:rsidR="00D16144">
        <w:rPr>
          <w:rFonts w:ascii="Times New Roman" w:hAnsi="Times New Roman" w:cs="Times New Roman"/>
          <w:sz w:val="28"/>
          <w:szCs w:val="28"/>
        </w:rPr>
        <w:t xml:space="preserve">является </w:t>
      </w:r>
      <w:r w:rsidRPr="00603B31">
        <w:rPr>
          <w:rFonts w:ascii="Times New Roman" w:hAnsi="Times New Roman" w:cs="Times New Roman"/>
          <w:sz w:val="28"/>
          <w:szCs w:val="28"/>
        </w:rPr>
        <w:t>о</w:t>
      </w:r>
      <w:r w:rsidR="00D16144">
        <w:rPr>
          <w:rFonts w:ascii="Times New Roman" w:hAnsi="Times New Roman" w:cs="Times New Roman"/>
          <w:sz w:val="28"/>
          <w:szCs w:val="28"/>
        </w:rPr>
        <w:t>дной</w:t>
      </w:r>
      <w:r w:rsidR="001E475D" w:rsidRPr="00603B31">
        <w:rPr>
          <w:rFonts w:ascii="Times New Roman" w:hAnsi="Times New Roman" w:cs="Times New Roman"/>
          <w:sz w:val="28"/>
          <w:szCs w:val="28"/>
        </w:rPr>
        <w:t xml:space="preserve"> из наиболее трудных и нерешё</w:t>
      </w:r>
      <w:r w:rsidRPr="00603B31">
        <w:rPr>
          <w:rFonts w:ascii="Times New Roman" w:hAnsi="Times New Roman" w:cs="Times New Roman"/>
          <w:sz w:val="28"/>
          <w:szCs w:val="28"/>
        </w:rPr>
        <w:t>нных проблем в репродуктивной медицине.</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Padhy N. </w:t>
      </w:r>
      <w:r w:rsidRPr="00603B31">
        <w:rPr>
          <w:rFonts w:ascii="Times New Roman" w:hAnsi="Times New Roman" w:cs="Times New Roman"/>
          <w:iCs/>
          <w:sz w:val="28"/>
          <w:szCs w:val="28"/>
        </w:rPr>
        <w:t>et al</w:t>
      </w:r>
      <w:r w:rsidRPr="00603B31">
        <w:rPr>
          <w:rFonts w:ascii="Times New Roman" w:hAnsi="Times New Roman" w:cs="Times New Roman"/>
          <w:sz w:val="28"/>
          <w:szCs w:val="28"/>
        </w:rPr>
        <w:t>. (2008) ретроспективно исследовали различные факторы риска</w:t>
      </w:r>
      <w:r w:rsidR="006A14B6" w:rsidRPr="00603B31">
        <w:rPr>
          <w:rFonts w:ascii="Times New Roman" w:hAnsi="Times New Roman" w:cs="Times New Roman"/>
          <w:sz w:val="28"/>
          <w:szCs w:val="28"/>
        </w:rPr>
        <w:t xml:space="preserve"> </w:t>
      </w:r>
      <w:r w:rsidRPr="00603B31">
        <w:rPr>
          <w:rFonts w:ascii="Times New Roman" w:hAnsi="Times New Roman" w:cs="Times New Roman"/>
          <w:sz w:val="28"/>
          <w:szCs w:val="28"/>
        </w:rPr>
        <w:t xml:space="preserve">у 104 пациенток со «слабым» овариальным ответом. Изучались такие факторы риска, как возраст, ИМТ, вид бесплодия, продолжительность бесплодия, а также влияние внешних факторов: стресс на работе, курение, наличие операций на органах малого таза в анамнезе, предыдущие попытки ЭКО, базальный уровень ФСГ, средний возраст наступления менопаузы у их матерей. Возраст, указание на </w:t>
      </w:r>
      <w:r w:rsidR="00CE26BC">
        <w:rPr>
          <w:rFonts w:ascii="Times New Roman" w:hAnsi="Times New Roman" w:cs="Times New Roman"/>
          <w:sz w:val="28"/>
          <w:szCs w:val="28"/>
        </w:rPr>
        <w:t xml:space="preserve">хирургические вмешательства на органах малого таза </w:t>
      </w:r>
      <w:r w:rsidRPr="00603B31">
        <w:rPr>
          <w:rFonts w:ascii="Times New Roman" w:hAnsi="Times New Roman" w:cs="Times New Roman"/>
          <w:sz w:val="28"/>
          <w:szCs w:val="28"/>
        </w:rPr>
        <w:t>и наследственность были основными предикторами «слабого» овариального ответа. Так, возраст старше 35 лет наблюдался у 60% женщин со «слабым» овариальным ответом и 36,4% женщин контрольной группы, что было статистически значимо. Средний возраст наступления менопаузы у матерей был на 4 года меньше в группе женщин со «слабым» овариальным ответом. Значительная часть женщин со «слабым» овариальным ответом (31,7%) имела в анамнезе операции на органах малого таза</w:t>
      </w:r>
      <w:r w:rsidR="00FE3B14" w:rsidRPr="00603B31">
        <w:rPr>
          <w:rFonts w:ascii="Times New Roman" w:hAnsi="Times New Roman" w:cs="Times New Roman"/>
          <w:sz w:val="28"/>
          <w:szCs w:val="28"/>
        </w:rPr>
        <w:t>[</w:t>
      </w:r>
      <w:r w:rsidR="001769DF" w:rsidRPr="00603B31">
        <w:rPr>
          <w:rFonts w:ascii="Times New Roman" w:hAnsi="Times New Roman" w:cs="Times New Roman"/>
          <w:sz w:val="28"/>
          <w:szCs w:val="28"/>
        </w:rPr>
        <w:t>58</w:t>
      </w:r>
      <w:r w:rsidRPr="00603B31">
        <w:rPr>
          <w:rFonts w:ascii="Times New Roman" w:hAnsi="Times New Roman" w:cs="Times New Roman"/>
          <w:sz w:val="28"/>
          <w:szCs w:val="28"/>
        </w:rPr>
        <w:t>].</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Негативное влияние на результаты ЭКО </w:t>
      </w:r>
      <w:r w:rsidR="00D16144">
        <w:rPr>
          <w:rFonts w:ascii="Times New Roman" w:hAnsi="Times New Roman" w:cs="Times New Roman"/>
          <w:sz w:val="28"/>
          <w:szCs w:val="28"/>
        </w:rPr>
        <w:t xml:space="preserve">у пациенток со «слабым ответом» яичников </w:t>
      </w:r>
      <w:r w:rsidRPr="00603B31">
        <w:rPr>
          <w:rFonts w:ascii="Times New Roman" w:hAnsi="Times New Roman" w:cs="Times New Roman"/>
          <w:sz w:val="28"/>
          <w:szCs w:val="28"/>
        </w:rPr>
        <w:t>на стимуляторы ов</w:t>
      </w:r>
      <w:r w:rsidR="00D16144">
        <w:rPr>
          <w:rFonts w:ascii="Times New Roman" w:hAnsi="Times New Roman" w:cs="Times New Roman"/>
          <w:sz w:val="28"/>
          <w:szCs w:val="28"/>
        </w:rPr>
        <w:t xml:space="preserve">уляции состоит в затруднении , а порой и в </w:t>
      </w:r>
      <w:r w:rsidRPr="00603B31">
        <w:rPr>
          <w:rFonts w:ascii="Times New Roman" w:hAnsi="Times New Roman" w:cs="Times New Roman"/>
          <w:sz w:val="28"/>
          <w:szCs w:val="28"/>
        </w:rPr>
        <w:t xml:space="preserve">невозможности обеспечения этапа переноса эмбрионов. Отмечается снижение эффективности ЭКО за счет учащения случаев прерывания </w:t>
      </w:r>
      <w:r w:rsidR="00D16144">
        <w:rPr>
          <w:rFonts w:ascii="Times New Roman" w:hAnsi="Times New Roman" w:cs="Times New Roman"/>
          <w:sz w:val="28"/>
          <w:szCs w:val="28"/>
        </w:rPr>
        <w:t>цикла</w:t>
      </w:r>
      <w:r w:rsidRPr="00603B31">
        <w:rPr>
          <w:rFonts w:ascii="Times New Roman" w:hAnsi="Times New Roman" w:cs="Times New Roman"/>
          <w:sz w:val="28"/>
          <w:szCs w:val="28"/>
        </w:rPr>
        <w:t xml:space="preserve"> при невозможности получения хотя бы одного эмбриона приемлемого качества. В программах ЭКО лишь большое количество получаемых фолликулов (8-12) и, как следствие, ооцитов (6-10) и эмбрионов (5-8) позволяет отобрать для переноса наилучшие по качеству</w:t>
      </w:r>
    </w:p>
    <w:p w:rsidR="001D2283" w:rsidRPr="00603B31" w:rsidRDefault="001D2283" w:rsidP="001D2283">
      <w:p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эмбрионы</w:t>
      </w:r>
      <w:r w:rsidR="00D16144">
        <w:rPr>
          <w:rFonts w:ascii="Times New Roman" w:hAnsi="Times New Roman" w:cs="Times New Roman"/>
          <w:sz w:val="28"/>
          <w:szCs w:val="28"/>
        </w:rPr>
        <w:t xml:space="preserve"> </w:t>
      </w:r>
      <w:r w:rsidRPr="00603B31">
        <w:rPr>
          <w:rFonts w:ascii="Times New Roman" w:hAnsi="Times New Roman" w:cs="Times New Roman"/>
          <w:sz w:val="28"/>
          <w:szCs w:val="28"/>
        </w:rPr>
        <w:t>в достаточном количестве (оптимально – три)</w:t>
      </w:r>
      <w:r w:rsidR="000B178D" w:rsidRPr="00603B31">
        <w:rPr>
          <w:rFonts w:ascii="Times New Roman" w:hAnsi="Times New Roman" w:cs="Times New Roman"/>
          <w:sz w:val="28"/>
          <w:szCs w:val="28"/>
        </w:rPr>
        <w:t>[</w:t>
      </w:r>
      <w:r w:rsidR="001769DF" w:rsidRPr="00603B31">
        <w:rPr>
          <w:rFonts w:ascii="Times New Roman" w:hAnsi="Times New Roman" w:cs="Times New Roman"/>
          <w:sz w:val="28"/>
          <w:szCs w:val="28"/>
        </w:rPr>
        <w:t>23</w:t>
      </w:r>
      <w:r w:rsidRPr="00603B31">
        <w:rPr>
          <w:rFonts w:ascii="Times New Roman" w:hAnsi="Times New Roman" w:cs="Times New Roman"/>
          <w:sz w:val="28"/>
          <w:szCs w:val="28"/>
        </w:rPr>
        <w:t>]</w:t>
      </w:r>
      <w:r w:rsidR="009A2C90" w:rsidRPr="00603B31">
        <w:rPr>
          <w:rFonts w:ascii="Times New Roman" w:hAnsi="Times New Roman" w:cs="Times New Roman"/>
          <w:sz w:val="28"/>
          <w:szCs w:val="28"/>
        </w:rPr>
        <w:t xml:space="preserve">. При общем </w:t>
      </w:r>
      <w:r w:rsidRPr="00603B31">
        <w:rPr>
          <w:rFonts w:ascii="Times New Roman" w:hAnsi="Times New Roman" w:cs="Times New Roman"/>
          <w:sz w:val="28"/>
          <w:szCs w:val="28"/>
        </w:rPr>
        <w:t>числе получ</w:t>
      </w:r>
      <w:r w:rsidR="009A2C90" w:rsidRPr="00603B31">
        <w:rPr>
          <w:rFonts w:ascii="Times New Roman" w:hAnsi="Times New Roman" w:cs="Times New Roman"/>
          <w:sz w:val="28"/>
          <w:szCs w:val="28"/>
        </w:rPr>
        <w:t>енных эмбрионов от одного до трё</w:t>
      </w:r>
      <w:r w:rsidRPr="00603B31">
        <w:rPr>
          <w:rFonts w:ascii="Times New Roman" w:hAnsi="Times New Roman" w:cs="Times New Roman"/>
          <w:sz w:val="28"/>
          <w:szCs w:val="28"/>
        </w:rPr>
        <w:t>х проблема отбора стано</w:t>
      </w:r>
      <w:r w:rsidR="00D16144">
        <w:rPr>
          <w:rFonts w:ascii="Times New Roman" w:hAnsi="Times New Roman" w:cs="Times New Roman"/>
          <w:sz w:val="28"/>
          <w:szCs w:val="28"/>
        </w:rPr>
        <w:t xml:space="preserve">вится практически неразрешимой, в результате чего закономерно </w:t>
      </w:r>
      <w:r w:rsidRPr="00603B31">
        <w:rPr>
          <w:rFonts w:ascii="Times New Roman" w:hAnsi="Times New Roman" w:cs="Times New Roman"/>
          <w:sz w:val="28"/>
          <w:szCs w:val="28"/>
        </w:rPr>
        <w:t>приходится использовать для переноса не лучшие эмбрионы, а те, что есть, или вообще прерывать цикл при наличии очевидных дефектов раннего эмбриогенеза (отсутствие дробления, морфологические дегенеративные признаки)</w:t>
      </w:r>
      <w:r w:rsidR="003062C0" w:rsidRPr="00603B31">
        <w:rPr>
          <w:rFonts w:ascii="Times New Roman" w:hAnsi="Times New Roman" w:cs="Times New Roman"/>
          <w:sz w:val="28"/>
          <w:szCs w:val="28"/>
        </w:rPr>
        <w:t>[</w:t>
      </w:r>
      <w:r w:rsidR="00A467AF" w:rsidRPr="00603B31">
        <w:rPr>
          <w:rFonts w:ascii="Times New Roman" w:hAnsi="Times New Roman" w:cs="Times New Roman"/>
          <w:sz w:val="28"/>
          <w:szCs w:val="28"/>
        </w:rPr>
        <w:t>1</w:t>
      </w:r>
      <w:r w:rsidR="001769DF" w:rsidRPr="00603B31">
        <w:rPr>
          <w:rFonts w:ascii="Times New Roman" w:hAnsi="Times New Roman" w:cs="Times New Roman"/>
          <w:sz w:val="28"/>
          <w:szCs w:val="28"/>
        </w:rPr>
        <w:t>4</w:t>
      </w:r>
      <w:r w:rsidRPr="00603B31">
        <w:rPr>
          <w:rFonts w:ascii="Times New Roman" w:hAnsi="Times New Roman" w:cs="Times New Roman"/>
          <w:sz w:val="28"/>
          <w:szCs w:val="28"/>
        </w:rPr>
        <w:t xml:space="preserve">]. Таким образом, при </w:t>
      </w:r>
      <w:r w:rsidR="00371288" w:rsidRPr="00603B31">
        <w:rPr>
          <w:rFonts w:ascii="Times New Roman" w:hAnsi="Times New Roman" w:cs="Times New Roman"/>
          <w:sz w:val="28"/>
          <w:szCs w:val="28"/>
        </w:rPr>
        <w:t>«</w:t>
      </w:r>
      <w:r w:rsidRPr="00603B31">
        <w:rPr>
          <w:rFonts w:ascii="Times New Roman" w:hAnsi="Times New Roman" w:cs="Times New Roman"/>
          <w:sz w:val="28"/>
          <w:szCs w:val="28"/>
        </w:rPr>
        <w:t>слабом ответе</w:t>
      </w:r>
      <w:r w:rsidR="00371288" w:rsidRPr="00603B31">
        <w:rPr>
          <w:rFonts w:ascii="Times New Roman" w:hAnsi="Times New Roman" w:cs="Times New Roman"/>
          <w:sz w:val="28"/>
          <w:szCs w:val="28"/>
        </w:rPr>
        <w:t>»</w:t>
      </w:r>
      <w:r w:rsidRPr="00603B31">
        <w:rPr>
          <w:rFonts w:ascii="Times New Roman" w:hAnsi="Times New Roman" w:cs="Times New Roman"/>
          <w:sz w:val="28"/>
          <w:szCs w:val="28"/>
        </w:rPr>
        <w:t xml:space="preserve"> отбор ооцитов и эмбрионов основывается не</w:t>
      </w:r>
      <w:r w:rsidR="00D16144">
        <w:rPr>
          <w:rFonts w:ascii="Times New Roman" w:hAnsi="Times New Roman" w:cs="Times New Roman"/>
          <w:sz w:val="28"/>
          <w:szCs w:val="28"/>
        </w:rPr>
        <w:t xml:space="preserve"> столько на показателе качества, сколько </w:t>
      </w:r>
      <w:r w:rsidRPr="00603B31">
        <w:rPr>
          <w:rFonts w:ascii="Times New Roman" w:hAnsi="Times New Roman" w:cs="Times New Roman"/>
          <w:sz w:val="28"/>
          <w:szCs w:val="28"/>
        </w:rPr>
        <w:t>на характеристике жизнеспособности, что снижает эффективность лечения</w:t>
      </w:r>
      <w:r w:rsidR="003062C0" w:rsidRPr="00603B31">
        <w:rPr>
          <w:rFonts w:ascii="Times New Roman" w:hAnsi="Times New Roman" w:cs="Times New Roman"/>
          <w:sz w:val="28"/>
          <w:szCs w:val="28"/>
        </w:rPr>
        <w:t>[</w:t>
      </w:r>
      <w:r w:rsidR="001872C2" w:rsidRPr="00603B31">
        <w:rPr>
          <w:rFonts w:ascii="Times New Roman" w:hAnsi="Times New Roman" w:cs="Times New Roman"/>
          <w:sz w:val="28"/>
          <w:szCs w:val="28"/>
        </w:rPr>
        <w:t>10</w:t>
      </w:r>
      <w:r w:rsidRPr="00603B31">
        <w:rPr>
          <w:rFonts w:ascii="Times New Roman" w:hAnsi="Times New Roman" w:cs="Times New Roman"/>
          <w:sz w:val="28"/>
          <w:szCs w:val="28"/>
        </w:rPr>
        <w:t>].</w:t>
      </w:r>
    </w:p>
    <w:p w:rsidR="001D2283" w:rsidRPr="00D16144" w:rsidRDefault="00D16144" w:rsidP="001D2283">
      <w:pPr>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Следует заметить, что </w:t>
      </w:r>
      <w:r w:rsidR="001D2283" w:rsidRPr="00603B31">
        <w:rPr>
          <w:rFonts w:ascii="Times New Roman" w:hAnsi="Times New Roman" w:cs="Times New Roman"/>
          <w:iCs/>
          <w:sz w:val="28"/>
          <w:szCs w:val="28"/>
        </w:rPr>
        <w:t xml:space="preserve">максимальную способность к имплантации имеют эмбрионы класса </w:t>
      </w:r>
      <w:r w:rsidR="001D2283" w:rsidRPr="00603B31">
        <w:rPr>
          <w:rFonts w:ascii="Times New Roman" w:hAnsi="Times New Roman" w:cs="Times New Roman"/>
          <w:iCs/>
          <w:sz w:val="28"/>
          <w:szCs w:val="28"/>
          <w:lang w:val="en-US"/>
        </w:rPr>
        <w:t>A</w:t>
      </w:r>
      <w:r w:rsidR="001D2283" w:rsidRPr="00603B31">
        <w:rPr>
          <w:rFonts w:ascii="Times New Roman" w:hAnsi="Times New Roman" w:cs="Times New Roman"/>
          <w:iCs/>
          <w:sz w:val="28"/>
          <w:szCs w:val="28"/>
        </w:rPr>
        <w:t xml:space="preserve"> и </w:t>
      </w:r>
      <w:r w:rsidR="001D2283" w:rsidRPr="00603B31">
        <w:rPr>
          <w:rFonts w:ascii="Times New Roman" w:hAnsi="Times New Roman" w:cs="Times New Roman"/>
          <w:iCs/>
          <w:sz w:val="28"/>
          <w:szCs w:val="28"/>
          <w:lang w:val="en-US"/>
        </w:rPr>
        <w:t>B</w:t>
      </w:r>
      <w:r w:rsidR="009A2C90" w:rsidRPr="00603B31">
        <w:rPr>
          <w:rFonts w:ascii="Times New Roman" w:hAnsi="Times New Roman" w:cs="Times New Roman"/>
          <w:iCs/>
          <w:sz w:val="28"/>
          <w:szCs w:val="28"/>
        </w:rPr>
        <w:t xml:space="preserve"> по шкале </w:t>
      </w:r>
      <w:r w:rsidR="009A2C90" w:rsidRPr="00603B31">
        <w:rPr>
          <w:rFonts w:ascii="Times New Roman" w:hAnsi="Times New Roman" w:cs="Times New Roman"/>
          <w:iCs/>
          <w:sz w:val="28"/>
          <w:szCs w:val="28"/>
          <w:lang w:val="en-US"/>
        </w:rPr>
        <w:t>Van</w:t>
      </w:r>
      <w:r w:rsidR="009A2C90" w:rsidRPr="00603B31">
        <w:rPr>
          <w:rFonts w:ascii="Times New Roman" w:hAnsi="Times New Roman" w:cs="Times New Roman"/>
          <w:iCs/>
          <w:sz w:val="28"/>
          <w:szCs w:val="28"/>
        </w:rPr>
        <w:t>-</w:t>
      </w:r>
      <w:r w:rsidR="009A2C90" w:rsidRPr="00603B31">
        <w:rPr>
          <w:rFonts w:ascii="Times New Roman" w:hAnsi="Times New Roman" w:cs="Times New Roman"/>
          <w:sz w:val="28"/>
          <w:szCs w:val="28"/>
          <w:lang w:val="en-US"/>
        </w:rPr>
        <w:t>Steiterghem</w:t>
      </w:r>
      <w:r w:rsidR="009433A9" w:rsidRPr="00603B31">
        <w:rPr>
          <w:rFonts w:ascii="Times New Roman" w:hAnsi="Times New Roman" w:cs="Times New Roman"/>
          <w:iCs/>
          <w:sz w:val="28"/>
          <w:szCs w:val="28"/>
        </w:rPr>
        <w:t>[76</w:t>
      </w:r>
      <w:r w:rsidR="009A2C90" w:rsidRPr="00603B31">
        <w:rPr>
          <w:rFonts w:ascii="Times New Roman" w:hAnsi="Times New Roman" w:cs="Times New Roman"/>
          <w:iCs/>
          <w:sz w:val="28"/>
          <w:szCs w:val="28"/>
        </w:rPr>
        <w:t>]</w:t>
      </w:r>
      <w:r w:rsidR="001D2283" w:rsidRPr="00603B31">
        <w:rPr>
          <w:rFonts w:ascii="Times New Roman" w:hAnsi="Times New Roman" w:cs="Times New Roman"/>
          <w:iCs/>
          <w:sz w:val="28"/>
          <w:szCs w:val="28"/>
        </w:rPr>
        <w:t>. Около 20% переносимых эмбри</w:t>
      </w:r>
      <w:r>
        <w:rPr>
          <w:rFonts w:ascii="Times New Roman" w:hAnsi="Times New Roman" w:cs="Times New Roman"/>
          <w:iCs/>
          <w:sz w:val="28"/>
          <w:szCs w:val="28"/>
        </w:rPr>
        <w:t>онов класса А–В имплантируются</w:t>
      </w:r>
      <w:r w:rsidR="003062C0" w:rsidRPr="00603B31">
        <w:rPr>
          <w:rFonts w:ascii="Times New Roman" w:hAnsi="Times New Roman" w:cs="Times New Roman"/>
          <w:iCs/>
          <w:sz w:val="28"/>
          <w:szCs w:val="28"/>
        </w:rPr>
        <w:t>[</w:t>
      </w:r>
      <w:r w:rsidR="00A467AF" w:rsidRPr="00603B31">
        <w:rPr>
          <w:rFonts w:ascii="Times New Roman" w:hAnsi="Times New Roman" w:cs="Times New Roman"/>
          <w:iCs/>
          <w:sz w:val="28"/>
          <w:szCs w:val="28"/>
        </w:rPr>
        <w:t>1</w:t>
      </w:r>
      <w:r w:rsidR="001872C2" w:rsidRPr="00603B31">
        <w:rPr>
          <w:rFonts w:ascii="Times New Roman" w:hAnsi="Times New Roman" w:cs="Times New Roman"/>
          <w:iCs/>
          <w:sz w:val="28"/>
          <w:szCs w:val="28"/>
        </w:rPr>
        <w:t>4</w:t>
      </w:r>
      <w:r w:rsidR="001D2283" w:rsidRPr="00603B31">
        <w:rPr>
          <w:rFonts w:ascii="Times New Roman" w:hAnsi="Times New Roman" w:cs="Times New Roman"/>
          <w:iCs/>
          <w:sz w:val="28"/>
          <w:szCs w:val="28"/>
        </w:rPr>
        <w:t>].</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«Слабый ответ» яичников на стимуляцию суперовуляции в программах ЭКО является одно</w:t>
      </w:r>
      <w:r w:rsidR="00371288" w:rsidRPr="00603B31">
        <w:rPr>
          <w:rFonts w:ascii="Times New Roman" w:hAnsi="Times New Roman" w:cs="Times New Roman"/>
          <w:sz w:val="28"/>
          <w:szCs w:val="28"/>
        </w:rPr>
        <w:t>й из сложнейших задач, с которыми</w:t>
      </w:r>
      <w:r w:rsidRPr="00603B31">
        <w:rPr>
          <w:rFonts w:ascii="Times New Roman" w:hAnsi="Times New Roman" w:cs="Times New Roman"/>
          <w:sz w:val="28"/>
          <w:szCs w:val="28"/>
        </w:rPr>
        <w:t xml:space="preserve"> сталкиваются репродуктологи. </w:t>
      </w:r>
      <w:r w:rsidR="00CE26BC">
        <w:rPr>
          <w:rFonts w:ascii="Times New Roman" w:hAnsi="Times New Roman" w:cs="Times New Roman"/>
          <w:sz w:val="28"/>
          <w:szCs w:val="28"/>
        </w:rPr>
        <w:t xml:space="preserve">Систематизированный обзор </w:t>
      </w:r>
      <w:r w:rsidRPr="00603B31">
        <w:rPr>
          <w:rFonts w:ascii="Times New Roman" w:hAnsi="Times New Roman" w:cs="Times New Roman"/>
          <w:sz w:val="28"/>
          <w:szCs w:val="28"/>
          <w:lang w:val="en-US"/>
        </w:rPr>
        <w:t>Cochrane</w:t>
      </w:r>
      <w:r w:rsidRPr="00603B31">
        <w:rPr>
          <w:rFonts w:ascii="Times New Roman" w:hAnsi="Times New Roman" w:cs="Times New Roman"/>
          <w:sz w:val="28"/>
          <w:szCs w:val="28"/>
        </w:rPr>
        <w:t xml:space="preserve"> (2010) по лечению бесплодия у пациенток со «слабым ответом» заключил, что не существует достоверно эффективного метода терапии, которой мог бы быть рекомендован</w:t>
      </w:r>
      <w:r w:rsidR="00FE3B14" w:rsidRPr="00603B31">
        <w:rPr>
          <w:rFonts w:ascii="Times New Roman" w:hAnsi="Times New Roman" w:cs="Times New Roman"/>
          <w:sz w:val="28"/>
          <w:szCs w:val="28"/>
        </w:rPr>
        <w:t>[</w:t>
      </w:r>
      <w:r w:rsidR="001872C2" w:rsidRPr="00603B31">
        <w:rPr>
          <w:rFonts w:ascii="Times New Roman" w:hAnsi="Times New Roman" w:cs="Times New Roman"/>
          <w:sz w:val="28"/>
          <w:szCs w:val="28"/>
        </w:rPr>
        <w:t>60</w:t>
      </w:r>
      <w:r w:rsidRPr="00603B31">
        <w:rPr>
          <w:rFonts w:ascii="Times New Roman" w:hAnsi="Times New Roman" w:cs="Times New Roman"/>
          <w:sz w:val="28"/>
          <w:szCs w:val="28"/>
        </w:rPr>
        <w:t xml:space="preserve">]. Таким образом, ведение таких пациенток требует особого внимания в рамках </w:t>
      </w:r>
      <w:r w:rsidR="00D16144">
        <w:rPr>
          <w:rFonts w:ascii="Times New Roman" w:hAnsi="Times New Roman" w:cs="Times New Roman"/>
          <w:sz w:val="28"/>
          <w:szCs w:val="28"/>
        </w:rPr>
        <w:t xml:space="preserve">современных </w:t>
      </w:r>
      <w:r w:rsidRPr="00603B31">
        <w:rPr>
          <w:rFonts w:ascii="Times New Roman" w:hAnsi="Times New Roman" w:cs="Times New Roman"/>
          <w:sz w:val="28"/>
          <w:szCs w:val="28"/>
        </w:rPr>
        <w:t>вспомогательных репродуктивных технологий.</w:t>
      </w:r>
    </w:p>
    <w:p w:rsidR="001D2283" w:rsidRPr="00603B31" w:rsidRDefault="00371288" w:rsidP="008028E5">
      <w:pPr>
        <w:autoSpaceDE w:val="0"/>
        <w:autoSpaceDN w:val="0"/>
        <w:adjustRightInd w:val="0"/>
        <w:spacing w:after="0" w:line="360" w:lineRule="auto"/>
        <w:ind w:firstLine="708"/>
        <w:rPr>
          <w:rFonts w:ascii="Times New Roman" w:eastAsia="MyriadPro-Light" w:hAnsi="Times New Roman" w:cs="Times New Roman"/>
          <w:sz w:val="28"/>
          <w:szCs w:val="28"/>
        </w:rPr>
      </w:pPr>
      <w:r w:rsidRPr="00603B31">
        <w:rPr>
          <w:rFonts w:ascii="Times New Roman" w:eastAsia="TimesNewRomanPSMT" w:hAnsi="Times New Roman" w:cs="Times New Roman"/>
          <w:sz w:val="28"/>
          <w:szCs w:val="28"/>
        </w:rPr>
        <w:t xml:space="preserve">Для улучшения овариального ответа предлагаются различные режимы стимуляции: использование коротких протоколов стимуляции, уменьшение дозы агонистов гонадотропин-рилизинг гормона (а-ГнРГ), использование антагонистов гонадотропин-рилизинг </w:t>
      </w:r>
      <w:r w:rsidR="008028E5" w:rsidRPr="00603B31">
        <w:rPr>
          <w:rFonts w:ascii="Times New Roman" w:eastAsia="TimesNewRomanPSMT" w:hAnsi="Times New Roman" w:cs="Times New Roman"/>
          <w:sz w:val="28"/>
          <w:szCs w:val="28"/>
        </w:rPr>
        <w:t xml:space="preserve">гормона (ант-ГнРГ), использование препаратов андрогенов и прочее. </w:t>
      </w:r>
      <w:r w:rsidR="001D2283" w:rsidRPr="00603B31">
        <w:rPr>
          <w:rFonts w:ascii="Times New Roman" w:hAnsi="Times New Roman" w:cs="Times New Roman"/>
          <w:sz w:val="28"/>
          <w:szCs w:val="28"/>
        </w:rPr>
        <w:t xml:space="preserve">В литературе существует множество клинических исследований, сравнивающих эффекты от аналогов гонадотропинов на женщин со «слабым ответом» на стимуляцию суперовуляции. </w:t>
      </w:r>
    </w:p>
    <w:p w:rsidR="001D2283" w:rsidRPr="00603B31" w:rsidRDefault="006D603A"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Попытки модифицировать протоколы стимуляции яичников у пациенток со «слабым ответом» многочисленны, однако ни одна из предлагаемых модификаций не имеет достоверных подтверждений своей эффективности. В целом мнения специалистов сходятся на использовании длинных протоколов с уменьшенной дозой аГн-РГ, либо протокол</w:t>
      </w:r>
      <w:r w:rsidR="00D80752" w:rsidRPr="00603B31">
        <w:rPr>
          <w:rFonts w:ascii="Times New Roman" w:hAnsi="Times New Roman" w:cs="Times New Roman"/>
          <w:sz w:val="28"/>
          <w:szCs w:val="28"/>
        </w:rPr>
        <w:t xml:space="preserve">ов с антГн-РГ, при этом доза вводимого индуктора должна составлять 300-400 МЕ в день. </w:t>
      </w:r>
      <w:r w:rsidR="001D2283" w:rsidRPr="00603B31">
        <w:rPr>
          <w:rFonts w:ascii="Times New Roman" w:hAnsi="Times New Roman" w:cs="Times New Roman"/>
          <w:sz w:val="28"/>
          <w:szCs w:val="28"/>
        </w:rPr>
        <w:t>В 2011 году был опубликован метаанализ, в котором при сравнен</w:t>
      </w:r>
      <w:r w:rsidR="009A2C90" w:rsidRPr="00603B31">
        <w:rPr>
          <w:rFonts w:ascii="Times New Roman" w:hAnsi="Times New Roman" w:cs="Times New Roman"/>
          <w:sz w:val="28"/>
          <w:szCs w:val="28"/>
        </w:rPr>
        <w:t>ии протоколов с агонистами и ан</w:t>
      </w:r>
      <w:r w:rsidR="001D2283" w:rsidRPr="00603B31">
        <w:rPr>
          <w:rFonts w:ascii="Times New Roman" w:hAnsi="Times New Roman" w:cs="Times New Roman"/>
          <w:sz w:val="28"/>
          <w:szCs w:val="28"/>
        </w:rPr>
        <w:t>т</w:t>
      </w:r>
      <w:r w:rsidR="009A2C90" w:rsidRPr="00603B31">
        <w:rPr>
          <w:rFonts w:ascii="Times New Roman" w:hAnsi="Times New Roman" w:cs="Times New Roman"/>
          <w:sz w:val="28"/>
          <w:szCs w:val="28"/>
        </w:rPr>
        <w:t>а</w:t>
      </w:r>
      <w:r w:rsidR="001D2283" w:rsidRPr="00603B31">
        <w:rPr>
          <w:rFonts w:ascii="Times New Roman" w:hAnsi="Times New Roman" w:cs="Times New Roman"/>
          <w:sz w:val="28"/>
          <w:szCs w:val="28"/>
        </w:rPr>
        <w:t>г</w:t>
      </w:r>
      <w:r w:rsidR="009A2C90" w:rsidRPr="00603B31">
        <w:rPr>
          <w:rFonts w:ascii="Times New Roman" w:hAnsi="Times New Roman" w:cs="Times New Roman"/>
          <w:sz w:val="28"/>
          <w:szCs w:val="28"/>
        </w:rPr>
        <w:t>он</w:t>
      </w:r>
      <w:r w:rsidR="001D2283" w:rsidRPr="00603B31">
        <w:rPr>
          <w:rFonts w:ascii="Times New Roman" w:hAnsi="Times New Roman" w:cs="Times New Roman"/>
          <w:sz w:val="28"/>
          <w:szCs w:val="28"/>
        </w:rPr>
        <w:t>истами гонадотропинов у пациенток со «слабым ответом» не было выявлено статистически значимой разницы в количестве полученных ооцитов, зрелых ооцитов, количестве неудачных циклов и наступивших беременностей</w:t>
      </w:r>
      <w:r w:rsidR="001872C2" w:rsidRPr="00603B31">
        <w:rPr>
          <w:rFonts w:ascii="Times New Roman" w:hAnsi="Times New Roman" w:cs="Times New Roman"/>
          <w:sz w:val="28"/>
          <w:szCs w:val="28"/>
        </w:rPr>
        <w:t>[28</w:t>
      </w:r>
      <w:r w:rsidR="001D2283" w:rsidRPr="00603B31">
        <w:rPr>
          <w:rFonts w:ascii="Times New Roman" w:hAnsi="Times New Roman" w:cs="Times New Roman"/>
          <w:sz w:val="28"/>
          <w:szCs w:val="28"/>
        </w:rPr>
        <w:t xml:space="preserve">]. Позже было проведено рандомизированное исследование, в котором сравнивались длинный и короткий протоколы стимуляции суперовуляции с агонистами </w:t>
      </w:r>
      <w:r w:rsidR="009A2C90" w:rsidRPr="00603B31">
        <w:rPr>
          <w:rFonts w:ascii="Times New Roman" w:hAnsi="Times New Roman" w:cs="Times New Roman"/>
          <w:sz w:val="28"/>
          <w:szCs w:val="28"/>
        </w:rPr>
        <w:t>гонадотропинов</w:t>
      </w:r>
      <w:r w:rsidR="001D2283" w:rsidRPr="00603B31">
        <w:rPr>
          <w:rFonts w:ascii="Times New Roman" w:hAnsi="Times New Roman" w:cs="Times New Roman"/>
          <w:sz w:val="28"/>
          <w:szCs w:val="28"/>
        </w:rPr>
        <w:t xml:space="preserve"> у женщин со «слабым ответом», которое также не выявило различий в показателях, однако прослеживалась тенденция в повышении шанса наступления беременности в циклах с длинным протоколом</w:t>
      </w:r>
      <w:r w:rsidR="001872C2" w:rsidRPr="00603B31">
        <w:rPr>
          <w:rFonts w:ascii="Times New Roman" w:hAnsi="Times New Roman" w:cs="Times New Roman"/>
          <w:sz w:val="28"/>
          <w:szCs w:val="28"/>
        </w:rPr>
        <w:t>[29</w:t>
      </w:r>
      <w:r w:rsidR="001D2283" w:rsidRPr="00603B31">
        <w:rPr>
          <w:rFonts w:ascii="Times New Roman" w:hAnsi="Times New Roman" w:cs="Times New Roman"/>
          <w:sz w:val="28"/>
          <w:szCs w:val="28"/>
        </w:rPr>
        <w:t xml:space="preserve">]. </w:t>
      </w:r>
    </w:p>
    <w:p w:rsidR="008D5B3A" w:rsidRPr="00603B31" w:rsidRDefault="00D80752" w:rsidP="008D5B3A">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Широко обсуждаемым является выбор индуктора фолликулогенеза, который следует применять у пациенток со «слабым ответом». Назаренко Т.А. (2015) рекомендует начинать стимуляцию с введения препаратов рекомбинантного ФСГ. В то же время есть сведения об эффективности </w:t>
      </w:r>
      <w:r w:rsidR="008D5B3A" w:rsidRPr="00603B31">
        <w:rPr>
          <w:rFonts w:ascii="Times New Roman" w:hAnsi="Times New Roman" w:cs="Times New Roman"/>
          <w:sz w:val="28"/>
          <w:szCs w:val="28"/>
        </w:rPr>
        <w:t xml:space="preserve">рекомбинантного </w:t>
      </w:r>
      <w:r w:rsidRPr="00603B31">
        <w:rPr>
          <w:rFonts w:ascii="Times New Roman" w:hAnsi="Times New Roman" w:cs="Times New Roman"/>
          <w:sz w:val="28"/>
          <w:szCs w:val="28"/>
        </w:rPr>
        <w:t>корифоллитропина α, который доказал свои преимущества по сравнению с ранее используемыми гонадотропинами в поддержке роста и развития нескольких фолликулов в течение первых 7 дней стимуляции[16]. Вероятно</w:t>
      </w:r>
      <w:r w:rsidR="008D5B3A" w:rsidRPr="00603B31">
        <w:rPr>
          <w:rFonts w:ascii="Times New Roman" w:hAnsi="Times New Roman" w:cs="Times New Roman"/>
          <w:sz w:val="28"/>
          <w:szCs w:val="28"/>
        </w:rPr>
        <w:t>,</w:t>
      </w:r>
      <w:r w:rsidRPr="00603B31">
        <w:rPr>
          <w:rFonts w:ascii="Times New Roman" w:hAnsi="Times New Roman" w:cs="Times New Roman"/>
          <w:sz w:val="28"/>
          <w:szCs w:val="28"/>
        </w:rPr>
        <w:t xml:space="preserve"> </w:t>
      </w:r>
      <w:r w:rsidR="008D5B3A" w:rsidRPr="00603B31">
        <w:rPr>
          <w:rFonts w:ascii="Times New Roman" w:hAnsi="Times New Roman" w:cs="Times New Roman"/>
          <w:sz w:val="28"/>
          <w:szCs w:val="28"/>
        </w:rPr>
        <w:t>именно синтез более совершенных препаратов для стимуляции яичников является клинически перспективным у пациенток старшего возраста</w:t>
      </w:r>
      <w:r w:rsidR="00D16144">
        <w:rPr>
          <w:rFonts w:ascii="Times New Roman" w:hAnsi="Times New Roman" w:cs="Times New Roman"/>
          <w:sz w:val="28"/>
          <w:szCs w:val="28"/>
        </w:rPr>
        <w:t xml:space="preserve"> и пациенток со «слабым ответом» на стимуляцию суперовуляции</w:t>
      </w:r>
      <w:r w:rsidR="008D5B3A" w:rsidRPr="00603B31">
        <w:rPr>
          <w:rFonts w:ascii="Times New Roman" w:hAnsi="Times New Roman" w:cs="Times New Roman"/>
          <w:sz w:val="28"/>
          <w:szCs w:val="28"/>
        </w:rPr>
        <w:t>. Тактика ведения пациенток молодого возраста со «слабым ответом» на стимуляцию суперовуляции зависит от причинных факторов, приведших к снижению функционального потенциала яичников</w:t>
      </w:r>
      <w:r w:rsidR="00D16144">
        <w:rPr>
          <w:rFonts w:ascii="Times New Roman" w:hAnsi="Times New Roman" w:cs="Times New Roman"/>
          <w:sz w:val="28"/>
          <w:szCs w:val="28"/>
        </w:rPr>
        <w:t>, и сводится в первую очередь к лечению основного заболевания</w:t>
      </w:r>
      <w:r w:rsidR="008D5B3A" w:rsidRPr="00603B31">
        <w:rPr>
          <w:rFonts w:ascii="Times New Roman" w:hAnsi="Times New Roman" w:cs="Times New Roman"/>
          <w:sz w:val="28"/>
          <w:szCs w:val="28"/>
        </w:rPr>
        <w:t xml:space="preserve">.  </w:t>
      </w:r>
    </w:p>
    <w:p w:rsidR="00071013" w:rsidRPr="00603B31" w:rsidRDefault="008D5B3A" w:rsidP="008D5B3A">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Следует заметить, что в связи с отсутствием данных о достоверной эффективности какого-либо из протоколов препаратов гонадотропинов, актуальным остаётся поиск новых вариантов лечения, обеспечивающих действительно надёжное предупреждение сниженной реакции яичников при контролируемой стимуляции.</w:t>
      </w:r>
      <w:r w:rsidR="00071013" w:rsidRPr="00603B31">
        <w:rPr>
          <w:rFonts w:ascii="Times New Roman" w:hAnsi="Times New Roman" w:cs="Times New Roman"/>
          <w:sz w:val="28"/>
          <w:szCs w:val="28"/>
        </w:rPr>
        <w:t xml:space="preserve"> </w:t>
      </w:r>
    </w:p>
    <w:p w:rsidR="009A2C90" w:rsidRPr="00603B31" w:rsidRDefault="00071013" w:rsidP="00071013">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Среди средств, способных улучшить ответ яичников, выделяют «э</w:t>
      </w:r>
      <w:r w:rsidR="00B852BE" w:rsidRPr="00603B31">
        <w:rPr>
          <w:rFonts w:ascii="Times New Roman" w:hAnsi="Times New Roman" w:cs="Times New Roman"/>
          <w:sz w:val="28"/>
          <w:szCs w:val="28"/>
        </w:rPr>
        <w:t>строгенный прайминг</w:t>
      </w:r>
      <w:r w:rsidRPr="00603B31">
        <w:rPr>
          <w:rFonts w:ascii="Times New Roman" w:hAnsi="Times New Roman" w:cs="Times New Roman"/>
          <w:sz w:val="28"/>
          <w:szCs w:val="28"/>
        </w:rPr>
        <w:t>» - метод, предполагающий назначение</w:t>
      </w:r>
      <w:r w:rsidR="009A3E9C" w:rsidRPr="00603B31">
        <w:rPr>
          <w:rFonts w:ascii="Times New Roman" w:hAnsi="Times New Roman" w:cs="Times New Roman"/>
          <w:sz w:val="28"/>
          <w:szCs w:val="28"/>
        </w:rPr>
        <w:t xml:space="preserve"> пациентке в течение 2-3 месяцев </w:t>
      </w:r>
      <w:r w:rsidR="00B852BE" w:rsidRPr="00603B31">
        <w:rPr>
          <w:rFonts w:ascii="Times New Roman" w:hAnsi="Times New Roman" w:cs="Times New Roman"/>
          <w:sz w:val="28"/>
          <w:szCs w:val="28"/>
        </w:rPr>
        <w:t>до начала цикла ЭКО препаратов эстрогенов</w:t>
      </w:r>
      <w:r w:rsidR="009A3E9C" w:rsidRPr="00603B31">
        <w:rPr>
          <w:rFonts w:ascii="Times New Roman" w:hAnsi="Times New Roman" w:cs="Times New Roman"/>
          <w:sz w:val="28"/>
          <w:szCs w:val="28"/>
        </w:rPr>
        <w:t>,</w:t>
      </w:r>
      <w:r w:rsidR="00B852BE" w:rsidRPr="00603B31">
        <w:rPr>
          <w:rFonts w:ascii="Times New Roman" w:hAnsi="Times New Roman" w:cs="Times New Roman"/>
          <w:sz w:val="28"/>
          <w:szCs w:val="28"/>
        </w:rPr>
        <w:t xml:space="preserve"> подавляющих</w:t>
      </w:r>
      <w:r w:rsidR="009A3E9C" w:rsidRPr="00603B31">
        <w:rPr>
          <w:rFonts w:ascii="Times New Roman" w:hAnsi="Times New Roman" w:cs="Times New Roman"/>
          <w:sz w:val="28"/>
          <w:szCs w:val="28"/>
        </w:rPr>
        <w:t xml:space="preserve"> секрецию ФСГ</w:t>
      </w:r>
      <w:r w:rsidR="00B852BE" w:rsidRPr="00603B31">
        <w:rPr>
          <w:rFonts w:ascii="Times New Roman" w:hAnsi="Times New Roman" w:cs="Times New Roman"/>
          <w:sz w:val="28"/>
          <w:szCs w:val="28"/>
        </w:rPr>
        <w:t xml:space="preserve"> по принципу отрицательной обратн</w:t>
      </w:r>
      <w:r w:rsidR="00150559" w:rsidRPr="00603B31">
        <w:rPr>
          <w:rFonts w:ascii="Times New Roman" w:hAnsi="Times New Roman" w:cs="Times New Roman"/>
          <w:sz w:val="28"/>
          <w:szCs w:val="28"/>
        </w:rPr>
        <w:t>о</w:t>
      </w:r>
      <w:r w:rsidR="00B852BE" w:rsidRPr="00603B31">
        <w:rPr>
          <w:rFonts w:ascii="Times New Roman" w:hAnsi="Times New Roman" w:cs="Times New Roman"/>
          <w:sz w:val="28"/>
          <w:szCs w:val="28"/>
        </w:rPr>
        <w:t>й связи</w:t>
      </w:r>
      <w:r w:rsidR="009A3E9C" w:rsidRPr="00603B31">
        <w:rPr>
          <w:rFonts w:ascii="Times New Roman" w:hAnsi="Times New Roman" w:cs="Times New Roman"/>
          <w:sz w:val="28"/>
          <w:szCs w:val="28"/>
        </w:rPr>
        <w:t>, тем самым</w:t>
      </w:r>
      <w:r w:rsidR="00B852BE" w:rsidRPr="00603B31">
        <w:rPr>
          <w:rFonts w:ascii="Times New Roman" w:hAnsi="Times New Roman" w:cs="Times New Roman"/>
          <w:sz w:val="28"/>
          <w:szCs w:val="28"/>
        </w:rPr>
        <w:t xml:space="preserve"> </w:t>
      </w:r>
      <w:r w:rsidR="009A3E9C" w:rsidRPr="00603B31">
        <w:rPr>
          <w:rFonts w:ascii="Times New Roman" w:hAnsi="Times New Roman" w:cs="Times New Roman"/>
          <w:sz w:val="28"/>
          <w:szCs w:val="28"/>
        </w:rPr>
        <w:t>повышая чувствительность яич</w:t>
      </w:r>
      <w:r w:rsidR="00B852BE" w:rsidRPr="00603B31">
        <w:rPr>
          <w:rFonts w:ascii="Times New Roman" w:hAnsi="Times New Roman" w:cs="Times New Roman"/>
          <w:sz w:val="28"/>
          <w:szCs w:val="28"/>
        </w:rPr>
        <w:t xml:space="preserve">ников к последующей стимуляции. Xiaoxia Chang </w:t>
      </w:r>
      <w:r w:rsidR="00B852BE" w:rsidRPr="00603B31">
        <w:rPr>
          <w:rFonts w:ascii="Times New Roman" w:hAnsi="Times New Roman" w:cs="Times New Roman"/>
          <w:sz w:val="28"/>
          <w:szCs w:val="28"/>
          <w:lang w:val="en-US"/>
        </w:rPr>
        <w:t>et</w:t>
      </w:r>
      <w:r w:rsidR="00B852BE" w:rsidRPr="00603B31">
        <w:rPr>
          <w:rFonts w:ascii="Times New Roman" w:hAnsi="Times New Roman" w:cs="Times New Roman"/>
          <w:sz w:val="28"/>
          <w:szCs w:val="28"/>
        </w:rPr>
        <w:t xml:space="preserve"> </w:t>
      </w:r>
      <w:r w:rsidR="00B852BE" w:rsidRPr="00603B31">
        <w:rPr>
          <w:rFonts w:ascii="Times New Roman" w:hAnsi="Times New Roman" w:cs="Times New Roman"/>
          <w:sz w:val="28"/>
          <w:szCs w:val="28"/>
          <w:lang w:val="en-US"/>
        </w:rPr>
        <w:t>al</w:t>
      </w:r>
      <w:r w:rsidR="00B852BE" w:rsidRPr="00603B31">
        <w:rPr>
          <w:rFonts w:ascii="Times New Roman" w:hAnsi="Times New Roman" w:cs="Times New Roman"/>
          <w:sz w:val="28"/>
          <w:szCs w:val="28"/>
        </w:rPr>
        <w:t xml:space="preserve">. </w:t>
      </w:r>
      <w:r w:rsidR="006D603A" w:rsidRPr="00603B31">
        <w:rPr>
          <w:rFonts w:ascii="Times New Roman" w:hAnsi="Times New Roman" w:cs="Times New Roman"/>
          <w:sz w:val="28"/>
          <w:szCs w:val="28"/>
        </w:rPr>
        <w:t xml:space="preserve">(2013) </w:t>
      </w:r>
      <w:r w:rsidR="009A3E9C" w:rsidRPr="00603B31">
        <w:rPr>
          <w:rFonts w:ascii="Times New Roman" w:hAnsi="Times New Roman" w:cs="Times New Roman"/>
          <w:sz w:val="28"/>
          <w:szCs w:val="28"/>
        </w:rPr>
        <w:t>пришли к заключению, что</w:t>
      </w:r>
      <w:r w:rsidR="00B852BE" w:rsidRPr="00603B31">
        <w:rPr>
          <w:rFonts w:ascii="Times New Roman" w:hAnsi="Times New Roman" w:cs="Times New Roman"/>
          <w:sz w:val="28"/>
          <w:szCs w:val="28"/>
        </w:rPr>
        <w:t xml:space="preserve"> </w:t>
      </w:r>
      <w:r w:rsidR="009A3E9C" w:rsidRPr="00603B31">
        <w:rPr>
          <w:rFonts w:ascii="Times New Roman" w:hAnsi="Times New Roman" w:cs="Times New Roman"/>
          <w:sz w:val="28"/>
          <w:szCs w:val="28"/>
        </w:rPr>
        <w:t>назначение препаратов эстрадиола в т</w:t>
      </w:r>
      <w:r w:rsidR="00B852BE" w:rsidRPr="00603B31">
        <w:rPr>
          <w:rFonts w:ascii="Times New Roman" w:hAnsi="Times New Roman" w:cs="Times New Roman"/>
          <w:sz w:val="28"/>
          <w:szCs w:val="28"/>
        </w:rPr>
        <w:t xml:space="preserve">ечение 2-3 месяцев в лютеиновую </w:t>
      </w:r>
      <w:r w:rsidR="009A3E9C" w:rsidRPr="00603B31">
        <w:rPr>
          <w:rFonts w:ascii="Times New Roman" w:hAnsi="Times New Roman" w:cs="Times New Roman"/>
          <w:sz w:val="28"/>
          <w:szCs w:val="28"/>
        </w:rPr>
        <w:t>фазу менструального цикла способств</w:t>
      </w:r>
      <w:r w:rsidR="00B852BE" w:rsidRPr="00603B31">
        <w:rPr>
          <w:rFonts w:ascii="Times New Roman" w:hAnsi="Times New Roman" w:cs="Times New Roman"/>
          <w:sz w:val="28"/>
          <w:szCs w:val="28"/>
        </w:rPr>
        <w:t>ует увеличению количества и по</w:t>
      </w:r>
      <w:r w:rsidR="009A3E9C" w:rsidRPr="00603B31">
        <w:rPr>
          <w:rFonts w:ascii="Times New Roman" w:hAnsi="Times New Roman" w:cs="Times New Roman"/>
          <w:sz w:val="28"/>
          <w:szCs w:val="28"/>
        </w:rPr>
        <w:t>вышению качества ооцитов. Автор</w:t>
      </w:r>
      <w:r w:rsidR="00B852BE" w:rsidRPr="00603B31">
        <w:rPr>
          <w:rFonts w:ascii="Times New Roman" w:hAnsi="Times New Roman" w:cs="Times New Roman"/>
          <w:sz w:val="28"/>
          <w:szCs w:val="28"/>
        </w:rPr>
        <w:t xml:space="preserve">ы отметили выраженную тенденцию </w:t>
      </w:r>
      <w:r w:rsidR="009A3E9C" w:rsidRPr="00603B31">
        <w:rPr>
          <w:rFonts w:ascii="Times New Roman" w:hAnsi="Times New Roman" w:cs="Times New Roman"/>
          <w:sz w:val="28"/>
          <w:szCs w:val="28"/>
        </w:rPr>
        <w:t xml:space="preserve">к повышению частоты наступления </w:t>
      </w:r>
      <w:r w:rsidR="00B852BE" w:rsidRPr="00603B31">
        <w:rPr>
          <w:rFonts w:ascii="Times New Roman" w:hAnsi="Times New Roman" w:cs="Times New Roman"/>
          <w:sz w:val="28"/>
          <w:szCs w:val="28"/>
        </w:rPr>
        <w:t xml:space="preserve">беременности и снижению частоты </w:t>
      </w:r>
      <w:r w:rsidR="009A3E9C" w:rsidRPr="00603B31">
        <w:rPr>
          <w:rFonts w:ascii="Times New Roman" w:hAnsi="Times New Roman" w:cs="Times New Roman"/>
          <w:sz w:val="28"/>
          <w:szCs w:val="28"/>
        </w:rPr>
        <w:t>отмены циклов в этой группе пациент</w:t>
      </w:r>
      <w:r w:rsidR="00B852BE" w:rsidRPr="00603B31">
        <w:rPr>
          <w:rFonts w:ascii="Times New Roman" w:hAnsi="Times New Roman" w:cs="Times New Roman"/>
          <w:sz w:val="28"/>
          <w:szCs w:val="28"/>
        </w:rPr>
        <w:t>ок в сравнении с пациент</w:t>
      </w:r>
      <w:r w:rsidR="00150559" w:rsidRPr="00603B31">
        <w:rPr>
          <w:rFonts w:ascii="Times New Roman" w:hAnsi="Times New Roman" w:cs="Times New Roman"/>
          <w:sz w:val="28"/>
          <w:szCs w:val="28"/>
        </w:rPr>
        <w:t>к</w:t>
      </w:r>
      <w:r w:rsidR="00B852BE" w:rsidRPr="00603B31">
        <w:rPr>
          <w:rFonts w:ascii="Times New Roman" w:hAnsi="Times New Roman" w:cs="Times New Roman"/>
          <w:sz w:val="28"/>
          <w:szCs w:val="28"/>
        </w:rPr>
        <w:t xml:space="preserve">ами, не </w:t>
      </w:r>
      <w:r w:rsidR="009A3E9C" w:rsidRPr="00603B31">
        <w:rPr>
          <w:rFonts w:ascii="Times New Roman" w:hAnsi="Times New Roman" w:cs="Times New Roman"/>
          <w:sz w:val="28"/>
          <w:szCs w:val="28"/>
        </w:rPr>
        <w:t>получавшими подготовку эстрогенами</w:t>
      </w:r>
      <w:r w:rsidR="00B852BE" w:rsidRPr="00603B31">
        <w:rPr>
          <w:rFonts w:ascii="Times New Roman" w:hAnsi="Times New Roman" w:cs="Times New Roman"/>
          <w:sz w:val="28"/>
          <w:szCs w:val="28"/>
        </w:rPr>
        <w:t>[16</w:t>
      </w:r>
      <w:r w:rsidR="009A3E9C" w:rsidRPr="00603B31">
        <w:rPr>
          <w:rFonts w:ascii="Times New Roman" w:hAnsi="Times New Roman" w:cs="Times New Roman"/>
          <w:sz w:val="28"/>
          <w:szCs w:val="28"/>
        </w:rPr>
        <w:t xml:space="preserve">]. </w:t>
      </w:r>
      <w:r w:rsidR="00820B7A" w:rsidRPr="00603B31">
        <w:rPr>
          <w:rFonts w:ascii="Times New Roman" w:hAnsi="Times New Roman" w:cs="Times New Roman"/>
          <w:sz w:val="28"/>
          <w:szCs w:val="28"/>
        </w:rPr>
        <w:t>Тем не менее, чётких данных о клинической эффе</w:t>
      </w:r>
      <w:r w:rsidR="00150559" w:rsidRPr="00603B31">
        <w:rPr>
          <w:rFonts w:ascii="Times New Roman" w:hAnsi="Times New Roman" w:cs="Times New Roman"/>
          <w:sz w:val="28"/>
          <w:szCs w:val="28"/>
        </w:rPr>
        <w:t>ктивности данной методики не было получено</w:t>
      </w:r>
      <w:r w:rsidR="00820B7A" w:rsidRPr="00603B31">
        <w:rPr>
          <w:rFonts w:ascii="Times New Roman" w:hAnsi="Times New Roman" w:cs="Times New Roman"/>
          <w:sz w:val="28"/>
          <w:szCs w:val="28"/>
        </w:rPr>
        <w:t>.</w:t>
      </w:r>
    </w:p>
    <w:p w:rsidR="00820B7A" w:rsidRPr="00603B31" w:rsidRDefault="00820B7A" w:rsidP="00820B7A">
      <w:pPr>
        <w:spacing w:after="0" w:line="360" w:lineRule="auto"/>
        <w:ind w:firstLine="709"/>
        <w:rPr>
          <w:rFonts w:ascii="Times New Roman" w:hAnsi="Times New Roman" w:cs="Times New Roman"/>
          <w:sz w:val="28"/>
          <w:szCs w:val="28"/>
        </w:rPr>
      </w:pPr>
      <w:r w:rsidRPr="00603B31">
        <w:rPr>
          <w:rFonts w:ascii="Times New Roman" w:hAnsi="Times New Roman" w:cs="Times New Roman"/>
          <w:sz w:val="28"/>
          <w:szCs w:val="28"/>
        </w:rPr>
        <w:t xml:space="preserve">В медицинской литературе последних лет можно найти упоминания о предварительном применении препаратов тестостерона или дегидроэпиандростерона (ДЭА) у пациенток со «слабым ответом» на стимуляцию суперовуляции, что способствует повышению эффективности ЭКО. Так, </w:t>
      </w:r>
      <w:r w:rsidRPr="00603B31">
        <w:rPr>
          <w:rFonts w:ascii="Times New Roman" w:hAnsi="Times New Roman" w:cs="Times New Roman"/>
          <w:sz w:val="28"/>
          <w:szCs w:val="28"/>
          <w:lang w:val="en-US"/>
        </w:rPr>
        <w:t>A</w:t>
      </w:r>
      <w:r w:rsidRPr="00603B31">
        <w:rPr>
          <w:rFonts w:ascii="Times New Roman" w:hAnsi="Times New Roman" w:cs="Times New Roman"/>
          <w:sz w:val="28"/>
          <w:szCs w:val="28"/>
        </w:rPr>
        <w:t>.</w:t>
      </w:r>
      <w:r w:rsidRPr="00603B31">
        <w:rPr>
          <w:rFonts w:ascii="Times New Roman" w:hAnsi="Times New Roman" w:cs="Times New Roman"/>
          <w:sz w:val="28"/>
          <w:szCs w:val="28"/>
          <w:lang w:val="en-US"/>
        </w:rPr>
        <w:t>Wiser</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004B543E" w:rsidRPr="00603B31">
        <w:rPr>
          <w:rFonts w:ascii="Times New Roman" w:hAnsi="Times New Roman" w:cs="Times New Roman"/>
          <w:sz w:val="28"/>
          <w:szCs w:val="28"/>
        </w:rPr>
        <w:t>.</w:t>
      </w:r>
      <w:r w:rsidRPr="00603B31">
        <w:rPr>
          <w:rFonts w:ascii="Times New Roman" w:hAnsi="Times New Roman" w:cs="Times New Roman"/>
          <w:sz w:val="28"/>
          <w:szCs w:val="28"/>
        </w:rPr>
        <w:t xml:space="preserve"> (</w:t>
      </w:r>
      <w:r w:rsidR="004B543E" w:rsidRPr="00603B31">
        <w:rPr>
          <w:rFonts w:ascii="Times New Roman" w:hAnsi="Times New Roman" w:cs="Times New Roman"/>
          <w:sz w:val="28"/>
          <w:szCs w:val="28"/>
        </w:rPr>
        <w:t xml:space="preserve">2010) показали, что применение ДЭА позволило повысить частоту наступления беременности у пациенток со «слабым ответом» на стимуляцию суперовуляции с 4% до 23,1%[79]. По сообщениям </w:t>
      </w:r>
      <w:r w:rsidR="009C12D8" w:rsidRPr="00603B31">
        <w:rPr>
          <w:rFonts w:ascii="Times New Roman" w:hAnsi="Times New Roman" w:cs="Times New Roman"/>
          <w:sz w:val="28"/>
          <w:szCs w:val="28"/>
        </w:rPr>
        <w:t xml:space="preserve">Крстич </w:t>
      </w:r>
      <w:r w:rsidR="006D603A" w:rsidRPr="00603B31">
        <w:rPr>
          <w:rFonts w:ascii="Times New Roman" w:hAnsi="Times New Roman" w:cs="Times New Roman"/>
          <w:sz w:val="28"/>
          <w:szCs w:val="28"/>
        </w:rPr>
        <w:t xml:space="preserve">Е.В. </w:t>
      </w:r>
      <w:r w:rsidR="009C12D8" w:rsidRPr="00603B31">
        <w:rPr>
          <w:rFonts w:ascii="Times New Roman" w:hAnsi="Times New Roman" w:cs="Times New Roman"/>
          <w:sz w:val="28"/>
          <w:szCs w:val="28"/>
        </w:rPr>
        <w:t>и др. (2014</w:t>
      </w:r>
      <w:r w:rsidR="004B543E" w:rsidRPr="00603B31">
        <w:rPr>
          <w:rFonts w:ascii="Times New Roman" w:hAnsi="Times New Roman" w:cs="Times New Roman"/>
          <w:sz w:val="28"/>
          <w:szCs w:val="28"/>
        </w:rPr>
        <w:t>), «андрогенный прайминг» эффективен у пациенток со сниженной андрогенсекретирующей функцией яичников, то есть с уровнем общего тестостерона менее 1 нмоль/л</w:t>
      </w:r>
      <w:r w:rsidR="009C12D8" w:rsidRPr="00603B31">
        <w:rPr>
          <w:rFonts w:ascii="Times New Roman" w:hAnsi="Times New Roman" w:cs="Times New Roman"/>
          <w:sz w:val="28"/>
          <w:szCs w:val="28"/>
        </w:rPr>
        <w:t>[10]</w:t>
      </w:r>
      <w:r w:rsidR="004B543E" w:rsidRPr="00603B31">
        <w:rPr>
          <w:rFonts w:ascii="Times New Roman" w:hAnsi="Times New Roman" w:cs="Times New Roman"/>
          <w:sz w:val="28"/>
          <w:szCs w:val="28"/>
        </w:rPr>
        <w:t>.</w:t>
      </w:r>
    </w:p>
    <w:p w:rsidR="00071013" w:rsidRPr="00D16144" w:rsidRDefault="008028E5" w:rsidP="00D16144">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Среди</w:t>
      </w:r>
      <w:r w:rsidR="001D2283" w:rsidRPr="00603B31">
        <w:rPr>
          <w:rFonts w:ascii="Times New Roman" w:hAnsi="Times New Roman" w:cs="Times New Roman"/>
          <w:sz w:val="28"/>
          <w:szCs w:val="28"/>
        </w:rPr>
        <w:t xml:space="preserve"> существующих подходов, направленных на решение проблемы </w:t>
      </w:r>
      <w:r w:rsidRPr="00603B31">
        <w:rPr>
          <w:rFonts w:ascii="Times New Roman" w:hAnsi="Times New Roman" w:cs="Times New Roman"/>
          <w:sz w:val="28"/>
          <w:szCs w:val="28"/>
        </w:rPr>
        <w:t>«слабого»</w:t>
      </w:r>
      <w:r w:rsidR="006A14B6"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rPr>
        <w:t xml:space="preserve">ответа, </w:t>
      </w:r>
      <w:r w:rsidR="009C12D8" w:rsidRPr="00603B31">
        <w:rPr>
          <w:rFonts w:ascii="Times New Roman" w:hAnsi="Times New Roman" w:cs="Times New Roman"/>
          <w:sz w:val="28"/>
          <w:szCs w:val="28"/>
        </w:rPr>
        <w:t xml:space="preserve">также </w:t>
      </w:r>
      <w:r w:rsidR="001D2283" w:rsidRPr="00603B31">
        <w:rPr>
          <w:rFonts w:ascii="Times New Roman" w:hAnsi="Times New Roman" w:cs="Times New Roman"/>
          <w:sz w:val="28"/>
          <w:szCs w:val="28"/>
        </w:rPr>
        <w:t>заслуживает внимание применение препа</w:t>
      </w:r>
      <w:r w:rsidR="00D16144">
        <w:rPr>
          <w:rFonts w:ascii="Times New Roman" w:hAnsi="Times New Roman" w:cs="Times New Roman"/>
          <w:sz w:val="28"/>
          <w:szCs w:val="28"/>
        </w:rPr>
        <w:t>ратов, содержащих мио-инозитол.</w:t>
      </w:r>
    </w:p>
    <w:p w:rsidR="001D2283" w:rsidRPr="00603B31" w:rsidRDefault="008028E5" w:rsidP="001D2283">
      <w:pPr>
        <w:autoSpaceDE w:val="0"/>
        <w:autoSpaceDN w:val="0"/>
        <w:adjustRightInd w:val="0"/>
        <w:spacing w:after="0" w:line="360" w:lineRule="auto"/>
        <w:rPr>
          <w:rFonts w:ascii="Times New Roman" w:hAnsi="Times New Roman" w:cs="Times New Roman"/>
          <w:b/>
          <w:sz w:val="28"/>
          <w:szCs w:val="28"/>
        </w:rPr>
      </w:pPr>
      <w:r w:rsidRPr="00603B31">
        <w:rPr>
          <w:rFonts w:ascii="Times New Roman" w:hAnsi="Times New Roman" w:cs="Times New Roman"/>
          <w:b/>
          <w:sz w:val="28"/>
          <w:szCs w:val="28"/>
        </w:rPr>
        <w:t xml:space="preserve">1.3 </w:t>
      </w:r>
      <w:r w:rsidR="001D2283" w:rsidRPr="00603B31">
        <w:rPr>
          <w:rFonts w:ascii="Times New Roman" w:hAnsi="Times New Roman" w:cs="Times New Roman"/>
          <w:b/>
          <w:sz w:val="28"/>
          <w:szCs w:val="28"/>
        </w:rPr>
        <w:t>Общая характеристика мио-инозитола.</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Мио-инозитол – один из эндогенных метаболитов человека,</w:t>
      </w:r>
      <w:r w:rsidR="00D16144">
        <w:rPr>
          <w:rFonts w:ascii="Times New Roman" w:hAnsi="Times New Roman" w:cs="Times New Roman"/>
          <w:sz w:val="28"/>
          <w:szCs w:val="28"/>
        </w:rPr>
        <w:t xml:space="preserve"> который оказывает</w:t>
      </w:r>
      <w:r w:rsidRPr="00603B31">
        <w:rPr>
          <w:rFonts w:ascii="Times New Roman" w:hAnsi="Times New Roman" w:cs="Times New Roman"/>
          <w:sz w:val="28"/>
          <w:szCs w:val="28"/>
        </w:rPr>
        <w:t xml:space="preserve"> </w:t>
      </w:r>
      <w:r w:rsidR="00706BED">
        <w:rPr>
          <w:rFonts w:ascii="Times New Roman" w:hAnsi="Times New Roman" w:cs="Times New Roman"/>
          <w:sz w:val="28"/>
          <w:szCs w:val="28"/>
        </w:rPr>
        <w:t>влияние</w:t>
      </w:r>
      <w:r w:rsidRPr="00603B31">
        <w:rPr>
          <w:rFonts w:ascii="Times New Roman" w:hAnsi="Times New Roman" w:cs="Times New Roman"/>
          <w:sz w:val="28"/>
          <w:szCs w:val="28"/>
        </w:rPr>
        <w:t xml:space="preserve"> на функционирование клеток и тканей всего организма. Впервые был выделен и</w:t>
      </w:r>
      <w:r w:rsidR="009A2C90" w:rsidRPr="00603B31">
        <w:rPr>
          <w:rFonts w:ascii="Times New Roman" w:hAnsi="Times New Roman" w:cs="Times New Roman"/>
          <w:sz w:val="28"/>
          <w:szCs w:val="28"/>
        </w:rPr>
        <w:t>з проростков пшеницы в 1848 г.</w:t>
      </w:r>
      <w:r w:rsidRPr="00603B31">
        <w:rPr>
          <w:rFonts w:ascii="Times New Roman" w:hAnsi="Times New Roman" w:cs="Times New Roman"/>
          <w:sz w:val="28"/>
          <w:szCs w:val="28"/>
        </w:rPr>
        <w:t xml:space="preserve"> немецким химиком Ю.</w:t>
      </w:r>
      <w:r w:rsidR="009A2C90" w:rsidRPr="00603B31">
        <w:rPr>
          <w:rFonts w:ascii="Times New Roman" w:hAnsi="Times New Roman" w:cs="Times New Roman"/>
          <w:sz w:val="28"/>
          <w:szCs w:val="28"/>
        </w:rPr>
        <w:t xml:space="preserve"> </w:t>
      </w:r>
      <w:r w:rsidRPr="00603B31">
        <w:rPr>
          <w:rFonts w:ascii="Times New Roman" w:hAnsi="Times New Roman" w:cs="Times New Roman"/>
          <w:sz w:val="28"/>
          <w:szCs w:val="28"/>
        </w:rPr>
        <w:t>Либих</w:t>
      </w:r>
      <w:r w:rsidR="00CE26BC">
        <w:rPr>
          <w:rFonts w:ascii="Times New Roman" w:hAnsi="Times New Roman" w:cs="Times New Roman"/>
          <w:sz w:val="28"/>
          <w:szCs w:val="28"/>
        </w:rPr>
        <w:t>ом</w:t>
      </w:r>
      <w:r w:rsidR="00A467AF" w:rsidRPr="00603B31">
        <w:rPr>
          <w:rFonts w:ascii="Times New Roman" w:hAnsi="Times New Roman" w:cs="Times New Roman"/>
          <w:sz w:val="28"/>
          <w:szCs w:val="28"/>
        </w:rPr>
        <w:t>[</w:t>
      </w:r>
      <w:r w:rsidR="001872C2" w:rsidRPr="00603B31">
        <w:rPr>
          <w:rFonts w:ascii="Times New Roman" w:hAnsi="Times New Roman" w:cs="Times New Roman"/>
          <w:sz w:val="28"/>
          <w:szCs w:val="28"/>
        </w:rPr>
        <w:t>12</w:t>
      </w:r>
      <w:r w:rsidRPr="00603B31">
        <w:rPr>
          <w:rFonts w:ascii="Times New Roman" w:hAnsi="Times New Roman" w:cs="Times New Roman"/>
          <w:sz w:val="28"/>
          <w:szCs w:val="28"/>
        </w:rPr>
        <w:t>]</w:t>
      </w:r>
      <w:r w:rsidR="009A2C90" w:rsidRPr="00603B31">
        <w:rPr>
          <w:rFonts w:ascii="Times New Roman" w:hAnsi="Times New Roman" w:cs="Times New Roman"/>
          <w:sz w:val="28"/>
          <w:szCs w:val="28"/>
        </w:rPr>
        <w:t>, а в 1850 г.</w:t>
      </w:r>
      <w:r w:rsidRPr="00603B31">
        <w:rPr>
          <w:rFonts w:ascii="Times New Roman" w:hAnsi="Times New Roman" w:cs="Times New Roman"/>
          <w:sz w:val="28"/>
          <w:szCs w:val="28"/>
        </w:rPr>
        <w:t xml:space="preserve"> другой немецкий химик Дж. Шерер выделил его из мышцы</w:t>
      </w:r>
      <w:r w:rsidR="00CE26BC">
        <w:rPr>
          <w:rFonts w:ascii="Times New Roman" w:hAnsi="Times New Roman" w:cs="Times New Roman"/>
          <w:sz w:val="28"/>
          <w:szCs w:val="28"/>
        </w:rPr>
        <w:t xml:space="preserve"> мыши</w:t>
      </w:r>
      <w:r w:rsidR="000B178D" w:rsidRPr="00603B31">
        <w:rPr>
          <w:rFonts w:ascii="Times New Roman" w:hAnsi="Times New Roman" w:cs="Times New Roman"/>
          <w:sz w:val="28"/>
          <w:szCs w:val="28"/>
        </w:rPr>
        <w:t>[</w:t>
      </w:r>
      <w:r w:rsidR="001872C2" w:rsidRPr="00603B31">
        <w:rPr>
          <w:rFonts w:ascii="Times New Roman" w:hAnsi="Times New Roman" w:cs="Times New Roman"/>
          <w:sz w:val="28"/>
          <w:szCs w:val="28"/>
        </w:rPr>
        <w:t>26</w:t>
      </w:r>
      <w:r w:rsidRPr="00603B31">
        <w:rPr>
          <w:rFonts w:ascii="Times New Roman" w:hAnsi="Times New Roman" w:cs="Times New Roman"/>
          <w:sz w:val="28"/>
          <w:szCs w:val="28"/>
        </w:rPr>
        <w:t>]. Мио-инозитол (по химической номенклатуре «гексагидро</w:t>
      </w:r>
      <w:r w:rsidR="00706BED">
        <w:rPr>
          <w:rFonts w:ascii="Times New Roman" w:hAnsi="Times New Roman" w:cs="Times New Roman"/>
          <w:sz w:val="28"/>
          <w:szCs w:val="28"/>
        </w:rPr>
        <w:t xml:space="preserve">ксициклогексан») является одним из вариантов </w:t>
      </w:r>
      <w:r w:rsidRPr="00603B31">
        <w:rPr>
          <w:rFonts w:ascii="Times New Roman" w:hAnsi="Times New Roman" w:cs="Times New Roman"/>
          <w:sz w:val="28"/>
          <w:szCs w:val="28"/>
        </w:rPr>
        <w:t xml:space="preserve">инозитоловых шестиатомных спиртов. Инозитол существует в девяти возможных стереоизомерах, из которых </w:t>
      </w:r>
      <w:r w:rsidR="00706BED" w:rsidRPr="00603B31">
        <w:rPr>
          <w:rFonts w:ascii="Times New Roman" w:hAnsi="Times New Roman" w:cs="Times New Roman"/>
          <w:sz w:val="28"/>
          <w:szCs w:val="28"/>
        </w:rPr>
        <w:t>мио-инозитол</w:t>
      </w:r>
      <w:r w:rsidR="00706BED">
        <w:rPr>
          <w:rFonts w:ascii="Times New Roman" w:hAnsi="Times New Roman" w:cs="Times New Roman"/>
          <w:sz w:val="28"/>
          <w:szCs w:val="28"/>
        </w:rPr>
        <w:t xml:space="preserve"> является единственным присутствующим</w:t>
      </w:r>
      <w:r w:rsidR="00706BED" w:rsidRPr="00603B31">
        <w:rPr>
          <w:rFonts w:ascii="Times New Roman" w:hAnsi="Times New Roman" w:cs="Times New Roman"/>
          <w:sz w:val="28"/>
          <w:szCs w:val="28"/>
        </w:rPr>
        <w:t xml:space="preserve"> </w:t>
      </w:r>
      <w:r w:rsidRPr="00603B31">
        <w:rPr>
          <w:rFonts w:ascii="Times New Roman" w:hAnsi="Times New Roman" w:cs="Times New Roman"/>
          <w:sz w:val="28"/>
          <w:szCs w:val="28"/>
        </w:rPr>
        <w:t xml:space="preserve">в живой клетке. Именно мио-инозитол </w:t>
      </w:r>
      <w:r w:rsidR="00706BED">
        <w:rPr>
          <w:rFonts w:ascii="Times New Roman" w:hAnsi="Times New Roman" w:cs="Times New Roman"/>
          <w:sz w:val="28"/>
          <w:szCs w:val="28"/>
        </w:rPr>
        <w:t xml:space="preserve">играет роль </w:t>
      </w:r>
      <w:r w:rsidRPr="00603B31">
        <w:rPr>
          <w:rFonts w:ascii="Times New Roman" w:hAnsi="Times New Roman" w:cs="Times New Roman"/>
          <w:sz w:val="28"/>
          <w:szCs w:val="28"/>
        </w:rPr>
        <w:t>передатчика сигнала регуляции уровней внутриклеточного кальция</w:t>
      </w:r>
      <w:r w:rsidR="002D3429" w:rsidRPr="00603B31">
        <w:rPr>
          <w:rFonts w:ascii="Times New Roman" w:hAnsi="Times New Roman" w:cs="Times New Roman"/>
          <w:sz w:val="28"/>
          <w:szCs w:val="28"/>
        </w:rPr>
        <w:t>[</w:t>
      </w:r>
      <w:r w:rsidR="001872C2" w:rsidRPr="00603B31">
        <w:rPr>
          <w:rFonts w:ascii="Times New Roman" w:hAnsi="Times New Roman" w:cs="Times New Roman"/>
          <w:sz w:val="28"/>
          <w:szCs w:val="28"/>
        </w:rPr>
        <w:t>42</w:t>
      </w:r>
      <w:r w:rsidRPr="00603B31">
        <w:rPr>
          <w:rFonts w:ascii="Times New Roman" w:hAnsi="Times New Roman" w:cs="Times New Roman"/>
          <w:sz w:val="28"/>
          <w:szCs w:val="28"/>
        </w:rPr>
        <w:t>], сигнала от рецептора инсулина[4</w:t>
      </w:r>
      <w:r w:rsidR="00101709" w:rsidRPr="00603B31">
        <w:rPr>
          <w:rFonts w:ascii="Times New Roman" w:hAnsi="Times New Roman" w:cs="Times New Roman"/>
          <w:sz w:val="28"/>
          <w:szCs w:val="28"/>
        </w:rPr>
        <w:t>8</w:t>
      </w:r>
      <w:r w:rsidRPr="00603B31">
        <w:rPr>
          <w:rFonts w:ascii="Times New Roman" w:hAnsi="Times New Roman" w:cs="Times New Roman"/>
          <w:sz w:val="28"/>
          <w:szCs w:val="28"/>
        </w:rPr>
        <w:t>], участвует в расщеплении жиров и снижении уровня холестерина в крови</w:t>
      </w:r>
      <w:r w:rsidR="00101709" w:rsidRPr="00603B31">
        <w:rPr>
          <w:rFonts w:ascii="Times New Roman" w:hAnsi="Times New Roman" w:cs="Times New Roman"/>
          <w:sz w:val="28"/>
          <w:szCs w:val="28"/>
        </w:rPr>
        <w:t>[48</w:t>
      </w:r>
      <w:r w:rsidRPr="00603B31">
        <w:rPr>
          <w:rFonts w:ascii="Times New Roman" w:hAnsi="Times New Roman" w:cs="Times New Roman"/>
          <w:sz w:val="28"/>
          <w:szCs w:val="28"/>
        </w:rPr>
        <w:t>] и др.</w:t>
      </w:r>
    </w:p>
    <w:p w:rsidR="001D2283" w:rsidRPr="00603B31" w:rsidRDefault="001D2283" w:rsidP="00706BED">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Мио-инозитол и его производные содержатся в проростках, во фруктах (дыни, апельсины), </w:t>
      </w:r>
      <w:r w:rsidR="00706BED">
        <w:rPr>
          <w:rFonts w:ascii="Times New Roman" w:hAnsi="Times New Roman" w:cs="Times New Roman"/>
          <w:sz w:val="28"/>
          <w:szCs w:val="28"/>
        </w:rPr>
        <w:t>а также в бобовых, зёрнах и</w:t>
      </w:r>
      <w:r w:rsidRPr="00603B31">
        <w:rPr>
          <w:rFonts w:ascii="Times New Roman" w:hAnsi="Times New Roman" w:cs="Times New Roman"/>
          <w:sz w:val="28"/>
          <w:szCs w:val="28"/>
        </w:rPr>
        <w:t xml:space="preserve"> орехах</w:t>
      </w:r>
      <w:r w:rsidR="000B178D" w:rsidRPr="00603B31">
        <w:rPr>
          <w:rFonts w:ascii="Times New Roman" w:hAnsi="Times New Roman" w:cs="Times New Roman"/>
          <w:sz w:val="28"/>
          <w:szCs w:val="28"/>
        </w:rPr>
        <w:t>[</w:t>
      </w:r>
      <w:r w:rsidR="00101709" w:rsidRPr="00603B31">
        <w:rPr>
          <w:rFonts w:ascii="Times New Roman" w:hAnsi="Times New Roman" w:cs="Times New Roman"/>
          <w:sz w:val="28"/>
          <w:szCs w:val="28"/>
        </w:rPr>
        <w:t>36</w:t>
      </w:r>
      <w:r w:rsidRPr="00603B31">
        <w:rPr>
          <w:rFonts w:ascii="Times New Roman" w:hAnsi="Times New Roman" w:cs="Times New Roman"/>
          <w:sz w:val="28"/>
          <w:szCs w:val="28"/>
        </w:rPr>
        <w:t xml:space="preserve">]. Из растительной пищи мио-инозитол поступает в виде фитиновой кислоты (гексафосфат инозитола), которая плохо усваивается организмом человека без предварительной обработки. Также </w:t>
      </w:r>
      <w:r w:rsidR="00706BED" w:rsidRPr="00603B31">
        <w:rPr>
          <w:rFonts w:ascii="Times New Roman" w:hAnsi="Times New Roman" w:cs="Times New Roman"/>
          <w:sz w:val="28"/>
          <w:szCs w:val="28"/>
        </w:rPr>
        <w:t xml:space="preserve">многие минералы </w:t>
      </w:r>
      <w:r w:rsidR="00706BED">
        <w:rPr>
          <w:rFonts w:ascii="Times New Roman" w:hAnsi="Times New Roman" w:cs="Times New Roman"/>
          <w:sz w:val="28"/>
          <w:szCs w:val="28"/>
        </w:rPr>
        <w:t xml:space="preserve">(кальций, магний, железо, цинк) переводят </w:t>
      </w:r>
      <w:r w:rsidRPr="00603B31">
        <w:rPr>
          <w:rFonts w:ascii="Times New Roman" w:hAnsi="Times New Roman" w:cs="Times New Roman"/>
          <w:sz w:val="28"/>
          <w:szCs w:val="28"/>
        </w:rPr>
        <w:t xml:space="preserve">соли фитиновой кислоты (фитаты) </w:t>
      </w:r>
      <w:r w:rsidR="00706BED">
        <w:rPr>
          <w:rFonts w:ascii="Times New Roman" w:hAnsi="Times New Roman" w:cs="Times New Roman"/>
          <w:sz w:val="28"/>
          <w:szCs w:val="28"/>
        </w:rPr>
        <w:t xml:space="preserve">в </w:t>
      </w:r>
      <w:r w:rsidRPr="00603B31">
        <w:rPr>
          <w:rFonts w:ascii="Times New Roman" w:hAnsi="Times New Roman" w:cs="Times New Roman"/>
          <w:sz w:val="28"/>
          <w:szCs w:val="28"/>
        </w:rPr>
        <w:t>нерастворимую форму</w:t>
      </w:r>
      <w:r w:rsidR="00706BED">
        <w:rPr>
          <w:rFonts w:ascii="Times New Roman" w:hAnsi="Times New Roman" w:cs="Times New Roman"/>
          <w:sz w:val="28"/>
          <w:szCs w:val="28"/>
        </w:rPr>
        <w:t>,</w:t>
      </w:r>
      <w:r w:rsidRPr="00603B31">
        <w:rPr>
          <w:rFonts w:ascii="Times New Roman" w:hAnsi="Times New Roman" w:cs="Times New Roman"/>
          <w:sz w:val="28"/>
          <w:szCs w:val="28"/>
        </w:rPr>
        <w:t xml:space="preserve"> существенно снижая их биоусвояемость и внося вклад в формирование дефицита минералов и нарушений электролитного баланса организма</w:t>
      </w:r>
      <w:r w:rsidR="00101709" w:rsidRPr="00603B31">
        <w:rPr>
          <w:rFonts w:ascii="Times New Roman" w:hAnsi="Times New Roman" w:cs="Times New Roman"/>
          <w:sz w:val="28"/>
          <w:szCs w:val="28"/>
        </w:rPr>
        <w:t>[50</w:t>
      </w:r>
      <w:r w:rsidRPr="00603B31">
        <w:rPr>
          <w:rFonts w:ascii="Times New Roman" w:hAnsi="Times New Roman" w:cs="Times New Roman"/>
          <w:sz w:val="28"/>
          <w:szCs w:val="28"/>
        </w:rPr>
        <w:t>].</w:t>
      </w:r>
    </w:p>
    <w:p w:rsidR="00071013" w:rsidRPr="00706BED" w:rsidRDefault="001D2283" w:rsidP="00706BED">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Мио-инозитол в чистом виде, без прикрепленных фосфатных групп, считался одним из витаминов группы В (витамин В8). Позднее, когда было установлено, что у здорового человека мио-инозитол синтезируется в </w:t>
      </w:r>
      <w:r w:rsidR="00706BED">
        <w:rPr>
          <w:rFonts w:ascii="Times New Roman" w:hAnsi="Times New Roman" w:cs="Times New Roman"/>
          <w:sz w:val="28"/>
          <w:szCs w:val="28"/>
        </w:rPr>
        <w:t xml:space="preserve">небольших количествахв </w:t>
      </w:r>
      <w:r w:rsidRPr="00603B31">
        <w:rPr>
          <w:rFonts w:ascii="Times New Roman" w:hAnsi="Times New Roman" w:cs="Times New Roman"/>
          <w:sz w:val="28"/>
          <w:szCs w:val="28"/>
        </w:rPr>
        <w:t xml:space="preserve">почках </w:t>
      </w:r>
      <w:r w:rsidR="00706BED">
        <w:rPr>
          <w:rFonts w:ascii="Times New Roman" w:hAnsi="Times New Roman" w:cs="Times New Roman"/>
          <w:sz w:val="28"/>
          <w:szCs w:val="28"/>
        </w:rPr>
        <w:t>(несколько</w:t>
      </w:r>
      <w:r w:rsidRPr="00603B31">
        <w:rPr>
          <w:rFonts w:ascii="Times New Roman" w:hAnsi="Times New Roman" w:cs="Times New Roman"/>
          <w:sz w:val="28"/>
          <w:szCs w:val="28"/>
        </w:rPr>
        <w:t xml:space="preserve"> граммов в день</w:t>
      </w:r>
      <w:r w:rsidR="00706BED">
        <w:rPr>
          <w:rFonts w:ascii="Times New Roman" w:hAnsi="Times New Roman" w:cs="Times New Roman"/>
          <w:sz w:val="28"/>
          <w:szCs w:val="28"/>
        </w:rPr>
        <w:t>)</w:t>
      </w:r>
      <w:r w:rsidRPr="00603B31">
        <w:rPr>
          <w:rFonts w:ascii="Times New Roman" w:hAnsi="Times New Roman" w:cs="Times New Roman"/>
          <w:sz w:val="28"/>
          <w:szCs w:val="28"/>
        </w:rPr>
        <w:t xml:space="preserve">, мио-инозитол перестали рассматривать как витамин. По нормам Российский Федерации, </w:t>
      </w:r>
      <w:r w:rsidR="00706BED">
        <w:rPr>
          <w:rFonts w:ascii="Times New Roman" w:hAnsi="Times New Roman" w:cs="Times New Roman"/>
          <w:sz w:val="28"/>
          <w:szCs w:val="28"/>
        </w:rPr>
        <w:t xml:space="preserve">потребность в </w:t>
      </w:r>
      <w:r w:rsidRPr="00603B31">
        <w:rPr>
          <w:rFonts w:ascii="Times New Roman" w:hAnsi="Times New Roman" w:cs="Times New Roman"/>
          <w:sz w:val="28"/>
          <w:szCs w:val="28"/>
        </w:rPr>
        <w:t>мио-инозитол</w:t>
      </w:r>
      <w:r w:rsidR="00706BED">
        <w:rPr>
          <w:rFonts w:ascii="Times New Roman" w:hAnsi="Times New Roman" w:cs="Times New Roman"/>
          <w:sz w:val="28"/>
          <w:szCs w:val="28"/>
        </w:rPr>
        <w:t>е</w:t>
      </w:r>
      <w:r w:rsidRPr="00603B31">
        <w:rPr>
          <w:rFonts w:ascii="Times New Roman" w:hAnsi="Times New Roman" w:cs="Times New Roman"/>
          <w:sz w:val="28"/>
          <w:szCs w:val="28"/>
        </w:rPr>
        <w:t xml:space="preserve"> </w:t>
      </w:r>
      <w:r w:rsidR="00706BED">
        <w:rPr>
          <w:rFonts w:ascii="Times New Roman" w:hAnsi="Times New Roman" w:cs="Times New Roman"/>
          <w:sz w:val="28"/>
          <w:szCs w:val="28"/>
        </w:rPr>
        <w:t xml:space="preserve">для человека составляет </w:t>
      </w:r>
      <w:r w:rsidRPr="00603B31">
        <w:rPr>
          <w:rFonts w:ascii="Times New Roman" w:hAnsi="Times New Roman" w:cs="Times New Roman"/>
          <w:sz w:val="28"/>
          <w:szCs w:val="28"/>
        </w:rPr>
        <w:t>от 500 до 1000 мг/сут[</w:t>
      </w:r>
      <w:r w:rsidR="001872C2" w:rsidRPr="00603B31">
        <w:rPr>
          <w:rFonts w:ascii="Times New Roman" w:hAnsi="Times New Roman" w:cs="Times New Roman"/>
          <w:sz w:val="28"/>
          <w:szCs w:val="28"/>
        </w:rPr>
        <w:t>12</w:t>
      </w:r>
      <w:r w:rsidRPr="00603B31">
        <w:rPr>
          <w:rFonts w:ascii="Times New Roman" w:hAnsi="Times New Roman" w:cs="Times New Roman"/>
          <w:sz w:val="28"/>
          <w:szCs w:val="28"/>
        </w:rPr>
        <w:t>]</w:t>
      </w:r>
      <w:r w:rsidR="00706BED">
        <w:rPr>
          <w:rFonts w:ascii="Times New Roman" w:hAnsi="Times New Roman" w:cs="Times New Roman"/>
          <w:sz w:val="28"/>
          <w:szCs w:val="28"/>
        </w:rPr>
        <w:t xml:space="preserve">. </w:t>
      </w:r>
    </w:p>
    <w:p w:rsidR="001D2283" w:rsidRPr="00603B31" w:rsidRDefault="008028E5" w:rsidP="008028E5">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b/>
          <w:sz w:val="28"/>
          <w:szCs w:val="28"/>
        </w:rPr>
        <w:t xml:space="preserve">1.4 </w:t>
      </w:r>
      <w:r w:rsidR="001D2283" w:rsidRPr="00603B31">
        <w:rPr>
          <w:rFonts w:ascii="Times New Roman" w:hAnsi="Times New Roman" w:cs="Times New Roman"/>
          <w:b/>
          <w:sz w:val="28"/>
          <w:szCs w:val="28"/>
        </w:rPr>
        <w:t>Обзор молекулярно-физиологических эффектов мио-инозитола.</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О важности мио-инозитола и его производных для нормального физиологического состояния организма человека свидетельствует большое чи</w:t>
      </w:r>
      <w:r w:rsidR="00706BED">
        <w:rPr>
          <w:rFonts w:ascii="Times New Roman" w:hAnsi="Times New Roman" w:cs="Times New Roman"/>
          <w:sz w:val="28"/>
          <w:szCs w:val="28"/>
        </w:rPr>
        <w:t>сло публикаций, посвящённых</w:t>
      </w:r>
      <w:r w:rsidRPr="00603B31">
        <w:rPr>
          <w:rFonts w:ascii="Times New Roman" w:hAnsi="Times New Roman" w:cs="Times New Roman"/>
          <w:sz w:val="28"/>
          <w:szCs w:val="28"/>
        </w:rPr>
        <w:t xml:space="preserve"> </w:t>
      </w:r>
      <w:r w:rsidR="00706BED">
        <w:rPr>
          <w:rFonts w:ascii="Times New Roman" w:hAnsi="Times New Roman" w:cs="Times New Roman"/>
          <w:sz w:val="28"/>
          <w:szCs w:val="28"/>
        </w:rPr>
        <w:t>изучению молекулярно-физиологических механизмов</w:t>
      </w:r>
      <w:r w:rsidRPr="00603B31">
        <w:rPr>
          <w:rFonts w:ascii="Times New Roman" w:hAnsi="Times New Roman" w:cs="Times New Roman"/>
          <w:sz w:val="28"/>
          <w:szCs w:val="28"/>
        </w:rPr>
        <w:t xml:space="preserve"> действия мио-инозитола.</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Наибольшее число исследований по мио-инозитолу связано с изучением внутриклеточной передачи сигнала. Мио-инозитол синтезируется из глюкоза-6-фосфата и является предшественником в синтезе фосфатидилинозитол полифосфатов, которые, в свою очередь, являются ключевыми молекулами в системе сигнальной трансдукции</w:t>
      </w:r>
      <w:r w:rsidR="00287848" w:rsidRPr="00603B31">
        <w:rPr>
          <w:rFonts w:ascii="Times New Roman" w:hAnsi="Times New Roman" w:cs="Times New Roman"/>
          <w:sz w:val="28"/>
          <w:szCs w:val="28"/>
        </w:rPr>
        <w:t>[</w:t>
      </w:r>
      <w:r w:rsidR="00101709" w:rsidRPr="00603B31">
        <w:rPr>
          <w:rFonts w:ascii="Times New Roman" w:hAnsi="Times New Roman" w:cs="Times New Roman"/>
          <w:sz w:val="28"/>
          <w:szCs w:val="28"/>
        </w:rPr>
        <w:t>47</w:t>
      </w:r>
      <w:r w:rsidRPr="00603B31">
        <w:rPr>
          <w:rFonts w:ascii="Times New Roman" w:hAnsi="Times New Roman" w:cs="Times New Roman"/>
          <w:sz w:val="28"/>
          <w:szCs w:val="28"/>
        </w:rPr>
        <w:t>]. За счёт своей способности активировать различные рецепторы клеточной стенки, мио-инозитол способствует секреции кальция из эндоплазматического ретикулума в цитозоль. Кальций и различные фо</w:t>
      </w:r>
      <w:r w:rsidR="00706BED">
        <w:rPr>
          <w:rFonts w:ascii="Times New Roman" w:hAnsi="Times New Roman" w:cs="Times New Roman"/>
          <w:sz w:val="28"/>
          <w:szCs w:val="28"/>
        </w:rPr>
        <w:t xml:space="preserve">сфат-производные мио-инозитола </w:t>
      </w:r>
      <w:r w:rsidRPr="00603B31">
        <w:rPr>
          <w:rFonts w:ascii="Times New Roman" w:hAnsi="Times New Roman" w:cs="Times New Roman"/>
          <w:sz w:val="28"/>
          <w:szCs w:val="28"/>
        </w:rPr>
        <w:t xml:space="preserve">участвуют в регуляции каскадных механизмов. Таким образом, роль </w:t>
      </w:r>
      <w:r w:rsidR="00706BED">
        <w:rPr>
          <w:rFonts w:ascii="Times New Roman" w:hAnsi="Times New Roman" w:cs="Times New Roman"/>
          <w:sz w:val="28"/>
          <w:szCs w:val="28"/>
        </w:rPr>
        <w:t xml:space="preserve">мио-инозитола </w:t>
      </w:r>
      <w:r w:rsidRPr="00603B31">
        <w:rPr>
          <w:rFonts w:ascii="Times New Roman" w:hAnsi="Times New Roman" w:cs="Times New Roman"/>
          <w:sz w:val="28"/>
          <w:szCs w:val="28"/>
        </w:rPr>
        <w:t>в поддержке метаболических (в частности, метаболизма сахаров) процессов</w:t>
      </w:r>
      <w:r w:rsidR="00706BED">
        <w:rPr>
          <w:rFonts w:ascii="Times New Roman" w:hAnsi="Times New Roman" w:cs="Times New Roman"/>
          <w:sz w:val="28"/>
          <w:szCs w:val="28"/>
        </w:rPr>
        <w:t xml:space="preserve"> объясняется его участием в </w:t>
      </w:r>
      <w:r w:rsidR="00706BED" w:rsidRPr="00603B31">
        <w:rPr>
          <w:rFonts w:ascii="Times New Roman" w:hAnsi="Times New Roman" w:cs="Times New Roman"/>
          <w:sz w:val="28"/>
          <w:szCs w:val="28"/>
        </w:rPr>
        <w:t>сигнальных каскадах</w:t>
      </w:r>
      <w:r w:rsidRPr="00603B31">
        <w:rPr>
          <w:rFonts w:ascii="Times New Roman" w:hAnsi="Times New Roman" w:cs="Times New Roman"/>
          <w:sz w:val="28"/>
          <w:szCs w:val="28"/>
        </w:rPr>
        <w:t xml:space="preserve">. </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Достаточный уровень мио-инозитола в организме необходим для функционирования нейронов головного мозга. Это связано с тем, что мио-инозитол принимает участие в передаче сигнала от рецепторов ацетилхолина, глутамата, ГАМК, гистамина, обеспечивает долговременное потенцирование в гиппокампе, энергетический метаболизм (сахар, креатин) центр</w:t>
      </w:r>
      <w:r w:rsidR="00706BED">
        <w:rPr>
          <w:rFonts w:ascii="Times New Roman" w:hAnsi="Times New Roman" w:cs="Times New Roman"/>
          <w:sz w:val="28"/>
          <w:szCs w:val="28"/>
        </w:rPr>
        <w:t>альной нервной системы и, кроме того, участвует в защите</w:t>
      </w:r>
      <w:r w:rsidRPr="00603B31">
        <w:rPr>
          <w:rFonts w:ascii="Times New Roman" w:hAnsi="Times New Roman" w:cs="Times New Roman"/>
          <w:sz w:val="28"/>
          <w:szCs w:val="28"/>
        </w:rPr>
        <w:t xml:space="preserve"> нейронов от клеточного стр</w:t>
      </w:r>
      <w:r w:rsidR="00706BED">
        <w:rPr>
          <w:rFonts w:ascii="Times New Roman" w:hAnsi="Times New Roman" w:cs="Times New Roman"/>
          <w:sz w:val="28"/>
          <w:szCs w:val="28"/>
        </w:rPr>
        <w:t>есса, отвечая на неправильно свё</w:t>
      </w:r>
      <w:r w:rsidRPr="00603B31">
        <w:rPr>
          <w:rFonts w:ascii="Times New Roman" w:hAnsi="Times New Roman" w:cs="Times New Roman"/>
          <w:sz w:val="28"/>
          <w:szCs w:val="28"/>
        </w:rPr>
        <w:t>рнутые («unfolded») белки в эндоплазматическом ретикулуме</w:t>
      </w:r>
      <w:r w:rsidR="00A467AF" w:rsidRPr="00603B31">
        <w:rPr>
          <w:rFonts w:ascii="Times New Roman" w:hAnsi="Times New Roman" w:cs="Times New Roman"/>
          <w:sz w:val="28"/>
          <w:szCs w:val="28"/>
        </w:rPr>
        <w:t>[</w:t>
      </w:r>
      <w:r w:rsidR="001872C2" w:rsidRPr="00603B31">
        <w:rPr>
          <w:rFonts w:ascii="Times New Roman" w:hAnsi="Times New Roman" w:cs="Times New Roman"/>
          <w:sz w:val="28"/>
          <w:szCs w:val="28"/>
        </w:rPr>
        <w:t>12</w:t>
      </w:r>
      <w:r w:rsidRPr="00603B31">
        <w:rPr>
          <w:rFonts w:ascii="Times New Roman" w:hAnsi="Times New Roman" w:cs="Times New Roman"/>
          <w:sz w:val="28"/>
          <w:szCs w:val="28"/>
        </w:rPr>
        <w:t>].</w:t>
      </w:r>
    </w:p>
    <w:p w:rsidR="001D2283" w:rsidRPr="00603B31" w:rsidRDefault="00706BED" w:rsidP="006A14B6">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Существуют сведения о важной роли м</w:t>
      </w:r>
      <w:r w:rsidR="001D2283" w:rsidRPr="00603B31">
        <w:rPr>
          <w:rFonts w:ascii="Times New Roman" w:hAnsi="Times New Roman" w:cs="Times New Roman"/>
          <w:sz w:val="28"/>
          <w:szCs w:val="28"/>
        </w:rPr>
        <w:t>ио-инозитол не только в сигнальной трансдукции, но и в клеточном морфогенезе и цитогенезе, участвует в формировании клеточной</w:t>
      </w:r>
      <w:r w:rsidR="007B59C5" w:rsidRPr="00603B31">
        <w:rPr>
          <w:rFonts w:ascii="Times New Roman" w:hAnsi="Times New Roman" w:cs="Times New Roman"/>
          <w:sz w:val="28"/>
          <w:szCs w:val="28"/>
        </w:rPr>
        <w:t xml:space="preserve"> стенки, синтезе липидов и росте</w:t>
      </w:r>
      <w:r w:rsidR="001D2283" w:rsidRPr="00603B31">
        <w:rPr>
          <w:rFonts w:ascii="Times New Roman" w:hAnsi="Times New Roman" w:cs="Times New Roman"/>
          <w:sz w:val="28"/>
          <w:szCs w:val="28"/>
        </w:rPr>
        <w:t xml:space="preserve"> клетки</w:t>
      </w:r>
      <w:r w:rsidR="000E095F" w:rsidRPr="00603B31">
        <w:rPr>
          <w:rFonts w:ascii="Times New Roman" w:hAnsi="Times New Roman" w:cs="Times New Roman"/>
          <w:sz w:val="28"/>
          <w:szCs w:val="28"/>
        </w:rPr>
        <w:t>[</w:t>
      </w:r>
      <w:r w:rsidR="009433A9" w:rsidRPr="00603B31">
        <w:rPr>
          <w:rFonts w:ascii="Times New Roman" w:hAnsi="Times New Roman" w:cs="Times New Roman"/>
          <w:sz w:val="28"/>
          <w:szCs w:val="28"/>
        </w:rPr>
        <w:t>75</w:t>
      </w:r>
      <w:r w:rsidR="001D2283" w:rsidRPr="00603B31">
        <w:rPr>
          <w:rFonts w:ascii="Times New Roman" w:hAnsi="Times New Roman" w:cs="Times New Roman"/>
          <w:sz w:val="28"/>
          <w:szCs w:val="28"/>
        </w:rPr>
        <w:t xml:space="preserve">].  </w:t>
      </w:r>
    </w:p>
    <w:p w:rsidR="007B59C5" w:rsidRPr="00603B31" w:rsidRDefault="001D2283" w:rsidP="001D2283">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Более половины инозитол-зависимых белков необходимы для поддерж</w:t>
      </w:r>
      <w:r w:rsidR="00706BED">
        <w:rPr>
          <w:rFonts w:ascii="Times New Roman" w:hAnsi="Times New Roman" w:cs="Times New Roman"/>
          <w:sz w:val="28"/>
          <w:szCs w:val="28"/>
        </w:rPr>
        <w:t xml:space="preserve">ания нормального </w:t>
      </w:r>
      <w:r w:rsidRPr="00603B31">
        <w:rPr>
          <w:rFonts w:ascii="Times New Roman" w:hAnsi="Times New Roman" w:cs="Times New Roman"/>
          <w:sz w:val="28"/>
          <w:szCs w:val="28"/>
        </w:rPr>
        <w:t>функционирования сердечно-сосудистой, иммун</w:t>
      </w:r>
      <w:r w:rsidR="00706BED">
        <w:rPr>
          <w:rFonts w:ascii="Times New Roman" w:hAnsi="Times New Roman" w:cs="Times New Roman"/>
          <w:sz w:val="28"/>
          <w:szCs w:val="28"/>
        </w:rPr>
        <w:t>ной и центральной нервной систем</w:t>
      </w:r>
      <w:r w:rsidRPr="00603B31">
        <w:rPr>
          <w:rFonts w:ascii="Times New Roman" w:hAnsi="Times New Roman" w:cs="Times New Roman"/>
          <w:sz w:val="28"/>
          <w:szCs w:val="28"/>
        </w:rPr>
        <w:t xml:space="preserve">. </w:t>
      </w:r>
    </w:p>
    <w:p w:rsidR="001D2283" w:rsidRPr="00603B31" w:rsidRDefault="00706BED" w:rsidP="007B59C5">
      <w:pPr>
        <w:autoSpaceDE w:val="0"/>
        <w:autoSpaceDN w:val="0"/>
        <w:adjustRightInd w:val="0"/>
        <w:spacing w:after="0" w:line="360" w:lineRule="auto"/>
        <w:ind w:firstLine="708"/>
        <w:rPr>
          <w:rFonts w:ascii="Times New Roman" w:hAnsi="Times New Roman" w:cs="Times New Roman"/>
          <w:color w:val="FF0000"/>
          <w:sz w:val="28"/>
          <w:szCs w:val="28"/>
        </w:rPr>
      </w:pPr>
      <w:r>
        <w:rPr>
          <w:rFonts w:ascii="Times New Roman" w:hAnsi="Times New Roman" w:cs="Times New Roman"/>
          <w:sz w:val="28"/>
          <w:szCs w:val="28"/>
        </w:rPr>
        <w:t>В тоже время</w:t>
      </w:r>
      <w:r w:rsidR="001D2283" w:rsidRPr="00603B31">
        <w:rPr>
          <w:rFonts w:ascii="Times New Roman" w:hAnsi="Times New Roman" w:cs="Times New Roman"/>
          <w:sz w:val="28"/>
          <w:szCs w:val="28"/>
        </w:rPr>
        <w:t xml:space="preserve"> большое число производных мио-инозитола взаимодействуют со специфическими белками, участвующими в функционировании репродуктивной системы и развитии эмбриона. Мио-инозитол, воздействуя на процессы метилирования ДНК посредством инозитол</w:t>
      </w:r>
      <w:r w:rsidR="007B59C5" w:rsidRPr="00603B31">
        <w:rPr>
          <w:rFonts w:ascii="Times New Roman" w:hAnsi="Times New Roman" w:cs="Times New Roman"/>
          <w:sz w:val="28"/>
          <w:szCs w:val="28"/>
        </w:rPr>
        <w:t>-</w:t>
      </w:r>
      <w:r w:rsidR="001D2283" w:rsidRPr="00603B31">
        <w:rPr>
          <w:rFonts w:ascii="Times New Roman" w:hAnsi="Times New Roman" w:cs="Times New Roman"/>
          <w:sz w:val="28"/>
          <w:szCs w:val="28"/>
        </w:rPr>
        <w:t>зависимых</w:t>
      </w:r>
      <w:r w:rsidR="007B59C5" w:rsidRPr="00603B31">
        <w:rPr>
          <w:rFonts w:ascii="Times New Roman" w:hAnsi="Times New Roman" w:cs="Times New Roman"/>
          <w:sz w:val="28"/>
          <w:szCs w:val="28"/>
        </w:rPr>
        <w:t xml:space="preserve"> белков (аденозилгомоцистеиназа-</w:t>
      </w:r>
      <w:r w:rsidR="001D2283" w:rsidRPr="00603B31">
        <w:rPr>
          <w:rFonts w:ascii="Times New Roman" w:hAnsi="Times New Roman" w:cs="Times New Roman"/>
          <w:sz w:val="28"/>
          <w:szCs w:val="28"/>
        </w:rPr>
        <w:t xml:space="preserve">2, </w:t>
      </w:r>
      <w:r w:rsidR="007B59C5" w:rsidRPr="00603B31">
        <w:rPr>
          <w:rFonts w:ascii="Times New Roman" w:hAnsi="Times New Roman" w:cs="Times New Roman"/>
          <w:sz w:val="28"/>
          <w:szCs w:val="28"/>
        </w:rPr>
        <w:t>Са/интегрин-связывающий белок-1, метил-CpG-связывающий белок-</w:t>
      </w:r>
      <w:r w:rsidR="001D2283" w:rsidRPr="00603B31">
        <w:rPr>
          <w:rFonts w:ascii="Times New Roman" w:hAnsi="Times New Roman" w:cs="Times New Roman"/>
          <w:sz w:val="28"/>
          <w:szCs w:val="28"/>
        </w:rPr>
        <w:t>2), является природным синергистом фолатов, ионов железа, витамина РР и пантотеновой кислоты</w:t>
      </w:r>
      <w:r w:rsidR="00A467AF" w:rsidRPr="00603B31">
        <w:rPr>
          <w:rFonts w:ascii="Times New Roman" w:hAnsi="Times New Roman" w:cs="Times New Roman"/>
          <w:sz w:val="28"/>
          <w:szCs w:val="28"/>
        </w:rPr>
        <w:t>[</w:t>
      </w:r>
      <w:r w:rsidR="001872C2" w:rsidRPr="00603B31">
        <w:rPr>
          <w:rFonts w:ascii="Times New Roman" w:hAnsi="Times New Roman" w:cs="Times New Roman"/>
          <w:sz w:val="28"/>
          <w:szCs w:val="28"/>
        </w:rPr>
        <w:t>12</w:t>
      </w:r>
      <w:r w:rsidR="001D2283" w:rsidRPr="00603B31">
        <w:rPr>
          <w:rFonts w:ascii="Times New Roman" w:hAnsi="Times New Roman" w:cs="Times New Roman"/>
          <w:sz w:val="28"/>
          <w:szCs w:val="28"/>
        </w:rPr>
        <w:t>].</w:t>
      </w:r>
      <w:r w:rsidR="007B59C5" w:rsidRPr="00603B31">
        <w:rPr>
          <w:rFonts w:ascii="Times New Roman" w:hAnsi="Times New Roman" w:cs="Times New Roman"/>
          <w:sz w:val="28"/>
          <w:szCs w:val="28"/>
        </w:rPr>
        <w:t xml:space="preserve"> Все эти эффекты мио-инозитола позволяют использовать </w:t>
      </w:r>
      <w:r w:rsidRPr="00603B31">
        <w:rPr>
          <w:rFonts w:ascii="Times New Roman" w:hAnsi="Times New Roman" w:cs="Times New Roman"/>
          <w:sz w:val="28"/>
          <w:szCs w:val="28"/>
        </w:rPr>
        <w:t xml:space="preserve">его </w:t>
      </w:r>
      <w:r w:rsidR="007B59C5" w:rsidRPr="00603B31">
        <w:rPr>
          <w:rFonts w:ascii="Times New Roman" w:hAnsi="Times New Roman" w:cs="Times New Roman"/>
          <w:sz w:val="28"/>
          <w:szCs w:val="28"/>
        </w:rPr>
        <w:t>в различных областях медицины.</w:t>
      </w:r>
    </w:p>
    <w:p w:rsidR="007B59C5" w:rsidRPr="00603B31" w:rsidRDefault="007B59C5" w:rsidP="007B59C5">
      <w:pPr>
        <w:autoSpaceDE w:val="0"/>
        <w:autoSpaceDN w:val="0"/>
        <w:adjustRightInd w:val="0"/>
        <w:spacing w:after="0" w:line="360" w:lineRule="auto"/>
        <w:rPr>
          <w:rFonts w:ascii="Times New Roman" w:hAnsi="Times New Roman" w:cs="Times New Roman"/>
          <w:b/>
          <w:sz w:val="28"/>
          <w:szCs w:val="28"/>
        </w:rPr>
      </w:pPr>
      <w:r w:rsidRPr="00603B31">
        <w:rPr>
          <w:rFonts w:ascii="Times New Roman" w:hAnsi="Times New Roman" w:cs="Times New Roman"/>
          <w:b/>
          <w:sz w:val="28"/>
          <w:szCs w:val="28"/>
        </w:rPr>
        <w:t>1.5 Применение мио-инозитола.</w:t>
      </w:r>
    </w:p>
    <w:p w:rsidR="007B59C5" w:rsidRPr="00603B31" w:rsidRDefault="007B59C5" w:rsidP="007B59C5">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Мио-инозитол и его производные активно используются во </w:t>
      </w:r>
      <w:r w:rsidR="00706BED">
        <w:rPr>
          <w:rFonts w:ascii="Times New Roman" w:hAnsi="Times New Roman" w:cs="Times New Roman"/>
          <w:sz w:val="28"/>
          <w:szCs w:val="28"/>
        </w:rPr>
        <w:t>различных</w:t>
      </w:r>
      <w:r w:rsidRPr="00603B31">
        <w:rPr>
          <w:rFonts w:ascii="Times New Roman" w:hAnsi="Times New Roman" w:cs="Times New Roman"/>
          <w:sz w:val="28"/>
          <w:szCs w:val="28"/>
        </w:rPr>
        <w:t xml:space="preserve"> областях медицины, в частности в гинекологии, эндокринологии, психиатрии. Некоторые клинические исследования показали возможность терапии СПКЯ препаратами, содержащими мио-</w:t>
      </w:r>
      <w:r w:rsidR="00101709" w:rsidRPr="00603B31">
        <w:rPr>
          <w:rFonts w:ascii="Times New Roman" w:hAnsi="Times New Roman" w:cs="Times New Roman"/>
          <w:sz w:val="28"/>
          <w:szCs w:val="28"/>
        </w:rPr>
        <w:t>инозитол[64,65</w:t>
      </w:r>
      <w:r w:rsidRPr="00603B31">
        <w:rPr>
          <w:rFonts w:ascii="Times New Roman" w:hAnsi="Times New Roman" w:cs="Times New Roman"/>
          <w:sz w:val="28"/>
          <w:szCs w:val="28"/>
        </w:rPr>
        <w:t xml:space="preserve">]. Комбинированная терапия СПКЯ с </w:t>
      </w:r>
      <w:r w:rsidR="00D67CA7">
        <w:rPr>
          <w:rFonts w:ascii="Times New Roman" w:hAnsi="Times New Roman" w:cs="Times New Roman"/>
          <w:sz w:val="28"/>
          <w:szCs w:val="28"/>
        </w:rPr>
        <w:t>применением</w:t>
      </w:r>
      <w:r w:rsidRPr="00603B31">
        <w:rPr>
          <w:rFonts w:ascii="Times New Roman" w:hAnsi="Times New Roman" w:cs="Times New Roman"/>
          <w:sz w:val="28"/>
          <w:szCs w:val="28"/>
        </w:rPr>
        <w:t xml:space="preserve"> мио-инозитола снижае</w:t>
      </w:r>
      <w:r w:rsidR="00101709" w:rsidRPr="00603B31">
        <w:rPr>
          <w:rFonts w:ascii="Times New Roman" w:hAnsi="Times New Roman" w:cs="Times New Roman"/>
          <w:sz w:val="28"/>
          <w:szCs w:val="28"/>
        </w:rPr>
        <w:t xml:space="preserve">т риск нарушения обмена веществ </w:t>
      </w:r>
      <w:r w:rsidRPr="00603B31">
        <w:rPr>
          <w:rFonts w:ascii="Times New Roman" w:hAnsi="Times New Roman" w:cs="Times New Roman"/>
          <w:sz w:val="28"/>
          <w:szCs w:val="28"/>
        </w:rPr>
        <w:t xml:space="preserve">у пациенток с избыточной массой тела, благотворно влияя на уровень метаболизма, состояние гормональной регуляции </w:t>
      </w:r>
      <w:r w:rsidR="00101709" w:rsidRPr="00603B31">
        <w:rPr>
          <w:rFonts w:ascii="Times New Roman" w:hAnsi="Times New Roman" w:cs="Times New Roman"/>
          <w:sz w:val="28"/>
          <w:szCs w:val="28"/>
        </w:rPr>
        <w:t>и функции яичников[54</w:t>
      </w:r>
      <w:r w:rsidRPr="00603B31">
        <w:rPr>
          <w:rFonts w:ascii="Times New Roman" w:hAnsi="Times New Roman" w:cs="Times New Roman"/>
          <w:sz w:val="28"/>
          <w:szCs w:val="28"/>
        </w:rPr>
        <w:t>]. В целом результаты многих исследований позволяют рекомендовать использование мио-инозитола для улучшения функции яичников, а также метаболических и гормональных показателей у пациенток с СПКЯ[</w:t>
      </w:r>
      <w:r w:rsidR="009433A9" w:rsidRPr="00603B31">
        <w:rPr>
          <w:rFonts w:ascii="Times New Roman" w:hAnsi="Times New Roman" w:cs="Times New Roman"/>
          <w:sz w:val="28"/>
          <w:szCs w:val="28"/>
        </w:rPr>
        <w:t>75</w:t>
      </w:r>
      <w:r w:rsidRPr="00603B31">
        <w:rPr>
          <w:rFonts w:ascii="Times New Roman" w:hAnsi="Times New Roman" w:cs="Times New Roman"/>
          <w:sz w:val="28"/>
          <w:szCs w:val="28"/>
        </w:rPr>
        <w:t>].Также мио-инозитол оказался эффективным при дисметаболическом синдроме у пост-менопаузальных женщин[</w:t>
      </w:r>
      <w:r w:rsidR="00101709" w:rsidRPr="00603B31">
        <w:rPr>
          <w:rFonts w:ascii="Times New Roman" w:hAnsi="Times New Roman" w:cs="Times New Roman"/>
          <w:sz w:val="28"/>
          <w:szCs w:val="28"/>
        </w:rPr>
        <w:t>59</w:t>
      </w:r>
      <w:r w:rsidRPr="00603B31">
        <w:rPr>
          <w:rFonts w:ascii="Times New Roman" w:hAnsi="Times New Roman" w:cs="Times New Roman"/>
          <w:sz w:val="28"/>
          <w:szCs w:val="28"/>
        </w:rPr>
        <w:t xml:space="preserve">]. </w:t>
      </w:r>
    </w:p>
    <w:p w:rsidR="00071013" w:rsidRPr="00603B31" w:rsidRDefault="007B59C5" w:rsidP="00356630">
      <w:pPr>
        <w:autoSpaceDE w:val="0"/>
        <w:autoSpaceDN w:val="0"/>
        <w:adjustRightInd w:val="0"/>
        <w:spacing w:after="0" w:line="360" w:lineRule="auto"/>
        <w:ind w:firstLine="708"/>
        <w:rPr>
          <w:rFonts w:ascii="Times New Roman" w:hAnsi="Times New Roman" w:cs="Times New Roman"/>
          <w:b/>
          <w:sz w:val="28"/>
          <w:szCs w:val="28"/>
        </w:rPr>
      </w:pPr>
      <w:r w:rsidRPr="00603B31">
        <w:rPr>
          <w:rFonts w:ascii="Times New Roman" w:hAnsi="Times New Roman" w:cs="Times New Roman"/>
          <w:sz w:val="28"/>
          <w:szCs w:val="28"/>
        </w:rPr>
        <w:t>Другие исследования показали возможность использования мио-инозитола при панических расстройствах, обсессивно-компульсивном расстройстве, депрессии, остром респираторном дистресс-синдроме у недоношенных детей и литий-индуцированном псориазе[</w:t>
      </w:r>
      <w:r w:rsidR="00101709" w:rsidRPr="00603B31">
        <w:rPr>
          <w:rFonts w:ascii="Times New Roman" w:hAnsi="Times New Roman" w:cs="Times New Roman"/>
          <w:sz w:val="28"/>
          <w:szCs w:val="28"/>
        </w:rPr>
        <w:t>29,49</w:t>
      </w:r>
      <w:r w:rsidRPr="00603B31">
        <w:rPr>
          <w:rFonts w:ascii="Times New Roman" w:hAnsi="Times New Roman" w:cs="Times New Roman"/>
          <w:sz w:val="28"/>
          <w:szCs w:val="28"/>
        </w:rPr>
        <w:t xml:space="preserve">].  </w:t>
      </w:r>
      <w:bookmarkStart w:id="0" w:name="_GoBack"/>
      <w:bookmarkEnd w:id="0"/>
    </w:p>
    <w:p w:rsidR="001D2283" w:rsidRPr="00603B31" w:rsidRDefault="007B59C5" w:rsidP="001D2283">
      <w:pPr>
        <w:autoSpaceDE w:val="0"/>
        <w:autoSpaceDN w:val="0"/>
        <w:adjustRightInd w:val="0"/>
        <w:spacing w:after="0" w:line="360" w:lineRule="auto"/>
        <w:rPr>
          <w:rFonts w:ascii="Times New Roman" w:hAnsi="Times New Roman" w:cs="Times New Roman"/>
          <w:b/>
          <w:sz w:val="28"/>
          <w:szCs w:val="28"/>
        </w:rPr>
      </w:pPr>
      <w:r w:rsidRPr="00603B31">
        <w:rPr>
          <w:rFonts w:ascii="Times New Roman" w:hAnsi="Times New Roman" w:cs="Times New Roman"/>
          <w:b/>
          <w:sz w:val="28"/>
          <w:szCs w:val="28"/>
        </w:rPr>
        <w:t>1.6</w:t>
      </w:r>
      <w:r w:rsidR="008028E5" w:rsidRPr="00603B31">
        <w:rPr>
          <w:rFonts w:ascii="Times New Roman" w:hAnsi="Times New Roman" w:cs="Times New Roman"/>
          <w:b/>
          <w:sz w:val="28"/>
          <w:szCs w:val="28"/>
        </w:rPr>
        <w:t xml:space="preserve"> </w:t>
      </w:r>
      <w:r w:rsidR="001D2283" w:rsidRPr="00603B31">
        <w:rPr>
          <w:rFonts w:ascii="Times New Roman" w:hAnsi="Times New Roman" w:cs="Times New Roman"/>
          <w:b/>
          <w:sz w:val="28"/>
          <w:szCs w:val="28"/>
        </w:rPr>
        <w:t>Влияние мио-инозитола на репродуктивную систему.</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Концентрация мио-инозитола в сыворотке крови здорового человека составляет 20-70 ммоль/л. </w:t>
      </w:r>
      <w:r w:rsidR="00D67CA7">
        <w:rPr>
          <w:rFonts w:ascii="Times New Roman" w:hAnsi="Times New Roman" w:cs="Times New Roman"/>
          <w:sz w:val="28"/>
          <w:szCs w:val="28"/>
        </w:rPr>
        <w:t>В то же</w:t>
      </w:r>
      <w:r w:rsidR="007B59C5" w:rsidRPr="00603B31">
        <w:rPr>
          <w:rFonts w:ascii="Times New Roman" w:hAnsi="Times New Roman" w:cs="Times New Roman"/>
          <w:sz w:val="28"/>
          <w:szCs w:val="28"/>
        </w:rPr>
        <w:t xml:space="preserve"> время</w:t>
      </w:r>
      <w:r w:rsidR="00D67CA7">
        <w:rPr>
          <w:rFonts w:ascii="Times New Roman" w:hAnsi="Times New Roman" w:cs="Times New Roman"/>
          <w:sz w:val="28"/>
          <w:szCs w:val="28"/>
        </w:rPr>
        <w:t xml:space="preserve"> </w:t>
      </w:r>
      <w:r w:rsidRPr="00603B31">
        <w:rPr>
          <w:rFonts w:ascii="Times New Roman" w:hAnsi="Times New Roman" w:cs="Times New Roman"/>
          <w:sz w:val="28"/>
          <w:szCs w:val="28"/>
        </w:rPr>
        <w:t>концентрация мио-инозитола в сыворотке крови новорожденных значительно выше</w:t>
      </w:r>
      <w:r w:rsidR="00101709" w:rsidRPr="00603B31">
        <w:rPr>
          <w:rFonts w:ascii="Times New Roman" w:hAnsi="Times New Roman" w:cs="Times New Roman"/>
          <w:sz w:val="28"/>
          <w:szCs w:val="28"/>
        </w:rPr>
        <w:t>[69</w:t>
      </w:r>
      <w:r w:rsidRPr="00603B31">
        <w:rPr>
          <w:rFonts w:ascii="Times New Roman" w:hAnsi="Times New Roman" w:cs="Times New Roman"/>
          <w:sz w:val="28"/>
          <w:szCs w:val="28"/>
        </w:rPr>
        <w:t xml:space="preserve">]. </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Многие исследователи обратили своё внимание на роль мио-инозитола в функционировании репродуктивной системы и развитии эмбриона. Так, </w:t>
      </w:r>
      <w:r w:rsidRPr="00603B31">
        <w:rPr>
          <w:rFonts w:ascii="Times New Roman" w:hAnsi="Times New Roman" w:cs="Times New Roman"/>
          <w:sz w:val="28"/>
          <w:szCs w:val="28"/>
          <w:lang w:val="en-US"/>
        </w:rPr>
        <w:t>Papaleo</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Pr="00603B31">
        <w:rPr>
          <w:rFonts w:ascii="Times New Roman" w:hAnsi="Times New Roman" w:cs="Times New Roman"/>
          <w:sz w:val="28"/>
          <w:szCs w:val="28"/>
        </w:rPr>
        <w:t>. в своём исследование показали, что повышение концентрации мио-инозитола в фолликулярной жидкости в предовуляторный и овуляторный период</w:t>
      </w:r>
      <w:r w:rsidR="007B59C5" w:rsidRPr="00603B31">
        <w:rPr>
          <w:rFonts w:ascii="Times New Roman" w:hAnsi="Times New Roman" w:cs="Times New Roman"/>
          <w:sz w:val="28"/>
          <w:szCs w:val="28"/>
        </w:rPr>
        <w:t>ы</w:t>
      </w:r>
      <w:r w:rsidRPr="00603B31">
        <w:rPr>
          <w:rFonts w:ascii="Times New Roman" w:hAnsi="Times New Roman" w:cs="Times New Roman"/>
          <w:sz w:val="28"/>
          <w:szCs w:val="28"/>
        </w:rPr>
        <w:t xml:space="preserve"> необходимо для процесса полноценного созревания фолликулов и является маркером хорошего качества ооцитов</w:t>
      </w:r>
      <w:r w:rsidR="00101709" w:rsidRPr="00603B31">
        <w:rPr>
          <w:rFonts w:ascii="Times New Roman" w:hAnsi="Times New Roman" w:cs="Times New Roman"/>
          <w:sz w:val="28"/>
          <w:szCs w:val="28"/>
        </w:rPr>
        <w:t>[62</w:t>
      </w:r>
      <w:r w:rsidRPr="00603B31">
        <w:rPr>
          <w:rFonts w:ascii="Times New Roman" w:hAnsi="Times New Roman" w:cs="Times New Roman"/>
          <w:sz w:val="28"/>
          <w:szCs w:val="28"/>
        </w:rPr>
        <w:t xml:space="preserve">]. Некоторые исследования показали, что в процессе созревания ооцитов производные мио-инозитола играют первостепенную роль в формировании кальций-опосредованных сигналов от рецептора </w:t>
      </w:r>
      <w:r w:rsidR="000F3945" w:rsidRPr="00603B31">
        <w:rPr>
          <w:rFonts w:ascii="Times New Roman" w:hAnsi="Times New Roman" w:cs="Times New Roman"/>
          <w:sz w:val="28"/>
          <w:szCs w:val="28"/>
        </w:rPr>
        <w:t>ГнРГ</w:t>
      </w:r>
      <w:r w:rsidRPr="00603B31">
        <w:rPr>
          <w:rFonts w:ascii="Times New Roman" w:hAnsi="Times New Roman" w:cs="Times New Roman"/>
          <w:sz w:val="28"/>
          <w:szCs w:val="28"/>
        </w:rPr>
        <w:t>, лютеинизирующего и фолликулостимулирующего гормонов, тем</w:t>
      </w:r>
      <w:r w:rsidR="007B59C5" w:rsidRPr="00603B31">
        <w:rPr>
          <w:rFonts w:ascii="Times New Roman" w:hAnsi="Times New Roman" w:cs="Times New Roman"/>
          <w:sz w:val="28"/>
          <w:szCs w:val="28"/>
        </w:rPr>
        <w:t xml:space="preserve"> самым </w:t>
      </w:r>
      <w:r w:rsidR="00D67CA7">
        <w:rPr>
          <w:rFonts w:ascii="Times New Roman" w:hAnsi="Times New Roman" w:cs="Times New Roman"/>
          <w:sz w:val="28"/>
          <w:szCs w:val="28"/>
        </w:rPr>
        <w:t>косвенно</w:t>
      </w:r>
      <w:r w:rsidR="007B59C5" w:rsidRPr="00603B31">
        <w:rPr>
          <w:rFonts w:ascii="Times New Roman" w:hAnsi="Times New Roman" w:cs="Times New Roman"/>
          <w:sz w:val="28"/>
          <w:szCs w:val="28"/>
        </w:rPr>
        <w:t xml:space="preserve"> регулируя </w:t>
      </w:r>
      <w:r w:rsidRPr="00603B31">
        <w:rPr>
          <w:rFonts w:ascii="Times New Roman" w:hAnsi="Times New Roman" w:cs="Times New Roman"/>
          <w:sz w:val="28"/>
          <w:szCs w:val="28"/>
        </w:rPr>
        <w:t>инвазию трофобласта при закреплении бластоцисты, функции яичников, ооцитов, плаценты</w:t>
      </w:r>
      <w:r w:rsidR="000B178D" w:rsidRPr="00603B31">
        <w:rPr>
          <w:rFonts w:ascii="Times New Roman" w:hAnsi="Times New Roman" w:cs="Times New Roman"/>
          <w:sz w:val="28"/>
          <w:szCs w:val="28"/>
        </w:rPr>
        <w:t>[</w:t>
      </w:r>
      <w:r w:rsidR="00101709" w:rsidRPr="00603B31">
        <w:rPr>
          <w:rFonts w:ascii="Times New Roman" w:hAnsi="Times New Roman" w:cs="Times New Roman"/>
          <w:sz w:val="28"/>
          <w:szCs w:val="28"/>
        </w:rPr>
        <w:t>27</w:t>
      </w:r>
      <w:r w:rsidR="000E095F" w:rsidRPr="00603B31">
        <w:rPr>
          <w:rFonts w:ascii="Times New Roman" w:hAnsi="Times New Roman" w:cs="Times New Roman"/>
          <w:sz w:val="28"/>
          <w:szCs w:val="28"/>
        </w:rPr>
        <w:t>,</w:t>
      </w:r>
      <w:r w:rsidR="00101709" w:rsidRPr="00603B31">
        <w:rPr>
          <w:rFonts w:ascii="Times New Roman" w:hAnsi="Times New Roman" w:cs="Times New Roman"/>
          <w:sz w:val="28"/>
          <w:szCs w:val="28"/>
        </w:rPr>
        <w:t>68</w:t>
      </w:r>
      <w:r w:rsidRPr="00603B31">
        <w:rPr>
          <w:rFonts w:ascii="Times New Roman" w:hAnsi="Times New Roman" w:cs="Times New Roman"/>
          <w:sz w:val="28"/>
          <w:szCs w:val="28"/>
        </w:rPr>
        <w:t>]. Инозитол-зависимые сигналы имеют значение на заключительных стадиях созревания яйцеклетки в рамках подготовки к успешной активации кле</w:t>
      </w:r>
      <w:r w:rsidR="002D3429" w:rsidRPr="00603B31">
        <w:rPr>
          <w:rFonts w:ascii="Times New Roman" w:hAnsi="Times New Roman" w:cs="Times New Roman"/>
          <w:sz w:val="28"/>
          <w:szCs w:val="28"/>
        </w:rPr>
        <w:t>тки в момент оплодотв</w:t>
      </w:r>
      <w:r w:rsidR="007B59C5" w:rsidRPr="00603B31">
        <w:rPr>
          <w:rFonts w:ascii="Times New Roman" w:hAnsi="Times New Roman" w:cs="Times New Roman"/>
          <w:sz w:val="28"/>
          <w:szCs w:val="28"/>
        </w:rPr>
        <w:t>орения</w:t>
      </w:r>
      <w:r w:rsidR="002D3429" w:rsidRPr="00603B31">
        <w:rPr>
          <w:rFonts w:ascii="Times New Roman" w:hAnsi="Times New Roman" w:cs="Times New Roman"/>
          <w:sz w:val="28"/>
          <w:szCs w:val="28"/>
        </w:rPr>
        <w:t>[</w:t>
      </w:r>
      <w:r w:rsidR="00101709" w:rsidRPr="00603B31">
        <w:rPr>
          <w:rFonts w:ascii="Times New Roman" w:hAnsi="Times New Roman" w:cs="Times New Roman"/>
          <w:sz w:val="28"/>
          <w:szCs w:val="28"/>
        </w:rPr>
        <w:t>43</w:t>
      </w:r>
      <w:r w:rsidRPr="00603B31">
        <w:rPr>
          <w:rFonts w:ascii="Times New Roman" w:hAnsi="Times New Roman" w:cs="Times New Roman"/>
          <w:sz w:val="28"/>
          <w:szCs w:val="28"/>
        </w:rPr>
        <w:t xml:space="preserve">]. </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Были также проведены исследования, направленные на оценку влияния мио-инозитола и его производных на репродуктивную функцию мужчин. Так, некоторые исследования показали, что в предстательной железе, семенных пузырьках и сперме содержится большое количество мио-инозитола. </w:t>
      </w:r>
      <w:r w:rsidRPr="00603B31">
        <w:rPr>
          <w:rFonts w:ascii="Times New Roman" w:hAnsi="Times New Roman" w:cs="Times New Roman"/>
          <w:sz w:val="28"/>
          <w:szCs w:val="28"/>
          <w:lang w:val="en-US"/>
        </w:rPr>
        <w:t>Condorelli</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Pr="00603B31">
        <w:rPr>
          <w:rFonts w:ascii="Times New Roman" w:hAnsi="Times New Roman" w:cs="Times New Roman"/>
          <w:sz w:val="28"/>
          <w:szCs w:val="28"/>
        </w:rPr>
        <w:t xml:space="preserve">. провели несколько исследований на эту тему и обнаружили, что мио-инозитол оказывает воздействие на функционирование сперматозоидов, регулируя осмолярность и объём семенной плазмы, экспрессию белков, необходимых для эмбриогенетического развития, и подвижность </w:t>
      </w:r>
      <w:r w:rsidR="007B59C5" w:rsidRPr="00603B31">
        <w:rPr>
          <w:rFonts w:ascii="Times New Roman" w:hAnsi="Times New Roman" w:cs="Times New Roman"/>
          <w:sz w:val="28"/>
          <w:szCs w:val="28"/>
        </w:rPr>
        <w:t>сперматозоидов[</w:t>
      </w:r>
      <w:r w:rsidR="00101709" w:rsidRPr="00603B31">
        <w:rPr>
          <w:rFonts w:ascii="Times New Roman" w:hAnsi="Times New Roman" w:cs="Times New Roman"/>
          <w:sz w:val="28"/>
          <w:szCs w:val="28"/>
        </w:rPr>
        <w:t>39</w:t>
      </w:r>
      <w:r w:rsidRPr="00603B31">
        <w:rPr>
          <w:rFonts w:ascii="Times New Roman" w:hAnsi="Times New Roman" w:cs="Times New Roman"/>
          <w:sz w:val="28"/>
          <w:szCs w:val="28"/>
        </w:rPr>
        <w:t xml:space="preserve">]. </w:t>
      </w:r>
    </w:p>
    <w:p w:rsidR="001D2283" w:rsidRPr="00603B31" w:rsidRDefault="001D2283" w:rsidP="006A14B6">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Взаимодействие производных инозитола со специфическими белками, участвующими в функционировании репродуктивной системы и развитии эмбриона, наряду с эффектами мио-</w:t>
      </w:r>
      <w:r w:rsidR="007B59C5" w:rsidRPr="00603B31">
        <w:rPr>
          <w:rFonts w:ascii="Times New Roman" w:hAnsi="Times New Roman" w:cs="Times New Roman"/>
          <w:sz w:val="28"/>
          <w:szCs w:val="28"/>
        </w:rPr>
        <w:t>инози</w:t>
      </w:r>
      <w:r w:rsidRPr="00603B31">
        <w:rPr>
          <w:rFonts w:ascii="Times New Roman" w:hAnsi="Times New Roman" w:cs="Times New Roman"/>
          <w:sz w:val="28"/>
          <w:szCs w:val="28"/>
        </w:rPr>
        <w:t>тола как синергиста фолатов, указывает на существенные перспективы применения мио-инозитола в акушерско-гинекологической практике.</w:t>
      </w:r>
    </w:p>
    <w:p w:rsidR="001D2283" w:rsidRPr="00603B31" w:rsidRDefault="007B59C5" w:rsidP="001D2283">
      <w:pPr>
        <w:spacing w:after="0" w:line="360" w:lineRule="auto"/>
        <w:rPr>
          <w:rFonts w:ascii="Times New Roman" w:hAnsi="Times New Roman" w:cs="Times New Roman"/>
          <w:b/>
          <w:sz w:val="28"/>
          <w:szCs w:val="28"/>
        </w:rPr>
      </w:pPr>
      <w:r w:rsidRPr="00603B31">
        <w:rPr>
          <w:rFonts w:ascii="Times New Roman" w:hAnsi="Times New Roman" w:cs="Times New Roman"/>
          <w:b/>
          <w:sz w:val="28"/>
          <w:szCs w:val="28"/>
        </w:rPr>
        <w:t>1.7</w:t>
      </w:r>
      <w:r w:rsidR="008028E5" w:rsidRPr="00603B31">
        <w:rPr>
          <w:rFonts w:ascii="Times New Roman" w:hAnsi="Times New Roman" w:cs="Times New Roman"/>
          <w:b/>
          <w:sz w:val="28"/>
          <w:szCs w:val="28"/>
        </w:rPr>
        <w:t xml:space="preserve"> </w:t>
      </w:r>
      <w:r w:rsidR="001D2283" w:rsidRPr="00603B31">
        <w:rPr>
          <w:rFonts w:ascii="Times New Roman" w:hAnsi="Times New Roman" w:cs="Times New Roman"/>
          <w:b/>
          <w:sz w:val="28"/>
          <w:szCs w:val="28"/>
        </w:rPr>
        <w:t>Влияние мио-инозитола на функции яичников в рамках цикла ЭКО.</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lang w:val="en-US"/>
        </w:rPr>
        <w:t>Chiu</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00FF2811" w:rsidRPr="00603B31">
        <w:rPr>
          <w:rFonts w:ascii="Times New Roman" w:hAnsi="Times New Roman" w:cs="Times New Roman"/>
          <w:sz w:val="28"/>
          <w:szCs w:val="28"/>
        </w:rPr>
        <w:t xml:space="preserve">. опубликовали </w:t>
      </w:r>
      <w:r w:rsidRPr="00603B31">
        <w:rPr>
          <w:rFonts w:ascii="Times New Roman" w:hAnsi="Times New Roman" w:cs="Times New Roman"/>
          <w:sz w:val="28"/>
          <w:szCs w:val="28"/>
        </w:rPr>
        <w:t xml:space="preserve">ряд статей о влиянии мио-инозитола на </w:t>
      </w:r>
      <w:r w:rsidR="00FF2811" w:rsidRPr="00603B31">
        <w:rPr>
          <w:rFonts w:ascii="Times New Roman" w:hAnsi="Times New Roman" w:cs="Times New Roman"/>
          <w:sz w:val="28"/>
          <w:szCs w:val="28"/>
        </w:rPr>
        <w:t>функции яичников</w:t>
      </w:r>
      <w:r w:rsidRPr="00603B31">
        <w:rPr>
          <w:rFonts w:ascii="Times New Roman" w:hAnsi="Times New Roman" w:cs="Times New Roman"/>
          <w:sz w:val="28"/>
          <w:szCs w:val="28"/>
        </w:rPr>
        <w:t>.</w:t>
      </w:r>
      <w:r w:rsidR="007B59C5" w:rsidRPr="00603B31">
        <w:rPr>
          <w:rFonts w:ascii="Times New Roman" w:hAnsi="Times New Roman" w:cs="Times New Roman"/>
          <w:sz w:val="28"/>
          <w:szCs w:val="28"/>
        </w:rPr>
        <w:t xml:space="preserve"> В первом исследовании 1992 г.</w:t>
      </w:r>
      <w:r w:rsidRPr="00603B31">
        <w:rPr>
          <w:rFonts w:ascii="Times New Roman" w:hAnsi="Times New Roman" w:cs="Times New Roman"/>
          <w:sz w:val="28"/>
          <w:szCs w:val="28"/>
        </w:rPr>
        <w:t xml:space="preserve"> был отмечен повышенный уровень мио-инозитола в сыворотке крови у женщин, забеременевших по итогам ЭКО, таким образом</w:t>
      </w:r>
      <w:r w:rsidR="00436197" w:rsidRPr="00603B31">
        <w:rPr>
          <w:rFonts w:ascii="Times New Roman" w:hAnsi="Times New Roman" w:cs="Times New Roman"/>
          <w:sz w:val="28"/>
          <w:szCs w:val="28"/>
        </w:rPr>
        <w:t>,</w:t>
      </w:r>
      <w:r w:rsidRPr="00603B31">
        <w:rPr>
          <w:rFonts w:ascii="Times New Roman" w:hAnsi="Times New Roman" w:cs="Times New Roman"/>
          <w:sz w:val="28"/>
          <w:szCs w:val="28"/>
        </w:rPr>
        <w:t xml:space="preserve"> впервые было продемонстрировано участие инозитола в нормальном развитии эмбрионов</w:t>
      </w:r>
      <w:r w:rsidR="000B178D" w:rsidRPr="00603B31">
        <w:rPr>
          <w:rFonts w:ascii="Times New Roman" w:hAnsi="Times New Roman" w:cs="Times New Roman"/>
          <w:sz w:val="28"/>
          <w:szCs w:val="28"/>
        </w:rPr>
        <w:t>[</w:t>
      </w:r>
      <w:r w:rsidR="00101709" w:rsidRPr="00603B31">
        <w:rPr>
          <w:rFonts w:ascii="Times New Roman" w:hAnsi="Times New Roman" w:cs="Times New Roman"/>
          <w:sz w:val="28"/>
          <w:szCs w:val="28"/>
        </w:rPr>
        <w:t>32</w:t>
      </w:r>
      <w:r w:rsidRPr="00603B31">
        <w:rPr>
          <w:rFonts w:ascii="Times New Roman" w:hAnsi="Times New Roman" w:cs="Times New Roman"/>
          <w:sz w:val="28"/>
          <w:szCs w:val="28"/>
        </w:rPr>
        <w:t xml:space="preserve">]. Более позднее </w:t>
      </w:r>
      <w:r w:rsidR="007B59C5" w:rsidRPr="00603B31">
        <w:rPr>
          <w:rFonts w:ascii="Times New Roman" w:hAnsi="Times New Roman" w:cs="Times New Roman"/>
          <w:sz w:val="28"/>
          <w:szCs w:val="28"/>
        </w:rPr>
        <w:t xml:space="preserve">(2002) </w:t>
      </w:r>
      <w:r w:rsidRPr="00603B31">
        <w:rPr>
          <w:rFonts w:ascii="Times New Roman" w:hAnsi="Times New Roman" w:cs="Times New Roman"/>
          <w:sz w:val="28"/>
          <w:szCs w:val="28"/>
        </w:rPr>
        <w:t>исследование тех же авторов показало, что повышенные концентрации мио-инозитола в фолликулярной жидкости является положительным прогностическим фактором хорошего качества ооцитов</w:t>
      </w:r>
      <w:r w:rsidR="000B178D" w:rsidRPr="00603B31">
        <w:rPr>
          <w:rFonts w:ascii="Times New Roman" w:hAnsi="Times New Roman" w:cs="Times New Roman"/>
          <w:sz w:val="28"/>
          <w:szCs w:val="28"/>
        </w:rPr>
        <w:t>[</w:t>
      </w:r>
      <w:r w:rsidR="00101709" w:rsidRPr="00603B31">
        <w:rPr>
          <w:rFonts w:ascii="Times New Roman" w:hAnsi="Times New Roman" w:cs="Times New Roman"/>
          <w:sz w:val="28"/>
          <w:szCs w:val="28"/>
        </w:rPr>
        <w:t>33</w:t>
      </w:r>
      <w:r w:rsidRPr="00603B31">
        <w:rPr>
          <w:rFonts w:ascii="Times New Roman" w:hAnsi="Times New Roman" w:cs="Times New Roman"/>
          <w:sz w:val="28"/>
          <w:szCs w:val="28"/>
        </w:rPr>
        <w:t xml:space="preserve">]. Далее </w:t>
      </w:r>
      <w:r w:rsidRPr="00603B31">
        <w:rPr>
          <w:rFonts w:ascii="Times New Roman" w:hAnsi="Times New Roman" w:cs="Times New Roman"/>
          <w:sz w:val="28"/>
          <w:szCs w:val="28"/>
          <w:lang w:val="en-US"/>
        </w:rPr>
        <w:t>Chiu</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Pr="00603B31">
        <w:rPr>
          <w:rFonts w:ascii="Times New Roman" w:hAnsi="Times New Roman" w:cs="Times New Roman"/>
          <w:sz w:val="28"/>
          <w:szCs w:val="28"/>
        </w:rPr>
        <w:t xml:space="preserve">. </w:t>
      </w:r>
      <w:r w:rsidR="007B59C5" w:rsidRPr="00603B31">
        <w:rPr>
          <w:rFonts w:ascii="Times New Roman" w:hAnsi="Times New Roman" w:cs="Times New Roman"/>
          <w:sz w:val="28"/>
          <w:szCs w:val="28"/>
        </w:rPr>
        <w:t>(2003) показали на модели</w:t>
      </w:r>
      <w:r w:rsidRPr="00603B31">
        <w:rPr>
          <w:rFonts w:ascii="Times New Roman" w:hAnsi="Times New Roman" w:cs="Times New Roman"/>
          <w:sz w:val="28"/>
          <w:szCs w:val="28"/>
        </w:rPr>
        <w:t xml:space="preserve"> с мышами, что дополнительная терапия мио-инозитолом имеет положительное влияние на развитие ооцитов через повышение внутриклеточного уровня кальция</w:t>
      </w:r>
      <w:r w:rsidR="000B178D" w:rsidRPr="00603B31">
        <w:rPr>
          <w:rFonts w:ascii="Times New Roman" w:hAnsi="Times New Roman" w:cs="Times New Roman"/>
          <w:sz w:val="28"/>
          <w:szCs w:val="28"/>
        </w:rPr>
        <w:t>[</w:t>
      </w:r>
      <w:r w:rsidR="00101709" w:rsidRPr="00603B31">
        <w:rPr>
          <w:rFonts w:ascii="Times New Roman" w:hAnsi="Times New Roman" w:cs="Times New Roman"/>
          <w:sz w:val="28"/>
          <w:szCs w:val="28"/>
        </w:rPr>
        <w:t>34</w:t>
      </w:r>
      <w:r w:rsidRPr="00603B31">
        <w:rPr>
          <w:rFonts w:ascii="Times New Roman" w:hAnsi="Times New Roman" w:cs="Times New Roman"/>
          <w:sz w:val="28"/>
          <w:szCs w:val="28"/>
        </w:rPr>
        <w:t xml:space="preserve">]. </w:t>
      </w:r>
      <w:r w:rsidR="009E2E3A" w:rsidRPr="00603B31">
        <w:rPr>
          <w:rFonts w:ascii="Times New Roman" w:hAnsi="Times New Roman" w:cs="Times New Roman"/>
          <w:sz w:val="28"/>
          <w:szCs w:val="28"/>
        </w:rPr>
        <w:t>Эти же авторы описали</w:t>
      </w:r>
      <w:r w:rsidR="0022322A" w:rsidRPr="00603B31">
        <w:rPr>
          <w:rFonts w:ascii="Times New Roman" w:hAnsi="Times New Roman" w:cs="Times New Roman"/>
          <w:sz w:val="28"/>
          <w:szCs w:val="28"/>
        </w:rPr>
        <w:t xml:space="preserve"> связь между концентрацией мио-инозитола в фолликулярной жидкости, качеством ооцитов и уровнем эстрогена в фолликулярной жидкости </w:t>
      </w:r>
      <w:r w:rsidR="0022322A" w:rsidRPr="00603B31">
        <w:rPr>
          <w:rFonts w:ascii="Times New Roman" w:hAnsi="Times New Roman" w:cs="Times New Roman"/>
          <w:sz w:val="28"/>
          <w:szCs w:val="28"/>
          <w:lang w:val="en-US"/>
        </w:rPr>
        <w:t>in</w:t>
      </w:r>
      <w:r w:rsidR="0022322A" w:rsidRPr="00603B31">
        <w:rPr>
          <w:rFonts w:ascii="Times New Roman" w:hAnsi="Times New Roman" w:cs="Times New Roman"/>
          <w:sz w:val="28"/>
          <w:szCs w:val="28"/>
        </w:rPr>
        <w:t xml:space="preserve"> </w:t>
      </w:r>
      <w:r w:rsidR="0022322A" w:rsidRPr="00603B31">
        <w:rPr>
          <w:rFonts w:ascii="Times New Roman" w:hAnsi="Times New Roman" w:cs="Times New Roman"/>
          <w:sz w:val="28"/>
          <w:szCs w:val="28"/>
          <w:lang w:val="en-US"/>
        </w:rPr>
        <w:t>vitro</w:t>
      </w:r>
      <w:r w:rsidR="0022322A" w:rsidRPr="00603B31">
        <w:rPr>
          <w:rFonts w:ascii="Times New Roman" w:hAnsi="Times New Roman" w:cs="Times New Roman"/>
          <w:sz w:val="28"/>
          <w:szCs w:val="28"/>
        </w:rPr>
        <w:t xml:space="preserve"> на мышах и у человека во время </w:t>
      </w:r>
      <w:r w:rsidR="00FF2811" w:rsidRPr="00603B31">
        <w:rPr>
          <w:rFonts w:ascii="Times New Roman" w:hAnsi="Times New Roman" w:cs="Times New Roman"/>
          <w:sz w:val="28"/>
          <w:szCs w:val="28"/>
        </w:rPr>
        <w:t>цикла</w:t>
      </w:r>
      <w:r w:rsidR="0022322A" w:rsidRPr="00603B31">
        <w:rPr>
          <w:rFonts w:ascii="Times New Roman" w:hAnsi="Times New Roman" w:cs="Times New Roman"/>
          <w:sz w:val="28"/>
          <w:szCs w:val="28"/>
        </w:rPr>
        <w:t xml:space="preserve"> ЭКО</w:t>
      </w:r>
      <w:r w:rsidR="009E2E3A" w:rsidRPr="00603B31">
        <w:rPr>
          <w:rFonts w:ascii="Times New Roman" w:hAnsi="Times New Roman" w:cs="Times New Roman"/>
          <w:sz w:val="28"/>
          <w:szCs w:val="28"/>
        </w:rPr>
        <w:t xml:space="preserve"> </w:t>
      </w:r>
      <w:r w:rsidR="00101709" w:rsidRPr="00603B31">
        <w:rPr>
          <w:rFonts w:ascii="Times New Roman" w:hAnsi="Times New Roman" w:cs="Times New Roman"/>
          <w:sz w:val="28"/>
          <w:szCs w:val="28"/>
        </w:rPr>
        <w:t>[34</w:t>
      </w:r>
      <w:r w:rsidR="009E2E3A" w:rsidRPr="00603B31">
        <w:rPr>
          <w:rFonts w:ascii="Times New Roman" w:hAnsi="Times New Roman" w:cs="Times New Roman"/>
          <w:sz w:val="28"/>
          <w:szCs w:val="28"/>
        </w:rPr>
        <w:t>]</w:t>
      </w:r>
      <w:r w:rsidR="0022322A" w:rsidRPr="00603B31">
        <w:rPr>
          <w:rFonts w:ascii="Times New Roman" w:hAnsi="Times New Roman" w:cs="Times New Roman"/>
          <w:sz w:val="28"/>
          <w:szCs w:val="28"/>
        </w:rPr>
        <w:t xml:space="preserve">. </w:t>
      </w:r>
      <w:r w:rsidR="0022322A" w:rsidRPr="00603B31">
        <w:rPr>
          <w:rFonts w:ascii="Times New Roman" w:hAnsi="Times New Roman" w:cs="Times New Roman"/>
          <w:sz w:val="28"/>
          <w:szCs w:val="28"/>
          <w:lang w:val="en-US"/>
        </w:rPr>
        <w:t>Chiu</w:t>
      </w:r>
      <w:r w:rsidR="0022322A" w:rsidRPr="00603B31">
        <w:rPr>
          <w:rFonts w:ascii="Times New Roman" w:hAnsi="Times New Roman" w:cs="Times New Roman"/>
          <w:sz w:val="28"/>
          <w:szCs w:val="28"/>
        </w:rPr>
        <w:t xml:space="preserve"> </w:t>
      </w:r>
      <w:r w:rsidR="0022322A" w:rsidRPr="00603B31">
        <w:rPr>
          <w:rFonts w:ascii="Times New Roman" w:hAnsi="Times New Roman" w:cs="Times New Roman"/>
          <w:sz w:val="28"/>
          <w:szCs w:val="28"/>
          <w:lang w:val="en-US"/>
        </w:rPr>
        <w:t>et</w:t>
      </w:r>
      <w:r w:rsidR="0022322A" w:rsidRPr="00603B31">
        <w:rPr>
          <w:rFonts w:ascii="Times New Roman" w:hAnsi="Times New Roman" w:cs="Times New Roman"/>
          <w:sz w:val="28"/>
          <w:szCs w:val="28"/>
        </w:rPr>
        <w:t xml:space="preserve"> </w:t>
      </w:r>
      <w:r w:rsidR="0022322A" w:rsidRPr="00603B31">
        <w:rPr>
          <w:rFonts w:ascii="Times New Roman" w:hAnsi="Times New Roman" w:cs="Times New Roman"/>
          <w:sz w:val="28"/>
          <w:szCs w:val="28"/>
          <w:lang w:val="en-US"/>
        </w:rPr>
        <w:t>al</w:t>
      </w:r>
      <w:r w:rsidR="0022322A" w:rsidRPr="00603B31">
        <w:rPr>
          <w:rFonts w:ascii="Times New Roman" w:hAnsi="Times New Roman" w:cs="Times New Roman"/>
          <w:sz w:val="28"/>
          <w:szCs w:val="28"/>
        </w:rPr>
        <w:t>. разделили на 2 группы ооциты, полученные от пациенток во время циклов ЭКО: в группе А были ооциты хорошего качества, в группе В – ооциты плохого качества. Было показано, что в группе А был значительно более высокий объём фолликулярной жидкости и уровень мио-инозитола в ней; более высокий уровень мио-инозитола был в фолликулярной жидкости ооцитов, из которых развились эмбрионы с хорошей морфологией; была также обнаружена положительная корреляция между уровнем мио-инозитола и эстрадиола в фолликулярной жидкости. По результатам международного консенсуса 2015 г., посвящённого применению мио-инозитола в ВРТ, были получены</w:t>
      </w:r>
      <w:r w:rsidRPr="00603B31">
        <w:rPr>
          <w:rFonts w:ascii="Times New Roman" w:hAnsi="Times New Roman" w:cs="Times New Roman"/>
          <w:sz w:val="28"/>
          <w:szCs w:val="28"/>
        </w:rPr>
        <w:t xml:space="preserve"> сведения о том, что мио-инозитол является важным составляющим микросреды фолликула, играя определяющую роль в ядерном и цитоплазматическом развитии ооцита</w:t>
      </w:r>
      <w:r w:rsidR="00101709" w:rsidRPr="00603B31">
        <w:rPr>
          <w:rFonts w:ascii="Times New Roman" w:hAnsi="Times New Roman" w:cs="Times New Roman"/>
          <w:sz w:val="28"/>
          <w:szCs w:val="28"/>
        </w:rPr>
        <w:t>[66</w:t>
      </w:r>
      <w:r w:rsidR="0022322A" w:rsidRPr="00603B31">
        <w:rPr>
          <w:rFonts w:ascii="Times New Roman" w:hAnsi="Times New Roman" w:cs="Times New Roman"/>
          <w:sz w:val="28"/>
          <w:szCs w:val="28"/>
        </w:rPr>
        <w:t>]</w:t>
      </w:r>
      <w:r w:rsidRPr="00603B31">
        <w:rPr>
          <w:rFonts w:ascii="Times New Roman" w:hAnsi="Times New Roman" w:cs="Times New Roman"/>
          <w:sz w:val="28"/>
          <w:szCs w:val="28"/>
        </w:rPr>
        <w:t xml:space="preserve">. </w:t>
      </w:r>
    </w:p>
    <w:p w:rsidR="001D2283" w:rsidRPr="00603B31" w:rsidRDefault="001D2283"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Эффекты мио-инозитола у женщин с СПКЯ хорошо исследованы в рамках систематического рандомизированного исследования, которое показало улучшение функции яичников и метаболических и гормональных параметров у женщин с СПКЯ на фоне приёма мио-инозитола</w:t>
      </w:r>
      <w:r w:rsidR="000E095F" w:rsidRPr="00603B31">
        <w:rPr>
          <w:rFonts w:ascii="Times New Roman" w:hAnsi="Times New Roman" w:cs="Times New Roman"/>
          <w:sz w:val="28"/>
          <w:szCs w:val="28"/>
        </w:rPr>
        <w:t>[</w:t>
      </w:r>
      <w:r w:rsidR="009433A9" w:rsidRPr="00603B31">
        <w:rPr>
          <w:rFonts w:ascii="Times New Roman" w:hAnsi="Times New Roman" w:cs="Times New Roman"/>
          <w:sz w:val="28"/>
          <w:szCs w:val="28"/>
        </w:rPr>
        <w:t>75</w:t>
      </w:r>
      <w:r w:rsidRPr="00603B31">
        <w:rPr>
          <w:rFonts w:ascii="Times New Roman" w:hAnsi="Times New Roman" w:cs="Times New Roman"/>
          <w:sz w:val="28"/>
          <w:szCs w:val="28"/>
        </w:rPr>
        <w:t xml:space="preserve">]. </w:t>
      </w:r>
    </w:p>
    <w:p w:rsidR="001D2283" w:rsidRPr="00603B31" w:rsidRDefault="001D2283" w:rsidP="00D67CA7">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Несколько авторов заключили, что во время цикла ЭКО мио-инозитол в качестве трёхмесячной подготовки к стимуляции </w:t>
      </w:r>
      <w:r w:rsidR="00D67CA7">
        <w:rPr>
          <w:rFonts w:ascii="Times New Roman" w:hAnsi="Times New Roman" w:cs="Times New Roman"/>
          <w:sz w:val="28"/>
          <w:szCs w:val="28"/>
        </w:rPr>
        <w:t xml:space="preserve">суперовуляции </w:t>
      </w:r>
      <w:r w:rsidRPr="00603B31">
        <w:rPr>
          <w:rFonts w:ascii="Times New Roman" w:hAnsi="Times New Roman" w:cs="Times New Roman"/>
          <w:sz w:val="28"/>
          <w:szCs w:val="28"/>
        </w:rPr>
        <w:t xml:space="preserve">способен </w:t>
      </w:r>
      <w:r w:rsidR="00D67CA7">
        <w:rPr>
          <w:rFonts w:ascii="Times New Roman" w:hAnsi="Times New Roman" w:cs="Times New Roman"/>
          <w:sz w:val="28"/>
          <w:szCs w:val="28"/>
        </w:rPr>
        <w:t>повысить</w:t>
      </w:r>
      <w:r w:rsidRPr="00603B31">
        <w:rPr>
          <w:rFonts w:ascii="Times New Roman" w:hAnsi="Times New Roman" w:cs="Times New Roman"/>
          <w:sz w:val="28"/>
          <w:szCs w:val="28"/>
        </w:rPr>
        <w:t xml:space="preserve"> качество ооцитов и эмбрионов, а также снизить </w:t>
      </w:r>
      <w:r w:rsidR="00D67CA7">
        <w:rPr>
          <w:rFonts w:ascii="Times New Roman" w:hAnsi="Times New Roman" w:cs="Times New Roman"/>
          <w:sz w:val="28"/>
          <w:szCs w:val="28"/>
        </w:rPr>
        <w:t xml:space="preserve">стартовую и суммарную </w:t>
      </w:r>
      <w:r w:rsidRPr="00603B31">
        <w:rPr>
          <w:rFonts w:ascii="Times New Roman" w:hAnsi="Times New Roman" w:cs="Times New Roman"/>
          <w:sz w:val="28"/>
          <w:szCs w:val="28"/>
        </w:rPr>
        <w:t>дозу гонадотропинов</w:t>
      </w:r>
      <w:r w:rsidR="00287848" w:rsidRPr="00603B31">
        <w:rPr>
          <w:rFonts w:ascii="Times New Roman" w:hAnsi="Times New Roman" w:cs="Times New Roman"/>
          <w:sz w:val="28"/>
          <w:szCs w:val="28"/>
        </w:rPr>
        <w:t>[</w:t>
      </w:r>
      <w:r w:rsidR="00101709" w:rsidRPr="00603B31">
        <w:rPr>
          <w:rFonts w:ascii="Times New Roman" w:hAnsi="Times New Roman" w:cs="Times New Roman"/>
          <w:sz w:val="28"/>
          <w:szCs w:val="28"/>
        </w:rPr>
        <w:t>31</w:t>
      </w:r>
      <w:r w:rsidR="00FE3B14" w:rsidRPr="00603B31">
        <w:rPr>
          <w:rFonts w:ascii="Times New Roman" w:hAnsi="Times New Roman" w:cs="Times New Roman"/>
          <w:sz w:val="28"/>
          <w:szCs w:val="28"/>
        </w:rPr>
        <w:t>,</w:t>
      </w:r>
      <w:r w:rsidR="00101709" w:rsidRPr="00603B31">
        <w:rPr>
          <w:rFonts w:ascii="Times New Roman" w:hAnsi="Times New Roman" w:cs="Times New Roman"/>
          <w:sz w:val="28"/>
          <w:szCs w:val="28"/>
        </w:rPr>
        <w:t>61</w:t>
      </w:r>
      <w:r w:rsidR="00D67CA7">
        <w:rPr>
          <w:rFonts w:ascii="Times New Roman" w:hAnsi="Times New Roman" w:cs="Times New Roman"/>
          <w:sz w:val="28"/>
          <w:szCs w:val="28"/>
        </w:rPr>
        <w:t xml:space="preserve">].   </w:t>
      </w:r>
      <w:r w:rsidRPr="00603B31">
        <w:rPr>
          <w:rFonts w:ascii="Times New Roman" w:hAnsi="Times New Roman" w:cs="Times New Roman"/>
          <w:sz w:val="28"/>
          <w:szCs w:val="28"/>
        </w:rPr>
        <w:t xml:space="preserve">Однако нет данных, позволяющих оценить влияние мио-инозитола на результаты ЭКО, такие как имплантация и клинически подтверждённая беременность. </w:t>
      </w:r>
    </w:p>
    <w:p w:rsidR="00071013" w:rsidRPr="00D67CA7" w:rsidRDefault="00D67CA7" w:rsidP="00D67CA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На сегодняшний день не</w:t>
      </w:r>
      <w:r w:rsidR="001D2283" w:rsidRPr="00603B31">
        <w:rPr>
          <w:rFonts w:ascii="Times New Roman" w:hAnsi="Times New Roman" w:cs="Times New Roman"/>
          <w:sz w:val="28"/>
          <w:szCs w:val="28"/>
        </w:rPr>
        <w:t xml:space="preserve">достаточно исследований, </w:t>
      </w:r>
      <w:r w:rsidR="00436197" w:rsidRPr="00603B31">
        <w:rPr>
          <w:rFonts w:ascii="Times New Roman" w:hAnsi="Times New Roman" w:cs="Times New Roman"/>
          <w:sz w:val="28"/>
          <w:szCs w:val="28"/>
        </w:rPr>
        <w:t>посвящённых</w:t>
      </w:r>
      <w:r w:rsidR="001D2283" w:rsidRPr="00603B31">
        <w:rPr>
          <w:rFonts w:ascii="Times New Roman" w:hAnsi="Times New Roman" w:cs="Times New Roman"/>
          <w:sz w:val="28"/>
          <w:szCs w:val="28"/>
        </w:rPr>
        <w:t xml:space="preserve"> проблеме ведения пациенток со «слабым ответом» на стимуляцию суперовуляции, и не существует достаточного количества данных для оценки влияния мио-инозитола у женщин репродуктивного возраста без СПКЯ во время цикла ЭКО. Так, </w:t>
      </w:r>
      <w:r w:rsidR="001D2283" w:rsidRPr="00603B31">
        <w:rPr>
          <w:rFonts w:ascii="Times New Roman" w:hAnsi="Times New Roman" w:cs="Times New Roman"/>
          <w:sz w:val="28"/>
          <w:szCs w:val="28"/>
          <w:lang w:val="en-US"/>
        </w:rPr>
        <w:t>Brusco</w:t>
      </w:r>
      <w:r w:rsidR="001D2283"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lang w:val="en-US"/>
        </w:rPr>
        <w:t>et</w:t>
      </w:r>
      <w:r w:rsidR="001D2283"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lang w:val="en-US"/>
        </w:rPr>
        <w:t>al</w:t>
      </w:r>
      <w:r w:rsidR="001D2283" w:rsidRPr="00603B31">
        <w:rPr>
          <w:rFonts w:ascii="Times New Roman" w:hAnsi="Times New Roman" w:cs="Times New Roman"/>
          <w:sz w:val="28"/>
          <w:szCs w:val="28"/>
        </w:rPr>
        <w:t xml:space="preserve">. </w:t>
      </w:r>
      <w:r w:rsidR="009E2E3A" w:rsidRPr="00603B31">
        <w:rPr>
          <w:rFonts w:ascii="Times New Roman" w:hAnsi="Times New Roman" w:cs="Times New Roman"/>
          <w:sz w:val="28"/>
          <w:szCs w:val="28"/>
        </w:rPr>
        <w:t xml:space="preserve">(2013) </w:t>
      </w:r>
      <w:r w:rsidR="001D2283" w:rsidRPr="00603B31">
        <w:rPr>
          <w:rFonts w:ascii="Times New Roman" w:hAnsi="Times New Roman" w:cs="Times New Roman"/>
          <w:sz w:val="28"/>
          <w:szCs w:val="28"/>
        </w:rPr>
        <w:t>в своём исследовании показали, что мио-инозитол повышает качество ооцитов во время ИКСИ у пациенток с СПКЯ, или с предыдущей неудачной попыткой ИКСИ, или со слабым ответом</w:t>
      </w:r>
      <w:r w:rsidR="000B178D" w:rsidRPr="00603B31">
        <w:rPr>
          <w:rFonts w:ascii="Times New Roman" w:hAnsi="Times New Roman" w:cs="Times New Roman"/>
          <w:sz w:val="28"/>
          <w:szCs w:val="28"/>
        </w:rPr>
        <w:t>[</w:t>
      </w:r>
      <w:r w:rsidR="00101709" w:rsidRPr="00603B31">
        <w:rPr>
          <w:rFonts w:ascii="Times New Roman" w:hAnsi="Times New Roman" w:cs="Times New Roman"/>
          <w:sz w:val="28"/>
          <w:szCs w:val="28"/>
        </w:rPr>
        <w:t>28</w:t>
      </w:r>
      <w:r w:rsidR="001D2283"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lang w:val="en-US"/>
        </w:rPr>
        <w:t>Caprio</w:t>
      </w:r>
      <w:r w:rsidR="001D2283"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lang w:val="en-US"/>
        </w:rPr>
        <w:t>et</w:t>
      </w:r>
      <w:r w:rsidR="001D2283"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lang w:val="en-US"/>
        </w:rPr>
        <w:t>al</w:t>
      </w:r>
      <w:r w:rsidR="001D2283" w:rsidRPr="00603B31">
        <w:rPr>
          <w:rFonts w:ascii="Times New Roman" w:hAnsi="Times New Roman" w:cs="Times New Roman"/>
          <w:sz w:val="28"/>
          <w:szCs w:val="28"/>
        </w:rPr>
        <w:t xml:space="preserve">. </w:t>
      </w:r>
      <w:r w:rsidR="009E2E3A" w:rsidRPr="00603B31">
        <w:rPr>
          <w:rFonts w:ascii="Times New Roman" w:hAnsi="Times New Roman" w:cs="Times New Roman"/>
          <w:sz w:val="28"/>
          <w:szCs w:val="28"/>
        </w:rPr>
        <w:t xml:space="preserve">(2015) </w:t>
      </w:r>
      <w:r w:rsidR="001D2283" w:rsidRPr="00603B31">
        <w:rPr>
          <w:rFonts w:ascii="Times New Roman" w:hAnsi="Times New Roman" w:cs="Times New Roman"/>
          <w:sz w:val="28"/>
          <w:szCs w:val="28"/>
        </w:rPr>
        <w:t>получили данные о возможном повышении вероятности наступления беременности, имплантации, повышения количества эмбрионов хорошего качества на фоне приёма мио-инозитола</w:t>
      </w:r>
      <w:r w:rsidR="00101709" w:rsidRPr="00603B31">
        <w:rPr>
          <w:rFonts w:ascii="Times New Roman" w:hAnsi="Times New Roman" w:cs="Times New Roman"/>
          <w:sz w:val="28"/>
          <w:szCs w:val="28"/>
        </w:rPr>
        <w:t>[31</w:t>
      </w:r>
      <w:r w:rsidR="009E2E3A" w:rsidRPr="00603B31">
        <w:rPr>
          <w:rFonts w:ascii="Times New Roman" w:hAnsi="Times New Roman" w:cs="Times New Roman"/>
          <w:sz w:val="28"/>
          <w:szCs w:val="28"/>
        </w:rPr>
        <w:t>]</w:t>
      </w:r>
      <w:r w:rsidR="001D2283" w:rsidRPr="00603B31">
        <w:rPr>
          <w:rFonts w:ascii="Times New Roman" w:hAnsi="Times New Roman" w:cs="Times New Roman"/>
          <w:sz w:val="28"/>
          <w:szCs w:val="28"/>
        </w:rPr>
        <w:t xml:space="preserve">. Эти результаты предполагают, что лечение мио-инозитолом ассоциировано с увеличением количества ооцитов и эмбрионов хорошего качества и повышением чувствительности яичников к гонадотропинам у пациенток со </w:t>
      </w:r>
      <w:r w:rsidR="009E2E3A" w:rsidRPr="00603B31">
        <w:rPr>
          <w:rFonts w:ascii="Times New Roman" w:hAnsi="Times New Roman" w:cs="Times New Roman"/>
          <w:sz w:val="28"/>
          <w:szCs w:val="28"/>
        </w:rPr>
        <w:t>«</w:t>
      </w:r>
      <w:r w:rsidR="001D2283" w:rsidRPr="00603B31">
        <w:rPr>
          <w:rFonts w:ascii="Times New Roman" w:hAnsi="Times New Roman" w:cs="Times New Roman"/>
          <w:sz w:val="28"/>
          <w:szCs w:val="28"/>
        </w:rPr>
        <w:t>слабым ответом</w:t>
      </w:r>
      <w:r w:rsidR="009E2E3A" w:rsidRPr="00603B31">
        <w:rPr>
          <w:rFonts w:ascii="Times New Roman" w:hAnsi="Times New Roman" w:cs="Times New Roman"/>
          <w:sz w:val="28"/>
          <w:szCs w:val="28"/>
        </w:rPr>
        <w:t>»</w:t>
      </w:r>
      <w:r w:rsidR="001D2283" w:rsidRPr="00603B31">
        <w:rPr>
          <w:rFonts w:ascii="Times New Roman" w:hAnsi="Times New Roman" w:cs="Times New Roman"/>
          <w:sz w:val="28"/>
          <w:szCs w:val="28"/>
        </w:rPr>
        <w:t xml:space="preserve">, учитывая тот факт, что у таких </w:t>
      </w:r>
      <w:r w:rsidR="009E2E3A" w:rsidRPr="00603B31">
        <w:rPr>
          <w:rFonts w:ascii="Times New Roman" w:hAnsi="Times New Roman" w:cs="Times New Roman"/>
          <w:sz w:val="28"/>
          <w:szCs w:val="28"/>
        </w:rPr>
        <w:t xml:space="preserve">пациенток </w:t>
      </w:r>
      <w:r w:rsidR="001D2283" w:rsidRPr="00603B31">
        <w:rPr>
          <w:rFonts w:ascii="Times New Roman" w:hAnsi="Times New Roman" w:cs="Times New Roman"/>
          <w:sz w:val="28"/>
          <w:szCs w:val="28"/>
        </w:rPr>
        <w:t>техника проведения ЭКО ограничена повышенными дозами гонадотропинов и</w:t>
      </w:r>
      <w:r>
        <w:rPr>
          <w:rFonts w:ascii="Times New Roman" w:hAnsi="Times New Roman" w:cs="Times New Roman"/>
          <w:sz w:val="28"/>
          <w:szCs w:val="28"/>
        </w:rPr>
        <w:t xml:space="preserve"> сниженным количеством ооцитов.</w:t>
      </w:r>
    </w:p>
    <w:p w:rsidR="00D67CA7" w:rsidRDefault="00D67CA7" w:rsidP="007B59C5">
      <w:pPr>
        <w:spacing w:after="0" w:line="360" w:lineRule="auto"/>
        <w:rPr>
          <w:rFonts w:ascii="Times New Roman" w:hAnsi="Times New Roman" w:cs="Times New Roman"/>
          <w:b/>
          <w:sz w:val="28"/>
          <w:szCs w:val="28"/>
        </w:rPr>
      </w:pPr>
    </w:p>
    <w:p w:rsidR="00D67CA7" w:rsidRDefault="00D67CA7" w:rsidP="007B59C5">
      <w:pPr>
        <w:spacing w:after="0" w:line="360" w:lineRule="auto"/>
        <w:rPr>
          <w:rFonts w:ascii="Times New Roman" w:hAnsi="Times New Roman" w:cs="Times New Roman"/>
          <w:b/>
          <w:sz w:val="28"/>
          <w:szCs w:val="28"/>
        </w:rPr>
      </w:pPr>
    </w:p>
    <w:p w:rsidR="00D67CA7" w:rsidRDefault="00D67CA7" w:rsidP="007B59C5">
      <w:pPr>
        <w:spacing w:after="0" w:line="360" w:lineRule="auto"/>
        <w:rPr>
          <w:rFonts w:ascii="Times New Roman" w:hAnsi="Times New Roman" w:cs="Times New Roman"/>
          <w:b/>
          <w:sz w:val="28"/>
          <w:szCs w:val="28"/>
        </w:rPr>
      </w:pPr>
    </w:p>
    <w:p w:rsidR="00D67CA7" w:rsidRDefault="00D67CA7" w:rsidP="007B59C5">
      <w:pPr>
        <w:spacing w:after="0" w:line="360" w:lineRule="auto"/>
        <w:rPr>
          <w:rFonts w:ascii="Times New Roman" w:hAnsi="Times New Roman" w:cs="Times New Roman"/>
          <w:b/>
          <w:sz w:val="28"/>
          <w:szCs w:val="28"/>
        </w:rPr>
      </w:pPr>
    </w:p>
    <w:p w:rsidR="007B59C5" w:rsidRPr="00603B31" w:rsidRDefault="007B59C5" w:rsidP="007B59C5">
      <w:pPr>
        <w:spacing w:after="0" w:line="360" w:lineRule="auto"/>
        <w:rPr>
          <w:rFonts w:ascii="Times New Roman" w:hAnsi="Times New Roman" w:cs="Times New Roman"/>
          <w:b/>
          <w:sz w:val="28"/>
          <w:szCs w:val="28"/>
        </w:rPr>
      </w:pPr>
      <w:r w:rsidRPr="00603B31">
        <w:rPr>
          <w:rFonts w:ascii="Times New Roman" w:hAnsi="Times New Roman" w:cs="Times New Roman"/>
          <w:b/>
          <w:sz w:val="28"/>
          <w:szCs w:val="28"/>
        </w:rPr>
        <w:t>1.8 Форма выпуска препаратов, содержащих мио-инозитол.</w:t>
      </w:r>
    </w:p>
    <w:p w:rsidR="007B59C5" w:rsidRPr="00603B31" w:rsidRDefault="007B59C5" w:rsidP="009E2E3A">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Мио-инозитол доступен в двух формах – порошок и мягкие желатиновые капсулы. </w:t>
      </w:r>
      <w:r w:rsidR="00D67CA7">
        <w:rPr>
          <w:rFonts w:ascii="Times New Roman" w:hAnsi="Times New Roman" w:cs="Times New Roman"/>
          <w:sz w:val="28"/>
          <w:szCs w:val="28"/>
        </w:rPr>
        <w:t>В рамках одного и</w:t>
      </w:r>
      <w:r w:rsidRPr="00603B31">
        <w:rPr>
          <w:rFonts w:ascii="Times New Roman" w:hAnsi="Times New Roman" w:cs="Times New Roman"/>
          <w:sz w:val="28"/>
          <w:szCs w:val="28"/>
        </w:rPr>
        <w:t xml:space="preserve">сследования </w:t>
      </w:r>
      <w:r w:rsidR="00D67CA7">
        <w:rPr>
          <w:rFonts w:ascii="Times New Roman" w:hAnsi="Times New Roman" w:cs="Times New Roman"/>
          <w:sz w:val="28"/>
          <w:szCs w:val="28"/>
        </w:rPr>
        <w:t>были выявлены различия</w:t>
      </w:r>
      <w:r w:rsidRPr="00603B31">
        <w:rPr>
          <w:rFonts w:ascii="Times New Roman" w:hAnsi="Times New Roman" w:cs="Times New Roman"/>
          <w:sz w:val="28"/>
          <w:szCs w:val="28"/>
        </w:rPr>
        <w:t xml:space="preserve"> в биодоступности</w:t>
      </w:r>
      <w:r w:rsidR="00D67CA7">
        <w:rPr>
          <w:rFonts w:ascii="Times New Roman" w:hAnsi="Times New Roman" w:cs="Times New Roman"/>
          <w:sz w:val="28"/>
          <w:szCs w:val="28"/>
        </w:rPr>
        <w:t xml:space="preserve"> препарата мио-инозитола</w:t>
      </w:r>
      <w:r w:rsidRPr="00603B31">
        <w:rPr>
          <w:rFonts w:ascii="Times New Roman" w:hAnsi="Times New Roman" w:cs="Times New Roman"/>
          <w:sz w:val="28"/>
          <w:szCs w:val="28"/>
        </w:rPr>
        <w:t>, а именно мягкие желатиновые капсулы показали фармакокинетический эффект схожий с 3 максимальными дозами мио-инозитола в порошках</w:t>
      </w:r>
      <w:r w:rsidR="00101709" w:rsidRPr="00603B31">
        <w:rPr>
          <w:rFonts w:ascii="Times New Roman" w:hAnsi="Times New Roman" w:cs="Times New Roman"/>
          <w:sz w:val="28"/>
          <w:szCs w:val="28"/>
        </w:rPr>
        <w:t>[64</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Macolsei</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Pr="00603B31">
        <w:rPr>
          <w:rFonts w:ascii="Times New Roman" w:hAnsi="Times New Roman" w:cs="Times New Roman"/>
          <w:sz w:val="28"/>
          <w:szCs w:val="28"/>
        </w:rPr>
        <w:t xml:space="preserve">. </w:t>
      </w:r>
      <w:r w:rsidR="009E2E3A" w:rsidRPr="00603B31">
        <w:rPr>
          <w:rFonts w:ascii="Times New Roman" w:hAnsi="Times New Roman" w:cs="Times New Roman"/>
          <w:sz w:val="28"/>
          <w:szCs w:val="28"/>
        </w:rPr>
        <w:t xml:space="preserve">(2012) </w:t>
      </w:r>
      <w:r w:rsidRPr="00603B31">
        <w:rPr>
          <w:rFonts w:ascii="Times New Roman" w:hAnsi="Times New Roman" w:cs="Times New Roman"/>
          <w:sz w:val="28"/>
          <w:szCs w:val="28"/>
        </w:rPr>
        <w:t>выяснили, что максимальный эффект мио-инозитола проявляется при минималь</w:t>
      </w:r>
      <w:r w:rsidR="00383394" w:rsidRPr="00603B31">
        <w:rPr>
          <w:rFonts w:ascii="Times New Roman" w:hAnsi="Times New Roman" w:cs="Times New Roman"/>
          <w:sz w:val="28"/>
          <w:szCs w:val="28"/>
        </w:rPr>
        <w:t>ном сроке терапии в три месяца[52</w:t>
      </w:r>
      <w:r w:rsidRPr="00603B31">
        <w:rPr>
          <w:rFonts w:ascii="Times New Roman" w:hAnsi="Times New Roman" w:cs="Times New Roman"/>
          <w:sz w:val="28"/>
          <w:szCs w:val="28"/>
        </w:rPr>
        <w:t>].</w:t>
      </w:r>
      <w:r w:rsidR="009E2E3A" w:rsidRPr="00603B31">
        <w:rPr>
          <w:rFonts w:ascii="Times New Roman" w:hAnsi="Times New Roman" w:cs="Times New Roman"/>
          <w:sz w:val="28"/>
          <w:szCs w:val="28"/>
        </w:rPr>
        <w:t xml:space="preserve"> Сравнительный анализ четырё</w:t>
      </w:r>
      <w:r w:rsidRPr="00603B31">
        <w:rPr>
          <w:rFonts w:ascii="Times New Roman" w:hAnsi="Times New Roman" w:cs="Times New Roman"/>
          <w:sz w:val="28"/>
          <w:szCs w:val="28"/>
        </w:rPr>
        <w:t>х препаратов мио-инозитола с помощью высокоэффективной жидкостной хроматографии показал, что только один препарат (Иноферт) содержал более чем 95% мио-инозитола от заявленного на этикетке[</w:t>
      </w:r>
      <w:r w:rsidR="00383394" w:rsidRPr="00603B31">
        <w:rPr>
          <w:rFonts w:ascii="Times New Roman" w:hAnsi="Times New Roman" w:cs="Times New Roman"/>
          <w:sz w:val="28"/>
          <w:szCs w:val="28"/>
        </w:rPr>
        <w:t>63</w:t>
      </w:r>
      <w:r w:rsidRPr="00603B31">
        <w:rPr>
          <w:rFonts w:ascii="Times New Roman" w:hAnsi="Times New Roman" w:cs="Times New Roman"/>
          <w:sz w:val="28"/>
          <w:szCs w:val="28"/>
        </w:rPr>
        <w:t>].</w:t>
      </w:r>
    </w:p>
    <w:p w:rsidR="007B59C5" w:rsidRPr="00603B31" w:rsidRDefault="007B59C5" w:rsidP="007B59C5">
      <w:pPr>
        <w:autoSpaceDE w:val="0"/>
        <w:autoSpaceDN w:val="0"/>
        <w:adjustRightInd w:val="0"/>
        <w:spacing w:after="0" w:line="360" w:lineRule="auto"/>
        <w:ind w:firstLine="708"/>
        <w:rPr>
          <w:rFonts w:ascii="Times New Roman" w:hAnsi="Times New Roman" w:cs="Times New Roman"/>
          <w:color w:val="FF0000"/>
          <w:sz w:val="28"/>
          <w:szCs w:val="28"/>
        </w:rPr>
      </w:pPr>
      <w:r w:rsidRPr="00603B31">
        <w:rPr>
          <w:rFonts w:ascii="Times New Roman" w:hAnsi="Times New Roman" w:cs="Times New Roman"/>
          <w:sz w:val="28"/>
          <w:szCs w:val="28"/>
        </w:rPr>
        <w:t xml:space="preserve">Препарат мио-инозитола Иноферт зарегистрирован в России и </w:t>
      </w:r>
      <w:r w:rsidR="00D67CA7">
        <w:rPr>
          <w:rFonts w:ascii="Times New Roman" w:hAnsi="Times New Roman" w:cs="Times New Roman"/>
          <w:sz w:val="28"/>
          <w:szCs w:val="28"/>
        </w:rPr>
        <w:t xml:space="preserve">является </w:t>
      </w:r>
      <w:r w:rsidRPr="00603B31">
        <w:rPr>
          <w:rFonts w:ascii="Times New Roman" w:hAnsi="Times New Roman" w:cs="Times New Roman"/>
          <w:sz w:val="28"/>
          <w:szCs w:val="28"/>
        </w:rPr>
        <w:t>комплекс</w:t>
      </w:r>
      <w:r w:rsidR="00D67CA7">
        <w:rPr>
          <w:rFonts w:ascii="Times New Roman" w:hAnsi="Times New Roman" w:cs="Times New Roman"/>
          <w:sz w:val="28"/>
          <w:szCs w:val="28"/>
        </w:rPr>
        <w:t>ом</w:t>
      </w:r>
      <w:r w:rsidRPr="00603B31">
        <w:rPr>
          <w:rFonts w:ascii="Times New Roman" w:hAnsi="Times New Roman" w:cs="Times New Roman"/>
          <w:sz w:val="28"/>
          <w:szCs w:val="28"/>
        </w:rPr>
        <w:t xml:space="preserve"> мио-инозитола и фолиевой</w:t>
      </w:r>
      <w:r w:rsidR="009E2E3A" w:rsidRPr="00603B31">
        <w:rPr>
          <w:rFonts w:ascii="Times New Roman" w:hAnsi="Times New Roman" w:cs="Times New Roman"/>
          <w:sz w:val="28"/>
          <w:szCs w:val="28"/>
        </w:rPr>
        <w:t xml:space="preserve"> кислоты в форме порошка </w:t>
      </w:r>
      <w:r w:rsidRPr="00603B31">
        <w:rPr>
          <w:rFonts w:ascii="Times New Roman" w:hAnsi="Times New Roman" w:cs="Times New Roman"/>
          <w:sz w:val="28"/>
          <w:szCs w:val="28"/>
        </w:rPr>
        <w:t xml:space="preserve">в </w:t>
      </w:r>
      <w:r w:rsidR="00D67CA7">
        <w:rPr>
          <w:rFonts w:ascii="Times New Roman" w:hAnsi="Times New Roman" w:cs="Times New Roman"/>
          <w:sz w:val="28"/>
          <w:szCs w:val="28"/>
        </w:rPr>
        <w:t>количестве</w:t>
      </w:r>
      <w:r w:rsidRPr="00603B31">
        <w:rPr>
          <w:rFonts w:ascii="Times New Roman" w:hAnsi="Times New Roman" w:cs="Times New Roman"/>
          <w:sz w:val="28"/>
          <w:szCs w:val="28"/>
        </w:rPr>
        <w:t xml:space="preserve"> 1000 мг и фолиевой кислоты в количестве 100 мкг в 1 саше. Рекомендуемая доза для поддержки овуляции </w:t>
      </w:r>
      <w:r w:rsidR="00D67CA7">
        <w:rPr>
          <w:rFonts w:ascii="Times New Roman" w:hAnsi="Times New Roman" w:cs="Times New Roman"/>
          <w:sz w:val="28"/>
          <w:szCs w:val="28"/>
        </w:rPr>
        <w:t>во время цикла</w:t>
      </w:r>
      <w:r w:rsidRPr="00603B31">
        <w:rPr>
          <w:rFonts w:ascii="Times New Roman" w:hAnsi="Times New Roman" w:cs="Times New Roman"/>
          <w:sz w:val="28"/>
          <w:szCs w:val="28"/>
        </w:rPr>
        <w:t xml:space="preserve"> ЭКО – по 4 г мио-инозитола в сутки по схеме 2 саше утром в 100–150 мл воды и 2 саше вечером курсами от 1 до 3 месяцев. Женщинам также рекомендуется включать в диету продукты – концентраторы мио-инозитола: дыню, гречневую кашу, капусту, апельсины, мандарины, проростки злаков, белую фасоль и турецкий горох.</w:t>
      </w:r>
    </w:p>
    <w:p w:rsidR="001D2283" w:rsidRPr="00603B31" w:rsidRDefault="008028E5" w:rsidP="001D2283">
      <w:pPr>
        <w:spacing w:after="0" w:line="360" w:lineRule="auto"/>
        <w:rPr>
          <w:rFonts w:ascii="Times New Roman" w:hAnsi="Times New Roman" w:cs="Times New Roman"/>
          <w:b/>
          <w:sz w:val="28"/>
          <w:szCs w:val="28"/>
        </w:rPr>
      </w:pPr>
      <w:r w:rsidRPr="00603B31">
        <w:rPr>
          <w:rFonts w:ascii="Times New Roman" w:hAnsi="Times New Roman" w:cs="Times New Roman"/>
          <w:b/>
          <w:sz w:val="28"/>
          <w:szCs w:val="28"/>
        </w:rPr>
        <w:t xml:space="preserve">1.9 </w:t>
      </w:r>
      <w:r w:rsidR="001D2283" w:rsidRPr="00603B31">
        <w:rPr>
          <w:rFonts w:ascii="Times New Roman" w:hAnsi="Times New Roman" w:cs="Times New Roman"/>
          <w:b/>
          <w:sz w:val="28"/>
          <w:szCs w:val="28"/>
        </w:rPr>
        <w:t>Безопасность применения препаратов мио-инозитола</w:t>
      </w:r>
    </w:p>
    <w:p w:rsidR="001D2283" w:rsidRPr="00603B31" w:rsidRDefault="001D2283" w:rsidP="006A14B6">
      <w:pPr>
        <w:spacing w:after="0" w:line="360" w:lineRule="auto"/>
        <w:ind w:firstLine="708"/>
        <w:rPr>
          <w:rFonts w:ascii="Times New Roman" w:hAnsi="Times New Roman" w:cs="Times New Roman"/>
          <w:color w:val="FF0000"/>
          <w:sz w:val="28"/>
          <w:szCs w:val="28"/>
        </w:rPr>
      </w:pPr>
      <w:r w:rsidRPr="00603B31">
        <w:rPr>
          <w:rFonts w:ascii="Times New Roman" w:hAnsi="Times New Roman" w:cs="Times New Roman"/>
          <w:sz w:val="28"/>
          <w:szCs w:val="28"/>
        </w:rPr>
        <w:t>Следует подчеркнуть высокую безопасность использования мио-инозитола в клинической практике. Только в гипердозах (более 12 г/сут) мио-инозитол в редких случаях способен давать лёгкие побочные эффекты со стор</w:t>
      </w:r>
      <w:r w:rsidR="00D67CA7">
        <w:rPr>
          <w:rFonts w:ascii="Times New Roman" w:hAnsi="Times New Roman" w:cs="Times New Roman"/>
          <w:sz w:val="28"/>
          <w:szCs w:val="28"/>
        </w:rPr>
        <w:t>оны желудочно-кишечного тракта, такие как метеоризм и диарея</w:t>
      </w:r>
      <w:r w:rsidRPr="00603B31">
        <w:rPr>
          <w:rFonts w:ascii="Times New Roman" w:hAnsi="Times New Roman" w:cs="Times New Roman"/>
          <w:sz w:val="28"/>
          <w:szCs w:val="28"/>
        </w:rPr>
        <w:t xml:space="preserve">, причём </w:t>
      </w:r>
      <w:r w:rsidR="00D67CA7">
        <w:rPr>
          <w:rFonts w:ascii="Times New Roman" w:hAnsi="Times New Roman" w:cs="Times New Roman"/>
          <w:sz w:val="28"/>
          <w:szCs w:val="28"/>
        </w:rPr>
        <w:t xml:space="preserve">не прослеживается корреляции между </w:t>
      </w:r>
      <w:r w:rsidRPr="00603B31">
        <w:rPr>
          <w:rFonts w:ascii="Times New Roman" w:hAnsi="Times New Roman" w:cs="Times New Roman"/>
          <w:sz w:val="28"/>
          <w:szCs w:val="28"/>
        </w:rPr>
        <w:t>тяжесть</w:t>
      </w:r>
      <w:r w:rsidR="00D67CA7">
        <w:rPr>
          <w:rFonts w:ascii="Times New Roman" w:hAnsi="Times New Roman" w:cs="Times New Roman"/>
          <w:sz w:val="28"/>
          <w:szCs w:val="28"/>
        </w:rPr>
        <w:t>ю</w:t>
      </w:r>
      <w:r w:rsidRPr="00603B31">
        <w:rPr>
          <w:rFonts w:ascii="Times New Roman" w:hAnsi="Times New Roman" w:cs="Times New Roman"/>
          <w:sz w:val="28"/>
          <w:szCs w:val="28"/>
        </w:rPr>
        <w:t xml:space="preserve"> этих эффектов </w:t>
      </w:r>
      <w:r w:rsidR="00D67CA7">
        <w:rPr>
          <w:rFonts w:ascii="Times New Roman" w:hAnsi="Times New Roman" w:cs="Times New Roman"/>
          <w:sz w:val="28"/>
          <w:szCs w:val="28"/>
        </w:rPr>
        <w:t xml:space="preserve">и повышением дозы препарата </w:t>
      </w:r>
      <w:r w:rsidRPr="00603B31">
        <w:rPr>
          <w:rFonts w:ascii="Times New Roman" w:hAnsi="Times New Roman" w:cs="Times New Roman"/>
          <w:sz w:val="28"/>
          <w:szCs w:val="28"/>
        </w:rPr>
        <w:t xml:space="preserve">до 30–50 г. </w:t>
      </w:r>
      <w:r w:rsidR="00D67CA7">
        <w:rPr>
          <w:rFonts w:ascii="Times New Roman" w:hAnsi="Times New Roman" w:cs="Times New Roman"/>
          <w:sz w:val="28"/>
          <w:szCs w:val="28"/>
        </w:rPr>
        <w:t>Доказано, что п</w:t>
      </w:r>
      <w:r w:rsidRPr="00603B31">
        <w:rPr>
          <w:rFonts w:ascii="Times New Roman" w:hAnsi="Times New Roman" w:cs="Times New Roman"/>
          <w:sz w:val="28"/>
          <w:szCs w:val="28"/>
        </w:rPr>
        <w:t>рименение мио-инозитола в дозировке 4 г в сутки не имеет побочных эффектов</w:t>
      </w:r>
      <w:r w:rsidR="000B178D" w:rsidRPr="00603B31">
        <w:rPr>
          <w:rFonts w:ascii="Times New Roman" w:hAnsi="Times New Roman" w:cs="Times New Roman"/>
          <w:sz w:val="28"/>
          <w:szCs w:val="28"/>
        </w:rPr>
        <w:t>[</w:t>
      </w:r>
      <w:r w:rsidR="00383394" w:rsidRPr="00603B31">
        <w:rPr>
          <w:rFonts w:ascii="Times New Roman" w:hAnsi="Times New Roman" w:cs="Times New Roman"/>
          <w:sz w:val="28"/>
          <w:szCs w:val="28"/>
        </w:rPr>
        <w:t>35</w:t>
      </w:r>
      <w:r w:rsidRPr="00603B31">
        <w:rPr>
          <w:rFonts w:ascii="Times New Roman" w:hAnsi="Times New Roman" w:cs="Times New Roman"/>
          <w:sz w:val="28"/>
          <w:szCs w:val="28"/>
        </w:rPr>
        <w:t xml:space="preserve">]. В связи с </w:t>
      </w:r>
      <w:r w:rsidR="00D67CA7">
        <w:rPr>
          <w:rFonts w:ascii="Times New Roman" w:hAnsi="Times New Roman" w:cs="Times New Roman"/>
          <w:sz w:val="28"/>
          <w:szCs w:val="28"/>
        </w:rPr>
        <w:t xml:space="preserve">быстрым метаболизмом </w:t>
      </w:r>
      <w:r w:rsidRPr="00603B31">
        <w:rPr>
          <w:rFonts w:ascii="Times New Roman" w:hAnsi="Times New Roman" w:cs="Times New Roman"/>
          <w:sz w:val="28"/>
          <w:szCs w:val="28"/>
        </w:rPr>
        <w:t>мио-инозитол</w:t>
      </w:r>
      <w:r w:rsidR="00D67CA7">
        <w:rPr>
          <w:rFonts w:ascii="Times New Roman" w:hAnsi="Times New Roman" w:cs="Times New Roman"/>
          <w:sz w:val="28"/>
          <w:szCs w:val="28"/>
        </w:rPr>
        <w:t xml:space="preserve">а </w:t>
      </w:r>
      <w:r w:rsidRPr="00603B31">
        <w:rPr>
          <w:rFonts w:ascii="Times New Roman" w:hAnsi="Times New Roman" w:cs="Times New Roman"/>
          <w:sz w:val="28"/>
          <w:szCs w:val="28"/>
        </w:rPr>
        <w:t xml:space="preserve">в желудочно-кишечном тракте и </w:t>
      </w:r>
      <w:r w:rsidR="00D67CA7">
        <w:rPr>
          <w:rFonts w:ascii="Times New Roman" w:hAnsi="Times New Roman" w:cs="Times New Roman"/>
          <w:sz w:val="28"/>
          <w:szCs w:val="28"/>
        </w:rPr>
        <w:t>быстрым достижением</w:t>
      </w:r>
      <w:r w:rsidRPr="00603B31">
        <w:rPr>
          <w:rFonts w:ascii="Times New Roman" w:hAnsi="Times New Roman" w:cs="Times New Roman"/>
          <w:sz w:val="28"/>
          <w:szCs w:val="28"/>
        </w:rPr>
        <w:t xml:space="preserve"> ткани-мишени, побочные эффекты не успевают развиться</w:t>
      </w:r>
      <w:r w:rsidR="000B178D" w:rsidRPr="00603B31">
        <w:rPr>
          <w:rFonts w:ascii="Times New Roman" w:hAnsi="Times New Roman" w:cs="Times New Roman"/>
          <w:sz w:val="28"/>
          <w:szCs w:val="28"/>
        </w:rPr>
        <w:t>[</w:t>
      </w:r>
      <w:r w:rsidR="00383394" w:rsidRPr="00603B31">
        <w:rPr>
          <w:rFonts w:ascii="Times New Roman" w:hAnsi="Times New Roman" w:cs="Times New Roman"/>
          <w:sz w:val="28"/>
          <w:szCs w:val="28"/>
        </w:rPr>
        <w:t>23</w:t>
      </w:r>
      <w:r w:rsidRPr="00603B31">
        <w:rPr>
          <w:rFonts w:ascii="Times New Roman" w:hAnsi="Times New Roman" w:cs="Times New Roman"/>
          <w:sz w:val="28"/>
          <w:szCs w:val="28"/>
        </w:rPr>
        <w:t>].</w:t>
      </w:r>
    </w:p>
    <w:p w:rsidR="001D2283" w:rsidRPr="00603B31" w:rsidRDefault="001D2283" w:rsidP="006A14B6">
      <w:pPr>
        <w:spacing w:line="360" w:lineRule="auto"/>
        <w:ind w:firstLine="708"/>
        <w:rPr>
          <w:rFonts w:ascii="Times New Roman" w:hAnsi="Times New Roman" w:cs="Times New Roman"/>
          <w:color w:val="191919"/>
          <w:sz w:val="28"/>
          <w:szCs w:val="28"/>
        </w:rPr>
      </w:pPr>
      <w:r w:rsidRPr="00603B31">
        <w:rPr>
          <w:rFonts w:ascii="Times New Roman" w:eastAsia="Newton-Regular" w:hAnsi="Times New Roman" w:cs="Times New Roman"/>
          <w:sz w:val="28"/>
          <w:szCs w:val="28"/>
        </w:rPr>
        <w:t xml:space="preserve">Таким образом, </w:t>
      </w:r>
      <w:r w:rsidRPr="00603B31">
        <w:rPr>
          <w:rFonts w:ascii="Times New Roman" w:hAnsi="Times New Roman" w:cs="Times New Roman"/>
          <w:color w:val="191919"/>
          <w:sz w:val="28"/>
          <w:szCs w:val="28"/>
        </w:rPr>
        <w:t xml:space="preserve">существует множество данных и статей об эффективности применения мио-инозитола у пациенток с СПКЯ, а также у здоровых женщин во время стимуляции суперовуляции. Тем не менее, не достаточно данных об использовании мио-инозитола у женщин со </w:t>
      </w:r>
      <w:r w:rsidR="009E2E3A" w:rsidRPr="00603B31">
        <w:rPr>
          <w:rFonts w:ascii="Times New Roman" w:hAnsi="Times New Roman" w:cs="Times New Roman"/>
          <w:color w:val="191919"/>
          <w:sz w:val="28"/>
          <w:szCs w:val="28"/>
        </w:rPr>
        <w:t>«</w:t>
      </w:r>
      <w:r w:rsidRPr="00603B31">
        <w:rPr>
          <w:rFonts w:ascii="Times New Roman" w:hAnsi="Times New Roman" w:cs="Times New Roman"/>
          <w:color w:val="191919"/>
          <w:sz w:val="28"/>
          <w:szCs w:val="28"/>
        </w:rPr>
        <w:t>слабым ответом</w:t>
      </w:r>
      <w:r w:rsidR="009E2E3A" w:rsidRPr="00603B31">
        <w:rPr>
          <w:rFonts w:ascii="Times New Roman" w:hAnsi="Times New Roman" w:cs="Times New Roman"/>
          <w:color w:val="191919"/>
          <w:sz w:val="28"/>
          <w:szCs w:val="28"/>
        </w:rPr>
        <w:t>»</w:t>
      </w:r>
      <w:r w:rsidRPr="00603B31">
        <w:rPr>
          <w:rFonts w:ascii="Times New Roman" w:hAnsi="Times New Roman" w:cs="Times New Roman"/>
          <w:color w:val="191919"/>
          <w:sz w:val="28"/>
          <w:szCs w:val="28"/>
        </w:rPr>
        <w:t xml:space="preserve"> на стимуляцию суперовуляции во время циклов ЭКО. </w:t>
      </w:r>
      <w:r w:rsidRPr="00603B31">
        <w:rPr>
          <w:rFonts w:ascii="Times New Roman" w:hAnsi="Times New Roman" w:cs="Times New Roman"/>
          <w:sz w:val="28"/>
          <w:szCs w:val="28"/>
        </w:rPr>
        <w:t xml:space="preserve">В целом </w:t>
      </w:r>
      <w:r w:rsidR="00C70AE2">
        <w:rPr>
          <w:rFonts w:ascii="Times New Roman" w:hAnsi="Times New Roman" w:cs="Times New Roman"/>
          <w:sz w:val="28"/>
          <w:szCs w:val="28"/>
        </w:rPr>
        <w:t>по итогам</w:t>
      </w:r>
      <w:r w:rsidRPr="00603B31">
        <w:rPr>
          <w:rFonts w:ascii="Times New Roman" w:hAnsi="Times New Roman" w:cs="Times New Roman"/>
          <w:sz w:val="28"/>
          <w:szCs w:val="28"/>
        </w:rPr>
        <w:t xml:space="preserve"> анализа литературных данных </w:t>
      </w:r>
      <w:r w:rsidR="00C70AE2">
        <w:rPr>
          <w:rFonts w:ascii="Times New Roman" w:hAnsi="Times New Roman" w:cs="Times New Roman"/>
          <w:sz w:val="28"/>
          <w:szCs w:val="28"/>
        </w:rPr>
        <w:t xml:space="preserve">можно </w:t>
      </w:r>
      <w:r w:rsidRPr="00603B31">
        <w:rPr>
          <w:rFonts w:ascii="Times New Roman" w:hAnsi="Times New Roman" w:cs="Times New Roman"/>
          <w:sz w:val="28"/>
          <w:szCs w:val="28"/>
        </w:rPr>
        <w:t>рекомендовать использование мио-инозитола в дозе 4 г/сут курсами по 4–12 недель для улучшения функции яичников, а также метаболических и гормональных показателей у пациенток с СПКЯ</w:t>
      </w:r>
      <w:r w:rsidR="00C70AE2">
        <w:rPr>
          <w:rFonts w:ascii="Times New Roman" w:hAnsi="Times New Roman" w:cs="Times New Roman"/>
          <w:sz w:val="28"/>
          <w:szCs w:val="28"/>
        </w:rPr>
        <w:t xml:space="preserve"> и без</w:t>
      </w:r>
      <w:r w:rsidR="00A467AF" w:rsidRPr="00603B31">
        <w:rPr>
          <w:rFonts w:ascii="Times New Roman" w:hAnsi="Times New Roman" w:cs="Times New Roman"/>
          <w:sz w:val="28"/>
          <w:szCs w:val="28"/>
        </w:rPr>
        <w:t>[</w:t>
      </w:r>
      <w:r w:rsidR="00383394" w:rsidRPr="00603B31">
        <w:rPr>
          <w:rFonts w:ascii="Times New Roman" w:hAnsi="Times New Roman" w:cs="Times New Roman"/>
          <w:sz w:val="28"/>
          <w:szCs w:val="28"/>
        </w:rPr>
        <w:t>5</w:t>
      </w:r>
      <w:r w:rsidRPr="00603B31">
        <w:rPr>
          <w:rFonts w:ascii="Times New Roman" w:hAnsi="Times New Roman" w:cs="Times New Roman"/>
          <w:sz w:val="28"/>
          <w:szCs w:val="28"/>
        </w:rPr>
        <w:t>].</w:t>
      </w: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p>
    <w:p w:rsidR="009E2E3A" w:rsidRPr="00603B31" w:rsidRDefault="009E2E3A" w:rsidP="001D2283">
      <w:pPr>
        <w:spacing w:after="0" w:line="360" w:lineRule="auto"/>
        <w:contextualSpacing/>
        <w:jc w:val="center"/>
        <w:rPr>
          <w:rFonts w:ascii="Times New Roman" w:hAnsi="Times New Roman" w:cs="Times New Roman"/>
          <w:b/>
          <w:sz w:val="28"/>
          <w:szCs w:val="28"/>
        </w:rPr>
      </w:pPr>
    </w:p>
    <w:p w:rsidR="009E2E3A" w:rsidRPr="00603B31" w:rsidRDefault="009E2E3A" w:rsidP="001D2283">
      <w:pPr>
        <w:spacing w:after="0" w:line="360" w:lineRule="auto"/>
        <w:contextualSpacing/>
        <w:jc w:val="center"/>
        <w:rPr>
          <w:rFonts w:ascii="Times New Roman" w:hAnsi="Times New Roman" w:cs="Times New Roman"/>
          <w:b/>
          <w:sz w:val="28"/>
          <w:szCs w:val="28"/>
        </w:rPr>
      </w:pPr>
    </w:p>
    <w:p w:rsidR="009E2E3A" w:rsidRPr="00603B31" w:rsidRDefault="009E2E3A" w:rsidP="001D2283">
      <w:pPr>
        <w:spacing w:after="0" w:line="360" w:lineRule="auto"/>
        <w:contextualSpacing/>
        <w:jc w:val="center"/>
        <w:rPr>
          <w:rFonts w:ascii="Times New Roman" w:hAnsi="Times New Roman" w:cs="Times New Roman"/>
          <w:b/>
          <w:sz w:val="28"/>
          <w:szCs w:val="28"/>
        </w:rPr>
      </w:pPr>
    </w:p>
    <w:p w:rsidR="009E2E3A" w:rsidRPr="00603B31" w:rsidRDefault="009E2E3A" w:rsidP="001D2283">
      <w:pPr>
        <w:spacing w:after="0" w:line="360" w:lineRule="auto"/>
        <w:contextualSpacing/>
        <w:jc w:val="center"/>
        <w:rPr>
          <w:rFonts w:ascii="Times New Roman" w:hAnsi="Times New Roman" w:cs="Times New Roman"/>
          <w:b/>
          <w:sz w:val="28"/>
          <w:szCs w:val="28"/>
        </w:rPr>
      </w:pPr>
    </w:p>
    <w:p w:rsidR="001D2283" w:rsidRPr="00603B31" w:rsidRDefault="001D2283" w:rsidP="00287848">
      <w:pPr>
        <w:spacing w:after="0" w:line="360" w:lineRule="auto"/>
        <w:contextualSpacing/>
        <w:rPr>
          <w:rFonts w:ascii="Times New Roman" w:hAnsi="Times New Roman" w:cs="Times New Roman"/>
          <w:b/>
          <w:sz w:val="28"/>
          <w:szCs w:val="28"/>
        </w:rPr>
      </w:pPr>
    </w:p>
    <w:p w:rsidR="009C12D8" w:rsidRPr="00603B31" w:rsidRDefault="009C12D8" w:rsidP="00287848">
      <w:pPr>
        <w:spacing w:after="0" w:line="360" w:lineRule="auto"/>
        <w:contextualSpacing/>
        <w:rPr>
          <w:rFonts w:ascii="Times New Roman" w:hAnsi="Times New Roman" w:cs="Times New Roman"/>
          <w:b/>
          <w:sz w:val="28"/>
          <w:szCs w:val="28"/>
        </w:rPr>
      </w:pPr>
    </w:p>
    <w:p w:rsidR="009C12D8" w:rsidRPr="00603B31" w:rsidRDefault="009C12D8" w:rsidP="001D2283">
      <w:pPr>
        <w:spacing w:after="0" w:line="360" w:lineRule="auto"/>
        <w:contextualSpacing/>
        <w:jc w:val="center"/>
        <w:rPr>
          <w:rFonts w:ascii="Times New Roman" w:hAnsi="Times New Roman" w:cs="Times New Roman"/>
          <w:b/>
          <w:sz w:val="28"/>
          <w:szCs w:val="28"/>
        </w:rPr>
      </w:pPr>
    </w:p>
    <w:p w:rsidR="009C12D8" w:rsidRPr="00603B31" w:rsidRDefault="009C12D8" w:rsidP="001D2283">
      <w:pPr>
        <w:spacing w:after="0" w:line="360" w:lineRule="auto"/>
        <w:contextualSpacing/>
        <w:jc w:val="center"/>
        <w:rPr>
          <w:rFonts w:ascii="Times New Roman" w:hAnsi="Times New Roman" w:cs="Times New Roman"/>
          <w:b/>
          <w:sz w:val="28"/>
          <w:szCs w:val="28"/>
        </w:rPr>
      </w:pPr>
    </w:p>
    <w:p w:rsidR="009C12D8" w:rsidRPr="00603B31" w:rsidRDefault="009C12D8" w:rsidP="00C70AE2">
      <w:pPr>
        <w:spacing w:after="0" w:line="360" w:lineRule="auto"/>
        <w:contextualSpacing/>
        <w:rPr>
          <w:rFonts w:ascii="Times New Roman" w:hAnsi="Times New Roman" w:cs="Times New Roman"/>
          <w:b/>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r w:rsidRPr="00603B31">
        <w:rPr>
          <w:rFonts w:ascii="Times New Roman" w:hAnsi="Times New Roman" w:cs="Times New Roman"/>
          <w:b/>
          <w:sz w:val="28"/>
          <w:szCs w:val="28"/>
        </w:rPr>
        <w:t>ГЛАВА 2. МАТЕРИАЛЫ И МЕТОДЫ.</w:t>
      </w:r>
    </w:p>
    <w:p w:rsidR="001D2283" w:rsidRPr="00603B31" w:rsidRDefault="001D2283" w:rsidP="001D2283">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 xml:space="preserve">2.1. Материалы исследования. </w:t>
      </w:r>
    </w:p>
    <w:p w:rsidR="001D2283" w:rsidRPr="00603B31" w:rsidRDefault="001D2283"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На базе ФГБНУ «НИИ акушерства, гинекологии и репродуктологии им. Д.О. Отта»</w:t>
      </w:r>
      <w:r w:rsidR="00071013" w:rsidRPr="00603B31">
        <w:rPr>
          <w:rFonts w:ascii="Times New Roman" w:hAnsi="Times New Roman" w:cs="Times New Roman"/>
          <w:sz w:val="28"/>
          <w:szCs w:val="28"/>
        </w:rPr>
        <w:t xml:space="preserve"> был проведё</w:t>
      </w:r>
      <w:r w:rsidRPr="00603B31">
        <w:rPr>
          <w:rFonts w:ascii="Times New Roman" w:hAnsi="Times New Roman" w:cs="Times New Roman"/>
          <w:sz w:val="28"/>
          <w:szCs w:val="28"/>
        </w:rPr>
        <w:t xml:space="preserve">н ретроспективный анализ 50 историй болезней женщин со </w:t>
      </w:r>
      <w:r w:rsidR="00071013" w:rsidRPr="00603B31">
        <w:rPr>
          <w:rFonts w:ascii="Times New Roman" w:hAnsi="Times New Roman" w:cs="Times New Roman"/>
          <w:sz w:val="28"/>
          <w:szCs w:val="28"/>
        </w:rPr>
        <w:t>«</w:t>
      </w:r>
      <w:r w:rsidRPr="00603B31">
        <w:rPr>
          <w:rFonts w:ascii="Times New Roman" w:hAnsi="Times New Roman" w:cs="Times New Roman"/>
          <w:sz w:val="28"/>
          <w:szCs w:val="28"/>
        </w:rPr>
        <w:t>слабым ответом</w:t>
      </w:r>
      <w:r w:rsidR="00071013" w:rsidRPr="00603B31">
        <w:rPr>
          <w:rFonts w:ascii="Times New Roman" w:hAnsi="Times New Roman" w:cs="Times New Roman"/>
          <w:sz w:val="28"/>
          <w:szCs w:val="28"/>
        </w:rPr>
        <w:t>»</w:t>
      </w:r>
      <w:r w:rsidRPr="00603B31">
        <w:rPr>
          <w:rFonts w:ascii="Times New Roman" w:hAnsi="Times New Roman" w:cs="Times New Roman"/>
          <w:sz w:val="28"/>
          <w:szCs w:val="28"/>
        </w:rPr>
        <w:t xml:space="preserve"> на стимуляцию суперовуляции, обратившихся на отделение ВРТ с целью проведения процедуры ЭКО, в период с 2015 по 2016 годы. В основную группу вошли 32 пациентки, которым был назначен мио-инозитол (Inofert, Италия) в дозировке 2000 мг 2 раза в сутки за 2 месяца до начала стимуляции суперовуляции в качестве адьювантной терапии в программе ЭКО. Группу сравнения составили 18 пациенток со «слабым ответом» на стимуляцию суперовуляции, не получавшие мио-инозитол.  </w:t>
      </w:r>
    </w:p>
    <w:p w:rsidR="000470AD" w:rsidRPr="00603B31" w:rsidRDefault="00071013" w:rsidP="00C70AE2">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Критериями включения в исследование являлись следующие факторы:</w:t>
      </w:r>
    </w:p>
    <w:p w:rsidR="000470AD" w:rsidRPr="00603B31" w:rsidRDefault="000470AD" w:rsidP="000470AD">
      <w:pPr>
        <w:pStyle w:val="a3"/>
        <w:numPr>
          <w:ilvl w:val="0"/>
          <w:numId w:val="42"/>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возраст пациенток старше 35 лет, </w:t>
      </w:r>
    </w:p>
    <w:p w:rsidR="000470AD" w:rsidRPr="00603B31" w:rsidRDefault="000470AD" w:rsidP="000470AD">
      <w:pPr>
        <w:pStyle w:val="a3"/>
        <w:numPr>
          <w:ilvl w:val="0"/>
          <w:numId w:val="42"/>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уровень АМГ &lt; 1 нг/мл и/или число антарльных фолликулов менее 10 мм в диаметре на 2,3-й день цикла менее 5.</w:t>
      </w:r>
    </w:p>
    <w:p w:rsidR="000470AD" w:rsidRPr="00603B31" w:rsidRDefault="000470AD" w:rsidP="00C70AE2">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Критериями исключения из исследования являлись следующие факторы:</w:t>
      </w:r>
    </w:p>
    <w:p w:rsidR="000470AD" w:rsidRPr="00603B31" w:rsidRDefault="000470AD" w:rsidP="000470AD">
      <w:pPr>
        <w:pStyle w:val="a3"/>
        <w:numPr>
          <w:ilvl w:val="0"/>
          <w:numId w:val="43"/>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пациентки с нарушением углеводного обмена;</w:t>
      </w:r>
    </w:p>
    <w:p w:rsidR="000470AD" w:rsidRPr="00603B31" w:rsidRDefault="000470AD" w:rsidP="000470AD">
      <w:pPr>
        <w:pStyle w:val="a3"/>
        <w:numPr>
          <w:ilvl w:val="0"/>
          <w:numId w:val="43"/>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пациентки с ИМТ </w:t>
      </w:r>
      <w:r w:rsidRPr="00603B31">
        <w:rPr>
          <w:rFonts w:ascii="Times New Roman" w:hAnsi="Times New Roman" w:cs="Times New Roman"/>
          <w:sz w:val="28"/>
          <w:szCs w:val="28"/>
          <w:lang w:val="en-US"/>
        </w:rPr>
        <w:t>&gt;</w:t>
      </w:r>
      <w:r w:rsidRPr="00603B31">
        <w:rPr>
          <w:rFonts w:ascii="Times New Roman" w:hAnsi="Times New Roman" w:cs="Times New Roman"/>
          <w:sz w:val="28"/>
          <w:szCs w:val="28"/>
        </w:rPr>
        <w:t xml:space="preserve"> 30; </w:t>
      </w:r>
    </w:p>
    <w:p w:rsidR="000470AD" w:rsidRPr="00603B31" w:rsidRDefault="000470AD" w:rsidP="000470AD">
      <w:pPr>
        <w:pStyle w:val="a3"/>
        <w:numPr>
          <w:ilvl w:val="0"/>
          <w:numId w:val="43"/>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пациентки с противопоказаниями для вынашивания беременности.</w:t>
      </w:r>
    </w:p>
    <w:p w:rsidR="001D2283" w:rsidRPr="00603B31" w:rsidRDefault="001D2283" w:rsidP="001D2283">
      <w:pPr>
        <w:autoSpaceDE w:val="0"/>
        <w:autoSpaceDN w:val="0"/>
        <w:adjustRightInd w:val="0"/>
        <w:spacing w:after="0" w:line="360" w:lineRule="auto"/>
        <w:contextualSpacing/>
        <w:rPr>
          <w:rFonts w:ascii="Times New Roman" w:eastAsia="TimesNewRomanPSMT" w:hAnsi="Times New Roman" w:cs="Times New Roman"/>
          <w:b/>
          <w:color w:val="0B0B0B"/>
          <w:sz w:val="28"/>
          <w:szCs w:val="28"/>
        </w:rPr>
      </w:pPr>
      <w:r w:rsidRPr="00603B31">
        <w:rPr>
          <w:rFonts w:ascii="Times New Roman" w:eastAsia="TimesNewRomanPSMT" w:hAnsi="Times New Roman" w:cs="Times New Roman"/>
          <w:b/>
          <w:color w:val="0B0B0B"/>
          <w:sz w:val="28"/>
          <w:szCs w:val="28"/>
        </w:rPr>
        <w:t>2.2. Методы исследования.</w:t>
      </w:r>
    </w:p>
    <w:p w:rsidR="001D2283" w:rsidRPr="00603B31" w:rsidRDefault="001D2283" w:rsidP="006A14B6">
      <w:pPr>
        <w:autoSpaceDE w:val="0"/>
        <w:autoSpaceDN w:val="0"/>
        <w:adjustRightInd w:val="0"/>
        <w:spacing w:after="0" w:line="360" w:lineRule="auto"/>
        <w:ind w:firstLine="708"/>
        <w:contextualSpacing/>
        <w:rPr>
          <w:rFonts w:ascii="Times New Roman" w:eastAsia="TimesNewRomanPSMT" w:hAnsi="Times New Roman" w:cs="Times New Roman"/>
          <w:color w:val="0B0B0B"/>
          <w:sz w:val="28"/>
          <w:szCs w:val="28"/>
        </w:rPr>
      </w:pPr>
      <w:r w:rsidRPr="00603B31">
        <w:rPr>
          <w:rFonts w:ascii="Times New Roman" w:eastAsia="TimesNewRomanPSMT" w:hAnsi="Times New Roman" w:cs="Times New Roman"/>
          <w:color w:val="0B0B0B"/>
          <w:sz w:val="28"/>
          <w:szCs w:val="28"/>
        </w:rPr>
        <w:t>В ходе исследования материала учитывались данные следующих видов</w:t>
      </w:r>
    </w:p>
    <w:p w:rsidR="001D2283" w:rsidRPr="00603B31" w:rsidRDefault="001D2283" w:rsidP="001D2283">
      <w:pPr>
        <w:autoSpaceDE w:val="0"/>
        <w:autoSpaceDN w:val="0"/>
        <w:adjustRightInd w:val="0"/>
        <w:spacing w:after="0" w:line="360" w:lineRule="auto"/>
        <w:contextualSpacing/>
        <w:rPr>
          <w:rFonts w:ascii="Times New Roman" w:eastAsia="TimesNewRomanPSMT" w:hAnsi="Times New Roman" w:cs="Times New Roman"/>
          <w:color w:val="0B0B0B"/>
          <w:sz w:val="28"/>
          <w:szCs w:val="28"/>
        </w:rPr>
      </w:pPr>
      <w:r w:rsidRPr="00603B31">
        <w:rPr>
          <w:rFonts w:ascii="Times New Roman" w:eastAsia="TimesNewRomanPSMT" w:hAnsi="Times New Roman" w:cs="Times New Roman"/>
          <w:color w:val="0B0B0B"/>
          <w:sz w:val="28"/>
          <w:szCs w:val="28"/>
        </w:rPr>
        <w:t>исследования:</w:t>
      </w:r>
    </w:p>
    <w:p w:rsidR="001D2283" w:rsidRPr="00603B31" w:rsidRDefault="001D2283" w:rsidP="001D2283">
      <w:pPr>
        <w:pStyle w:val="a3"/>
        <w:numPr>
          <w:ilvl w:val="0"/>
          <w:numId w:val="11"/>
        </w:numPr>
        <w:autoSpaceDE w:val="0"/>
        <w:autoSpaceDN w:val="0"/>
        <w:adjustRightInd w:val="0"/>
        <w:spacing w:after="0" w:line="360" w:lineRule="auto"/>
        <w:ind w:left="0" w:firstLine="0"/>
        <w:rPr>
          <w:rFonts w:ascii="Times New Roman" w:eastAsia="TimesNewRomanPS-ItalicMT" w:hAnsi="Times New Roman" w:cs="Times New Roman"/>
          <w:iCs/>
          <w:color w:val="0B0B0B"/>
          <w:sz w:val="28"/>
          <w:szCs w:val="28"/>
        </w:rPr>
      </w:pPr>
      <w:r w:rsidRPr="00603B31">
        <w:rPr>
          <w:rFonts w:ascii="Times New Roman" w:eastAsia="TimesNewRomanPS-ItalicMT" w:hAnsi="Times New Roman" w:cs="Times New Roman"/>
          <w:iCs/>
          <w:color w:val="0B0B0B"/>
          <w:sz w:val="28"/>
          <w:szCs w:val="28"/>
        </w:rPr>
        <w:t>клинико-анамнестическое обследование;</w:t>
      </w:r>
    </w:p>
    <w:p w:rsidR="001D2283" w:rsidRPr="00603B31" w:rsidRDefault="001D2283" w:rsidP="001D2283">
      <w:pPr>
        <w:pStyle w:val="a3"/>
        <w:numPr>
          <w:ilvl w:val="0"/>
          <w:numId w:val="11"/>
        </w:numPr>
        <w:autoSpaceDE w:val="0"/>
        <w:autoSpaceDN w:val="0"/>
        <w:adjustRightInd w:val="0"/>
        <w:spacing w:after="0" w:line="360" w:lineRule="auto"/>
        <w:ind w:left="0" w:firstLine="0"/>
        <w:rPr>
          <w:rFonts w:ascii="Times New Roman" w:eastAsia="TimesNewRomanPS-ItalicMT" w:hAnsi="Times New Roman" w:cs="Times New Roman"/>
          <w:iCs/>
          <w:color w:val="0B0B0B"/>
          <w:sz w:val="28"/>
          <w:szCs w:val="28"/>
        </w:rPr>
      </w:pPr>
      <w:r w:rsidRPr="00603B31">
        <w:rPr>
          <w:rFonts w:ascii="Times New Roman" w:eastAsia="TimesNewRomanPS-ItalicMT" w:hAnsi="Times New Roman" w:cs="Times New Roman"/>
          <w:iCs/>
          <w:color w:val="0B0B0B"/>
          <w:sz w:val="28"/>
          <w:szCs w:val="28"/>
        </w:rPr>
        <w:t>соматический анамнез: нал</w:t>
      </w:r>
      <w:r w:rsidR="00C70AE2">
        <w:rPr>
          <w:rFonts w:ascii="Times New Roman" w:eastAsia="TimesNewRomanPS-ItalicMT" w:hAnsi="Times New Roman" w:cs="Times New Roman"/>
          <w:iCs/>
          <w:color w:val="0B0B0B"/>
          <w:sz w:val="28"/>
          <w:szCs w:val="28"/>
        </w:rPr>
        <w:t xml:space="preserve">ичие сопутствующих соматических </w:t>
      </w:r>
      <w:r w:rsidRPr="00603B31">
        <w:rPr>
          <w:rFonts w:ascii="Times New Roman" w:eastAsia="TimesNewRomanPS-ItalicMT" w:hAnsi="Times New Roman" w:cs="Times New Roman"/>
          <w:iCs/>
          <w:color w:val="0B0B0B"/>
          <w:sz w:val="28"/>
          <w:szCs w:val="28"/>
        </w:rPr>
        <w:t>заболеваний;</w:t>
      </w:r>
    </w:p>
    <w:p w:rsidR="001D2283" w:rsidRPr="00603B31" w:rsidRDefault="001D2283" w:rsidP="001D2283">
      <w:pPr>
        <w:pStyle w:val="a3"/>
        <w:numPr>
          <w:ilvl w:val="0"/>
          <w:numId w:val="11"/>
        </w:numPr>
        <w:autoSpaceDE w:val="0"/>
        <w:autoSpaceDN w:val="0"/>
        <w:adjustRightInd w:val="0"/>
        <w:spacing w:after="0" w:line="360" w:lineRule="auto"/>
        <w:ind w:left="0" w:firstLine="0"/>
        <w:rPr>
          <w:rFonts w:ascii="Times New Roman" w:eastAsia="TimesNewRomanPS-ItalicMT" w:hAnsi="Times New Roman" w:cs="Times New Roman"/>
          <w:iCs/>
          <w:color w:val="0B0B0B"/>
          <w:sz w:val="28"/>
          <w:szCs w:val="28"/>
        </w:rPr>
      </w:pPr>
      <w:r w:rsidRPr="00603B31">
        <w:rPr>
          <w:rFonts w:ascii="Times New Roman" w:eastAsia="TimesNewRomanPS-ItalicMT" w:hAnsi="Times New Roman" w:cs="Times New Roman"/>
          <w:iCs/>
          <w:color w:val="0B0B0B"/>
          <w:sz w:val="28"/>
          <w:szCs w:val="28"/>
        </w:rPr>
        <w:t>данные лабораторных и инструментальных исследований (анализ уровня β-ХГЧ сыворотки крови, УЗИ органов малого таза, анализ уровня половых гормонов);</w:t>
      </w:r>
    </w:p>
    <w:p w:rsidR="001D2283" w:rsidRPr="00603B31" w:rsidRDefault="001D2283" w:rsidP="001D2283">
      <w:pPr>
        <w:pStyle w:val="a3"/>
        <w:numPr>
          <w:ilvl w:val="0"/>
          <w:numId w:val="11"/>
        </w:numPr>
        <w:autoSpaceDE w:val="0"/>
        <w:autoSpaceDN w:val="0"/>
        <w:adjustRightInd w:val="0"/>
        <w:spacing w:after="0" w:line="360" w:lineRule="auto"/>
        <w:ind w:left="0" w:firstLine="0"/>
        <w:rPr>
          <w:rFonts w:ascii="Times New Roman" w:eastAsia="TimesNewRomanPS-ItalicMT" w:hAnsi="Times New Roman" w:cs="Times New Roman"/>
          <w:iCs/>
          <w:color w:val="0B0B0B"/>
          <w:sz w:val="28"/>
          <w:szCs w:val="28"/>
        </w:rPr>
      </w:pPr>
      <w:r w:rsidRPr="00603B31">
        <w:rPr>
          <w:rFonts w:ascii="Times New Roman" w:eastAsia="TimesNewRomanPS-ItalicMT" w:hAnsi="Times New Roman" w:cs="Times New Roman"/>
          <w:iCs/>
          <w:color w:val="0B0B0B"/>
          <w:sz w:val="28"/>
          <w:szCs w:val="28"/>
        </w:rPr>
        <w:t>статистическая обработка полученных результатов.</w:t>
      </w:r>
    </w:p>
    <w:p w:rsidR="001D2283" w:rsidRPr="00603B31" w:rsidRDefault="000470AD" w:rsidP="001D2283">
      <w:pPr>
        <w:autoSpaceDE w:val="0"/>
        <w:autoSpaceDN w:val="0"/>
        <w:adjustRightInd w:val="0"/>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2.2.1</w:t>
      </w:r>
      <w:r w:rsidR="001D2283" w:rsidRPr="00603B31">
        <w:rPr>
          <w:rFonts w:ascii="Times New Roman" w:hAnsi="Times New Roman" w:cs="Times New Roman"/>
          <w:b/>
          <w:sz w:val="28"/>
          <w:szCs w:val="28"/>
        </w:rPr>
        <w:t xml:space="preserve"> Протокол стимуляции суперовуляции и ЭКО.</w:t>
      </w:r>
    </w:p>
    <w:p w:rsidR="00DB40B8" w:rsidRPr="00603B31" w:rsidRDefault="001D2283" w:rsidP="006A14B6">
      <w:pPr>
        <w:autoSpaceDE w:val="0"/>
        <w:autoSpaceDN w:val="0"/>
        <w:adjustRightInd w:val="0"/>
        <w:spacing w:after="0" w:line="360" w:lineRule="auto"/>
        <w:ind w:firstLine="708"/>
        <w:contextualSpacing/>
        <w:rPr>
          <w:rFonts w:ascii="Times New Roman" w:hAnsi="Times New Roman" w:cs="Times New Roman"/>
          <w:iCs/>
          <w:sz w:val="28"/>
          <w:szCs w:val="28"/>
        </w:rPr>
      </w:pPr>
      <w:r w:rsidRPr="00603B31">
        <w:rPr>
          <w:rFonts w:ascii="Times New Roman" w:hAnsi="Times New Roman" w:cs="Times New Roman"/>
          <w:sz w:val="28"/>
          <w:szCs w:val="28"/>
        </w:rPr>
        <w:t xml:space="preserve">У всех женщин использовался протокол с антагонистом </w:t>
      </w:r>
      <w:r w:rsidR="00071013" w:rsidRPr="00603B31">
        <w:rPr>
          <w:rFonts w:ascii="Times New Roman" w:hAnsi="Times New Roman" w:cs="Times New Roman"/>
          <w:sz w:val="28"/>
          <w:szCs w:val="28"/>
        </w:rPr>
        <w:t>гонадотропин релизинг фактора (антГн-</w:t>
      </w:r>
      <w:r w:rsidRPr="00603B31">
        <w:rPr>
          <w:rFonts w:ascii="Times New Roman" w:hAnsi="Times New Roman" w:cs="Times New Roman"/>
          <w:sz w:val="28"/>
          <w:szCs w:val="28"/>
        </w:rPr>
        <w:t>Р</w:t>
      </w:r>
      <w:r w:rsidR="00071013" w:rsidRPr="00603B31">
        <w:rPr>
          <w:rFonts w:ascii="Times New Roman" w:hAnsi="Times New Roman" w:cs="Times New Roman"/>
          <w:sz w:val="28"/>
          <w:szCs w:val="28"/>
        </w:rPr>
        <w:t>Г</w:t>
      </w:r>
      <w:r w:rsidRPr="00603B31">
        <w:rPr>
          <w:rFonts w:ascii="Times New Roman" w:hAnsi="Times New Roman" w:cs="Times New Roman"/>
          <w:sz w:val="28"/>
          <w:szCs w:val="28"/>
        </w:rPr>
        <w:t xml:space="preserve">). В качестве индуктора овуляции использовался препарат рекомбинантного ФСГ (Gonal-F, Швейцария) или человеческий мочевой гонадотропин (Menopur, Германия) со 2-3-го дня менструального цикла. Стартовая доза подбиралась индивидуально в зависимости от возраста и веса пациентки. </w:t>
      </w:r>
      <w:r w:rsidRPr="00603B31">
        <w:rPr>
          <w:rFonts w:ascii="Times New Roman" w:eastAsia="TimesNewRomanPSMT" w:hAnsi="Times New Roman" w:cs="Times New Roman"/>
          <w:color w:val="0B0B0B"/>
          <w:sz w:val="28"/>
          <w:szCs w:val="28"/>
        </w:rPr>
        <w:t>О созревании яйцеклеток судили косвенно по росту фолликулов с помощью аппарата ультразвукового исследования.</w:t>
      </w:r>
      <w:r w:rsidRPr="00603B31">
        <w:rPr>
          <w:rFonts w:ascii="Times New Roman" w:hAnsi="Times New Roman" w:cs="Times New Roman"/>
          <w:sz w:val="28"/>
          <w:szCs w:val="28"/>
        </w:rPr>
        <w:t xml:space="preserve"> </w:t>
      </w:r>
      <w:r w:rsidRPr="00603B31">
        <w:rPr>
          <w:rFonts w:ascii="Times New Roman" w:hAnsi="Times New Roman" w:cs="Times New Roman"/>
          <w:iCs/>
          <w:sz w:val="28"/>
          <w:szCs w:val="28"/>
        </w:rPr>
        <w:t xml:space="preserve">Рекомбинантный ХГЧ (Ovitrelle, Италия) </w:t>
      </w:r>
      <w:r w:rsidR="00CE26BC">
        <w:rPr>
          <w:rFonts w:ascii="Times New Roman" w:hAnsi="Times New Roman" w:cs="Times New Roman"/>
          <w:iCs/>
          <w:sz w:val="28"/>
          <w:szCs w:val="28"/>
        </w:rPr>
        <w:t xml:space="preserve">в дозе 250 мкг </w:t>
      </w:r>
      <w:r w:rsidRPr="00603B31">
        <w:rPr>
          <w:rFonts w:ascii="Times New Roman" w:hAnsi="Times New Roman" w:cs="Times New Roman"/>
          <w:iCs/>
          <w:sz w:val="28"/>
          <w:szCs w:val="28"/>
        </w:rPr>
        <w:t xml:space="preserve">использовался в качестве триггера овуляции, когда хотя бы два фолликула достигали диаметра 17-18 мм. Пункция фолликулов проводилась трансвагинально через 34-36 часов после введения рХГЧ. </w:t>
      </w:r>
    </w:p>
    <w:p w:rsidR="00DB40B8" w:rsidRPr="00603B31" w:rsidRDefault="000470AD" w:rsidP="000470AD">
      <w:pPr>
        <w:autoSpaceDE w:val="0"/>
        <w:autoSpaceDN w:val="0"/>
        <w:adjustRightInd w:val="0"/>
        <w:spacing w:after="0" w:line="360" w:lineRule="auto"/>
        <w:contextualSpacing/>
        <w:rPr>
          <w:rFonts w:ascii="Times New Roman" w:hAnsi="Times New Roman" w:cs="Times New Roman"/>
          <w:iCs/>
          <w:sz w:val="28"/>
          <w:szCs w:val="28"/>
        </w:rPr>
      </w:pPr>
      <w:r w:rsidRPr="00603B31">
        <w:rPr>
          <w:rFonts w:ascii="Times New Roman" w:hAnsi="Times New Roman" w:cs="Times New Roman"/>
          <w:b/>
          <w:iCs/>
          <w:sz w:val="28"/>
          <w:szCs w:val="28"/>
        </w:rPr>
        <w:t xml:space="preserve">2.2.2. </w:t>
      </w:r>
      <w:r w:rsidR="00DB40B8" w:rsidRPr="00603B31">
        <w:rPr>
          <w:rFonts w:ascii="Times New Roman" w:hAnsi="Times New Roman" w:cs="Times New Roman"/>
          <w:b/>
          <w:iCs/>
          <w:sz w:val="28"/>
          <w:szCs w:val="28"/>
        </w:rPr>
        <w:t>Морфолог</w:t>
      </w:r>
      <w:r w:rsidR="00D620A0" w:rsidRPr="00603B31">
        <w:rPr>
          <w:rFonts w:ascii="Times New Roman" w:hAnsi="Times New Roman" w:cs="Times New Roman"/>
          <w:b/>
          <w:iCs/>
          <w:sz w:val="28"/>
          <w:szCs w:val="28"/>
        </w:rPr>
        <w:t>и</w:t>
      </w:r>
      <w:r w:rsidR="00DB40B8" w:rsidRPr="00603B31">
        <w:rPr>
          <w:rFonts w:ascii="Times New Roman" w:hAnsi="Times New Roman" w:cs="Times New Roman"/>
          <w:b/>
          <w:iCs/>
          <w:sz w:val="28"/>
          <w:szCs w:val="28"/>
        </w:rPr>
        <w:t>ческая оценка качества эмбрионов</w:t>
      </w:r>
      <w:r w:rsidR="00D620A0" w:rsidRPr="00603B31">
        <w:rPr>
          <w:rFonts w:ascii="Times New Roman" w:hAnsi="Times New Roman" w:cs="Times New Roman"/>
          <w:iCs/>
          <w:sz w:val="28"/>
          <w:szCs w:val="28"/>
        </w:rPr>
        <w:t>.</w:t>
      </w:r>
      <w:r w:rsidR="00DB40B8" w:rsidRPr="00603B31">
        <w:rPr>
          <w:rFonts w:ascii="Times New Roman" w:hAnsi="Times New Roman" w:cs="Times New Roman"/>
          <w:iCs/>
          <w:sz w:val="28"/>
          <w:szCs w:val="28"/>
        </w:rPr>
        <w:t xml:space="preserve"> </w:t>
      </w:r>
      <w:r w:rsidR="00DB40B8" w:rsidRPr="00603B31">
        <w:rPr>
          <w:rFonts w:ascii="Times New Roman" w:hAnsi="Times New Roman" w:cs="Times New Roman"/>
          <w:b/>
          <w:sz w:val="28"/>
          <w:szCs w:val="28"/>
        </w:rPr>
        <w:t xml:space="preserve"> </w:t>
      </w:r>
    </w:p>
    <w:p w:rsidR="00DB40B8" w:rsidRPr="00603B31" w:rsidRDefault="00D620A0" w:rsidP="00DB40B8">
      <w:pPr>
        <w:autoSpaceDE w:val="0"/>
        <w:autoSpaceDN w:val="0"/>
        <w:adjustRightInd w:val="0"/>
        <w:spacing w:after="0" w:line="360" w:lineRule="auto"/>
        <w:ind w:firstLine="708"/>
        <w:rPr>
          <w:rFonts w:ascii="Times New Roman" w:eastAsia="TimesNewRomanPS-BoldMT-Identity" w:hAnsi="Times New Roman" w:cs="Times New Roman"/>
          <w:bCs/>
          <w:sz w:val="28"/>
          <w:szCs w:val="28"/>
        </w:rPr>
      </w:pPr>
      <w:r w:rsidRPr="00603B31">
        <w:rPr>
          <w:rFonts w:ascii="Times New Roman" w:eastAsia="TimesNewRomanPSMT-Identity-H" w:hAnsi="Times New Roman" w:cs="Times New Roman"/>
          <w:sz w:val="28"/>
          <w:szCs w:val="28"/>
        </w:rPr>
        <w:t xml:space="preserve">На </w:t>
      </w:r>
      <w:r w:rsidR="00DB40B8" w:rsidRPr="00603B31">
        <w:rPr>
          <w:rFonts w:ascii="Times New Roman" w:eastAsia="TimesNewRomanPSMT-Identity-H" w:hAnsi="Times New Roman" w:cs="Times New Roman"/>
          <w:sz w:val="28"/>
          <w:szCs w:val="28"/>
        </w:rPr>
        <w:t xml:space="preserve">стадии </w:t>
      </w:r>
      <w:r w:rsidRPr="00603B31">
        <w:rPr>
          <w:rFonts w:ascii="Times New Roman" w:eastAsia="TimesNewRomanPSMT-Identity-H" w:hAnsi="Times New Roman" w:cs="Times New Roman"/>
          <w:sz w:val="28"/>
          <w:szCs w:val="28"/>
        </w:rPr>
        <w:t xml:space="preserve">дробления </w:t>
      </w:r>
      <w:r w:rsidR="00DB40B8" w:rsidRPr="00603B31">
        <w:rPr>
          <w:rFonts w:ascii="Times New Roman" w:eastAsia="TimesNewRomanPSMT-Identity-H" w:hAnsi="Times New Roman" w:cs="Times New Roman"/>
          <w:sz w:val="28"/>
          <w:szCs w:val="28"/>
        </w:rPr>
        <w:t xml:space="preserve">качество эмбриона </w:t>
      </w:r>
      <w:r w:rsidRPr="00603B31">
        <w:rPr>
          <w:rFonts w:ascii="Times New Roman" w:eastAsia="TimesNewRomanPSMT-Identity-H" w:hAnsi="Times New Roman" w:cs="Times New Roman"/>
          <w:sz w:val="28"/>
          <w:szCs w:val="28"/>
        </w:rPr>
        <w:t xml:space="preserve">оценивалось </w:t>
      </w:r>
      <w:r w:rsidR="00DB40B8" w:rsidRPr="00603B31">
        <w:rPr>
          <w:rFonts w:ascii="Times New Roman" w:eastAsia="TimesNewRomanPSMT-Identity-H" w:hAnsi="Times New Roman" w:cs="Times New Roman"/>
          <w:sz w:val="28"/>
          <w:szCs w:val="28"/>
        </w:rPr>
        <w:t>по степени фрагментации (объему эмбриона, занимаемому безъядерными фрагментами</w:t>
      </w:r>
      <w:r w:rsidRPr="00603B31">
        <w:rPr>
          <w:rFonts w:ascii="Times New Roman" w:eastAsia="TimesNewRomanPSMT-Identity-H" w:hAnsi="Times New Roman" w:cs="Times New Roman"/>
          <w:sz w:val="28"/>
          <w:szCs w:val="28"/>
        </w:rPr>
        <w:t xml:space="preserve"> цитоплазмы)</w:t>
      </w:r>
      <w:r w:rsidR="00DB40B8" w:rsidRPr="00603B31">
        <w:rPr>
          <w:rFonts w:ascii="Times New Roman" w:eastAsia="TimesNewRomanPSMT-Identity-H" w:hAnsi="Times New Roman" w:cs="Times New Roman"/>
          <w:sz w:val="28"/>
          <w:szCs w:val="28"/>
        </w:rPr>
        <w:t>.</w:t>
      </w:r>
    </w:p>
    <w:p w:rsidR="00DB40B8" w:rsidRPr="00603B31" w:rsidRDefault="00DB40B8" w:rsidP="00DB40B8">
      <w:pPr>
        <w:autoSpaceDE w:val="0"/>
        <w:autoSpaceDN w:val="0"/>
        <w:adjustRightInd w:val="0"/>
        <w:spacing w:after="0" w:line="360" w:lineRule="auto"/>
        <w:ind w:firstLine="708"/>
        <w:rPr>
          <w:rFonts w:ascii="Times New Roman" w:eastAsia="TimesNewRomanPSMT-Identity-H" w:hAnsi="Times New Roman" w:cs="Times New Roman"/>
          <w:sz w:val="28"/>
          <w:szCs w:val="28"/>
        </w:rPr>
      </w:pPr>
      <w:r w:rsidRPr="00603B31">
        <w:rPr>
          <w:rFonts w:ascii="Times New Roman" w:eastAsia="TimesNewRomanPS-ItalicMT-Identi" w:hAnsi="Times New Roman" w:cs="Times New Roman"/>
          <w:iCs/>
          <w:sz w:val="28"/>
          <w:szCs w:val="28"/>
        </w:rPr>
        <w:t>Наиболее общепринятая классификация дробящихся эмбрионов по качеству</w:t>
      </w:r>
      <w:r w:rsidRPr="00603B31">
        <w:rPr>
          <w:rFonts w:ascii="Times New Roman" w:eastAsia="TimesNewRomanPS-ItalicMT-Identi" w:hAnsi="Times New Roman" w:cs="Times New Roman"/>
          <w:i/>
          <w:iCs/>
          <w:sz w:val="28"/>
          <w:szCs w:val="28"/>
        </w:rPr>
        <w:t xml:space="preserve"> </w:t>
      </w:r>
      <w:r w:rsidRPr="00603B31">
        <w:rPr>
          <w:rFonts w:ascii="Times New Roman" w:eastAsia="TimesNewRomanPSMT-Identity-H" w:hAnsi="Times New Roman" w:cs="Times New Roman"/>
          <w:sz w:val="28"/>
          <w:szCs w:val="28"/>
        </w:rPr>
        <w:t>– AB-C-D, где А – самый лучший, D – самый худший. Цифрами указывают количество бластомеров</w:t>
      </w:r>
      <w:r w:rsidR="00101709" w:rsidRPr="00603B31">
        <w:rPr>
          <w:rFonts w:ascii="Times New Roman" w:eastAsia="TimesNewRomanPSMT-Identity-H" w:hAnsi="Times New Roman" w:cs="Times New Roman"/>
          <w:sz w:val="28"/>
          <w:szCs w:val="28"/>
        </w:rPr>
        <w:t>[76</w:t>
      </w:r>
      <w:r w:rsidRPr="00603B31">
        <w:rPr>
          <w:rFonts w:ascii="Times New Roman" w:eastAsia="TimesNewRomanPSMT-Identity-H" w:hAnsi="Times New Roman" w:cs="Times New Roman"/>
          <w:sz w:val="28"/>
          <w:szCs w:val="28"/>
        </w:rPr>
        <w:t>].</w:t>
      </w:r>
    </w:p>
    <w:p w:rsidR="00DB40B8" w:rsidRPr="00603B31" w:rsidRDefault="00DB40B8" w:rsidP="00DB40B8">
      <w:pPr>
        <w:pStyle w:val="a3"/>
        <w:numPr>
          <w:ilvl w:val="0"/>
          <w:numId w:val="1"/>
        </w:numPr>
        <w:autoSpaceDE w:val="0"/>
        <w:autoSpaceDN w:val="0"/>
        <w:adjustRightInd w:val="0"/>
        <w:spacing w:after="0" w:line="360" w:lineRule="auto"/>
        <w:ind w:left="0" w:firstLine="0"/>
        <w:rPr>
          <w:rFonts w:ascii="Times New Roman" w:eastAsia="TimesNewRomanPSMT-Identity-H" w:hAnsi="Times New Roman" w:cs="Times New Roman"/>
          <w:sz w:val="28"/>
          <w:szCs w:val="28"/>
        </w:rPr>
      </w:pPr>
      <w:r w:rsidRPr="00603B31">
        <w:rPr>
          <w:rFonts w:ascii="Times New Roman" w:eastAsia="TimesNewRomanPSMT-Identity-H" w:hAnsi="Times New Roman" w:cs="Times New Roman"/>
          <w:sz w:val="28"/>
          <w:szCs w:val="28"/>
        </w:rPr>
        <w:t>Тип A – эмбрион отличного качества без ануклеарных (безъядерных) фрагментов (4А)</w:t>
      </w:r>
    </w:p>
    <w:p w:rsidR="00DB40B8" w:rsidRPr="00603B31" w:rsidRDefault="00DB40B8" w:rsidP="00DB40B8">
      <w:pPr>
        <w:pStyle w:val="a3"/>
        <w:numPr>
          <w:ilvl w:val="0"/>
          <w:numId w:val="1"/>
        </w:numPr>
        <w:autoSpaceDE w:val="0"/>
        <w:autoSpaceDN w:val="0"/>
        <w:adjustRightInd w:val="0"/>
        <w:spacing w:after="0" w:line="360" w:lineRule="auto"/>
        <w:ind w:left="0" w:firstLine="0"/>
        <w:rPr>
          <w:rFonts w:ascii="Times New Roman" w:eastAsia="TimesNewRomanPSMT-Identity-H" w:hAnsi="Times New Roman" w:cs="Times New Roman"/>
          <w:sz w:val="28"/>
          <w:szCs w:val="28"/>
        </w:rPr>
      </w:pPr>
      <w:r w:rsidRPr="00603B31">
        <w:rPr>
          <w:rFonts w:ascii="Times New Roman" w:eastAsia="TimesNewRomanPSMT-Identity-H" w:hAnsi="Times New Roman" w:cs="Times New Roman"/>
          <w:sz w:val="28"/>
          <w:szCs w:val="28"/>
        </w:rPr>
        <w:t>Тип В – эмбрион хорошего качества с содержанием ануклеарных фрагментов до 20% (4В)</w:t>
      </w:r>
    </w:p>
    <w:p w:rsidR="00DB40B8" w:rsidRPr="00603B31" w:rsidRDefault="00DB40B8" w:rsidP="00DB40B8">
      <w:pPr>
        <w:pStyle w:val="a3"/>
        <w:numPr>
          <w:ilvl w:val="0"/>
          <w:numId w:val="1"/>
        </w:numPr>
        <w:autoSpaceDE w:val="0"/>
        <w:autoSpaceDN w:val="0"/>
        <w:adjustRightInd w:val="0"/>
        <w:spacing w:after="0" w:line="360" w:lineRule="auto"/>
        <w:ind w:left="0" w:firstLine="0"/>
        <w:rPr>
          <w:rFonts w:ascii="Times New Roman" w:eastAsia="TimesNewRomanPSMT-Identity-H" w:hAnsi="Times New Roman" w:cs="Times New Roman"/>
          <w:sz w:val="28"/>
          <w:szCs w:val="28"/>
        </w:rPr>
      </w:pPr>
      <w:r w:rsidRPr="00603B31">
        <w:rPr>
          <w:rFonts w:ascii="Times New Roman" w:eastAsia="TimesNewRomanPSMT-Identity-H" w:hAnsi="Times New Roman" w:cs="Times New Roman"/>
          <w:sz w:val="28"/>
          <w:szCs w:val="28"/>
        </w:rPr>
        <w:t>Тип С – эмбрион удовлетворительного качества с содержанием ануклеарных фрагментов от 21% до 50% (4С)</w:t>
      </w:r>
    </w:p>
    <w:p w:rsidR="00DB40B8" w:rsidRPr="00603B31" w:rsidRDefault="00DB40B8" w:rsidP="00DB40B8">
      <w:pPr>
        <w:pStyle w:val="a3"/>
        <w:numPr>
          <w:ilvl w:val="0"/>
          <w:numId w:val="1"/>
        </w:numPr>
        <w:autoSpaceDE w:val="0"/>
        <w:autoSpaceDN w:val="0"/>
        <w:adjustRightInd w:val="0"/>
        <w:spacing w:after="0" w:line="360" w:lineRule="auto"/>
        <w:ind w:left="0" w:firstLine="0"/>
        <w:rPr>
          <w:rFonts w:ascii="Times New Roman" w:eastAsia="TimesNewRomanPSMT-Identity-H" w:hAnsi="Times New Roman" w:cs="Times New Roman"/>
          <w:sz w:val="28"/>
          <w:szCs w:val="28"/>
        </w:rPr>
      </w:pPr>
      <w:r w:rsidRPr="00603B31">
        <w:rPr>
          <w:rFonts w:ascii="Times New Roman" w:eastAsia="TimesNewRomanPSMT-Identity-H" w:hAnsi="Times New Roman" w:cs="Times New Roman"/>
          <w:sz w:val="28"/>
          <w:szCs w:val="28"/>
        </w:rPr>
        <w:t>Тип D – эмбрион неудовлетворительного качества с содержанием ануклеарных фрагментов более 50% (4D)</w:t>
      </w:r>
    </w:p>
    <w:p w:rsidR="00DB40B8" w:rsidRPr="00603B31" w:rsidRDefault="00DB40B8" w:rsidP="00DB40B8">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На стадии морулы проходит оценка компактизации эмбриона:</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(A) Grade 4: эмбрион полностью компактизован. Клеточные мембраны</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видны нечетко, но ядра различимы;</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(B) Grade 3: компактизовано более 75 % бластомеров. Эмбрион сохраняет</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сферичную форму и гладкую поверхность;</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(C) Grade 2: частичная компактизация (около 50 % бластомеров),</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аномальная морфология эмбриона;</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(D) Grade 1: компактизация менее 50 % бластомеров. Различимы</w:t>
      </w:r>
    </w:p>
    <w:p w:rsidR="00DB40B8" w:rsidRPr="00603B31" w:rsidRDefault="00DB40B8" w:rsidP="00DB40B8">
      <w:pPr>
        <w:autoSpaceDE w:val="0"/>
        <w:autoSpaceDN w:val="0"/>
        <w:adjustRightInd w:val="0"/>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фрагменты и </w:t>
      </w:r>
      <w:r w:rsidR="00383394" w:rsidRPr="00603B31">
        <w:rPr>
          <w:rFonts w:ascii="Times New Roman" w:hAnsi="Times New Roman" w:cs="Times New Roman"/>
          <w:sz w:val="28"/>
          <w:szCs w:val="28"/>
        </w:rPr>
        <w:t>некомпактизовавшиеся бластомеры</w:t>
      </w:r>
      <w:r w:rsidRPr="00603B31">
        <w:rPr>
          <w:rFonts w:ascii="Times New Roman" w:hAnsi="Times New Roman" w:cs="Times New Roman"/>
          <w:sz w:val="28"/>
          <w:szCs w:val="28"/>
        </w:rPr>
        <w:t>[</w:t>
      </w:r>
      <w:r w:rsidR="00383394" w:rsidRPr="00603B31">
        <w:rPr>
          <w:rFonts w:ascii="Times New Roman" w:hAnsi="Times New Roman" w:cs="Times New Roman"/>
          <w:sz w:val="28"/>
          <w:szCs w:val="28"/>
        </w:rPr>
        <w:t>69</w:t>
      </w:r>
      <w:r w:rsidRPr="00603B31">
        <w:rPr>
          <w:rFonts w:ascii="Times New Roman" w:hAnsi="Times New Roman" w:cs="Times New Roman"/>
          <w:sz w:val="28"/>
          <w:szCs w:val="28"/>
        </w:rPr>
        <w:t>].</w:t>
      </w:r>
    </w:p>
    <w:p w:rsidR="00DB40B8" w:rsidRPr="00603B31" w:rsidRDefault="00DB40B8" w:rsidP="00DB40B8">
      <w:pPr>
        <w:autoSpaceDE w:val="0"/>
        <w:autoSpaceDN w:val="0"/>
        <w:adjustRightInd w:val="0"/>
        <w:spacing w:after="0" w:line="360" w:lineRule="auto"/>
        <w:ind w:firstLine="708"/>
        <w:rPr>
          <w:rFonts w:ascii="Times New Roman" w:eastAsia="TimesNewRomanPSMT-Identity-H" w:hAnsi="Times New Roman" w:cs="Times New Roman"/>
          <w:sz w:val="28"/>
          <w:szCs w:val="28"/>
        </w:rPr>
      </w:pPr>
      <w:r w:rsidRPr="00603B31">
        <w:rPr>
          <w:rFonts w:ascii="Times New Roman" w:eastAsia="TimesNewRomanPSMT-Identity-H" w:hAnsi="Times New Roman" w:cs="Times New Roman"/>
          <w:sz w:val="28"/>
          <w:szCs w:val="28"/>
        </w:rPr>
        <w:t>После достижения стадии бластоцисты эмбрион был перенесён в полость матки или криоконсервирован для переноса в последующих циклах.</w:t>
      </w:r>
    </w:p>
    <w:p w:rsidR="001D2283" w:rsidRPr="00603B31" w:rsidRDefault="001D2283" w:rsidP="006A14B6">
      <w:pPr>
        <w:autoSpaceDE w:val="0"/>
        <w:autoSpaceDN w:val="0"/>
        <w:adjustRightInd w:val="0"/>
        <w:spacing w:after="0" w:line="360" w:lineRule="auto"/>
        <w:ind w:firstLine="708"/>
        <w:contextualSpacing/>
        <w:rPr>
          <w:rFonts w:ascii="Times New Roman" w:eastAsia="TimesNewRomanPSMT" w:hAnsi="Times New Roman" w:cs="Times New Roman"/>
          <w:color w:val="0B0B0B"/>
          <w:sz w:val="28"/>
          <w:szCs w:val="28"/>
        </w:rPr>
      </w:pPr>
      <w:r w:rsidRPr="00603B31">
        <w:rPr>
          <w:rFonts w:ascii="Times New Roman" w:hAnsi="Times New Roman" w:cs="Times New Roman"/>
          <w:sz w:val="28"/>
          <w:szCs w:val="28"/>
        </w:rPr>
        <w:t xml:space="preserve">Перенос эмбрионов </w:t>
      </w:r>
      <w:r w:rsidR="000470AD" w:rsidRPr="00603B31">
        <w:rPr>
          <w:rFonts w:ascii="Times New Roman" w:hAnsi="Times New Roman" w:cs="Times New Roman"/>
          <w:sz w:val="28"/>
          <w:szCs w:val="28"/>
        </w:rPr>
        <w:t xml:space="preserve">в матку </w:t>
      </w:r>
      <w:r w:rsidRPr="00603B31">
        <w:rPr>
          <w:rFonts w:ascii="Times New Roman" w:hAnsi="Times New Roman" w:cs="Times New Roman"/>
          <w:sz w:val="28"/>
          <w:szCs w:val="28"/>
        </w:rPr>
        <w:t>осуществлялся на 5-е сутки развития (среднее время культивирования составило 4 дня), при этом количество переносимых эмбрионов не превышало двух.</w:t>
      </w:r>
      <w:r w:rsidR="000470AD" w:rsidRPr="00603B31">
        <w:rPr>
          <w:rFonts w:ascii="Times New Roman" w:hAnsi="Times New Roman" w:cs="Times New Roman"/>
          <w:sz w:val="28"/>
          <w:szCs w:val="28"/>
        </w:rPr>
        <w:t xml:space="preserve"> В некоторых случаях, также, производилась криоконсервация эмбрионов для последующего возможного использования в криоциклах.</w:t>
      </w:r>
    </w:p>
    <w:p w:rsidR="001D2283" w:rsidRPr="00603B31" w:rsidRDefault="001D2283" w:rsidP="006A14B6">
      <w:pPr>
        <w:keepNext/>
        <w:widowControl w:val="0"/>
        <w:autoSpaceDE w:val="0"/>
        <w:autoSpaceDN w:val="0"/>
        <w:adjustRightInd w:val="0"/>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На 14-15 день после переноса эмбрионов проводился контроль уровня </w:t>
      </w:r>
      <w:r w:rsidR="00383394" w:rsidRPr="00603B31">
        <w:rPr>
          <w:rFonts w:ascii="Times New Roman" w:eastAsia="TimesNewRomanPS-ItalicMT" w:hAnsi="Times New Roman" w:cs="Times New Roman"/>
          <w:i/>
          <w:iCs/>
          <w:color w:val="0B0B0B"/>
          <w:sz w:val="28"/>
          <w:szCs w:val="28"/>
        </w:rPr>
        <w:t>β</w:t>
      </w:r>
      <w:r w:rsidR="00383394" w:rsidRPr="00603B31">
        <w:rPr>
          <w:rFonts w:ascii="Times New Roman" w:eastAsia="TimesNewRomanPSMT" w:hAnsi="Times New Roman" w:cs="Times New Roman"/>
          <w:color w:val="0B0B0B"/>
          <w:sz w:val="28"/>
          <w:szCs w:val="28"/>
        </w:rPr>
        <w:t xml:space="preserve">-ХГЧ </w:t>
      </w:r>
      <w:r w:rsidRPr="00603B31">
        <w:rPr>
          <w:rFonts w:ascii="Times New Roman" w:hAnsi="Times New Roman" w:cs="Times New Roman"/>
          <w:sz w:val="28"/>
          <w:szCs w:val="28"/>
        </w:rPr>
        <w:t xml:space="preserve">сыворотки крови. При превышении табличного критического значения </w:t>
      </w:r>
      <w:r w:rsidR="00383394" w:rsidRPr="00603B31">
        <w:rPr>
          <w:rFonts w:ascii="Times New Roman" w:eastAsia="TimesNewRomanPS-ItalicMT" w:hAnsi="Times New Roman" w:cs="Times New Roman"/>
          <w:i/>
          <w:iCs/>
          <w:color w:val="0B0B0B"/>
          <w:sz w:val="28"/>
          <w:szCs w:val="28"/>
        </w:rPr>
        <w:t>β</w:t>
      </w:r>
      <w:r w:rsidR="00383394" w:rsidRPr="00603B31">
        <w:rPr>
          <w:rFonts w:ascii="Times New Roman" w:eastAsia="TimesNewRomanPSMT" w:hAnsi="Times New Roman" w:cs="Times New Roman"/>
          <w:color w:val="0B0B0B"/>
          <w:sz w:val="28"/>
          <w:szCs w:val="28"/>
        </w:rPr>
        <w:t xml:space="preserve">-ХГЧ </w:t>
      </w:r>
      <w:r w:rsidRPr="00603B31">
        <w:rPr>
          <w:rFonts w:ascii="Times New Roman" w:hAnsi="Times New Roman" w:cs="Times New Roman"/>
          <w:sz w:val="28"/>
          <w:szCs w:val="28"/>
        </w:rPr>
        <w:t>результат ЭКО оценивался как биохимическая беременность.</w:t>
      </w:r>
    </w:p>
    <w:p w:rsidR="001D2283" w:rsidRPr="00603B31" w:rsidRDefault="001D2283" w:rsidP="006A14B6">
      <w:pPr>
        <w:autoSpaceDE w:val="0"/>
        <w:autoSpaceDN w:val="0"/>
        <w:adjustRightInd w:val="0"/>
        <w:spacing w:after="0" w:line="360" w:lineRule="auto"/>
        <w:ind w:firstLine="708"/>
        <w:rPr>
          <w:rFonts w:ascii="Times New Roman" w:eastAsia="TimesNewRomanPSMT" w:hAnsi="Times New Roman" w:cs="Times New Roman"/>
          <w:sz w:val="28"/>
          <w:szCs w:val="28"/>
        </w:rPr>
      </w:pPr>
      <w:r w:rsidRPr="00603B31">
        <w:rPr>
          <w:rFonts w:ascii="Times New Roman" w:hAnsi="Times New Roman" w:cs="Times New Roman"/>
          <w:sz w:val="28"/>
          <w:szCs w:val="28"/>
        </w:rPr>
        <w:t xml:space="preserve">Для статистической обработки результатов исследования использовался пакет компьютерных программ «Statistica -13». </w:t>
      </w:r>
      <w:r w:rsidRPr="00603B31">
        <w:rPr>
          <w:rFonts w:ascii="Times New Roman" w:eastAsia="TimesNewRomanPSMT" w:hAnsi="Times New Roman" w:cs="Times New Roman"/>
          <w:sz w:val="28"/>
          <w:szCs w:val="28"/>
        </w:rPr>
        <w:t xml:space="preserve">Для оценки межгрупповых различий изучаемых показателей применялся параметрический критерий Стьюдента. Статистический анализ качественных показателей проводился на основе данных, сгруппированных в таблицы сопряженности, с применением критерия согласия Пирсона (хи-квадрат). С целью нахождения линейной связи между двумя величинами использовался коэффициент корреляции </w:t>
      </w:r>
      <w:r w:rsidR="004B54C5" w:rsidRPr="00603B31">
        <w:rPr>
          <w:rFonts w:ascii="Times New Roman" w:eastAsia="TimesNewRomanPSMT" w:hAnsi="Times New Roman" w:cs="Times New Roman"/>
          <w:sz w:val="28"/>
          <w:szCs w:val="28"/>
        </w:rPr>
        <w:t>Тау Кендалла</w:t>
      </w:r>
      <w:r w:rsidRPr="00603B31">
        <w:rPr>
          <w:rFonts w:ascii="Times New Roman" w:eastAsia="TimesNewRomanPSMT" w:hAnsi="Times New Roman" w:cs="Times New Roman"/>
          <w:sz w:val="28"/>
          <w:szCs w:val="28"/>
        </w:rPr>
        <w:t>. Критический уровень значимости (р) нулевой статистической гипотезы (об отсутствии значимых различий) принимался равным 0,05.</w:t>
      </w:r>
    </w:p>
    <w:p w:rsidR="001D2283" w:rsidRPr="00603B31" w:rsidRDefault="001D2283" w:rsidP="001D2283">
      <w:pPr>
        <w:spacing w:after="0" w:line="360" w:lineRule="auto"/>
        <w:contextualSpacing/>
        <w:rPr>
          <w:rFonts w:ascii="Times New Roman" w:hAnsi="Times New Roman" w:cs="Times New Roman"/>
          <w:sz w:val="28"/>
          <w:szCs w:val="28"/>
        </w:rPr>
      </w:pPr>
      <w:r w:rsidRPr="00603B31">
        <w:rPr>
          <w:rFonts w:ascii="Times New Roman" w:hAnsi="Times New Roman" w:cs="Times New Roman"/>
          <w:b/>
          <w:sz w:val="28"/>
          <w:szCs w:val="28"/>
        </w:rPr>
        <w:t>Конечные точки исследования</w:t>
      </w:r>
      <w:r w:rsidRPr="00603B31">
        <w:rPr>
          <w:rFonts w:ascii="Times New Roman" w:hAnsi="Times New Roman" w:cs="Times New Roman"/>
          <w:sz w:val="28"/>
          <w:szCs w:val="28"/>
        </w:rPr>
        <w:t xml:space="preserve">: уровень </w:t>
      </w:r>
      <w:r w:rsidR="006A39C1" w:rsidRPr="00603B31">
        <w:rPr>
          <w:rFonts w:ascii="Times New Roman" w:eastAsia="TimesNewRomanPS-ItalicMT" w:hAnsi="Times New Roman" w:cs="Times New Roman"/>
          <w:i/>
          <w:iCs/>
          <w:color w:val="0B0B0B"/>
          <w:sz w:val="28"/>
          <w:szCs w:val="28"/>
        </w:rPr>
        <w:t>β</w:t>
      </w:r>
      <w:r w:rsidR="006A39C1" w:rsidRPr="00603B31">
        <w:rPr>
          <w:rFonts w:ascii="Times New Roman" w:eastAsia="TimesNewRomanPSMT" w:hAnsi="Times New Roman" w:cs="Times New Roman"/>
          <w:color w:val="0B0B0B"/>
          <w:sz w:val="28"/>
          <w:szCs w:val="28"/>
        </w:rPr>
        <w:t xml:space="preserve">-ХГЧ </w:t>
      </w:r>
      <w:r w:rsidRPr="00603B31">
        <w:rPr>
          <w:rFonts w:ascii="Times New Roman" w:hAnsi="Times New Roman" w:cs="Times New Roman"/>
          <w:sz w:val="28"/>
          <w:szCs w:val="28"/>
        </w:rPr>
        <w:t>более 100 международных единиц на 14-й день после предполагаемой овуляции, визуализация плодного яйца в полости матки на 21-й день после овуляции по УЗИ.</w:t>
      </w:r>
    </w:p>
    <w:p w:rsidR="008028E5" w:rsidRPr="00603B31" w:rsidRDefault="00210C5B" w:rsidP="00210C5B">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Результаты, полученные в ходе исследования, отражают тенденцию; для повышения точности и надёжности данных результатов необходимо увеличить численность выборки.</w:t>
      </w: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210C5B" w:rsidRPr="00603B31" w:rsidRDefault="00210C5B" w:rsidP="00210C5B">
      <w:pPr>
        <w:spacing w:after="0" w:line="360" w:lineRule="auto"/>
        <w:ind w:firstLine="708"/>
        <w:contextualSpacing/>
        <w:rPr>
          <w:rFonts w:ascii="Times New Roman" w:hAnsi="Times New Roman" w:cs="Times New Roman"/>
          <w:sz w:val="28"/>
          <w:szCs w:val="28"/>
        </w:rPr>
      </w:pPr>
    </w:p>
    <w:p w:rsidR="001D2283" w:rsidRPr="00603B31" w:rsidRDefault="001D2283" w:rsidP="001D2283">
      <w:pPr>
        <w:spacing w:after="0" w:line="360" w:lineRule="auto"/>
        <w:contextualSpacing/>
        <w:jc w:val="center"/>
        <w:rPr>
          <w:rFonts w:ascii="Times New Roman" w:hAnsi="Times New Roman" w:cs="Times New Roman"/>
          <w:b/>
          <w:sz w:val="28"/>
          <w:szCs w:val="28"/>
        </w:rPr>
      </w:pPr>
      <w:r w:rsidRPr="00603B31">
        <w:rPr>
          <w:rFonts w:ascii="Times New Roman" w:hAnsi="Times New Roman" w:cs="Times New Roman"/>
          <w:b/>
          <w:sz w:val="28"/>
          <w:szCs w:val="28"/>
        </w:rPr>
        <w:t>ГЛАВА 3. РЕЗУЛЬТАТЫ ИССЛЕДОВАНИЯ</w:t>
      </w:r>
    </w:p>
    <w:p w:rsidR="001D2283" w:rsidRPr="00603B31" w:rsidRDefault="00287848" w:rsidP="001D2283">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 xml:space="preserve">3.1 </w:t>
      </w:r>
      <w:r w:rsidR="001D2283" w:rsidRPr="00603B31">
        <w:rPr>
          <w:rFonts w:ascii="Times New Roman" w:hAnsi="Times New Roman" w:cs="Times New Roman"/>
          <w:b/>
          <w:sz w:val="28"/>
          <w:szCs w:val="28"/>
        </w:rPr>
        <w:t>Общая характеристика исследуемых женщин</w:t>
      </w:r>
    </w:p>
    <w:p w:rsidR="001D2283" w:rsidRPr="00603B31" w:rsidRDefault="001D2283"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Данные, полученные в ходе исследования, позволили сформировать следующие две группы сравнения:</w:t>
      </w:r>
    </w:p>
    <w:p w:rsidR="001D2283" w:rsidRPr="00603B31" w:rsidRDefault="001D2283" w:rsidP="001D2283">
      <w:pPr>
        <w:pStyle w:val="a3"/>
        <w:numPr>
          <w:ilvl w:val="0"/>
          <w:numId w:val="9"/>
        </w:numPr>
        <w:spacing w:after="0" w:line="360" w:lineRule="auto"/>
        <w:ind w:left="0" w:firstLine="0"/>
        <w:rPr>
          <w:rFonts w:ascii="Times New Roman" w:hAnsi="Times New Roman" w:cs="Times New Roman"/>
          <w:sz w:val="28"/>
          <w:szCs w:val="28"/>
        </w:rPr>
      </w:pPr>
      <w:r w:rsidRPr="00603B31">
        <w:rPr>
          <w:rFonts w:ascii="Times New Roman" w:hAnsi="Times New Roman" w:cs="Times New Roman"/>
          <w:sz w:val="28"/>
          <w:szCs w:val="28"/>
        </w:rPr>
        <w:t xml:space="preserve">основная группа – женщины со </w:t>
      </w:r>
      <w:r w:rsidR="00210C5B" w:rsidRPr="00603B31">
        <w:rPr>
          <w:rFonts w:ascii="Times New Roman" w:hAnsi="Times New Roman" w:cs="Times New Roman"/>
          <w:sz w:val="28"/>
          <w:szCs w:val="28"/>
        </w:rPr>
        <w:t>«</w:t>
      </w:r>
      <w:r w:rsidRPr="00603B31">
        <w:rPr>
          <w:rFonts w:ascii="Times New Roman" w:hAnsi="Times New Roman" w:cs="Times New Roman"/>
          <w:sz w:val="28"/>
          <w:szCs w:val="28"/>
        </w:rPr>
        <w:t>слабым ответом</w:t>
      </w:r>
      <w:r w:rsidR="00210C5B" w:rsidRPr="00603B31">
        <w:rPr>
          <w:rFonts w:ascii="Times New Roman" w:hAnsi="Times New Roman" w:cs="Times New Roman"/>
          <w:sz w:val="28"/>
          <w:szCs w:val="28"/>
        </w:rPr>
        <w:t>»</w:t>
      </w:r>
      <w:r w:rsidRPr="00603B31">
        <w:rPr>
          <w:rFonts w:ascii="Times New Roman" w:hAnsi="Times New Roman" w:cs="Times New Roman"/>
          <w:sz w:val="28"/>
          <w:szCs w:val="28"/>
        </w:rPr>
        <w:t>, принимавшие мио-инозитол.  n=32.</w:t>
      </w:r>
    </w:p>
    <w:p w:rsidR="001D2283" w:rsidRPr="00603B31" w:rsidRDefault="001D2283" w:rsidP="001D2283">
      <w:pPr>
        <w:pStyle w:val="a3"/>
        <w:numPr>
          <w:ilvl w:val="0"/>
          <w:numId w:val="9"/>
        </w:numPr>
        <w:spacing w:after="0" w:line="360" w:lineRule="auto"/>
        <w:ind w:left="0" w:firstLine="0"/>
        <w:rPr>
          <w:rFonts w:ascii="Times New Roman" w:hAnsi="Times New Roman" w:cs="Times New Roman"/>
          <w:sz w:val="28"/>
          <w:szCs w:val="28"/>
        </w:rPr>
      </w:pPr>
      <w:r w:rsidRPr="00603B31">
        <w:rPr>
          <w:rFonts w:ascii="Times New Roman" w:hAnsi="Times New Roman" w:cs="Times New Roman"/>
          <w:sz w:val="28"/>
          <w:szCs w:val="28"/>
        </w:rPr>
        <w:t xml:space="preserve">группа сравнения – женщины со </w:t>
      </w:r>
      <w:r w:rsidR="00210C5B" w:rsidRPr="00603B31">
        <w:rPr>
          <w:rFonts w:ascii="Times New Roman" w:hAnsi="Times New Roman" w:cs="Times New Roman"/>
          <w:sz w:val="28"/>
          <w:szCs w:val="28"/>
        </w:rPr>
        <w:t>«</w:t>
      </w:r>
      <w:r w:rsidRPr="00603B31">
        <w:rPr>
          <w:rFonts w:ascii="Times New Roman" w:hAnsi="Times New Roman" w:cs="Times New Roman"/>
          <w:sz w:val="28"/>
          <w:szCs w:val="28"/>
        </w:rPr>
        <w:t>слабым ответом</w:t>
      </w:r>
      <w:r w:rsidR="00210C5B" w:rsidRPr="00603B31">
        <w:rPr>
          <w:rFonts w:ascii="Times New Roman" w:hAnsi="Times New Roman" w:cs="Times New Roman"/>
          <w:sz w:val="28"/>
          <w:szCs w:val="28"/>
        </w:rPr>
        <w:t>»</w:t>
      </w:r>
      <w:r w:rsidRPr="00603B31">
        <w:rPr>
          <w:rFonts w:ascii="Times New Roman" w:hAnsi="Times New Roman" w:cs="Times New Roman"/>
          <w:sz w:val="28"/>
          <w:szCs w:val="28"/>
        </w:rPr>
        <w:t>, не получавшие мио-инозитол. n=18.</w:t>
      </w:r>
    </w:p>
    <w:p w:rsidR="00CE26BC" w:rsidRDefault="001D2283" w:rsidP="006A14B6">
      <w:pPr>
        <w:spacing w:after="0" w:line="360" w:lineRule="auto"/>
        <w:ind w:firstLine="708"/>
        <w:contextualSpacing/>
        <w:rPr>
          <w:rFonts w:ascii="Times New Roman" w:hAnsi="Times New Roman" w:cs="Times New Roman"/>
          <w:kern w:val="24"/>
          <w:sz w:val="28"/>
          <w:szCs w:val="28"/>
        </w:rPr>
      </w:pPr>
      <w:r w:rsidRPr="00603B31">
        <w:rPr>
          <w:rFonts w:ascii="Times New Roman" w:hAnsi="Times New Roman" w:cs="Times New Roman"/>
          <w:sz w:val="28"/>
          <w:szCs w:val="28"/>
        </w:rPr>
        <w:t>Статистически значимых различий между двумя группами по возрасту менархе, среднему возрасту, длительности бесплодия, количеству попыток ЭКО в анамнезе, проценту первичного бесплодия</w:t>
      </w:r>
      <w:r w:rsidR="00210C5B" w:rsidRPr="00603B31">
        <w:rPr>
          <w:rFonts w:ascii="Times New Roman" w:hAnsi="Times New Roman" w:cs="Times New Roman"/>
          <w:sz w:val="28"/>
          <w:szCs w:val="28"/>
        </w:rPr>
        <w:t xml:space="preserve">, уровню ФСГ, </w:t>
      </w:r>
      <w:r w:rsidRPr="00603B31">
        <w:rPr>
          <w:rFonts w:ascii="Times New Roman" w:hAnsi="Times New Roman" w:cs="Times New Roman"/>
          <w:sz w:val="28"/>
          <w:szCs w:val="28"/>
        </w:rPr>
        <w:t xml:space="preserve">АМГ </w:t>
      </w:r>
      <w:r w:rsidR="00210C5B" w:rsidRPr="00603B31">
        <w:rPr>
          <w:rFonts w:ascii="Times New Roman" w:hAnsi="Times New Roman" w:cs="Times New Roman"/>
          <w:sz w:val="28"/>
          <w:szCs w:val="28"/>
        </w:rPr>
        <w:t xml:space="preserve">и пролактину </w:t>
      </w:r>
      <w:r w:rsidRPr="00603B31">
        <w:rPr>
          <w:rFonts w:ascii="Times New Roman" w:hAnsi="Times New Roman" w:cs="Times New Roman"/>
          <w:sz w:val="28"/>
          <w:szCs w:val="28"/>
        </w:rPr>
        <w:t xml:space="preserve">не обнаружено (р &gt; 0,05). Уровень АМГ в обеих группах составил менее 1 нг/мл, что является характерным признаком </w:t>
      </w:r>
      <w:r w:rsidR="009C12D8" w:rsidRPr="00603B31">
        <w:rPr>
          <w:rFonts w:ascii="Times New Roman" w:hAnsi="Times New Roman" w:cs="Times New Roman"/>
          <w:sz w:val="28"/>
          <w:szCs w:val="28"/>
        </w:rPr>
        <w:t>«</w:t>
      </w:r>
      <w:r w:rsidRPr="00603B31">
        <w:rPr>
          <w:rFonts w:ascii="Times New Roman" w:hAnsi="Times New Roman" w:cs="Times New Roman"/>
          <w:sz w:val="28"/>
          <w:szCs w:val="28"/>
        </w:rPr>
        <w:t>слабого ответа</w:t>
      </w:r>
      <w:r w:rsidR="009C12D8" w:rsidRPr="00603B31">
        <w:rPr>
          <w:rFonts w:ascii="Times New Roman" w:hAnsi="Times New Roman" w:cs="Times New Roman"/>
          <w:sz w:val="28"/>
          <w:szCs w:val="28"/>
        </w:rPr>
        <w:t>»</w:t>
      </w:r>
      <w:r w:rsidRPr="00603B31">
        <w:rPr>
          <w:rFonts w:ascii="Times New Roman" w:hAnsi="Times New Roman" w:cs="Times New Roman"/>
          <w:sz w:val="28"/>
          <w:szCs w:val="28"/>
        </w:rPr>
        <w:t xml:space="preserve"> на стимуляцию суперовуляции. </w:t>
      </w:r>
      <w:r w:rsidRPr="00603B31">
        <w:rPr>
          <w:rFonts w:ascii="Times New Roman" w:eastAsia="Arial Unicode MS" w:hAnsi="Times New Roman" w:cs="Times New Roman"/>
          <w:sz w:val="28"/>
          <w:szCs w:val="28"/>
        </w:rPr>
        <w:t>Более подробные данные представлены в таблице 1.</w:t>
      </w:r>
      <w:r w:rsidRPr="00603B31">
        <w:rPr>
          <w:rFonts w:ascii="Times New Roman" w:hAnsi="Times New Roman" w:cs="Times New Roman"/>
          <w:kern w:val="24"/>
          <w:sz w:val="28"/>
          <w:szCs w:val="28"/>
        </w:rPr>
        <w:t xml:space="preserve"> </w:t>
      </w:r>
    </w:p>
    <w:p w:rsidR="001D2283" w:rsidRPr="00603B31" w:rsidRDefault="00CE26BC" w:rsidP="00CC69C0">
      <w:pPr>
        <w:spacing w:after="0" w:line="240" w:lineRule="auto"/>
        <w:contextualSpacing/>
        <w:rPr>
          <w:rFonts w:ascii="Times New Roman" w:hAnsi="Times New Roman" w:cs="Times New Roman"/>
          <w:kern w:val="24"/>
          <w:sz w:val="28"/>
          <w:szCs w:val="28"/>
        </w:rPr>
      </w:pPr>
      <w:r w:rsidRPr="00603B31">
        <w:rPr>
          <w:rFonts w:ascii="Times New Roman" w:hAnsi="Times New Roman" w:cs="Times New Roman"/>
          <w:sz w:val="28"/>
          <w:szCs w:val="28"/>
        </w:rPr>
        <w:t>Таблица 1. Клинико-анамнестическая характеристика пациенток со «слабым ответом» на стимуляцию суперовуляции в цикле ЭКО.</w:t>
      </w:r>
    </w:p>
    <w:tbl>
      <w:tblPr>
        <w:tblStyle w:val="aa"/>
        <w:tblW w:w="0" w:type="auto"/>
        <w:tblLook w:val="04A0" w:firstRow="1" w:lastRow="0" w:firstColumn="1" w:lastColumn="0" w:noHBand="0" w:noVBand="1"/>
      </w:tblPr>
      <w:tblGrid>
        <w:gridCol w:w="3261"/>
        <w:gridCol w:w="2409"/>
        <w:gridCol w:w="2268"/>
        <w:gridCol w:w="1525"/>
      </w:tblGrid>
      <w:tr w:rsidR="001D2283" w:rsidRPr="00603B31" w:rsidTr="001D2283">
        <w:tc>
          <w:tcPr>
            <w:tcW w:w="3261" w:type="dxa"/>
          </w:tcPr>
          <w:p w:rsidR="001D2283" w:rsidRPr="00603B31" w:rsidRDefault="001D2283" w:rsidP="001D2283">
            <w:pPr>
              <w:contextualSpacing/>
              <w:jc w:val="center"/>
              <w:rPr>
                <w:rFonts w:ascii="Times New Roman" w:hAnsi="Times New Roman" w:cs="Times New Roman"/>
              </w:rPr>
            </w:pPr>
          </w:p>
        </w:tc>
        <w:tc>
          <w:tcPr>
            <w:tcW w:w="2409"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основная группа (n=32)</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группа сравнения (n=18)</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 xml:space="preserve"> p</w:t>
            </w:r>
          </w:p>
        </w:tc>
      </w:tr>
      <w:tr w:rsidR="001D2283" w:rsidRPr="00603B31" w:rsidTr="001D2283">
        <w:trPr>
          <w:trHeight w:val="416"/>
        </w:trPr>
        <w:tc>
          <w:tcPr>
            <w:tcW w:w="326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Возраст, лет</w:t>
            </w:r>
          </w:p>
        </w:tc>
        <w:tc>
          <w:tcPr>
            <w:tcW w:w="2409"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37,93 (±2,62)</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38,11 (±2,88)</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rPr>
          <w:trHeight w:val="421"/>
        </w:trPr>
        <w:tc>
          <w:tcPr>
            <w:tcW w:w="326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Возраст менархе, лет</w:t>
            </w:r>
          </w:p>
        </w:tc>
        <w:tc>
          <w:tcPr>
            <w:tcW w:w="2409"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12,48 (</w:t>
            </w:r>
            <m:oMath>
              <m:r>
                <w:rPr>
                  <w:rFonts w:ascii="Cambria Math" w:hAnsi="Cambria Math" w:cs="Times New Roman"/>
                </w:rPr>
                <m:t>±</m:t>
              </m:r>
            </m:oMath>
            <w:r w:rsidRPr="00603B31">
              <w:rPr>
                <w:rFonts w:ascii="Times New Roman" w:hAnsi="Times New Roman" w:cs="Times New Roman"/>
              </w:rPr>
              <w:t>0,83)</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12,79 (</w:t>
            </w:r>
            <m:oMath>
              <m:r>
                <w:rPr>
                  <w:rFonts w:ascii="Cambria Math" w:hAnsi="Cambria Math" w:cs="Times New Roman"/>
                </w:rPr>
                <m:t>±</m:t>
              </m:r>
            </m:oMath>
            <w:r w:rsidRPr="00603B31">
              <w:rPr>
                <w:rFonts w:ascii="Times New Roman" w:hAnsi="Times New Roman" w:cs="Times New Roman"/>
              </w:rPr>
              <w:t>0,48)</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rPr>
          <w:trHeight w:val="399"/>
        </w:trPr>
        <w:tc>
          <w:tcPr>
            <w:tcW w:w="326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Длительность бесплодия, лет</w:t>
            </w:r>
          </w:p>
        </w:tc>
        <w:tc>
          <w:tcPr>
            <w:tcW w:w="2409" w:type="dxa"/>
          </w:tcPr>
          <w:p w:rsidR="001D2283" w:rsidRPr="00603B31" w:rsidRDefault="001D2283" w:rsidP="001D2283">
            <w:pPr>
              <w:contextualSpacing/>
              <w:jc w:val="center"/>
              <w:rPr>
                <w:rFonts w:ascii="Times New Roman" w:hAnsi="Times New Roman" w:cs="Times New Roman"/>
                <w:i/>
              </w:rPr>
            </w:pPr>
            <w:r w:rsidRPr="00603B31">
              <w:rPr>
                <w:rFonts w:ascii="Times New Roman" w:hAnsi="Times New Roman" w:cs="Times New Roman"/>
              </w:rPr>
              <w:t>7,45 (±1,86)</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8 (±1,33)</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c>
          <w:tcPr>
            <w:tcW w:w="326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 xml:space="preserve">Количество попыток ЭКО в анамнезе </w:t>
            </w:r>
          </w:p>
        </w:tc>
        <w:tc>
          <w:tcPr>
            <w:tcW w:w="2409"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1,16 (±0,98)</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1 (±0,82)</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rPr>
          <w:trHeight w:val="583"/>
        </w:trPr>
        <w:tc>
          <w:tcPr>
            <w:tcW w:w="326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Процент первичного бесплодия, %</w:t>
            </w:r>
          </w:p>
        </w:tc>
        <w:tc>
          <w:tcPr>
            <w:tcW w:w="2409"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36,6%</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55,5%</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rPr>
          <w:trHeight w:val="408"/>
        </w:trPr>
        <w:tc>
          <w:tcPr>
            <w:tcW w:w="3261" w:type="dxa"/>
          </w:tcPr>
          <w:p w:rsidR="001D2283" w:rsidRPr="00603B31" w:rsidRDefault="001D2283" w:rsidP="001D2283">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ФСГ, МЕ/л</w:t>
            </w:r>
          </w:p>
        </w:tc>
        <w:tc>
          <w:tcPr>
            <w:tcW w:w="2409" w:type="dxa"/>
          </w:tcPr>
          <w:p w:rsidR="001D2283" w:rsidRPr="00603B31" w:rsidRDefault="001D2283" w:rsidP="001D2283">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9,17 (±2,91)</w:t>
            </w:r>
          </w:p>
        </w:tc>
        <w:tc>
          <w:tcPr>
            <w:tcW w:w="2268" w:type="dxa"/>
          </w:tcPr>
          <w:p w:rsidR="001D2283" w:rsidRPr="00603B31" w:rsidRDefault="001D2283" w:rsidP="001D2283">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8,69 (±2,20)</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rPr>
          <w:trHeight w:val="271"/>
        </w:trPr>
        <w:tc>
          <w:tcPr>
            <w:tcW w:w="326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АМГ, нг/мл</w:t>
            </w:r>
          </w:p>
        </w:tc>
        <w:tc>
          <w:tcPr>
            <w:tcW w:w="2409" w:type="dxa"/>
          </w:tcPr>
          <w:p w:rsidR="001D2283" w:rsidRPr="00603B31" w:rsidRDefault="001D2283" w:rsidP="001D2283">
            <w:pPr>
              <w:pStyle w:val="a9"/>
              <w:spacing w:before="0" w:beforeAutospacing="0" w:after="0" w:afterAutospacing="0"/>
              <w:contextualSpacing/>
              <w:jc w:val="center"/>
              <w:rPr>
                <w:lang w:val="ru-RU"/>
              </w:rPr>
            </w:pPr>
            <w:r w:rsidRPr="00603B31">
              <w:rPr>
                <w:kern w:val="24"/>
                <w:lang w:val="ru-RU"/>
              </w:rPr>
              <w:t>0,86 (</w:t>
            </w:r>
            <w:r w:rsidRPr="00603B31">
              <w:rPr>
                <w:kern w:val="24"/>
              </w:rPr>
              <w:t>±</w:t>
            </w:r>
            <w:r w:rsidRPr="00603B31">
              <w:rPr>
                <w:kern w:val="24"/>
                <w:lang w:val="ru-RU"/>
              </w:rPr>
              <w:t>0,49)</w:t>
            </w:r>
          </w:p>
        </w:tc>
        <w:tc>
          <w:tcPr>
            <w:tcW w:w="2268" w:type="dxa"/>
          </w:tcPr>
          <w:p w:rsidR="001D2283" w:rsidRPr="00603B31" w:rsidRDefault="001D2283" w:rsidP="001D2283">
            <w:pPr>
              <w:pStyle w:val="a9"/>
              <w:spacing w:before="0" w:beforeAutospacing="0" w:after="0" w:afterAutospacing="0"/>
              <w:contextualSpacing/>
              <w:jc w:val="center"/>
              <w:rPr>
                <w:lang w:val="ru-RU"/>
              </w:rPr>
            </w:pPr>
            <w:r w:rsidRPr="00603B31">
              <w:rPr>
                <w:kern w:val="24"/>
                <w:lang w:val="ru-RU"/>
              </w:rPr>
              <w:t>0,71 (</w:t>
            </w:r>
            <w:r w:rsidRPr="00603B31">
              <w:rPr>
                <w:kern w:val="24"/>
              </w:rPr>
              <w:t>±</w:t>
            </w:r>
            <w:r w:rsidRPr="00603B31">
              <w:rPr>
                <w:kern w:val="24"/>
                <w:lang w:val="ru-RU"/>
              </w:rPr>
              <w:t>0,33)</w:t>
            </w:r>
          </w:p>
        </w:tc>
        <w:tc>
          <w:tcPr>
            <w:tcW w:w="152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9C12D8" w:rsidRPr="00603B31">
              <w:rPr>
                <w:rFonts w:ascii="Times New Roman" w:hAnsi="Times New Roman" w:cs="Times New Roman"/>
              </w:rPr>
              <w:t xml:space="preserve"> </w:t>
            </w:r>
            <w:r w:rsidRPr="00603B31">
              <w:rPr>
                <w:rFonts w:ascii="Times New Roman" w:hAnsi="Times New Roman" w:cs="Times New Roman"/>
              </w:rPr>
              <w:t>0.05</w:t>
            </w:r>
          </w:p>
        </w:tc>
      </w:tr>
      <w:tr w:rsidR="004621A5" w:rsidRPr="00603B31" w:rsidTr="001D2283">
        <w:trPr>
          <w:trHeight w:val="271"/>
        </w:trPr>
        <w:tc>
          <w:tcPr>
            <w:tcW w:w="3261" w:type="dxa"/>
          </w:tcPr>
          <w:p w:rsidR="004621A5" w:rsidRPr="00603B31" w:rsidRDefault="004621A5" w:rsidP="001D2283">
            <w:pPr>
              <w:contextualSpacing/>
              <w:jc w:val="center"/>
              <w:rPr>
                <w:rFonts w:ascii="Times New Roman" w:hAnsi="Times New Roman" w:cs="Times New Roman"/>
              </w:rPr>
            </w:pPr>
            <w:r w:rsidRPr="00603B31">
              <w:rPr>
                <w:rFonts w:ascii="Times New Roman" w:hAnsi="Times New Roman" w:cs="Times New Roman"/>
              </w:rPr>
              <w:t>Пролактин</w:t>
            </w:r>
          </w:p>
        </w:tc>
        <w:tc>
          <w:tcPr>
            <w:tcW w:w="2409" w:type="dxa"/>
          </w:tcPr>
          <w:p w:rsidR="00210C5B" w:rsidRPr="00603B31" w:rsidRDefault="00210C5B" w:rsidP="00210C5B">
            <w:pPr>
              <w:pStyle w:val="a9"/>
              <w:spacing w:after="0"/>
              <w:contextualSpacing/>
              <w:jc w:val="center"/>
              <w:rPr>
                <w:kern w:val="24"/>
                <w:lang w:val="ru-RU"/>
              </w:rPr>
            </w:pPr>
            <w:r w:rsidRPr="00603B31">
              <w:rPr>
                <w:kern w:val="24"/>
              </w:rPr>
              <w:t>277,</w:t>
            </w:r>
            <w:r w:rsidRPr="00603B31">
              <w:rPr>
                <w:kern w:val="24"/>
                <w:lang w:val="ru-RU"/>
              </w:rPr>
              <w:t>6 (</w:t>
            </w:r>
            <w:r w:rsidRPr="00603B31">
              <w:rPr>
                <w:kern w:val="24"/>
              </w:rPr>
              <w:t>±32,24)</w:t>
            </w:r>
          </w:p>
          <w:p w:rsidR="004621A5" w:rsidRPr="00603B31" w:rsidRDefault="004621A5" w:rsidP="001D2283">
            <w:pPr>
              <w:pStyle w:val="a9"/>
              <w:spacing w:before="0" w:beforeAutospacing="0" w:after="0" w:afterAutospacing="0"/>
              <w:contextualSpacing/>
              <w:jc w:val="center"/>
              <w:rPr>
                <w:kern w:val="24"/>
                <w:lang w:val="ru-RU"/>
              </w:rPr>
            </w:pPr>
          </w:p>
        </w:tc>
        <w:tc>
          <w:tcPr>
            <w:tcW w:w="2268" w:type="dxa"/>
          </w:tcPr>
          <w:p w:rsidR="004621A5" w:rsidRPr="00603B31" w:rsidRDefault="00B174E0" w:rsidP="001D2283">
            <w:pPr>
              <w:pStyle w:val="a9"/>
              <w:spacing w:before="0" w:beforeAutospacing="0" w:after="0" w:afterAutospacing="0"/>
              <w:contextualSpacing/>
              <w:jc w:val="center"/>
              <w:rPr>
                <w:kern w:val="24"/>
                <w:lang w:val="ru-RU"/>
              </w:rPr>
            </w:pPr>
            <w:r w:rsidRPr="00603B31">
              <w:rPr>
                <w:kern w:val="24"/>
                <w:lang w:val="ru-RU"/>
              </w:rPr>
              <w:t>255 (</w:t>
            </w:r>
            <w:r w:rsidRPr="00603B31">
              <w:rPr>
                <w:kern w:val="24"/>
              </w:rPr>
              <w:t>±</w:t>
            </w:r>
            <w:r w:rsidRPr="00603B31">
              <w:rPr>
                <w:kern w:val="24"/>
                <w:lang w:val="ru-RU"/>
              </w:rPr>
              <w:t>41,59)</w:t>
            </w:r>
          </w:p>
        </w:tc>
        <w:tc>
          <w:tcPr>
            <w:tcW w:w="1525" w:type="dxa"/>
          </w:tcPr>
          <w:p w:rsidR="004621A5" w:rsidRPr="00603B31" w:rsidRDefault="009C12D8" w:rsidP="001D2283">
            <w:pPr>
              <w:contextualSpacing/>
              <w:jc w:val="center"/>
              <w:rPr>
                <w:rFonts w:ascii="Times New Roman" w:hAnsi="Times New Roman" w:cs="Times New Roman"/>
                <w:lang w:val="en-US"/>
              </w:rPr>
            </w:pPr>
            <w:r w:rsidRPr="00603B31">
              <w:rPr>
                <w:rFonts w:ascii="Times New Roman" w:hAnsi="Times New Roman" w:cs="Times New Roman"/>
                <w:lang w:val="en-US"/>
              </w:rPr>
              <w:t>&gt;</w:t>
            </w:r>
            <w:r w:rsidRPr="00603B31">
              <w:rPr>
                <w:rFonts w:ascii="Times New Roman" w:hAnsi="Times New Roman" w:cs="Times New Roman"/>
              </w:rPr>
              <w:t xml:space="preserve"> </w:t>
            </w:r>
            <w:r w:rsidR="004621A5" w:rsidRPr="00603B31">
              <w:rPr>
                <w:rFonts w:ascii="Times New Roman" w:hAnsi="Times New Roman" w:cs="Times New Roman"/>
                <w:lang w:val="en-US"/>
              </w:rPr>
              <w:t>0,05</w:t>
            </w:r>
          </w:p>
        </w:tc>
      </w:tr>
      <w:tr w:rsidR="001D2283" w:rsidRPr="00603B31" w:rsidTr="001D2283">
        <w:tc>
          <w:tcPr>
            <w:tcW w:w="9463" w:type="dxa"/>
            <w:gridSpan w:val="4"/>
          </w:tcPr>
          <w:p w:rsidR="001D2283" w:rsidRPr="00603B31" w:rsidRDefault="001D2283" w:rsidP="001D2283">
            <w:pPr>
              <w:contextualSpacing/>
              <w:rPr>
                <w:rFonts w:ascii="Times New Roman" w:hAnsi="Times New Roman" w:cs="Times New Roman"/>
                <w:sz w:val="28"/>
                <w:szCs w:val="28"/>
              </w:rPr>
            </w:pPr>
            <w:r w:rsidRPr="00603B31">
              <w:rPr>
                <w:rFonts w:ascii="Times New Roman" w:hAnsi="Times New Roman" w:cs="Times New Roman"/>
                <w:sz w:val="20"/>
                <w:szCs w:val="20"/>
              </w:rPr>
              <w:t>Расчет критерия Стьюдента</w:t>
            </w:r>
          </w:p>
        </w:tc>
      </w:tr>
    </w:tbl>
    <w:p w:rsidR="001D2283" w:rsidRPr="00603B31" w:rsidRDefault="001D2283" w:rsidP="001D2283">
      <w:pPr>
        <w:spacing w:after="0" w:line="360" w:lineRule="auto"/>
        <w:contextualSpacing/>
        <w:rPr>
          <w:rFonts w:ascii="Times New Roman" w:hAnsi="Times New Roman" w:cs="Times New Roman"/>
          <w:b/>
          <w:sz w:val="28"/>
          <w:szCs w:val="28"/>
        </w:rPr>
      </w:pPr>
    </w:p>
    <w:p w:rsidR="00CC69C0" w:rsidRDefault="00B174E0" w:rsidP="001D2283">
      <w:pPr>
        <w:spacing w:after="0" w:line="360" w:lineRule="auto"/>
        <w:contextualSpacing/>
        <w:rPr>
          <w:rFonts w:ascii="Times New Roman" w:hAnsi="Times New Roman" w:cs="Times New Roman"/>
          <w:sz w:val="28"/>
          <w:szCs w:val="28"/>
        </w:rPr>
      </w:pPr>
      <w:r w:rsidRPr="00603B31">
        <w:rPr>
          <w:rFonts w:ascii="Times New Roman" w:hAnsi="Times New Roman" w:cs="Times New Roman"/>
          <w:sz w:val="28"/>
          <w:szCs w:val="28"/>
        </w:rPr>
        <w:t>При анализе гинекологического анамнеза пациенток со «слабым ответом» на стимуляцию суперовуляции не было обнаружено статистически значимых различий между двумя группами</w:t>
      </w:r>
      <w:r w:rsidR="00150538" w:rsidRPr="00603B31">
        <w:rPr>
          <w:rFonts w:ascii="Times New Roman" w:hAnsi="Times New Roman" w:cs="Times New Roman"/>
          <w:sz w:val="28"/>
          <w:szCs w:val="28"/>
        </w:rPr>
        <w:t xml:space="preserve"> (таблица 2). Тем не менее, </w:t>
      </w:r>
      <w:r w:rsidRPr="00603B31">
        <w:rPr>
          <w:rFonts w:ascii="Times New Roman" w:hAnsi="Times New Roman" w:cs="Times New Roman"/>
          <w:sz w:val="28"/>
          <w:szCs w:val="28"/>
        </w:rPr>
        <w:t xml:space="preserve">следует заметить, что в обеих группах </w:t>
      </w:r>
      <w:r w:rsidR="0058058E" w:rsidRPr="00603B31">
        <w:rPr>
          <w:rFonts w:ascii="Times New Roman" w:hAnsi="Times New Roman" w:cs="Times New Roman"/>
          <w:sz w:val="28"/>
          <w:szCs w:val="28"/>
        </w:rPr>
        <w:t>чаще всего встречается хронический двусторонний сальпингоофорит (47% и 72% соответственно</w:t>
      </w:r>
      <w:r w:rsidR="00150538" w:rsidRPr="00603B31">
        <w:rPr>
          <w:rFonts w:ascii="Times New Roman" w:hAnsi="Times New Roman" w:cs="Times New Roman"/>
          <w:sz w:val="28"/>
          <w:szCs w:val="28"/>
        </w:rPr>
        <w:t xml:space="preserve">, </w:t>
      </w:r>
      <w:r w:rsidR="00150538" w:rsidRPr="00603B31">
        <w:rPr>
          <w:rFonts w:ascii="Times New Roman" w:hAnsi="Times New Roman" w:cs="Times New Roman"/>
          <w:sz w:val="28"/>
          <w:szCs w:val="28"/>
          <w:lang w:val="en-US"/>
        </w:rPr>
        <w:t>p</w:t>
      </w:r>
      <w:r w:rsidR="00150538" w:rsidRPr="00603B31">
        <w:rPr>
          <w:rFonts w:ascii="Times New Roman" w:hAnsi="Times New Roman" w:cs="Times New Roman"/>
          <w:sz w:val="28"/>
          <w:szCs w:val="28"/>
        </w:rPr>
        <w:t xml:space="preserve"> &gt; 0,05</w:t>
      </w:r>
      <w:r w:rsidR="0058058E" w:rsidRPr="00603B31">
        <w:rPr>
          <w:rFonts w:ascii="Times New Roman" w:hAnsi="Times New Roman" w:cs="Times New Roman"/>
          <w:sz w:val="28"/>
          <w:szCs w:val="28"/>
        </w:rPr>
        <w:t>)</w:t>
      </w:r>
      <w:r w:rsidR="00150538" w:rsidRPr="00603B31">
        <w:rPr>
          <w:rFonts w:ascii="Times New Roman" w:hAnsi="Times New Roman" w:cs="Times New Roman"/>
          <w:sz w:val="28"/>
          <w:szCs w:val="28"/>
        </w:rPr>
        <w:t>,</w:t>
      </w:r>
      <w:r w:rsidR="0058058E" w:rsidRPr="00603B31">
        <w:rPr>
          <w:rFonts w:ascii="Times New Roman" w:hAnsi="Times New Roman" w:cs="Times New Roman"/>
          <w:sz w:val="28"/>
          <w:szCs w:val="28"/>
        </w:rPr>
        <w:t xml:space="preserve"> реже встречаются оперативные вмешательства на органах малого таза (44% и 50% соответственно</w:t>
      </w:r>
      <w:r w:rsidR="00150538" w:rsidRPr="00603B31">
        <w:rPr>
          <w:rFonts w:ascii="Times New Roman" w:hAnsi="Times New Roman" w:cs="Times New Roman"/>
          <w:sz w:val="28"/>
          <w:szCs w:val="28"/>
        </w:rPr>
        <w:t xml:space="preserve">, </w:t>
      </w:r>
      <w:r w:rsidR="00150538" w:rsidRPr="00603B31">
        <w:rPr>
          <w:rFonts w:ascii="Times New Roman" w:hAnsi="Times New Roman" w:cs="Times New Roman"/>
          <w:sz w:val="28"/>
          <w:szCs w:val="28"/>
          <w:lang w:val="en-US"/>
        </w:rPr>
        <w:t>p</w:t>
      </w:r>
      <w:r w:rsidR="00150538" w:rsidRPr="00603B31">
        <w:rPr>
          <w:rFonts w:ascii="Times New Roman" w:hAnsi="Times New Roman" w:cs="Times New Roman"/>
          <w:sz w:val="28"/>
          <w:szCs w:val="28"/>
        </w:rPr>
        <w:t xml:space="preserve"> &gt; 0,05</w:t>
      </w:r>
      <w:r w:rsidR="0058058E" w:rsidRPr="00603B31">
        <w:rPr>
          <w:rFonts w:ascii="Times New Roman" w:hAnsi="Times New Roman" w:cs="Times New Roman"/>
          <w:sz w:val="28"/>
          <w:szCs w:val="28"/>
        </w:rPr>
        <w:t>)</w:t>
      </w:r>
      <w:r w:rsidR="00150538" w:rsidRPr="00603B31">
        <w:rPr>
          <w:rFonts w:ascii="Times New Roman" w:hAnsi="Times New Roman" w:cs="Times New Roman"/>
          <w:sz w:val="28"/>
          <w:szCs w:val="28"/>
        </w:rPr>
        <w:t>,</w:t>
      </w:r>
      <w:r w:rsidR="0058058E" w:rsidRPr="00603B31">
        <w:rPr>
          <w:rFonts w:ascii="Times New Roman" w:hAnsi="Times New Roman" w:cs="Times New Roman"/>
          <w:sz w:val="28"/>
          <w:szCs w:val="28"/>
        </w:rPr>
        <w:t xml:space="preserve"> ещё реже – миома матки (19% и 16% соответственно</w:t>
      </w:r>
      <w:r w:rsidR="00150538" w:rsidRPr="00603B31">
        <w:rPr>
          <w:rFonts w:ascii="Times New Roman" w:hAnsi="Times New Roman" w:cs="Times New Roman"/>
          <w:sz w:val="28"/>
          <w:szCs w:val="28"/>
        </w:rPr>
        <w:t xml:space="preserve">, </w:t>
      </w:r>
      <w:r w:rsidR="00150538" w:rsidRPr="00603B31">
        <w:rPr>
          <w:rFonts w:ascii="Times New Roman" w:hAnsi="Times New Roman" w:cs="Times New Roman"/>
          <w:sz w:val="28"/>
          <w:szCs w:val="28"/>
          <w:lang w:val="en-US"/>
        </w:rPr>
        <w:t>p</w:t>
      </w:r>
      <w:r w:rsidR="00150538" w:rsidRPr="00603B31">
        <w:rPr>
          <w:rFonts w:ascii="Times New Roman" w:hAnsi="Times New Roman" w:cs="Times New Roman"/>
          <w:sz w:val="28"/>
          <w:szCs w:val="28"/>
        </w:rPr>
        <w:t xml:space="preserve"> &gt; 0,05</w:t>
      </w:r>
      <w:r w:rsidR="0058058E" w:rsidRPr="00603B31">
        <w:rPr>
          <w:rFonts w:ascii="Times New Roman" w:hAnsi="Times New Roman" w:cs="Times New Roman"/>
          <w:sz w:val="28"/>
          <w:szCs w:val="28"/>
        </w:rPr>
        <w:t xml:space="preserve">). На долю спаечной болезни малого таза, аденомиоза и наружного генитального эндометриоза </w:t>
      </w:r>
      <w:r w:rsidR="00150538" w:rsidRPr="00603B31">
        <w:rPr>
          <w:rFonts w:ascii="Times New Roman" w:hAnsi="Times New Roman" w:cs="Times New Roman"/>
          <w:sz w:val="28"/>
          <w:szCs w:val="28"/>
        </w:rPr>
        <w:t xml:space="preserve">в обеих группах </w:t>
      </w:r>
      <w:r w:rsidR="0058058E" w:rsidRPr="00603B31">
        <w:rPr>
          <w:rFonts w:ascii="Times New Roman" w:hAnsi="Times New Roman" w:cs="Times New Roman"/>
          <w:sz w:val="28"/>
          <w:szCs w:val="28"/>
        </w:rPr>
        <w:t>в сумме приходится 18% и 27% соответственно</w:t>
      </w:r>
      <w:r w:rsidR="00150538" w:rsidRPr="00603B31">
        <w:rPr>
          <w:rFonts w:ascii="Times New Roman" w:hAnsi="Times New Roman" w:cs="Times New Roman"/>
          <w:sz w:val="28"/>
          <w:szCs w:val="28"/>
        </w:rPr>
        <w:t>. Доля пациенток старше 40 лет среди пациенток со «слабым ответом» в основной группе и в группе сравнения составила 25% и 39% соответственно (</w:t>
      </w:r>
      <w:r w:rsidR="00150538" w:rsidRPr="00603B31">
        <w:rPr>
          <w:rFonts w:ascii="Times New Roman" w:hAnsi="Times New Roman" w:cs="Times New Roman"/>
          <w:sz w:val="28"/>
          <w:szCs w:val="28"/>
          <w:lang w:val="en-US"/>
        </w:rPr>
        <w:t>p</w:t>
      </w:r>
      <w:r w:rsidR="00150538" w:rsidRPr="00603B31">
        <w:rPr>
          <w:rFonts w:ascii="Times New Roman" w:hAnsi="Times New Roman" w:cs="Times New Roman"/>
          <w:sz w:val="28"/>
          <w:szCs w:val="28"/>
        </w:rPr>
        <w:t xml:space="preserve"> &gt; 0,05).</w:t>
      </w:r>
      <w:r w:rsidR="00CC69C0" w:rsidRPr="00CC69C0">
        <w:rPr>
          <w:rFonts w:ascii="Times New Roman" w:hAnsi="Times New Roman" w:cs="Times New Roman"/>
          <w:sz w:val="28"/>
          <w:szCs w:val="28"/>
        </w:rPr>
        <w:t xml:space="preserve"> </w:t>
      </w:r>
    </w:p>
    <w:p w:rsidR="00B174E0" w:rsidRPr="00603B31" w:rsidRDefault="00CC69C0" w:rsidP="00CC69C0">
      <w:pPr>
        <w:spacing w:after="0" w:line="240" w:lineRule="auto"/>
        <w:contextualSpacing/>
        <w:rPr>
          <w:rFonts w:ascii="Times New Roman" w:hAnsi="Times New Roman" w:cs="Times New Roman"/>
          <w:sz w:val="28"/>
          <w:szCs w:val="28"/>
        </w:rPr>
      </w:pPr>
      <w:r w:rsidRPr="00603B31">
        <w:rPr>
          <w:rFonts w:ascii="Times New Roman" w:hAnsi="Times New Roman" w:cs="Times New Roman"/>
          <w:sz w:val="28"/>
          <w:szCs w:val="28"/>
        </w:rPr>
        <w:t>Таблица 2. Характеристика пациенток со «слабым ответом» на стимуляцию суперовуляции по гинекологическому анамнезу, %</w:t>
      </w:r>
    </w:p>
    <w:tbl>
      <w:tblPr>
        <w:tblStyle w:val="aa"/>
        <w:tblW w:w="0" w:type="auto"/>
        <w:tblLook w:val="04A0" w:firstRow="1" w:lastRow="0" w:firstColumn="1" w:lastColumn="0" w:noHBand="0" w:noVBand="1"/>
      </w:tblPr>
      <w:tblGrid>
        <w:gridCol w:w="3227"/>
        <w:gridCol w:w="2410"/>
        <w:gridCol w:w="2268"/>
        <w:gridCol w:w="1666"/>
      </w:tblGrid>
      <w:tr w:rsidR="00F3176E" w:rsidRPr="00603B31" w:rsidTr="00C84B54">
        <w:tc>
          <w:tcPr>
            <w:tcW w:w="3227" w:type="dxa"/>
          </w:tcPr>
          <w:p w:rsidR="00F3176E" w:rsidRPr="00603B31" w:rsidRDefault="00F3176E" w:rsidP="00C84B54">
            <w:pPr>
              <w:contextualSpacing/>
              <w:jc w:val="center"/>
              <w:rPr>
                <w:rFonts w:ascii="Times New Roman" w:hAnsi="Times New Roman" w:cs="Times New Roman"/>
              </w:rPr>
            </w:pPr>
          </w:p>
        </w:tc>
        <w:tc>
          <w:tcPr>
            <w:tcW w:w="2410" w:type="dxa"/>
          </w:tcPr>
          <w:p w:rsidR="00F3176E" w:rsidRPr="00603B31" w:rsidRDefault="00C84B54" w:rsidP="00C84B54">
            <w:pPr>
              <w:contextualSpacing/>
              <w:jc w:val="center"/>
              <w:rPr>
                <w:rFonts w:ascii="Times New Roman" w:hAnsi="Times New Roman" w:cs="Times New Roman"/>
              </w:rPr>
            </w:pPr>
            <w:r w:rsidRPr="00603B31">
              <w:rPr>
                <w:rFonts w:ascii="Times New Roman" w:hAnsi="Times New Roman" w:cs="Times New Roman"/>
              </w:rPr>
              <w:t>о</w:t>
            </w:r>
            <w:r w:rsidR="00F3176E" w:rsidRPr="00603B31">
              <w:rPr>
                <w:rFonts w:ascii="Times New Roman" w:hAnsi="Times New Roman" w:cs="Times New Roman"/>
              </w:rPr>
              <w:t>сновная группа</w:t>
            </w:r>
          </w:p>
        </w:tc>
        <w:tc>
          <w:tcPr>
            <w:tcW w:w="2268" w:type="dxa"/>
          </w:tcPr>
          <w:p w:rsidR="00F3176E" w:rsidRPr="00603B31" w:rsidRDefault="00C84B54" w:rsidP="00C84B54">
            <w:pPr>
              <w:contextualSpacing/>
              <w:jc w:val="center"/>
              <w:rPr>
                <w:rFonts w:ascii="Times New Roman" w:hAnsi="Times New Roman" w:cs="Times New Roman"/>
              </w:rPr>
            </w:pPr>
            <w:r w:rsidRPr="00603B31">
              <w:rPr>
                <w:rFonts w:ascii="Times New Roman" w:hAnsi="Times New Roman" w:cs="Times New Roman"/>
              </w:rPr>
              <w:t>г</w:t>
            </w:r>
            <w:r w:rsidR="00F3176E" w:rsidRPr="00603B31">
              <w:rPr>
                <w:rFonts w:ascii="Times New Roman" w:hAnsi="Times New Roman" w:cs="Times New Roman"/>
              </w:rPr>
              <w:t>руппа</w:t>
            </w:r>
            <w:r w:rsidRPr="00603B31">
              <w:rPr>
                <w:rFonts w:ascii="Times New Roman" w:hAnsi="Times New Roman" w:cs="Times New Roman"/>
              </w:rPr>
              <w:t xml:space="preserve"> </w:t>
            </w:r>
            <w:r w:rsidR="00F3176E" w:rsidRPr="00603B31">
              <w:rPr>
                <w:rFonts w:ascii="Times New Roman" w:hAnsi="Times New Roman" w:cs="Times New Roman"/>
              </w:rPr>
              <w:t>сравнения</w:t>
            </w:r>
          </w:p>
        </w:tc>
        <w:tc>
          <w:tcPr>
            <w:tcW w:w="1666" w:type="dxa"/>
          </w:tcPr>
          <w:p w:rsidR="00F3176E" w:rsidRPr="00603B31" w:rsidRDefault="00F3176E" w:rsidP="00C84B54">
            <w:pPr>
              <w:contextualSpacing/>
              <w:jc w:val="center"/>
              <w:rPr>
                <w:rFonts w:ascii="Times New Roman" w:hAnsi="Times New Roman" w:cs="Times New Roman"/>
                <w:lang w:val="en-US"/>
              </w:rPr>
            </w:pPr>
            <w:r w:rsidRPr="00603B31">
              <w:rPr>
                <w:rFonts w:ascii="Times New Roman" w:hAnsi="Times New Roman" w:cs="Times New Roman"/>
                <w:lang w:val="en-US"/>
              </w:rPr>
              <w:t>P</w:t>
            </w:r>
          </w:p>
        </w:tc>
      </w:tr>
      <w:tr w:rsidR="009B7DFE" w:rsidRPr="00603B31" w:rsidTr="00C84B54">
        <w:tc>
          <w:tcPr>
            <w:tcW w:w="3227" w:type="dxa"/>
          </w:tcPr>
          <w:p w:rsidR="009B7DFE" w:rsidRPr="00603B31" w:rsidRDefault="009B7DFE" w:rsidP="009B7DFE">
            <w:pPr>
              <w:contextualSpacing/>
              <w:rPr>
                <w:rFonts w:ascii="Times New Roman" w:hAnsi="Times New Roman" w:cs="Times New Roman"/>
              </w:rPr>
            </w:pPr>
            <w:r w:rsidRPr="00603B31">
              <w:rPr>
                <w:rFonts w:ascii="Times New Roman" w:hAnsi="Times New Roman" w:cs="Times New Roman"/>
              </w:rPr>
              <w:t>Хронический двусторонний сальпингоофорит</w:t>
            </w:r>
          </w:p>
        </w:tc>
        <w:tc>
          <w:tcPr>
            <w:tcW w:w="2410" w:type="dxa"/>
          </w:tcPr>
          <w:p w:rsidR="009B7DFE" w:rsidRPr="00603B31" w:rsidRDefault="009B7DFE" w:rsidP="00C84B54">
            <w:pPr>
              <w:contextualSpacing/>
              <w:jc w:val="center"/>
              <w:rPr>
                <w:rFonts w:ascii="Times New Roman" w:hAnsi="Times New Roman" w:cs="Times New Roman"/>
              </w:rPr>
            </w:pPr>
            <w:r w:rsidRPr="00603B31">
              <w:rPr>
                <w:rFonts w:ascii="Times New Roman" w:hAnsi="Times New Roman" w:cs="Times New Roman"/>
              </w:rPr>
              <w:t>47</w:t>
            </w:r>
          </w:p>
        </w:tc>
        <w:tc>
          <w:tcPr>
            <w:tcW w:w="2268" w:type="dxa"/>
          </w:tcPr>
          <w:p w:rsidR="009B7DFE" w:rsidRPr="00603B31" w:rsidRDefault="0058058E" w:rsidP="00C84B54">
            <w:pPr>
              <w:contextualSpacing/>
              <w:jc w:val="center"/>
              <w:rPr>
                <w:rFonts w:ascii="Times New Roman" w:hAnsi="Times New Roman" w:cs="Times New Roman"/>
              </w:rPr>
            </w:pPr>
            <w:r w:rsidRPr="00603B31">
              <w:rPr>
                <w:rFonts w:ascii="Times New Roman" w:hAnsi="Times New Roman" w:cs="Times New Roman"/>
              </w:rPr>
              <w:t>72</w:t>
            </w:r>
          </w:p>
        </w:tc>
        <w:tc>
          <w:tcPr>
            <w:tcW w:w="1666" w:type="dxa"/>
          </w:tcPr>
          <w:p w:rsidR="009B7DFE" w:rsidRPr="00603B31" w:rsidRDefault="0058058E" w:rsidP="00C84B54">
            <w:pPr>
              <w:contextualSpacing/>
              <w:jc w:val="center"/>
              <w:rPr>
                <w:rFonts w:ascii="Times New Roman" w:hAnsi="Times New Roman" w:cs="Times New Roman"/>
                <w:lang w:val="en-US"/>
              </w:rPr>
            </w:pPr>
            <w:r w:rsidRPr="00603B31">
              <w:rPr>
                <w:rFonts w:ascii="Times New Roman" w:hAnsi="Times New Roman" w:cs="Times New Roman"/>
                <w:lang w:val="en-US"/>
              </w:rPr>
              <w:t>&gt; 0,05</w:t>
            </w:r>
          </w:p>
        </w:tc>
      </w:tr>
      <w:tr w:rsidR="00F3176E" w:rsidRPr="00603B31" w:rsidTr="00C84B54">
        <w:tc>
          <w:tcPr>
            <w:tcW w:w="3227" w:type="dxa"/>
          </w:tcPr>
          <w:p w:rsidR="00F3176E" w:rsidRPr="00603B31" w:rsidRDefault="00F3176E" w:rsidP="0058058E">
            <w:pPr>
              <w:contextualSpacing/>
              <w:rPr>
                <w:rFonts w:ascii="Times New Roman" w:hAnsi="Times New Roman" w:cs="Times New Roman"/>
              </w:rPr>
            </w:pPr>
            <w:r w:rsidRPr="00603B31">
              <w:rPr>
                <w:rFonts w:ascii="Times New Roman" w:hAnsi="Times New Roman" w:cs="Times New Roman"/>
              </w:rPr>
              <w:t xml:space="preserve">Оперативные вмешательства на </w:t>
            </w:r>
            <w:r w:rsidR="0058058E" w:rsidRPr="00603B31">
              <w:rPr>
                <w:rFonts w:ascii="Times New Roman" w:hAnsi="Times New Roman" w:cs="Times New Roman"/>
              </w:rPr>
              <w:t>органах малого таза</w:t>
            </w:r>
          </w:p>
        </w:tc>
        <w:tc>
          <w:tcPr>
            <w:tcW w:w="2410" w:type="dxa"/>
          </w:tcPr>
          <w:p w:rsidR="00F3176E" w:rsidRPr="00603B31" w:rsidRDefault="009B7DFE" w:rsidP="00C84B54">
            <w:pPr>
              <w:contextualSpacing/>
              <w:jc w:val="center"/>
              <w:rPr>
                <w:rFonts w:ascii="Times New Roman" w:hAnsi="Times New Roman" w:cs="Times New Roman"/>
              </w:rPr>
            </w:pPr>
            <w:r w:rsidRPr="00603B31">
              <w:rPr>
                <w:rFonts w:ascii="Times New Roman" w:hAnsi="Times New Roman" w:cs="Times New Roman"/>
              </w:rPr>
              <w:t>44</w:t>
            </w:r>
          </w:p>
        </w:tc>
        <w:tc>
          <w:tcPr>
            <w:tcW w:w="2268" w:type="dxa"/>
          </w:tcPr>
          <w:p w:rsidR="00F3176E" w:rsidRPr="00603B31" w:rsidRDefault="0058058E" w:rsidP="00C84B54">
            <w:pPr>
              <w:contextualSpacing/>
              <w:jc w:val="center"/>
              <w:rPr>
                <w:rFonts w:ascii="Times New Roman" w:hAnsi="Times New Roman" w:cs="Times New Roman"/>
              </w:rPr>
            </w:pPr>
            <w:r w:rsidRPr="00603B31">
              <w:rPr>
                <w:rFonts w:ascii="Times New Roman" w:hAnsi="Times New Roman" w:cs="Times New Roman"/>
              </w:rPr>
              <w:t>50</w:t>
            </w:r>
          </w:p>
        </w:tc>
        <w:tc>
          <w:tcPr>
            <w:tcW w:w="1666" w:type="dxa"/>
          </w:tcPr>
          <w:p w:rsidR="00F3176E" w:rsidRPr="00603B31" w:rsidRDefault="00F3176E" w:rsidP="00C84B54">
            <w:pPr>
              <w:jc w:val="center"/>
              <w:rPr>
                <w:rFonts w:ascii="Times New Roman" w:hAnsi="Times New Roman" w:cs="Times New Roman"/>
                <w:lang w:val="en-US"/>
              </w:rPr>
            </w:pPr>
            <w:r w:rsidRPr="00603B31">
              <w:rPr>
                <w:rFonts w:ascii="Times New Roman" w:hAnsi="Times New Roman" w:cs="Times New Roman"/>
                <w:lang w:val="en-US"/>
              </w:rPr>
              <w:t>&gt; 0,05</w:t>
            </w:r>
          </w:p>
        </w:tc>
      </w:tr>
      <w:tr w:rsidR="00F3176E" w:rsidRPr="00603B31" w:rsidTr="00C84B54">
        <w:tc>
          <w:tcPr>
            <w:tcW w:w="3227" w:type="dxa"/>
          </w:tcPr>
          <w:p w:rsidR="00F3176E" w:rsidRPr="00603B31" w:rsidRDefault="00F3176E" w:rsidP="009B7DFE">
            <w:pPr>
              <w:contextualSpacing/>
              <w:rPr>
                <w:rFonts w:ascii="Times New Roman" w:hAnsi="Times New Roman" w:cs="Times New Roman"/>
              </w:rPr>
            </w:pPr>
            <w:r w:rsidRPr="00603B31">
              <w:rPr>
                <w:rFonts w:ascii="Times New Roman" w:hAnsi="Times New Roman" w:cs="Times New Roman"/>
              </w:rPr>
              <w:t>Миома матки</w:t>
            </w:r>
          </w:p>
        </w:tc>
        <w:tc>
          <w:tcPr>
            <w:tcW w:w="2410" w:type="dxa"/>
          </w:tcPr>
          <w:p w:rsidR="00F3176E" w:rsidRPr="00603B31" w:rsidRDefault="009B7DFE" w:rsidP="00C84B54">
            <w:pPr>
              <w:contextualSpacing/>
              <w:jc w:val="center"/>
              <w:rPr>
                <w:rFonts w:ascii="Times New Roman" w:hAnsi="Times New Roman" w:cs="Times New Roman"/>
              </w:rPr>
            </w:pPr>
            <w:r w:rsidRPr="00603B31">
              <w:rPr>
                <w:rFonts w:ascii="Times New Roman" w:hAnsi="Times New Roman" w:cs="Times New Roman"/>
              </w:rPr>
              <w:t>19</w:t>
            </w:r>
          </w:p>
        </w:tc>
        <w:tc>
          <w:tcPr>
            <w:tcW w:w="2268" w:type="dxa"/>
          </w:tcPr>
          <w:p w:rsidR="00F3176E" w:rsidRPr="00603B31" w:rsidRDefault="0058058E" w:rsidP="00C84B54">
            <w:pPr>
              <w:contextualSpacing/>
              <w:jc w:val="center"/>
              <w:rPr>
                <w:rFonts w:ascii="Times New Roman" w:hAnsi="Times New Roman" w:cs="Times New Roman"/>
              </w:rPr>
            </w:pPr>
            <w:r w:rsidRPr="00603B31">
              <w:rPr>
                <w:rFonts w:ascii="Times New Roman" w:hAnsi="Times New Roman" w:cs="Times New Roman"/>
              </w:rPr>
              <w:t>16</w:t>
            </w:r>
          </w:p>
        </w:tc>
        <w:tc>
          <w:tcPr>
            <w:tcW w:w="1666" w:type="dxa"/>
          </w:tcPr>
          <w:p w:rsidR="00F3176E" w:rsidRPr="00603B31" w:rsidRDefault="00F3176E" w:rsidP="00C84B54">
            <w:pPr>
              <w:contextualSpacing/>
              <w:jc w:val="center"/>
              <w:rPr>
                <w:rFonts w:ascii="Times New Roman" w:hAnsi="Times New Roman" w:cs="Times New Roman"/>
              </w:rPr>
            </w:pPr>
            <w:r w:rsidRPr="00603B31">
              <w:rPr>
                <w:rFonts w:ascii="Times New Roman" w:hAnsi="Times New Roman" w:cs="Times New Roman"/>
                <w:lang w:val="en-US"/>
              </w:rPr>
              <w:t>&gt; 0,05</w:t>
            </w:r>
          </w:p>
        </w:tc>
      </w:tr>
      <w:tr w:rsidR="001B000C" w:rsidRPr="00603B31" w:rsidTr="00C84B54">
        <w:tc>
          <w:tcPr>
            <w:tcW w:w="3227" w:type="dxa"/>
          </w:tcPr>
          <w:p w:rsidR="001B000C" w:rsidRPr="00603B31" w:rsidRDefault="009B7DFE" w:rsidP="009B7DFE">
            <w:pPr>
              <w:contextualSpacing/>
              <w:rPr>
                <w:rFonts w:ascii="Times New Roman" w:hAnsi="Times New Roman" w:cs="Times New Roman"/>
              </w:rPr>
            </w:pPr>
            <w:r w:rsidRPr="00603B31">
              <w:rPr>
                <w:rFonts w:ascii="Times New Roman" w:hAnsi="Times New Roman" w:cs="Times New Roman"/>
              </w:rPr>
              <w:t xml:space="preserve">Спаечная болезнь малого таза </w:t>
            </w:r>
          </w:p>
        </w:tc>
        <w:tc>
          <w:tcPr>
            <w:tcW w:w="2410" w:type="dxa"/>
          </w:tcPr>
          <w:p w:rsidR="001B000C" w:rsidRPr="00603B31" w:rsidRDefault="009B7DFE" w:rsidP="009B7DFE">
            <w:pPr>
              <w:contextualSpacing/>
              <w:jc w:val="center"/>
              <w:rPr>
                <w:rFonts w:ascii="Times New Roman" w:hAnsi="Times New Roman" w:cs="Times New Roman"/>
              </w:rPr>
            </w:pPr>
            <w:r w:rsidRPr="00603B31">
              <w:rPr>
                <w:rFonts w:ascii="Times New Roman" w:hAnsi="Times New Roman" w:cs="Times New Roman"/>
              </w:rPr>
              <w:t>9</w:t>
            </w:r>
          </w:p>
        </w:tc>
        <w:tc>
          <w:tcPr>
            <w:tcW w:w="2268" w:type="dxa"/>
          </w:tcPr>
          <w:p w:rsidR="001B000C" w:rsidRPr="00603B31" w:rsidRDefault="0058058E" w:rsidP="00C84B54">
            <w:pPr>
              <w:contextualSpacing/>
              <w:jc w:val="center"/>
              <w:rPr>
                <w:rFonts w:ascii="Times New Roman" w:hAnsi="Times New Roman" w:cs="Times New Roman"/>
              </w:rPr>
            </w:pPr>
            <w:r w:rsidRPr="00603B31">
              <w:rPr>
                <w:rFonts w:ascii="Times New Roman" w:hAnsi="Times New Roman" w:cs="Times New Roman"/>
              </w:rPr>
              <w:t>11</w:t>
            </w:r>
          </w:p>
        </w:tc>
        <w:tc>
          <w:tcPr>
            <w:tcW w:w="1666" w:type="dxa"/>
          </w:tcPr>
          <w:p w:rsidR="001B000C" w:rsidRPr="00603B31" w:rsidRDefault="0058058E" w:rsidP="00C84B54">
            <w:pPr>
              <w:contextualSpacing/>
              <w:jc w:val="center"/>
              <w:rPr>
                <w:rFonts w:ascii="Times New Roman" w:hAnsi="Times New Roman" w:cs="Times New Roman"/>
                <w:lang w:val="en-US"/>
              </w:rPr>
            </w:pPr>
            <w:r w:rsidRPr="00603B31">
              <w:rPr>
                <w:rFonts w:ascii="Times New Roman" w:hAnsi="Times New Roman" w:cs="Times New Roman"/>
                <w:lang w:val="en-US"/>
              </w:rPr>
              <w:t>&gt; 0,05</w:t>
            </w:r>
          </w:p>
        </w:tc>
      </w:tr>
      <w:tr w:rsidR="001B000C" w:rsidRPr="00603B31" w:rsidTr="00C84B54">
        <w:tc>
          <w:tcPr>
            <w:tcW w:w="3227" w:type="dxa"/>
          </w:tcPr>
          <w:p w:rsidR="001B000C" w:rsidRPr="00603B31" w:rsidRDefault="009B7DFE" w:rsidP="009B7DFE">
            <w:pPr>
              <w:contextualSpacing/>
              <w:rPr>
                <w:rFonts w:ascii="Times New Roman" w:hAnsi="Times New Roman" w:cs="Times New Roman"/>
              </w:rPr>
            </w:pPr>
            <w:r w:rsidRPr="00603B31">
              <w:rPr>
                <w:rFonts w:ascii="Times New Roman" w:hAnsi="Times New Roman" w:cs="Times New Roman"/>
              </w:rPr>
              <w:t xml:space="preserve">Аденомиоз </w:t>
            </w:r>
          </w:p>
        </w:tc>
        <w:tc>
          <w:tcPr>
            <w:tcW w:w="2410" w:type="dxa"/>
          </w:tcPr>
          <w:p w:rsidR="001B000C" w:rsidRPr="00603B31" w:rsidRDefault="009B7DFE" w:rsidP="009B7DFE">
            <w:pPr>
              <w:contextualSpacing/>
              <w:jc w:val="center"/>
              <w:rPr>
                <w:rFonts w:ascii="Times New Roman" w:hAnsi="Times New Roman" w:cs="Times New Roman"/>
              </w:rPr>
            </w:pPr>
            <w:r w:rsidRPr="00603B31">
              <w:rPr>
                <w:rFonts w:ascii="Times New Roman" w:hAnsi="Times New Roman" w:cs="Times New Roman"/>
              </w:rPr>
              <w:t>6</w:t>
            </w:r>
          </w:p>
        </w:tc>
        <w:tc>
          <w:tcPr>
            <w:tcW w:w="2268" w:type="dxa"/>
          </w:tcPr>
          <w:p w:rsidR="001B000C" w:rsidRPr="00603B31" w:rsidRDefault="0058058E" w:rsidP="00C84B54">
            <w:pPr>
              <w:contextualSpacing/>
              <w:jc w:val="center"/>
              <w:rPr>
                <w:rFonts w:ascii="Times New Roman" w:hAnsi="Times New Roman" w:cs="Times New Roman"/>
              </w:rPr>
            </w:pPr>
            <w:r w:rsidRPr="00603B31">
              <w:rPr>
                <w:rFonts w:ascii="Times New Roman" w:hAnsi="Times New Roman" w:cs="Times New Roman"/>
              </w:rPr>
              <w:t>5</w:t>
            </w:r>
          </w:p>
        </w:tc>
        <w:tc>
          <w:tcPr>
            <w:tcW w:w="1666" w:type="dxa"/>
          </w:tcPr>
          <w:p w:rsidR="001B000C" w:rsidRPr="00603B31" w:rsidRDefault="0058058E" w:rsidP="00C84B54">
            <w:pPr>
              <w:contextualSpacing/>
              <w:jc w:val="center"/>
              <w:rPr>
                <w:rFonts w:ascii="Times New Roman" w:hAnsi="Times New Roman" w:cs="Times New Roman"/>
                <w:lang w:val="en-US"/>
              </w:rPr>
            </w:pPr>
            <w:r w:rsidRPr="00603B31">
              <w:rPr>
                <w:rFonts w:ascii="Times New Roman" w:hAnsi="Times New Roman" w:cs="Times New Roman"/>
                <w:lang w:val="en-US"/>
              </w:rPr>
              <w:t>&gt; 0,05</w:t>
            </w:r>
          </w:p>
        </w:tc>
      </w:tr>
      <w:tr w:rsidR="009B7DFE" w:rsidRPr="00603B31" w:rsidTr="00C84B54">
        <w:tc>
          <w:tcPr>
            <w:tcW w:w="3227" w:type="dxa"/>
          </w:tcPr>
          <w:p w:rsidR="009B7DFE" w:rsidRPr="00603B31" w:rsidRDefault="009B7DFE" w:rsidP="009B7DFE">
            <w:pPr>
              <w:contextualSpacing/>
              <w:rPr>
                <w:rFonts w:ascii="Times New Roman" w:hAnsi="Times New Roman" w:cs="Times New Roman"/>
              </w:rPr>
            </w:pPr>
            <w:r w:rsidRPr="00603B31">
              <w:rPr>
                <w:rFonts w:ascii="Times New Roman" w:hAnsi="Times New Roman" w:cs="Times New Roman"/>
              </w:rPr>
              <w:t>Наружный генитальный эндометриоз</w:t>
            </w:r>
          </w:p>
        </w:tc>
        <w:tc>
          <w:tcPr>
            <w:tcW w:w="2410" w:type="dxa"/>
          </w:tcPr>
          <w:p w:rsidR="009B7DFE" w:rsidRPr="00603B31" w:rsidRDefault="009B7DFE" w:rsidP="00C84B54">
            <w:pPr>
              <w:contextualSpacing/>
              <w:jc w:val="center"/>
              <w:rPr>
                <w:rFonts w:ascii="Times New Roman" w:hAnsi="Times New Roman" w:cs="Times New Roman"/>
              </w:rPr>
            </w:pPr>
            <w:r w:rsidRPr="00603B31">
              <w:rPr>
                <w:rFonts w:ascii="Times New Roman" w:hAnsi="Times New Roman" w:cs="Times New Roman"/>
              </w:rPr>
              <w:t>3</w:t>
            </w:r>
          </w:p>
        </w:tc>
        <w:tc>
          <w:tcPr>
            <w:tcW w:w="2268" w:type="dxa"/>
          </w:tcPr>
          <w:p w:rsidR="009B7DFE" w:rsidRPr="00603B31" w:rsidRDefault="0058058E" w:rsidP="00C84B54">
            <w:pPr>
              <w:contextualSpacing/>
              <w:jc w:val="center"/>
              <w:rPr>
                <w:rFonts w:ascii="Times New Roman" w:hAnsi="Times New Roman" w:cs="Times New Roman"/>
              </w:rPr>
            </w:pPr>
            <w:r w:rsidRPr="00603B31">
              <w:rPr>
                <w:rFonts w:ascii="Times New Roman" w:hAnsi="Times New Roman" w:cs="Times New Roman"/>
              </w:rPr>
              <w:t>11</w:t>
            </w:r>
          </w:p>
        </w:tc>
        <w:tc>
          <w:tcPr>
            <w:tcW w:w="1666" w:type="dxa"/>
          </w:tcPr>
          <w:p w:rsidR="009B7DFE" w:rsidRPr="00603B31" w:rsidRDefault="0058058E" w:rsidP="00C84B54">
            <w:pPr>
              <w:contextualSpacing/>
              <w:jc w:val="center"/>
              <w:rPr>
                <w:rFonts w:ascii="Times New Roman" w:hAnsi="Times New Roman" w:cs="Times New Roman"/>
                <w:lang w:val="en-US"/>
              </w:rPr>
            </w:pPr>
            <w:r w:rsidRPr="00603B31">
              <w:rPr>
                <w:rFonts w:ascii="Times New Roman" w:hAnsi="Times New Roman" w:cs="Times New Roman"/>
                <w:lang w:val="en-US"/>
              </w:rPr>
              <w:t>&gt; 0,05</w:t>
            </w:r>
          </w:p>
        </w:tc>
      </w:tr>
      <w:tr w:rsidR="00F3176E" w:rsidRPr="00603B31" w:rsidTr="008D5C8C">
        <w:tc>
          <w:tcPr>
            <w:tcW w:w="9571" w:type="dxa"/>
            <w:gridSpan w:val="4"/>
          </w:tcPr>
          <w:p w:rsidR="00F3176E" w:rsidRPr="00603B31" w:rsidRDefault="00F3176E" w:rsidP="00C84B54">
            <w:pPr>
              <w:contextualSpacing/>
              <w:rPr>
                <w:rFonts w:ascii="Times New Roman" w:hAnsi="Times New Roman" w:cs="Times New Roman"/>
                <w:sz w:val="20"/>
                <w:szCs w:val="20"/>
              </w:rPr>
            </w:pPr>
            <w:r w:rsidRPr="00603B31">
              <w:rPr>
                <w:rFonts w:ascii="Times New Roman" w:hAnsi="Times New Roman" w:cs="Times New Roman"/>
                <w:sz w:val="20"/>
                <w:szCs w:val="20"/>
              </w:rPr>
              <w:t>Расчет критерия Стьюдента</w:t>
            </w:r>
          </w:p>
        </w:tc>
      </w:tr>
    </w:tbl>
    <w:p w:rsidR="00B174E0" w:rsidRPr="00603B31" w:rsidRDefault="00B174E0" w:rsidP="001D2283">
      <w:pPr>
        <w:spacing w:after="0" w:line="360" w:lineRule="auto"/>
        <w:contextualSpacing/>
        <w:rPr>
          <w:rFonts w:ascii="Times New Roman" w:hAnsi="Times New Roman" w:cs="Times New Roman"/>
          <w:sz w:val="28"/>
          <w:szCs w:val="28"/>
        </w:rPr>
      </w:pPr>
    </w:p>
    <w:p w:rsidR="00CC69C0" w:rsidRDefault="001D2283" w:rsidP="00CC69C0">
      <w:pPr>
        <w:spacing w:after="0" w:line="240" w:lineRule="auto"/>
        <w:contextualSpacing/>
        <w:rPr>
          <w:rFonts w:ascii="Times New Roman" w:hAnsi="Times New Roman" w:cs="Times New Roman"/>
          <w:sz w:val="28"/>
          <w:szCs w:val="28"/>
        </w:rPr>
      </w:pPr>
      <w:r w:rsidRPr="00603B31">
        <w:rPr>
          <w:rFonts w:ascii="Times New Roman" w:hAnsi="Times New Roman" w:cs="Times New Roman"/>
          <w:sz w:val="28"/>
          <w:szCs w:val="28"/>
        </w:rPr>
        <w:t xml:space="preserve">При изучении протоколов </w:t>
      </w:r>
      <w:r w:rsidR="00150538" w:rsidRPr="00603B31">
        <w:rPr>
          <w:rFonts w:ascii="Times New Roman" w:hAnsi="Times New Roman" w:cs="Times New Roman"/>
          <w:sz w:val="28"/>
          <w:szCs w:val="28"/>
        </w:rPr>
        <w:t>циклов</w:t>
      </w:r>
      <w:r w:rsidRPr="00603B31">
        <w:rPr>
          <w:rFonts w:ascii="Times New Roman" w:hAnsi="Times New Roman" w:cs="Times New Roman"/>
          <w:sz w:val="28"/>
          <w:szCs w:val="28"/>
        </w:rPr>
        <w:t xml:space="preserve"> ЭКО удалось получить следующие данные:</w:t>
      </w:r>
      <w:r w:rsidR="00CC69C0" w:rsidRPr="00CC69C0">
        <w:rPr>
          <w:rFonts w:ascii="Times New Roman" w:hAnsi="Times New Roman" w:cs="Times New Roman"/>
          <w:sz w:val="28"/>
          <w:szCs w:val="28"/>
        </w:rPr>
        <w:t xml:space="preserve"> </w:t>
      </w:r>
    </w:p>
    <w:p w:rsidR="00CC69C0" w:rsidRDefault="00CC69C0" w:rsidP="00CC69C0">
      <w:pPr>
        <w:spacing w:after="0" w:line="240" w:lineRule="auto"/>
        <w:contextualSpacing/>
        <w:rPr>
          <w:rFonts w:ascii="Times New Roman" w:hAnsi="Times New Roman" w:cs="Times New Roman"/>
          <w:sz w:val="28"/>
          <w:szCs w:val="28"/>
        </w:rPr>
      </w:pPr>
    </w:p>
    <w:p w:rsidR="001D2283" w:rsidRPr="00603B31" w:rsidRDefault="00CC69C0" w:rsidP="00CC69C0">
      <w:pPr>
        <w:spacing w:after="0" w:line="240" w:lineRule="auto"/>
        <w:contextualSpacing/>
        <w:rPr>
          <w:rFonts w:ascii="Times New Roman" w:hAnsi="Times New Roman" w:cs="Times New Roman"/>
          <w:sz w:val="28"/>
          <w:szCs w:val="28"/>
        </w:rPr>
      </w:pPr>
      <w:r w:rsidRPr="00603B31">
        <w:rPr>
          <w:rFonts w:ascii="Times New Roman" w:hAnsi="Times New Roman" w:cs="Times New Roman"/>
          <w:sz w:val="28"/>
          <w:szCs w:val="28"/>
        </w:rPr>
        <w:t>Таблица 3. Сравнительный анализ характеристик циклов ЭКО у пациенток со «слабым ответом» на стимуляцию суперовуляции между двумя группами.</w:t>
      </w:r>
    </w:p>
    <w:tbl>
      <w:tblPr>
        <w:tblStyle w:val="aa"/>
        <w:tblW w:w="9640" w:type="dxa"/>
        <w:tblLook w:val="04A0" w:firstRow="1" w:lastRow="0" w:firstColumn="1" w:lastColumn="0" w:noHBand="0" w:noVBand="1"/>
      </w:tblPr>
      <w:tblGrid>
        <w:gridCol w:w="3227"/>
        <w:gridCol w:w="2551"/>
        <w:gridCol w:w="2410"/>
        <w:gridCol w:w="1452"/>
      </w:tblGrid>
      <w:tr w:rsidR="001D2283" w:rsidRPr="00603B31" w:rsidTr="001D2283">
        <w:tc>
          <w:tcPr>
            <w:tcW w:w="3227" w:type="dxa"/>
          </w:tcPr>
          <w:p w:rsidR="001D2283" w:rsidRPr="00603B31" w:rsidRDefault="001D2283" w:rsidP="001D2283">
            <w:pPr>
              <w:jc w:val="center"/>
              <w:rPr>
                <w:rFonts w:ascii="Times New Roman" w:hAnsi="Times New Roman" w:cs="Times New Roman"/>
              </w:rPr>
            </w:pPr>
          </w:p>
        </w:tc>
        <w:tc>
          <w:tcPr>
            <w:tcW w:w="255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основная группа</w:t>
            </w:r>
          </w:p>
        </w:tc>
        <w:tc>
          <w:tcPr>
            <w:tcW w:w="2410"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группа сравнения</w:t>
            </w:r>
          </w:p>
        </w:tc>
        <w:tc>
          <w:tcPr>
            <w:tcW w:w="1452"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 xml:space="preserve"> p</w:t>
            </w:r>
          </w:p>
        </w:tc>
      </w:tr>
      <w:tr w:rsidR="001D2283" w:rsidRPr="00603B31" w:rsidTr="001D2283">
        <w:tc>
          <w:tcPr>
            <w:tcW w:w="3227" w:type="dxa"/>
          </w:tcPr>
          <w:p w:rsidR="001D2283" w:rsidRPr="00603B31" w:rsidRDefault="001D2283" w:rsidP="001D2283">
            <w:pPr>
              <w:rPr>
                <w:rFonts w:ascii="Times New Roman" w:hAnsi="Times New Roman" w:cs="Times New Roman"/>
              </w:rPr>
            </w:pPr>
            <w:r w:rsidRPr="00603B31">
              <w:rPr>
                <w:rFonts w:ascii="Times New Roman" w:hAnsi="Times New Roman" w:cs="Times New Roman"/>
              </w:rPr>
              <w:t>Продолжительность стимуляции суперовуляции, дней</w:t>
            </w:r>
          </w:p>
        </w:tc>
        <w:tc>
          <w:tcPr>
            <w:tcW w:w="2551"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7,37 (±0,55)</w:t>
            </w:r>
          </w:p>
        </w:tc>
        <w:tc>
          <w:tcPr>
            <w:tcW w:w="2410"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8,69 (±0,63)</w:t>
            </w:r>
          </w:p>
        </w:tc>
        <w:tc>
          <w:tcPr>
            <w:tcW w:w="1452"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4621A5" w:rsidRPr="00603B31">
              <w:rPr>
                <w:rFonts w:ascii="Times New Roman" w:hAnsi="Times New Roman" w:cs="Times New Roman"/>
                <w:lang w:val="en-US"/>
              </w:rPr>
              <w:t xml:space="preserve"> </w:t>
            </w:r>
            <w:r w:rsidRPr="00603B31">
              <w:rPr>
                <w:rFonts w:ascii="Times New Roman" w:hAnsi="Times New Roman" w:cs="Times New Roman"/>
              </w:rPr>
              <w:t>0</w:t>
            </w:r>
            <w:r w:rsidR="004621A5" w:rsidRPr="00603B31">
              <w:rPr>
                <w:rFonts w:ascii="Times New Roman" w:hAnsi="Times New Roman" w:cs="Times New Roman"/>
                <w:lang w:val="en-US"/>
              </w:rPr>
              <w:t>,</w:t>
            </w:r>
            <w:r w:rsidRPr="00603B31">
              <w:rPr>
                <w:rFonts w:ascii="Times New Roman" w:hAnsi="Times New Roman" w:cs="Times New Roman"/>
              </w:rPr>
              <w:t>05</w:t>
            </w:r>
          </w:p>
        </w:tc>
      </w:tr>
      <w:tr w:rsidR="001D2283" w:rsidRPr="00603B31" w:rsidTr="009C12D8">
        <w:trPr>
          <w:trHeight w:val="509"/>
        </w:trPr>
        <w:tc>
          <w:tcPr>
            <w:tcW w:w="3227" w:type="dxa"/>
          </w:tcPr>
          <w:p w:rsidR="001D2283" w:rsidRPr="00603B31" w:rsidRDefault="001D2283" w:rsidP="001D2283">
            <w:pPr>
              <w:rPr>
                <w:rFonts w:ascii="Times New Roman" w:hAnsi="Times New Roman" w:cs="Times New Roman"/>
              </w:rPr>
            </w:pPr>
            <w:r w:rsidRPr="00603B31">
              <w:rPr>
                <w:rFonts w:ascii="Times New Roman" w:hAnsi="Times New Roman" w:cs="Times New Roman"/>
              </w:rPr>
              <w:t>Суммарная доза гонадотропинов, МЕ</w:t>
            </w:r>
          </w:p>
        </w:tc>
        <w:tc>
          <w:tcPr>
            <w:tcW w:w="2551" w:type="dxa"/>
          </w:tcPr>
          <w:p w:rsidR="001D2283" w:rsidRPr="00603B31" w:rsidRDefault="001D2283" w:rsidP="001D2283">
            <w:pPr>
              <w:pStyle w:val="a9"/>
              <w:spacing w:before="0" w:beforeAutospacing="0" w:after="0" w:afterAutospacing="0"/>
              <w:contextualSpacing/>
              <w:jc w:val="center"/>
              <w:rPr>
                <w:lang w:val="ru-RU"/>
              </w:rPr>
            </w:pPr>
            <w:r w:rsidRPr="00603B31">
              <w:rPr>
                <w:rFonts w:eastAsia="Calibri"/>
                <w:bCs/>
                <w:kern w:val="24"/>
              </w:rPr>
              <w:t>2284</w:t>
            </w:r>
            <w:r w:rsidRPr="00603B31">
              <w:rPr>
                <w:rFonts w:eastAsia="Calibri"/>
                <w:bCs/>
                <w:kern w:val="24"/>
                <w:lang w:val="ru-RU"/>
              </w:rPr>
              <w:t>,66 (</w:t>
            </w:r>
            <w:r w:rsidRPr="00603B31">
              <w:rPr>
                <w:rFonts w:eastAsia="Calibri"/>
                <w:bCs/>
                <w:kern w:val="24"/>
              </w:rPr>
              <w:t>±</w:t>
            </w:r>
            <w:r w:rsidRPr="00603B31">
              <w:rPr>
                <w:rFonts w:eastAsia="Calibri"/>
                <w:bCs/>
                <w:kern w:val="24"/>
                <w:lang w:val="ru-RU"/>
              </w:rPr>
              <w:t>276</w:t>
            </w:r>
            <w:r w:rsidRPr="00603B31">
              <w:rPr>
                <w:rFonts w:eastAsia="Calibri"/>
                <w:bCs/>
                <w:kern w:val="24"/>
              </w:rPr>
              <w:t>,</w:t>
            </w:r>
            <w:r w:rsidRPr="00603B31">
              <w:rPr>
                <w:rFonts w:eastAsia="Calibri"/>
                <w:bCs/>
                <w:kern w:val="24"/>
                <w:lang w:val="ru-RU"/>
              </w:rPr>
              <w:t>38)</w:t>
            </w:r>
          </w:p>
        </w:tc>
        <w:tc>
          <w:tcPr>
            <w:tcW w:w="2410" w:type="dxa"/>
          </w:tcPr>
          <w:p w:rsidR="001D2283" w:rsidRPr="00603B31" w:rsidRDefault="001D2283" w:rsidP="001D2283">
            <w:pPr>
              <w:pStyle w:val="a9"/>
              <w:spacing w:before="0" w:beforeAutospacing="0" w:after="0" w:afterAutospacing="0"/>
              <w:contextualSpacing/>
              <w:jc w:val="center"/>
              <w:rPr>
                <w:lang w:val="ru-RU"/>
              </w:rPr>
            </w:pPr>
            <w:r w:rsidRPr="00603B31">
              <w:rPr>
                <w:rFonts w:eastAsia="Calibri"/>
                <w:bCs/>
                <w:kern w:val="24"/>
                <w:lang w:val="ru-RU"/>
              </w:rPr>
              <w:t>3470,83 (</w:t>
            </w:r>
            <w:r w:rsidRPr="00603B31">
              <w:rPr>
                <w:rFonts w:eastAsia="Calibri"/>
                <w:bCs/>
                <w:kern w:val="24"/>
              </w:rPr>
              <w:t>±</w:t>
            </w:r>
            <w:r w:rsidRPr="00603B31">
              <w:rPr>
                <w:rFonts w:eastAsia="Calibri"/>
                <w:bCs/>
                <w:kern w:val="24"/>
                <w:lang w:val="ru-RU"/>
              </w:rPr>
              <w:t>718,75)</w:t>
            </w:r>
          </w:p>
        </w:tc>
        <w:tc>
          <w:tcPr>
            <w:tcW w:w="1452" w:type="dxa"/>
          </w:tcPr>
          <w:p w:rsidR="001D2283" w:rsidRPr="00603B31" w:rsidRDefault="004621A5" w:rsidP="001D2283">
            <w:pPr>
              <w:contextualSpacing/>
              <w:jc w:val="center"/>
              <w:rPr>
                <w:rFonts w:ascii="Times New Roman" w:hAnsi="Times New Roman" w:cs="Times New Roman"/>
              </w:rPr>
            </w:pPr>
            <w:r w:rsidRPr="00603B31">
              <w:rPr>
                <w:rFonts w:ascii="Times New Roman" w:hAnsi="Times New Roman" w:cs="Times New Roman"/>
                <w:lang w:val="en-US"/>
              </w:rPr>
              <w:t xml:space="preserve">&lt; </w:t>
            </w:r>
            <w:r w:rsidR="001D2283" w:rsidRPr="00603B31">
              <w:rPr>
                <w:rFonts w:ascii="Times New Roman" w:hAnsi="Times New Roman" w:cs="Times New Roman"/>
              </w:rPr>
              <w:t>0,05</w:t>
            </w:r>
          </w:p>
        </w:tc>
      </w:tr>
      <w:tr w:rsidR="001D2283" w:rsidRPr="00603B31" w:rsidTr="009C12D8">
        <w:trPr>
          <w:trHeight w:val="533"/>
        </w:trPr>
        <w:tc>
          <w:tcPr>
            <w:tcW w:w="3227" w:type="dxa"/>
          </w:tcPr>
          <w:p w:rsidR="001D2283" w:rsidRPr="00603B31" w:rsidRDefault="001D2283" w:rsidP="001D2283">
            <w:pPr>
              <w:rPr>
                <w:rFonts w:ascii="Times New Roman" w:hAnsi="Times New Roman" w:cs="Times New Roman"/>
              </w:rPr>
            </w:pPr>
            <w:r w:rsidRPr="00603B31">
              <w:rPr>
                <w:rFonts w:ascii="Times New Roman" w:hAnsi="Times New Roman" w:cs="Times New Roman"/>
              </w:rPr>
              <w:t>Количество полученных фолликулов</w:t>
            </w:r>
          </w:p>
        </w:tc>
        <w:tc>
          <w:tcPr>
            <w:tcW w:w="2551" w:type="dxa"/>
          </w:tcPr>
          <w:p w:rsidR="001D2283" w:rsidRPr="00603B31" w:rsidRDefault="001D2283" w:rsidP="001D2283">
            <w:pPr>
              <w:pStyle w:val="a9"/>
              <w:spacing w:before="0" w:beforeAutospacing="0" w:after="0" w:afterAutospacing="0"/>
              <w:contextualSpacing/>
              <w:jc w:val="center"/>
              <w:rPr>
                <w:lang w:val="ru-RU"/>
              </w:rPr>
            </w:pPr>
            <w:r w:rsidRPr="00603B31">
              <w:rPr>
                <w:rFonts w:eastAsia="Calibri"/>
                <w:bCs/>
                <w:kern w:val="24"/>
              </w:rPr>
              <w:t>5,26</w:t>
            </w:r>
            <w:r w:rsidRPr="00603B31">
              <w:rPr>
                <w:rFonts w:eastAsia="Calibri"/>
                <w:bCs/>
                <w:kern w:val="24"/>
                <w:lang w:val="ru-RU"/>
              </w:rPr>
              <w:t xml:space="preserve"> (</w:t>
            </w:r>
            <w:r w:rsidRPr="00603B31">
              <w:rPr>
                <w:rFonts w:eastAsia="Calibri"/>
                <w:bCs/>
                <w:kern w:val="24"/>
              </w:rPr>
              <w:t>±</w:t>
            </w:r>
            <w:r w:rsidRPr="00603B31">
              <w:rPr>
                <w:rFonts w:eastAsia="Calibri"/>
                <w:bCs/>
                <w:kern w:val="24"/>
                <w:lang w:val="ru-RU"/>
              </w:rPr>
              <w:t>1,72)</w:t>
            </w:r>
          </w:p>
        </w:tc>
        <w:tc>
          <w:tcPr>
            <w:tcW w:w="2410" w:type="dxa"/>
          </w:tcPr>
          <w:p w:rsidR="001D2283" w:rsidRPr="00603B31" w:rsidRDefault="001D2283" w:rsidP="001D2283">
            <w:pPr>
              <w:pStyle w:val="a9"/>
              <w:spacing w:before="0" w:beforeAutospacing="0" w:after="0" w:afterAutospacing="0"/>
              <w:contextualSpacing/>
              <w:jc w:val="center"/>
              <w:rPr>
                <w:lang w:val="ru-RU"/>
              </w:rPr>
            </w:pPr>
            <w:r w:rsidRPr="00603B31">
              <w:rPr>
                <w:rFonts w:eastAsia="Calibri"/>
                <w:bCs/>
                <w:kern w:val="24"/>
                <w:lang w:val="ru-RU"/>
              </w:rPr>
              <w:t>3,93 (</w:t>
            </w:r>
            <w:r w:rsidRPr="00603B31">
              <w:rPr>
                <w:rFonts w:eastAsia="Calibri"/>
                <w:bCs/>
                <w:kern w:val="24"/>
              </w:rPr>
              <w:t>±</w:t>
            </w:r>
            <w:r w:rsidRPr="00603B31">
              <w:rPr>
                <w:rFonts w:eastAsia="Calibri"/>
                <w:bCs/>
                <w:kern w:val="24"/>
                <w:lang w:val="ru-RU"/>
              </w:rPr>
              <w:t>1,58)</w:t>
            </w:r>
          </w:p>
        </w:tc>
        <w:tc>
          <w:tcPr>
            <w:tcW w:w="1452" w:type="dxa"/>
          </w:tcPr>
          <w:p w:rsidR="001D2283" w:rsidRPr="00603B31" w:rsidRDefault="004621A5" w:rsidP="001D2283">
            <w:pPr>
              <w:contextualSpacing/>
              <w:jc w:val="center"/>
              <w:rPr>
                <w:rFonts w:ascii="Times New Roman" w:hAnsi="Times New Roman" w:cs="Times New Roman"/>
              </w:rPr>
            </w:pPr>
            <w:r w:rsidRPr="00603B31">
              <w:rPr>
                <w:rFonts w:ascii="Times New Roman" w:hAnsi="Times New Roman" w:cs="Times New Roman"/>
              </w:rPr>
              <w:t>&gt;</w:t>
            </w:r>
            <w:r w:rsidRPr="00603B31">
              <w:rPr>
                <w:rFonts w:ascii="Times New Roman" w:hAnsi="Times New Roman" w:cs="Times New Roman"/>
                <w:lang w:val="en-US"/>
              </w:rPr>
              <w:t xml:space="preserve"> </w:t>
            </w:r>
            <w:r w:rsidRPr="00603B31">
              <w:rPr>
                <w:rFonts w:ascii="Times New Roman" w:hAnsi="Times New Roman" w:cs="Times New Roman"/>
              </w:rPr>
              <w:t>0</w:t>
            </w:r>
            <w:r w:rsidRPr="00603B31">
              <w:rPr>
                <w:rFonts w:ascii="Times New Roman" w:hAnsi="Times New Roman" w:cs="Times New Roman"/>
                <w:lang w:val="en-US"/>
              </w:rPr>
              <w:t>,</w:t>
            </w:r>
            <w:r w:rsidR="001D2283" w:rsidRPr="00603B31">
              <w:rPr>
                <w:rFonts w:ascii="Times New Roman" w:hAnsi="Times New Roman" w:cs="Times New Roman"/>
              </w:rPr>
              <w:t>05</w:t>
            </w:r>
          </w:p>
        </w:tc>
      </w:tr>
      <w:tr w:rsidR="001D2283" w:rsidRPr="00603B31" w:rsidTr="009C12D8">
        <w:trPr>
          <w:trHeight w:val="543"/>
        </w:trPr>
        <w:tc>
          <w:tcPr>
            <w:tcW w:w="3227" w:type="dxa"/>
          </w:tcPr>
          <w:p w:rsidR="001D2283" w:rsidRPr="00603B31" w:rsidRDefault="001D2283" w:rsidP="001D2283">
            <w:pPr>
              <w:autoSpaceDE w:val="0"/>
              <w:autoSpaceDN w:val="0"/>
              <w:adjustRightInd w:val="0"/>
              <w:rPr>
                <w:rFonts w:ascii="Times New Roman" w:eastAsia="TimesNewRomanPSMT" w:hAnsi="Times New Roman" w:cs="Times New Roman"/>
              </w:rPr>
            </w:pPr>
            <w:r w:rsidRPr="00603B31">
              <w:rPr>
                <w:rFonts w:ascii="Times New Roman" w:eastAsia="TimesNewRomanPSMT" w:hAnsi="Times New Roman" w:cs="Times New Roman"/>
              </w:rPr>
              <w:t>Количество полученных зрелых ооцитов</w:t>
            </w:r>
          </w:p>
        </w:tc>
        <w:tc>
          <w:tcPr>
            <w:tcW w:w="2551" w:type="dxa"/>
          </w:tcPr>
          <w:p w:rsidR="001D2283" w:rsidRPr="00603B31" w:rsidRDefault="001D2283" w:rsidP="001D2283">
            <w:pPr>
              <w:pStyle w:val="a9"/>
              <w:spacing w:before="0" w:beforeAutospacing="0" w:after="0" w:afterAutospacing="0"/>
              <w:contextualSpacing/>
              <w:jc w:val="center"/>
              <w:rPr>
                <w:rFonts w:eastAsia="Calibri"/>
                <w:bCs/>
                <w:kern w:val="24"/>
              </w:rPr>
            </w:pPr>
            <w:r w:rsidRPr="00603B31">
              <w:rPr>
                <w:rFonts w:eastAsia="Calibri"/>
                <w:bCs/>
                <w:kern w:val="24"/>
              </w:rPr>
              <w:t>5,42 (±0,96)</w:t>
            </w:r>
          </w:p>
        </w:tc>
        <w:tc>
          <w:tcPr>
            <w:tcW w:w="2410" w:type="dxa"/>
          </w:tcPr>
          <w:p w:rsidR="001D2283" w:rsidRPr="00603B31" w:rsidRDefault="001D2283" w:rsidP="001D2283">
            <w:pPr>
              <w:pStyle w:val="a9"/>
              <w:spacing w:before="0" w:beforeAutospacing="0" w:after="0" w:afterAutospacing="0"/>
              <w:contextualSpacing/>
              <w:jc w:val="center"/>
              <w:rPr>
                <w:rFonts w:eastAsia="Calibri"/>
                <w:bCs/>
                <w:kern w:val="24"/>
              </w:rPr>
            </w:pPr>
            <w:r w:rsidRPr="00603B31">
              <w:rPr>
                <w:rFonts w:eastAsia="Calibri"/>
                <w:bCs/>
                <w:kern w:val="24"/>
              </w:rPr>
              <w:t>2,71 (±1,71)</w:t>
            </w:r>
          </w:p>
        </w:tc>
        <w:tc>
          <w:tcPr>
            <w:tcW w:w="1452"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4621A5" w:rsidRPr="00603B31">
              <w:rPr>
                <w:rFonts w:ascii="Times New Roman" w:hAnsi="Times New Roman" w:cs="Times New Roman"/>
                <w:lang w:val="en-US"/>
              </w:rPr>
              <w:t xml:space="preserve"> </w:t>
            </w:r>
            <w:r w:rsidRPr="00603B31">
              <w:rPr>
                <w:rFonts w:ascii="Times New Roman" w:hAnsi="Times New Roman" w:cs="Times New Roman"/>
              </w:rPr>
              <w:t>0,05</w:t>
            </w:r>
          </w:p>
        </w:tc>
      </w:tr>
      <w:tr w:rsidR="001D2283" w:rsidRPr="00603B31" w:rsidTr="001D2283">
        <w:tc>
          <w:tcPr>
            <w:tcW w:w="9640" w:type="dxa"/>
            <w:gridSpan w:val="4"/>
          </w:tcPr>
          <w:p w:rsidR="001D2283" w:rsidRPr="00603B31" w:rsidRDefault="001D2283" w:rsidP="001D2283">
            <w:pPr>
              <w:contextualSpacing/>
              <w:jc w:val="both"/>
              <w:rPr>
                <w:rFonts w:ascii="Times New Roman" w:hAnsi="Times New Roman" w:cs="Times New Roman"/>
                <w:sz w:val="28"/>
                <w:szCs w:val="28"/>
              </w:rPr>
            </w:pPr>
            <w:r w:rsidRPr="00603B31">
              <w:rPr>
                <w:rFonts w:ascii="Times New Roman" w:hAnsi="Times New Roman" w:cs="Times New Roman"/>
                <w:sz w:val="20"/>
                <w:szCs w:val="20"/>
              </w:rPr>
              <w:t>Расчет критерия Стьюдента</w:t>
            </w:r>
          </w:p>
        </w:tc>
      </w:tr>
    </w:tbl>
    <w:p w:rsidR="001D2283" w:rsidRPr="00603B31" w:rsidRDefault="001D2283" w:rsidP="001D2283">
      <w:pPr>
        <w:spacing w:after="0" w:line="360" w:lineRule="auto"/>
        <w:contextualSpacing/>
        <w:rPr>
          <w:rFonts w:ascii="Times New Roman" w:hAnsi="Times New Roman" w:cs="Times New Roman"/>
          <w:sz w:val="28"/>
          <w:szCs w:val="28"/>
        </w:rPr>
      </w:pPr>
    </w:p>
    <w:p w:rsidR="001D2283" w:rsidRPr="00603B31" w:rsidRDefault="001D2283" w:rsidP="006A14B6">
      <w:pPr>
        <w:spacing w:after="0" w:line="360" w:lineRule="auto"/>
        <w:ind w:firstLine="708"/>
        <w:contextualSpacing/>
        <w:rPr>
          <w:rFonts w:ascii="Times New Roman" w:eastAsia="Arial Unicode MS" w:hAnsi="Times New Roman" w:cs="Times New Roman"/>
          <w:sz w:val="28"/>
          <w:szCs w:val="28"/>
        </w:rPr>
      </w:pPr>
      <w:r w:rsidRPr="00603B31">
        <w:rPr>
          <w:rFonts w:ascii="Times New Roman" w:hAnsi="Times New Roman" w:cs="Times New Roman"/>
          <w:sz w:val="28"/>
          <w:szCs w:val="28"/>
        </w:rPr>
        <w:t xml:space="preserve">Исходя из данных </w:t>
      </w:r>
      <w:r w:rsidR="00150538" w:rsidRPr="00603B31">
        <w:rPr>
          <w:rFonts w:ascii="Times New Roman" w:hAnsi="Times New Roman" w:cs="Times New Roman"/>
          <w:sz w:val="28"/>
          <w:szCs w:val="28"/>
        </w:rPr>
        <w:t>таблицы 3</w:t>
      </w:r>
      <w:r w:rsidRPr="00603B31">
        <w:rPr>
          <w:rFonts w:ascii="Times New Roman" w:hAnsi="Times New Roman" w:cs="Times New Roman"/>
          <w:sz w:val="28"/>
          <w:szCs w:val="28"/>
        </w:rPr>
        <w:t xml:space="preserve">, статистически значимых различий между количеством полученных в циклах ЭКО фолликулов и количеством зрелых ооцитов между двумя группами не выявлено. Однако, суммарная доза гонадотропинов в группе </w:t>
      </w:r>
      <w:r w:rsidR="00150538" w:rsidRPr="00603B31">
        <w:rPr>
          <w:rFonts w:ascii="Times New Roman" w:hAnsi="Times New Roman" w:cs="Times New Roman"/>
          <w:sz w:val="28"/>
          <w:szCs w:val="28"/>
        </w:rPr>
        <w:t>пациенток</w:t>
      </w:r>
      <w:r w:rsidRPr="00603B31">
        <w:rPr>
          <w:rFonts w:ascii="Times New Roman" w:hAnsi="Times New Roman" w:cs="Times New Roman"/>
          <w:sz w:val="28"/>
          <w:szCs w:val="28"/>
        </w:rPr>
        <w:t xml:space="preserve">, получавших мио-инозитол, составляет </w:t>
      </w:r>
      <w:r w:rsidRPr="00603B31">
        <w:rPr>
          <w:rFonts w:ascii="Times New Roman" w:eastAsia="Calibri" w:hAnsi="Times New Roman" w:cs="Times New Roman"/>
          <w:bCs/>
          <w:kern w:val="24"/>
          <w:sz w:val="28"/>
          <w:szCs w:val="28"/>
        </w:rPr>
        <w:t>2284,66 (±276,38) МЕ, в то вр</w:t>
      </w:r>
      <w:r w:rsidR="00150538" w:rsidRPr="00603B31">
        <w:rPr>
          <w:rFonts w:ascii="Times New Roman" w:eastAsia="Calibri" w:hAnsi="Times New Roman" w:cs="Times New Roman"/>
          <w:bCs/>
          <w:kern w:val="24"/>
          <w:sz w:val="28"/>
          <w:szCs w:val="28"/>
        </w:rPr>
        <w:t xml:space="preserve">емя, как в контрольной группе – </w:t>
      </w:r>
      <w:r w:rsidRPr="00603B31">
        <w:rPr>
          <w:rFonts w:ascii="Times New Roman" w:eastAsia="Calibri" w:hAnsi="Times New Roman" w:cs="Times New Roman"/>
          <w:bCs/>
          <w:kern w:val="24"/>
          <w:sz w:val="28"/>
          <w:szCs w:val="28"/>
        </w:rPr>
        <w:t xml:space="preserve">3470,83 (±718,75) МЕ. Это различие является статистически значимым </w:t>
      </w:r>
      <w:r w:rsidRPr="00603B31">
        <w:rPr>
          <w:rFonts w:ascii="Times New Roman" w:hAnsi="Times New Roman" w:cs="Times New Roman"/>
          <w:sz w:val="28"/>
          <w:szCs w:val="28"/>
        </w:rPr>
        <w:t xml:space="preserve">(р </w:t>
      </w:r>
      <w:r w:rsidR="004621A5" w:rsidRPr="00603B31">
        <w:rPr>
          <w:rFonts w:ascii="Times New Roman" w:hAnsi="Times New Roman" w:cs="Times New Roman"/>
          <w:sz w:val="28"/>
          <w:szCs w:val="28"/>
        </w:rPr>
        <w:t>&lt;</w:t>
      </w:r>
      <w:r w:rsidRPr="00603B31">
        <w:rPr>
          <w:rFonts w:ascii="Times New Roman" w:hAnsi="Times New Roman" w:cs="Times New Roman"/>
          <w:sz w:val="28"/>
          <w:szCs w:val="28"/>
        </w:rPr>
        <w:t xml:space="preserve"> 0,05). </w:t>
      </w:r>
      <w:r w:rsidRPr="00603B31">
        <w:rPr>
          <w:rFonts w:ascii="Times New Roman" w:eastAsia="Arial Unicode MS" w:hAnsi="Times New Roman" w:cs="Times New Roman"/>
          <w:sz w:val="28"/>
          <w:szCs w:val="28"/>
        </w:rPr>
        <w:t xml:space="preserve">Также прослеживается тенденция в уменьшении длительности протокола стимуляции суперовуляции в </w:t>
      </w:r>
      <w:r w:rsidR="00150538" w:rsidRPr="00603B31">
        <w:rPr>
          <w:rFonts w:ascii="Times New Roman" w:eastAsia="Arial Unicode MS" w:hAnsi="Times New Roman" w:cs="Times New Roman"/>
          <w:sz w:val="28"/>
          <w:szCs w:val="28"/>
        </w:rPr>
        <w:t xml:space="preserve">основной </w:t>
      </w:r>
      <w:r w:rsidRPr="00603B31">
        <w:rPr>
          <w:rFonts w:ascii="Times New Roman" w:eastAsia="Arial Unicode MS" w:hAnsi="Times New Roman" w:cs="Times New Roman"/>
          <w:sz w:val="28"/>
          <w:szCs w:val="28"/>
        </w:rPr>
        <w:t xml:space="preserve">группе </w:t>
      </w:r>
      <w:r w:rsidR="00150538" w:rsidRPr="00603B31">
        <w:rPr>
          <w:rFonts w:ascii="Times New Roman" w:eastAsia="Arial Unicode MS" w:hAnsi="Times New Roman" w:cs="Times New Roman"/>
          <w:sz w:val="28"/>
          <w:szCs w:val="28"/>
        </w:rPr>
        <w:t>пациенток</w:t>
      </w:r>
      <w:r w:rsidRPr="00603B31">
        <w:rPr>
          <w:rFonts w:ascii="Times New Roman" w:eastAsia="Arial Unicode MS" w:hAnsi="Times New Roman" w:cs="Times New Roman"/>
          <w:sz w:val="28"/>
          <w:szCs w:val="28"/>
        </w:rPr>
        <w:t>, что говорит о возможном повышении чувствительности яичников к гонадотропинам в этой группе.</w:t>
      </w:r>
    </w:p>
    <w:p w:rsidR="001D2283" w:rsidRPr="00603B31" w:rsidRDefault="001D2283" w:rsidP="004621A5">
      <w:pPr>
        <w:autoSpaceDE w:val="0"/>
        <w:autoSpaceDN w:val="0"/>
        <w:adjustRightInd w:val="0"/>
        <w:spacing w:after="0" w:line="360" w:lineRule="auto"/>
        <w:ind w:firstLine="708"/>
        <w:rPr>
          <w:rFonts w:ascii="Times New Roman" w:hAnsi="Times New Roman" w:cs="Times New Roman"/>
          <w:sz w:val="28"/>
          <w:szCs w:val="28"/>
        </w:rPr>
      </w:pPr>
      <w:r w:rsidRPr="00603B31">
        <w:rPr>
          <w:rFonts w:ascii="Times New Roman" w:eastAsia="TimesNewRomanPSMT" w:hAnsi="Times New Roman" w:cs="Times New Roman"/>
          <w:color w:val="0B0B0B"/>
          <w:sz w:val="28"/>
          <w:szCs w:val="28"/>
        </w:rPr>
        <w:t xml:space="preserve">Для оценки выраженности ответа яичников на стимуляцию препаратами гонадотропинов используется отношение суммарной дозы гонадотропинов к количеству полученных зрелых ооцитов. Это отношение является значением эффективной дозы гонадотропинов, которое </w:t>
      </w:r>
      <w:r w:rsidRPr="00603B31">
        <w:rPr>
          <w:rFonts w:ascii="Times New Roman" w:hAnsi="Times New Roman" w:cs="Times New Roman"/>
          <w:sz w:val="28"/>
          <w:szCs w:val="28"/>
        </w:rPr>
        <w:t xml:space="preserve">условно отражает то количество гонадотропинов, которое необходимо потратить для созревания одного ооцита. Следовательно, чем выше эффективная доза, тем ниже ответ яичников на стимуляцию. </w:t>
      </w:r>
    </w:p>
    <w:p w:rsidR="001D2283" w:rsidRDefault="000B26D4" w:rsidP="006A14B6">
      <w:pPr>
        <w:spacing w:after="0" w:line="360" w:lineRule="auto"/>
        <w:ind w:firstLine="708"/>
        <w:contextualSpacing/>
        <w:rPr>
          <w:rFonts w:ascii="Times New Roman" w:eastAsia="Calibri" w:hAnsi="Times New Roman" w:cs="Times New Roman"/>
          <w:bCs/>
          <w:kern w:val="24"/>
          <w:sz w:val="28"/>
          <w:szCs w:val="28"/>
        </w:rPr>
      </w:pPr>
      <w:r w:rsidRPr="00603B31">
        <w:rPr>
          <w:rFonts w:ascii="Times New Roman" w:hAnsi="Times New Roman" w:cs="Times New Roman"/>
          <w:sz w:val="28"/>
          <w:szCs w:val="28"/>
        </w:rPr>
        <w:t>По данным графика 1</w:t>
      </w:r>
      <w:r w:rsidR="001D2283" w:rsidRPr="00603B31">
        <w:rPr>
          <w:rFonts w:ascii="Times New Roman" w:hAnsi="Times New Roman" w:cs="Times New Roman"/>
          <w:sz w:val="28"/>
          <w:szCs w:val="28"/>
        </w:rPr>
        <w:t xml:space="preserve">, эффективная доза гонадотропинов в </w:t>
      </w:r>
      <w:r w:rsidR="00150538" w:rsidRPr="00603B31">
        <w:rPr>
          <w:rFonts w:ascii="Times New Roman" w:hAnsi="Times New Roman" w:cs="Times New Roman"/>
          <w:sz w:val="28"/>
          <w:szCs w:val="28"/>
        </w:rPr>
        <w:t xml:space="preserve">основной </w:t>
      </w:r>
      <w:r w:rsidR="001D2283" w:rsidRPr="00603B31">
        <w:rPr>
          <w:rFonts w:ascii="Times New Roman" w:hAnsi="Times New Roman" w:cs="Times New Roman"/>
          <w:sz w:val="28"/>
          <w:szCs w:val="28"/>
        </w:rPr>
        <w:t xml:space="preserve">группе в 1,79 раз ниже в сравнении с группой </w:t>
      </w:r>
      <w:r w:rsidR="00150538" w:rsidRPr="00603B31">
        <w:rPr>
          <w:rFonts w:ascii="Times New Roman" w:hAnsi="Times New Roman" w:cs="Times New Roman"/>
          <w:sz w:val="28"/>
          <w:szCs w:val="28"/>
        </w:rPr>
        <w:t xml:space="preserve">сравнения </w:t>
      </w:r>
      <w:r w:rsidR="001D2283" w:rsidRPr="00603B31">
        <w:rPr>
          <w:rFonts w:ascii="Times New Roman" w:hAnsi="Times New Roman" w:cs="Times New Roman"/>
          <w:sz w:val="28"/>
          <w:szCs w:val="28"/>
        </w:rPr>
        <w:t>(</w:t>
      </w:r>
      <w:r w:rsidR="004621A5" w:rsidRPr="00603B31">
        <w:rPr>
          <w:rFonts w:ascii="Times New Roman" w:eastAsia="Calibri" w:hAnsi="Times New Roman" w:cs="Times New Roman"/>
          <w:bCs/>
          <w:kern w:val="24"/>
          <w:sz w:val="28"/>
          <w:szCs w:val="28"/>
        </w:rPr>
        <w:t>618,35±265,32 МЕ и 1108,5±486,37 МЕ соответственно,</w:t>
      </w:r>
      <w:r w:rsidR="004621A5" w:rsidRPr="00603B31">
        <w:rPr>
          <w:rFonts w:ascii="Times New Roman" w:hAnsi="Times New Roman" w:cs="Times New Roman"/>
          <w:sz w:val="28"/>
          <w:szCs w:val="28"/>
        </w:rPr>
        <w:t xml:space="preserve"> </w:t>
      </w:r>
      <w:r w:rsidR="001D2283" w:rsidRPr="00603B31">
        <w:rPr>
          <w:rFonts w:ascii="Times New Roman" w:hAnsi="Times New Roman" w:cs="Times New Roman"/>
          <w:sz w:val="28"/>
          <w:szCs w:val="28"/>
        </w:rPr>
        <w:t xml:space="preserve">р </w:t>
      </w:r>
      <w:r w:rsidRPr="00603B31">
        <w:rPr>
          <w:rFonts w:ascii="Times New Roman" w:hAnsi="Times New Roman" w:cs="Times New Roman"/>
          <w:sz w:val="28"/>
          <w:szCs w:val="28"/>
        </w:rPr>
        <w:t>&lt;</w:t>
      </w:r>
      <w:r w:rsidR="001D2283" w:rsidRPr="00603B31">
        <w:rPr>
          <w:rFonts w:ascii="Times New Roman" w:hAnsi="Times New Roman" w:cs="Times New Roman"/>
          <w:sz w:val="28"/>
          <w:szCs w:val="28"/>
        </w:rPr>
        <w:t xml:space="preserve"> 0,05).</w:t>
      </w:r>
      <w:r w:rsidR="001D2283" w:rsidRPr="00603B31">
        <w:rPr>
          <w:rFonts w:ascii="Times New Roman" w:eastAsia="Arial Unicode MS" w:hAnsi="Times New Roman" w:cs="Times New Roman"/>
          <w:sz w:val="28"/>
          <w:szCs w:val="28"/>
        </w:rPr>
        <w:t xml:space="preserve"> </w:t>
      </w:r>
      <w:r w:rsidR="001D2283" w:rsidRPr="00603B31">
        <w:rPr>
          <w:rFonts w:ascii="Times New Roman" w:eastAsia="Calibri" w:hAnsi="Times New Roman" w:cs="Times New Roman"/>
          <w:bCs/>
          <w:kern w:val="24"/>
          <w:sz w:val="28"/>
          <w:szCs w:val="28"/>
        </w:rPr>
        <w:t xml:space="preserve">Таким образом, ответ на стимуляцию суперовуляции в группе </w:t>
      </w:r>
      <w:r w:rsidR="00150538" w:rsidRPr="00603B31">
        <w:rPr>
          <w:rFonts w:ascii="Times New Roman" w:eastAsia="Calibri" w:hAnsi="Times New Roman" w:cs="Times New Roman"/>
          <w:bCs/>
          <w:kern w:val="24"/>
          <w:sz w:val="28"/>
          <w:szCs w:val="28"/>
        </w:rPr>
        <w:t>пациенток</w:t>
      </w:r>
      <w:r w:rsidR="001D2283" w:rsidRPr="00603B31">
        <w:rPr>
          <w:rFonts w:ascii="Times New Roman" w:eastAsia="Calibri" w:hAnsi="Times New Roman" w:cs="Times New Roman"/>
          <w:bCs/>
          <w:kern w:val="24"/>
          <w:sz w:val="28"/>
          <w:szCs w:val="28"/>
        </w:rPr>
        <w:t>, получа</w:t>
      </w:r>
      <w:r w:rsidR="004621A5" w:rsidRPr="00603B31">
        <w:rPr>
          <w:rFonts w:ascii="Times New Roman" w:eastAsia="Calibri" w:hAnsi="Times New Roman" w:cs="Times New Roman"/>
          <w:bCs/>
          <w:kern w:val="24"/>
          <w:sz w:val="28"/>
          <w:szCs w:val="28"/>
        </w:rPr>
        <w:t>вших мио-инозитол, оказался выше, чем в группе сравнения</w:t>
      </w:r>
      <w:r w:rsidR="001D2283" w:rsidRPr="00603B31">
        <w:rPr>
          <w:rFonts w:ascii="Times New Roman" w:eastAsia="Calibri" w:hAnsi="Times New Roman" w:cs="Times New Roman"/>
          <w:bCs/>
          <w:kern w:val="24"/>
          <w:sz w:val="28"/>
          <w:szCs w:val="28"/>
        </w:rPr>
        <w:t xml:space="preserve">. </w:t>
      </w: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Default="00CC69C0" w:rsidP="00CC69C0">
      <w:pPr>
        <w:spacing w:after="0" w:line="360" w:lineRule="auto"/>
        <w:contextualSpacing/>
        <w:rPr>
          <w:rFonts w:ascii="Times New Roman" w:eastAsia="Calibri" w:hAnsi="Times New Roman" w:cs="Times New Roman"/>
          <w:bCs/>
          <w:kern w:val="24"/>
          <w:sz w:val="28"/>
          <w:szCs w:val="28"/>
        </w:rPr>
      </w:pPr>
    </w:p>
    <w:p w:rsidR="00CC69C0" w:rsidRPr="00603B31" w:rsidRDefault="00CC69C0" w:rsidP="00CC69C0">
      <w:pPr>
        <w:spacing w:after="0" w:line="240" w:lineRule="auto"/>
        <w:contextualSpacing/>
        <w:rPr>
          <w:rFonts w:ascii="Times New Roman" w:eastAsia="Calibri" w:hAnsi="Times New Roman" w:cs="Times New Roman"/>
          <w:bCs/>
          <w:kern w:val="24"/>
          <w:sz w:val="28"/>
          <w:szCs w:val="28"/>
        </w:rPr>
      </w:pPr>
      <w:r>
        <w:rPr>
          <w:rFonts w:ascii="Times New Roman" w:eastAsia="Calibri" w:hAnsi="Times New Roman" w:cs="Times New Roman"/>
          <w:bCs/>
          <w:kern w:val="24"/>
          <w:sz w:val="28"/>
          <w:szCs w:val="28"/>
        </w:rPr>
        <w:t>График 1. Сравнительная оценка эффективной дозы гонадотропинов в цикле ЭКО у пациенток со «слабым ответом»</w:t>
      </w:r>
    </w:p>
    <w:p w:rsidR="001D2283" w:rsidRPr="00603B31" w:rsidRDefault="001D2283" w:rsidP="001D2283">
      <w:pPr>
        <w:spacing w:after="0" w:line="360" w:lineRule="auto"/>
        <w:contextualSpacing/>
        <w:rPr>
          <w:rFonts w:ascii="Times New Roman" w:hAnsi="Times New Roman" w:cs="Times New Roman"/>
          <w:sz w:val="28"/>
          <w:szCs w:val="28"/>
        </w:rPr>
      </w:pPr>
      <w:r w:rsidRPr="00603B31">
        <w:rPr>
          <w:rFonts w:ascii="Times New Roman" w:hAnsi="Times New Roman" w:cs="Times New Roman"/>
          <w:noProof/>
          <w:sz w:val="28"/>
          <w:szCs w:val="28"/>
        </w:rPr>
        <w:drawing>
          <wp:inline distT="0" distB="0" distL="0" distR="0" wp14:anchorId="2A3F4CDE" wp14:editId="59749B9E">
            <wp:extent cx="5747657" cy="2579914"/>
            <wp:effectExtent l="0" t="0" r="5715"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03B31">
        <w:rPr>
          <w:rFonts w:ascii="Times New Roman" w:hAnsi="Times New Roman" w:cs="Times New Roman"/>
          <w:sz w:val="28"/>
          <w:szCs w:val="28"/>
        </w:rPr>
        <w:t xml:space="preserve"> </w:t>
      </w:r>
    </w:p>
    <w:p w:rsidR="001D2283" w:rsidRPr="00603B31" w:rsidRDefault="001D2283" w:rsidP="001D2283">
      <w:pPr>
        <w:spacing w:after="0" w:line="360" w:lineRule="auto"/>
        <w:contextualSpacing/>
        <w:rPr>
          <w:rFonts w:ascii="Times New Roman" w:hAnsi="Times New Roman" w:cs="Times New Roman"/>
          <w:b/>
          <w:sz w:val="28"/>
          <w:szCs w:val="28"/>
        </w:rPr>
      </w:pPr>
    </w:p>
    <w:p w:rsidR="001D2283" w:rsidRPr="00603B31" w:rsidRDefault="00287848" w:rsidP="001D2283">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 xml:space="preserve">3.2 </w:t>
      </w:r>
      <w:r w:rsidR="001D2283" w:rsidRPr="00603B31">
        <w:rPr>
          <w:rFonts w:ascii="Times New Roman" w:hAnsi="Times New Roman" w:cs="Times New Roman"/>
          <w:b/>
          <w:sz w:val="28"/>
          <w:szCs w:val="28"/>
        </w:rPr>
        <w:t xml:space="preserve">Оценка эмбриологического этапа. </w:t>
      </w:r>
    </w:p>
    <w:p w:rsidR="00CC69C0" w:rsidRDefault="001D2283"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При оценке эмбриологического этапа не было выявлено достоверных различий </w:t>
      </w:r>
      <w:r w:rsidR="00150538" w:rsidRPr="00603B31">
        <w:rPr>
          <w:rFonts w:ascii="Times New Roman" w:hAnsi="Times New Roman" w:cs="Times New Roman"/>
          <w:sz w:val="28"/>
          <w:szCs w:val="28"/>
        </w:rPr>
        <w:t xml:space="preserve">в обеих группах </w:t>
      </w:r>
      <w:r w:rsidRPr="00603B31">
        <w:rPr>
          <w:rFonts w:ascii="Times New Roman" w:hAnsi="Times New Roman" w:cs="Times New Roman"/>
          <w:sz w:val="28"/>
          <w:szCs w:val="28"/>
        </w:rPr>
        <w:t xml:space="preserve">между показателями </w:t>
      </w:r>
      <w:r w:rsidR="00150538" w:rsidRPr="00603B31">
        <w:rPr>
          <w:rFonts w:ascii="Times New Roman" w:hAnsi="Times New Roman" w:cs="Times New Roman"/>
          <w:sz w:val="28"/>
          <w:szCs w:val="28"/>
        </w:rPr>
        <w:t xml:space="preserve">количества и качества </w:t>
      </w:r>
      <w:r w:rsidRPr="00603B31">
        <w:rPr>
          <w:rFonts w:ascii="Times New Roman" w:hAnsi="Times New Roman" w:cs="Times New Roman"/>
          <w:sz w:val="28"/>
          <w:szCs w:val="28"/>
        </w:rPr>
        <w:t>эмбрионов</w:t>
      </w:r>
      <w:r w:rsidR="00150538" w:rsidRPr="00603B31">
        <w:rPr>
          <w:rFonts w:ascii="Times New Roman" w:hAnsi="Times New Roman" w:cs="Times New Roman"/>
          <w:sz w:val="28"/>
          <w:szCs w:val="28"/>
        </w:rPr>
        <w:t>, а также количеством криоконсервированных эмбрионов (таблица 4)</w:t>
      </w:r>
      <w:r w:rsidRPr="00603B31">
        <w:rPr>
          <w:rFonts w:ascii="Times New Roman" w:hAnsi="Times New Roman" w:cs="Times New Roman"/>
          <w:sz w:val="28"/>
          <w:szCs w:val="28"/>
        </w:rPr>
        <w:t xml:space="preserve">. </w:t>
      </w:r>
    </w:p>
    <w:p w:rsidR="001D2283" w:rsidRPr="00603B31" w:rsidRDefault="00CC69C0" w:rsidP="00CC69C0">
      <w:pPr>
        <w:spacing w:after="0" w:line="360" w:lineRule="auto"/>
        <w:contextualSpacing/>
        <w:rPr>
          <w:rFonts w:ascii="Times New Roman" w:hAnsi="Times New Roman" w:cs="Times New Roman"/>
          <w:sz w:val="28"/>
          <w:szCs w:val="28"/>
        </w:rPr>
      </w:pPr>
      <w:r w:rsidRPr="00603B31">
        <w:rPr>
          <w:rFonts w:ascii="Times New Roman" w:hAnsi="Times New Roman" w:cs="Times New Roman"/>
          <w:sz w:val="28"/>
          <w:szCs w:val="28"/>
        </w:rPr>
        <w:t>Таблица 4. Сравнительная оценка качества эмбрионов</w:t>
      </w:r>
    </w:p>
    <w:tbl>
      <w:tblPr>
        <w:tblStyle w:val="aa"/>
        <w:tblW w:w="0" w:type="auto"/>
        <w:tblLook w:val="04A0" w:firstRow="1" w:lastRow="0" w:firstColumn="1" w:lastColumn="0" w:noHBand="0" w:noVBand="1"/>
      </w:tblPr>
      <w:tblGrid>
        <w:gridCol w:w="3899"/>
        <w:gridCol w:w="2079"/>
        <w:gridCol w:w="2102"/>
        <w:gridCol w:w="1383"/>
      </w:tblGrid>
      <w:tr w:rsidR="001D2283" w:rsidRPr="00603B31" w:rsidTr="001D2283">
        <w:tc>
          <w:tcPr>
            <w:tcW w:w="3899" w:type="dxa"/>
          </w:tcPr>
          <w:p w:rsidR="001D2283" w:rsidRPr="00603B31" w:rsidRDefault="001D2283" w:rsidP="001D2283">
            <w:pPr>
              <w:jc w:val="center"/>
              <w:rPr>
                <w:rFonts w:ascii="Times New Roman" w:hAnsi="Times New Roman" w:cs="Times New Roman"/>
              </w:rPr>
            </w:pPr>
          </w:p>
        </w:tc>
        <w:tc>
          <w:tcPr>
            <w:tcW w:w="2079" w:type="dxa"/>
          </w:tcPr>
          <w:p w:rsidR="001D2283" w:rsidRPr="00603B31" w:rsidRDefault="001D2283" w:rsidP="001D2283">
            <w:pPr>
              <w:jc w:val="center"/>
              <w:rPr>
                <w:rFonts w:ascii="Times New Roman" w:hAnsi="Times New Roman" w:cs="Times New Roman"/>
              </w:rPr>
            </w:pPr>
            <w:r w:rsidRPr="00603B31">
              <w:rPr>
                <w:rFonts w:ascii="Times New Roman" w:hAnsi="Times New Roman" w:cs="Times New Roman"/>
              </w:rPr>
              <w:t>основная группа</w:t>
            </w:r>
          </w:p>
        </w:tc>
        <w:tc>
          <w:tcPr>
            <w:tcW w:w="2102" w:type="dxa"/>
          </w:tcPr>
          <w:p w:rsidR="001D2283" w:rsidRPr="00603B31" w:rsidRDefault="001D2283" w:rsidP="001D2283">
            <w:pPr>
              <w:jc w:val="center"/>
              <w:rPr>
                <w:rFonts w:ascii="Times New Roman" w:hAnsi="Times New Roman" w:cs="Times New Roman"/>
              </w:rPr>
            </w:pPr>
            <w:r w:rsidRPr="00603B31">
              <w:rPr>
                <w:rFonts w:ascii="Times New Roman" w:hAnsi="Times New Roman" w:cs="Times New Roman"/>
              </w:rPr>
              <w:t>группа сравнения</w:t>
            </w:r>
          </w:p>
        </w:tc>
        <w:tc>
          <w:tcPr>
            <w:tcW w:w="1383" w:type="dxa"/>
          </w:tcPr>
          <w:p w:rsidR="001D2283" w:rsidRPr="00603B31" w:rsidRDefault="001D2283" w:rsidP="001D2283">
            <w:pPr>
              <w:jc w:val="center"/>
              <w:rPr>
                <w:rFonts w:ascii="Times New Roman" w:hAnsi="Times New Roman" w:cs="Times New Roman"/>
              </w:rPr>
            </w:pPr>
            <w:r w:rsidRPr="00603B31">
              <w:rPr>
                <w:rFonts w:ascii="Times New Roman" w:hAnsi="Times New Roman" w:cs="Times New Roman"/>
              </w:rPr>
              <w:t>p</w:t>
            </w:r>
          </w:p>
        </w:tc>
      </w:tr>
      <w:tr w:rsidR="001D2283" w:rsidRPr="00603B31" w:rsidTr="001D2283">
        <w:trPr>
          <w:trHeight w:val="471"/>
        </w:trPr>
        <w:tc>
          <w:tcPr>
            <w:tcW w:w="3899" w:type="dxa"/>
          </w:tcPr>
          <w:p w:rsidR="001D2283" w:rsidRPr="00603B31" w:rsidRDefault="001D2283" w:rsidP="001D2283">
            <w:pPr>
              <w:contextualSpacing/>
              <w:rPr>
                <w:rFonts w:ascii="Times New Roman" w:eastAsia="Arial Unicode MS" w:hAnsi="Times New Roman" w:cs="Times New Roman"/>
              </w:rPr>
            </w:pPr>
            <w:r w:rsidRPr="00603B31">
              <w:rPr>
                <w:rFonts w:ascii="Times New Roman" w:eastAsia="Arial Unicode MS" w:hAnsi="Times New Roman" w:cs="Times New Roman"/>
                <w:bCs/>
              </w:rPr>
              <w:t>Количество эмбрионов хорошего качества (класс A,B)</w:t>
            </w:r>
          </w:p>
        </w:tc>
        <w:tc>
          <w:tcPr>
            <w:tcW w:w="2079" w:type="dxa"/>
          </w:tcPr>
          <w:p w:rsidR="001D2283" w:rsidRPr="00603B31" w:rsidRDefault="001D2283" w:rsidP="001D2283">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4,14 (</w:t>
            </w:r>
            <w:r w:rsidRPr="00603B31">
              <w:rPr>
                <w:rFonts w:ascii="Times New Roman" w:eastAsia="Calibri" w:hAnsi="Times New Roman" w:cs="Times New Roman"/>
                <w:bCs/>
                <w:kern w:val="24"/>
              </w:rPr>
              <w:t>±</w:t>
            </w:r>
            <w:r w:rsidRPr="00603B31">
              <w:rPr>
                <w:rFonts w:ascii="Times New Roman" w:eastAsia="Arial Unicode MS" w:hAnsi="Times New Roman" w:cs="Times New Roman"/>
              </w:rPr>
              <w:t>1,22)</w:t>
            </w:r>
          </w:p>
        </w:tc>
        <w:tc>
          <w:tcPr>
            <w:tcW w:w="2102" w:type="dxa"/>
          </w:tcPr>
          <w:p w:rsidR="001D2283" w:rsidRPr="00603B31" w:rsidRDefault="001D2283" w:rsidP="000B26D4">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2,35 (</w:t>
            </w:r>
            <w:r w:rsidRPr="00603B31">
              <w:rPr>
                <w:rFonts w:ascii="Times New Roman" w:eastAsia="Calibri" w:hAnsi="Times New Roman" w:cs="Times New Roman"/>
                <w:bCs/>
                <w:kern w:val="24"/>
              </w:rPr>
              <w:t>±</w:t>
            </w:r>
            <w:r w:rsidRPr="00603B31">
              <w:rPr>
                <w:rFonts w:ascii="Times New Roman" w:eastAsia="Arial Unicode MS" w:hAnsi="Times New Roman" w:cs="Times New Roman"/>
              </w:rPr>
              <w:t>0,85)</w:t>
            </w:r>
          </w:p>
        </w:tc>
        <w:tc>
          <w:tcPr>
            <w:tcW w:w="1383" w:type="dxa"/>
          </w:tcPr>
          <w:p w:rsidR="001D2283" w:rsidRPr="00603B31" w:rsidRDefault="001D2283" w:rsidP="001D2283">
            <w:pPr>
              <w:spacing w:before="120"/>
              <w:contextualSpacing/>
              <w:jc w:val="center"/>
              <w:rPr>
                <w:rFonts w:ascii="Times New Roman" w:hAnsi="Times New Roman" w:cs="Times New Roman"/>
              </w:rPr>
            </w:pPr>
            <w:r w:rsidRPr="00603B31">
              <w:rPr>
                <w:rFonts w:ascii="Times New Roman" w:hAnsi="Times New Roman" w:cs="Times New Roman"/>
              </w:rPr>
              <w:t>&gt;</w:t>
            </w:r>
            <w:r w:rsidR="00D90975" w:rsidRPr="00603B31">
              <w:rPr>
                <w:rFonts w:ascii="Times New Roman" w:hAnsi="Times New Roman" w:cs="Times New Roman"/>
              </w:rPr>
              <w:t xml:space="preserve"> </w:t>
            </w:r>
            <w:r w:rsidRPr="00603B31">
              <w:rPr>
                <w:rFonts w:ascii="Times New Roman" w:hAnsi="Times New Roman" w:cs="Times New Roman"/>
              </w:rPr>
              <w:t>0,05</w:t>
            </w:r>
          </w:p>
        </w:tc>
      </w:tr>
      <w:tr w:rsidR="00D90975" w:rsidRPr="00603B31" w:rsidTr="008D5C8C">
        <w:trPr>
          <w:trHeight w:val="471"/>
        </w:trPr>
        <w:tc>
          <w:tcPr>
            <w:tcW w:w="3899" w:type="dxa"/>
            <w:vAlign w:val="center"/>
          </w:tcPr>
          <w:p w:rsidR="00D90975" w:rsidRPr="00603B31" w:rsidRDefault="00D90975">
            <w:pPr>
              <w:pStyle w:val="a9"/>
              <w:spacing w:before="0" w:beforeAutospacing="0" w:after="0" w:afterAutospacing="0"/>
              <w:rPr>
                <w:lang w:val="ru-RU"/>
              </w:rPr>
            </w:pPr>
            <w:r w:rsidRPr="00603B31">
              <w:rPr>
                <w:lang w:val="ru-RU"/>
              </w:rPr>
              <w:t>Общее количество эмбрионов</w:t>
            </w:r>
          </w:p>
        </w:tc>
        <w:tc>
          <w:tcPr>
            <w:tcW w:w="2079" w:type="dxa"/>
            <w:vAlign w:val="center"/>
          </w:tcPr>
          <w:p w:rsidR="00D90975" w:rsidRPr="00603B31" w:rsidRDefault="00D90975" w:rsidP="00D90975">
            <w:pPr>
              <w:pStyle w:val="a9"/>
              <w:spacing w:before="0" w:beforeAutospacing="0" w:after="0" w:afterAutospacing="0"/>
              <w:jc w:val="center"/>
            </w:pPr>
            <w:r w:rsidRPr="00603B31">
              <w:rPr>
                <w:bCs/>
                <w:kern w:val="24"/>
                <w:lang w:val="ru-RU"/>
              </w:rPr>
              <w:t>4,18 (</w:t>
            </w:r>
            <w:r w:rsidRPr="00603B31">
              <w:rPr>
                <w:rFonts w:eastAsia="Calibri"/>
                <w:bCs/>
                <w:kern w:val="24"/>
              </w:rPr>
              <w:t>±</w:t>
            </w:r>
            <w:r w:rsidRPr="00603B31">
              <w:rPr>
                <w:bCs/>
                <w:kern w:val="24"/>
                <w:lang w:val="ru-RU"/>
              </w:rPr>
              <w:t>0,72)</w:t>
            </w:r>
          </w:p>
        </w:tc>
        <w:tc>
          <w:tcPr>
            <w:tcW w:w="2102" w:type="dxa"/>
            <w:vAlign w:val="center"/>
          </w:tcPr>
          <w:p w:rsidR="00D90975" w:rsidRPr="00603B31" w:rsidRDefault="00D90975" w:rsidP="00D90975">
            <w:pPr>
              <w:pStyle w:val="a9"/>
              <w:spacing w:before="0" w:beforeAutospacing="0" w:after="0" w:afterAutospacing="0"/>
              <w:jc w:val="center"/>
              <w:rPr>
                <w:lang w:val="ru-RU"/>
              </w:rPr>
            </w:pPr>
            <w:r w:rsidRPr="00603B31">
              <w:rPr>
                <w:bCs/>
                <w:kern w:val="24"/>
                <w:lang w:val="ru-RU"/>
              </w:rPr>
              <w:t>2,15 (</w:t>
            </w:r>
            <w:r w:rsidRPr="00603B31">
              <w:rPr>
                <w:rFonts w:eastAsia="Calibri"/>
                <w:bCs/>
                <w:kern w:val="24"/>
              </w:rPr>
              <w:t>±</w:t>
            </w:r>
            <w:r w:rsidRPr="00603B31">
              <w:rPr>
                <w:bCs/>
                <w:kern w:val="24"/>
                <w:lang w:val="ru-RU"/>
              </w:rPr>
              <w:t>1,15)</w:t>
            </w:r>
          </w:p>
        </w:tc>
        <w:tc>
          <w:tcPr>
            <w:tcW w:w="1383" w:type="dxa"/>
          </w:tcPr>
          <w:p w:rsidR="00D90975" w:rsidRPr="00603B31" w:rsidRDefault="00D90975" w:rsidP="000B26D4">
            <w:pPr>
              <w:pStyle w:val="a9"/>
              <w:spacing w:before="0" w:beforeAutospacing="0" w:after="0" w:afterAutospacing="0"/>
              <w:jc w:val="center"/>
              <w:rPr>
                <w:lang w:val="ru-RU"/>
              </w:rPr>
            </w:pPr>
            <w:r w:rsidRPr="00603B31">
              <w:t>&gt;</w:t>
            </w:r>
            <w:r w:rsidR="000B26D4" w:rsidRPr="00603B31">
              <w:rPr>
                <w:lang w:val="ru-RU"/>
              </w:rPr>
              <w:t xml:space="preserve"> </w:t>
            </w:r>
            <w:r w:rsidRPr="00603B31">
              <w:t>0,05</w:t>
            </w:r>
          </w:p>
        </w:tc>
      </w:tr>
      <w:tr w:rsidR="001D2283" w:rsidRPr="00603B31" w:rsidTr="001D2283">
        <w:tc>
          <w:tcPr>
            <w:tcW w:w="3899" w:type="dxa"/>
          </w:tcPr>
          <w:p w:rsidR="001D2283" w:rsidRPr="00603B31" w:rsidRDefault="00D90975" w:rsidP="001D2283">
            <w:pPr>
              <w:contextualSpacing/>
              <w:rPr>
                <w:rFonts w:ascii="Times New Roman" w:eastAsia="Arial Unicode MS" w:hAnsi="Times New Roman" w:cs="Times New Roman"/>
                <w:bCs/>
              </w:rPr>
            </w:pPr>
            <w:r w:rsidRPr="00603B31">
              <w:rPr>
                <w:rFonts w:ascii="Times New Roman" w:eastAsia="Arial Unicode MS" w:hAnsi="Times New Roman" w:cs="Times New Roman"/>
                <w:bCs/>
              </w:rPr>
              <w:t>Количест</w:t>
            </w:r>
            <w:r w:rsidR="000B26D4" w:rsidRPr="00603B31">
              <w:rPr>
                <w:rFonts w:ascii="Times New Roman" w:eastAsia="Arial Unicode MS" w:hAnsi="Times New Roman" w:cs="Times New Roman"/>
                <w:bCs/>
              </w:rPr>
              <w:t>в</w:t>
            </w:r>
            <w:r w:rsidRPr="00603B31">
              <w:rPr>
                <w:rFonts w:ascii="Times New Roman" w:eastAsia="Arial Unicode MS" w:hAnsi="Times New Roman" w:cs="Times New Roman"/>
                <w:bCs/>
              </w:rPr>
              <w:t>о криоконсервированных эм</w:t>
            </w:r>
            <w:r w:rsidR="000B26D4" w:rsidRPr="00603B31">
              <w:rPr>
                <w:rFonts w:ascii="Times New Roman" w:eastAsia="Arial Unicode MS" w:hAnsi="Times New Roman" w:cs="Times New Roman"/>
                <w:bCs/>
              </w:rPr>
              <w:t>б</w:t>
            </w:r>
            <w:r w:rsidRPr="00603B31">
              <w:rPr>
                <w:rFonts w:ascii="Times New Roman" w:eastAsia="Arial Unicode MS" w:hAnsi="Times New Roman" w:cs="Times New Roman"/>
                <w:bCs/>
              </w:rPr>
              <w:t>рионов</w:t>
            </w:r>
          </w:p>
        </w:tc>
        <w:tc>
          <w:tcPr>
            <w:tcW w:w="2079" w:type="dxa"/>
          </w:tcPr>
          <w:p w:rsidR="001D2283" w:rsidRPr="00603B31" w:rsidRDefault="00D90975" w:rsidP="000B26D4">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2,31</w:t>
            </w:r>
            <w:r w:rsidR="000B26D4" w:rsidRPr="00603B31">
              <w:rPr>
                <w:rFonts w:ascii="Times New Roman" w:eastAsia="Arial Unicode MS" w:hAnsi="Times New Roman" w:cs="Times New Roman"/>
              </w:rPr>
              <w:t>(</w:t>
            </w:r>
            <w:r w:rsidR="000B26D4" w:rsidRPr="00603B31">
              <w:rPr>
                <w:rFonts w:ascii="Times New Roman" w:eastAsia="Calibri" w:hAnsi="Times New Roman" w:cs="Times New Roman"/>
                <w:bCs/>
                <w:kern w:val="24"/>
              </w:rPr>
              <w:t>±0,67)</w:t>
            </w:r>
          </w:p>
        </w:tc>
        <w:tc>
          <w:tcPr>
            <w:tcW w:w="2102" w:type="dxa"/>
          </w:tcPr>
          <w:p w:rsidR="001D2283" w:rsidRPr="00603B31" w:rsidRDefault="00D90975" w:rsidP="001D2283">
            <w:pPr>
              <w:contextualSpacing/>
              <w:jc w:val="center"/>
              <w:rPr>
                <w:rFonts w:ascii="Times New Roman" w:eastAsia="Arial Unicode MS" w:hAnsi="Times New Roman" w:cs="Times New Roman"/>
              </w:rPr>
            </w:pPr>
            <w:r w:rsidRPr="00603B31">
              <w:rPr>
                <w:rFonts w:ascii="Times New Roman" w:eastAsia="Arial Unicode MS" w:hAnsi="Times New Roman" w:cs="Times New Roman"/>
              </w:rPr>
              <w:t>1,07</w:t>
            </w:r>
            <w:r w:rsidR="000B26D4" w:rsidRPr="00603B31">
              <w:rPr>
                <w:rFonts w:ascii="Times New Roman" w:eastAsia="Arial Unicode MS" w:hAnsi="Times New Roman" w:cs="Times New Roman"/>
              </w:rPr>
              <w:t xml:space="preserve"> (</w:t>
            </w:r>
            <w:r w:rsidR="000B26D4" w:rsidRPr="00603B31">
              <w:rPr>
                <w:rFonts w:ascii="Times New Roman" w:eastAsia="Calibri" w:hAnsi="Times New Roman" w:cs="Times New Roman"/>
                <w:bCs/>
                <w:kern w:val="24"/>
              </w:rPr>
              <w:t>±0,93)</w:t>
            </w:r>
          </w:p>
        </w:tc>
        <w:tc>
          <w:tcPr>
            <w:tcW w:w="1383"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&gt;</w:t>
            </w:r>
            <w:r w:rsidR="000B26D4" w:rsidRPr="00603B31">
              <w:rPr>
                <w:rFonts w:ascii="Times New Roman" w:hAnsi="Times New Roman" w:cs="Times New Roman"/>
              </w:rPr>
              <w:t xml:space="preserve"> </w:t>
            </w:r>
            <w:r w:rsidRPr="00603B31">
              <w:rPr>
                <w:rFonts w:ascii="Times New Roman" w:hAnsi="Times New Roman" w:cs="Times New Roman"/>
              </w:rPr>
              <w:t>0,05</w:t>
            </w:r>
          </w:p>
        </w:tc>
      </w:tr>
      <w:tr w:rsidR="001D2283" w:rsidRPr="00603B31" w:rsidTr="001D2283">
        <w:tc>
          <w:tcPr>
            <w:tcW w:w="9463" w:type="dxa"/>
            <w:gridSpan w:val="4"/>
          </w:tcPr>
          <w:p w:rsidR="001D2283" w:rsidRPr="00603B31" w:rsidRDefault="001D2283" w:rsidP="001D2283">
            <w:pPr>
              <w:contextualSpacing/>
              <w:rPr>
                <w:rFonts w:ascii="Times New Roman" w:hAnsi="Times New Roman" w:cs="Times New Roman"/>
                <w:sz w:val="20"/>
                <w:szCs w:val="20"/>
              </w:rPr>
            </w:pPr>
            <w:r w:rsidRPr="00603B31">
              <w:rPr>
                <w:rFonts w:ascii="Times New Roman" w:hAnsi="Times New Roman" w:cs="Times New Roman"/>
                <w:sz w:val="20"/>
                <w:szCs w:val="20"/>
              </w:rPr>
              <w:t>Расчет критерия Стьюдента</w:t>
            </w:r>
          </w:p>
        </w:tc>
      </w:tr>
    </w:tbl>
    <w:p w:rsidR="00CC69C0" w:rsidRDefault="00CC69C0" w:rsidP="004E0E93">
      <w:pPr>
        <w:spacing w:after="0" w:line="360" w:lineRule="auto"/>
        <w:ind w:firstLine="708"/>
        <w:contextualSpacing/>
        <w:rPr>
          <w:rFonts w:ascii="Times New Roman" w:hAnsi="Times New Roman" w:cs="Times New Roman"/>
          <w:sz w:val="28"/>
          <w:szCs w:val="28"/>
        </w:rPr>
      </w:pPr>
    </w:p>
    <w:p w:rsidR="00CC69C0" w:rsidRDefault="004E0E93" w:rsidP="004E0E93">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С целью нахождения </w:t>
      </w:r>
      <w:r w:rsidR="00381FA5" w:rsidRPr="00603B31">
        <w:rPr>
          <w:rFonts w:ascii="Times New Roman" w:hAnsi="Times New Roman" w:cs="Times New Roman"/>
          <w:sz w:val="28"/>
          <w:szCs w:val="28"/>
        </w:rPr>
        <w:t>связи между факторами результативности протоколов ЭКО и приёмом мио-инозитола у пациенток со «слаыбм ответом» на стимуляцию суперовуляции был проведё</w:t>
      </w:r>
      <w:r w:rsidRPr="00603B31">
        <w:rPr>
          <w:rFonts w:ascii="Times New Roman" w:hAnsi="Times New Roman" w:cs="Times New Roman"/>
          <w:sz w:val="28"/>
          <w:szCs w:val="28"/>
        </w:rPr>
        <w:t>н корреляционный анализ</w:t>
      </w:r>
      <w:r w:rsidR="00381FA5" w:rsidRPr="00603B31">
        <w:rPr>
          <w:rFonts w:ascii="Times New Roman" w:hAnsi="Times New Roman" w:cs="Times New Roman"/>
          <w:sz w:val="28"/>
          <w:szCs w:val="28"/>
        </w:rPr>
        <w:t xml:space="preserve"> (таблица 5)</w:t>
      </w:r>
      <w:r w:rsidRPr="00603B31">
        <w:rPr>
          <w:rFonts w:ascii="Times New Roman" w:hAnsi="Times New Roman" w:cs="Times New Roman"/>
          <w:sz w:val="28"/>
          <w:szCs w:val="28"/>
        </w:rPr>
        <w:t xml:space="preserve">. </w:t>
      </w:r>
    </w:p>
    <w:p w:rsidR="00CC69C0" w:rsidRDefault="00CC69C0" w:rsidP="004E0E93">
      <w:pPr>
        <w:spacing w:after="0" w:line="360" w:lineRule="auto"/>
        <w:ind w:firstLine="708"/>
        <w:contextualSpacing/>
        <w:rPr>
          <w:rFonts w:ascii="Times New Roman" w:hAnsi="Times New Roman" w:cs="Times New Roman"/>
          <w:sz w:val="28"/>
          <w:szCs w:val="28"/>
        </w:rPr>
      </w:pPr>
    </w:p>
    <w:p w:rsidR="00CC69C0" w:rsidRDefault="00CC69C0" w:rsidP="004E0E93">
      <w:pPr>
        <w:spacing w:after="0" w:line="360" w:lineRule="auto"/>
        <w:ind w:firstLine="708"/>
        <w:contextualSpacing/>
        <w:rPr>
          <w:rFonts w:ascii="Times New Roman" w:hAnsi="Times New Roman" w:cs="Times New Roman"/>
          <w:sz w:val="28"/>
          <w:szCs w:val="28"/>
        </w:rPr>
      </w:pPr>
    </w:p>
    <w:p w:rsidR="00CC69C0" w:rsidRDefault="00CC69C0" w:rsidP="004E0E93">
      <w:pPr>
        <w:spacing w:after="0" w:line="360" w:lineRule="auto"/>
        <w:ind w:firstLine="708"/>
        <w:contextualSpacing/>
        <w:rPr>
          <w:rFonts w:ascii="Times New Roman" w:hAnsi="Times New Roman" w:cs="Times New Roman"/>
          <w:sz w:val="28"/>
          <w:szCs w:val="28"/>
        </w:rPr>
      </w:pPr>
    </w:p>
    <w:p w:rsidR="004E0E93" w:rsidRPr="00603B31" w:rsidRDefault="00CC69C0" w:rsidP="00CC69C0">
      <w:pPr>
        <w:spacing w:after="0" w:line="240" w:lineRule="auto"/>
        <w:contextualSpacing/>
        <w:rPr>
          <w:rFonts w:ascii="Times New Roman" w:hAnsi="Times New Roman" w:cs="Times New Roman"/>
          <w:sz w:val="28"/>
          <w:szCs w:val="28"/>
        </w:rPr>
      </w:pPr>
      <w:r w:rsidRPr="00603B31">
        <w:rPr>
          <w:rFonts w:ascii="Times New Roman" w:hAnsi="Times New Roman" w:cs="Times New Roman"/>
          <w:sz w:val="28"/>
          <w:szCs w:val="28"/>
        </w:rPr>
        <w:t xml:space="preserve">Таблица 5. </w:t>
      </w:r>
      <w:r w:rsidRPr="00603B31">
        <w:rPr>
          <w:rFonts w:ascii="Times New Roman" w:hAnsi="Times New Roman" w:cs="Times New Roman"/>
          <w:bCs/>
          <w:sz w:val="28"/>
          <w:szCs w:val="28"/>
        </w:rPr>
        <w:t>Сопоставление факторов результативности протоколов ЭКО с применением мио-инозитола у пациенток со «слабым ответом» на стимуляцию суперовуляции</w:t>
      </w:r>
    </w:p>
    <w:tbl>
      <w:tblPr>
        <w:tblStyle w:val="aa"/>
        <w:tblW w:w="0" w:type="auto"/>
        <w:tblLook w:val="04A0" w:firstRow="1" w:lastRow="0" w:firstColumn="1" w:lastColumn="0" w:noHBand="0" w:noVBand="1"/>
      </w:tblPr>
      <w:tblGrid>
        <w:gridCol w:w="2640"/>
        <w:gridCol w:w="2893"/>
        <w:gridCol w:w="2975"/>
        <w:gridCol w:w="1063"/>
      </w:tblGrid>
      <w:tr w:rsidR="004E0E93" w:rsidRPr="00603B31" w:rsidTr="004E0E93">
        <w:tc>
          <w:tcPr>
            <w:tcW w:w="2640" w:type="dxa"/>
          </w:tcPr>
          <w:p w:rsidR="004E0E93" w:rsidRPr="00603B31" w:rsidRDefault="004E0E93" w:rsidP="008D5C8C">
            <w:pPr>
              <w:contextualSpacing/>
              <w:jc w:val="center"/>
              <w:rPr>
                <w:rFonts w:ascii="Times New Roman" w:hAnsi="Times New Roman" w:cs="Times New Roman"/>
              </w:rPr>
            </w:pPr>
          </w:p>
        </w:tc>
        <w:tc>
          <w:tcPr>
            <w:tcW w:w="2893" w:type="dxa"/>
          </w:tcPr>
          <w:p w:rsidR="004E0E93" w:rsidRPr="00603B31" w:rsidRDefault="004E0E93" w:rsidP="008D5C8C">
            <w:pPr>
              <w:contextualSpacing/>
              <w:jc w:val="center"/>
              <w:rPr>
                <w:rFonts w:ascii="Times New Roman" w:hAnsi="Times New Roman" w:cs="Times New Roman"/>
                <w:lang w:val="en-US"/>
              </w:rPr>
            </w:pPr>
            <w:r w:rsidRPr="00603B31">
              <w:rPr>
                <w:rFonts w:ascii="Times New Roman" w:hAnsi="Times New Roman" w:cs="Times New Roman"/>
                <w:lang w:val="en-US"/>
              </w:rPr>
              <w:t>t</w:t>
            </w:r>
          </w:p>
        </w:tc>
        <w:tc>
          <w:tcPr>
            <w:tcW w:w="2975" w:type="dxa"/>
          </w:tcPr>
          <w:p w:rsidR="004E0E93" w:rsidRPr="00603B31" w:rsidRDefault="004E0E93" w:rsidP="008D5C8C">
            <w:pPr>
              <w:contextualSpacing/>
              <w:jc w:val="center"/>
              <w:rPr>
                <w:rFonts w:ascii="Times New Roman" w:hAnsi="Times New Roman" w:cs="Times New Roman"/>
              </w:rPr>
            </w:pPr>
            <w:r w:rsidRPr="00603B31">
              <w:rPr>
                <w:rFonts w:ascii="Times New Roman" w:hAnsi="Times New Roman" w:cs="Times New Roman"/>
              </w:rPr>
              <w:t xml:space="preserve">Критическое значение </w:t>
            </w:r>
            <w:r w:rsidRPr="00603B31">
              <w:rPr>
                <w:rFonts w:ascii="Times New Roman" w:hAnsi="Times New Roman" w:cs="Times New Roman"/>
                <w:lang w:val="en-US"/>
              </w:rPr>
              <w:t>t</w:t>
            </w:r>
          </w:p>
        </w:tc>
        <w:tc>
          <w:tcPr>
            <w:tcW w:w="1063" w:type="dxa"/>
          </w:tcPr>
          <w:p w:rsidR="004E0E93" w:rsidRPr="00603B31" w:rsidRDefault="004E0E93" w:rsidP="008D5C8C">
            <w:pPr>
              <w:contextualSpacing/>
              <w:jc w:val="center"/>
              <w:rPr>
                <w:rFonts w:ascii="Times New Roman" w:hAnsi="Times New Roman" w:cs="Times New Roman"/>
              </w:rPr>
            </w:pPr>
            <w:r w:rsidRPr="00603B31">
              <w:rPr>
                <w:rFonts w:ascii="Times New Roman" w:hAnsi="Times New Roman" w:cs="Times New Roman"/>
              </w:rPr>
              <w:t xml:space="preserve"> p</w:t>
            </w:r>
          </w:p>
        </w:tc>
      </w:tr>
      <w:tr w:rsidR="004E0E93" w:rsidRPr="00603B31" w:rsidTr="004E0E93">
        <w:trPr>
          <w:trHeight w:val="701"/>
        </w:trPr>
        <w:tc>
          <w:tcPr>
            <w:tcW w:w="2640" w:type="dxa"/>
          </w:tcPr>
          <w:p w:rsidR="004E0E93" w:rsidRPr="00603B31" w:rsidRDefault="004E0E93" w:rsidP="008D5C8C">
            <w:pPr>
              <w:contextualSpacing/>
              <w:rPr>
                <w:rFonts w:ascii="Times New Roman" w:hAnsi="Times New Roman" w:cs="Times New Roman"/>
              </w:rPr>
            </w:pPr>
            <w:r w:rsidRPr="00603B31">
              <w:rPr>
                <w:rFonts w:ascii="Times New Roman" w:hAnsi="Times New Roman" w:cs="Times New Roman"/>
              </w:rPr>
              <w:t>Количество зрелых ооцитов</w:t>
            </w:r>
          </w:p>
        </w:tc>
        <w:tc>
          <w:tcPr>
            <w:tcW w:w="2893" w:type="dxa"/>
          </w:tcPr>
          <w:p w:rsidR="004E0E93" w:rsidRPr="00603B31" w:rsidRDefault="004E0E93" w:rsidP="008D5C8C">
            <w:pPr>
              <w:contextualSpacing/>
              <w:jc w:val="center"/>
              <w:rPr>
                <w:rFonts w:ascii="Times New Roman" w:hAnsi="Times New Roman" w:cs="Times New Roman"/>
              </w:rPr>
            </w:pPr>
          </w:p>
          <w:p w:rsidR="004E0E93" w:rsidRPr="00603B31" w:rsidRDefault="004E0E93" w:rsidP="008D5C8C">
            <w:pPr>
              <w:contextualSpacing/>
              <w:jc w:val="center"/>
              <w:rPr>
                <w:rFonts w:ascii="Times New Roman" w:hAnsi="Times New Roman" w:cs="Times New Roman"/>
                <w:lang w:val="en-US"/>
              </w:rPr>
            </w:pPr>
            <w:r w:rsidRPr="00603B31">
              <w:rPr>
                <w:rFonts w:ascii="Times New Roman" w:hAnsi="Times New Roman" w:cs="Times New Roman"/>
              </w:rPr>
              <w:t>0,5</w:t>
            </w:r>
            <w:r w:rsidRPr="00603B31">
              <w:rPr>
                <w:rFonts w:ascii="Times New Roman" w:hAnsi="Times New Roman" w:cs="Times New Roman"/>
                <w:lang w:val="en-US"/>
              </w:rPr>
              <w:t>7</w:t>
            </w:r>
          </w:p>
        </w:tc>
        <w:tc>
          <w:tcPr>
            <w:tcW w:w="2975" w:type="dxa"/>
          </w:tcPr>
          <w:p w:rsidR="004E0E93" w:rsidRPr="00603B31" w:rsidRDefault="004E0E93" w:rsidP="008D5C8C">
            <w:pPr>
              <w:contextualSpacing/>
              <w:jc w:val="center"/>
              <w:rPr>
                <w:rFonts w:ascii="Times New Roman" w:hAnsi="Times New Roman" w:cs="Times New Roman"/>
                <w:color w:val="000000"/>
              </w:rPr>
            </w:pPr>
          </w:p>
          <w:p w:rsidR="004E0E93" w:rsidRPr="00603B31" w:rsidRDefault="004E0E93" w:rsidP="008D5C8C">
            <w:pPr>
              <w:contextualSpacing/>
              <w:jc w:val="center"/>
              <w:rPr>
                <w:rFonts w:ascii="Times New Roman" w:hAnsi="Times New Roman" w:cs="Times New Roman"/>
                <w:color w:val="000000"/>
              </w:rPr>
            </w:pPr>
            <w:r w:rsidRPr="00603B31">
              <w:rPr>
                <w:rFonts w:ascii="Times New Roman" w:hAnsi="Times New Roman" w:cs="Times New Roman"/>
                <w:color w:val="000000"/>
              </w:rPr>
              <w:t>0</w:t>
            </w:r>
            <w:r w:rsidR="00150538" w:rsidRPr="00603B31">
              <w:rPr>
                <w:rFonts w:ascii="Times New Roman" w:hAnsi="Times New Roman" w:cs="Times New Roman"/>
                <w:color w:val="000000"/>
              </w:rPr>
              <w:t>,</w:t>
            </w:r>
            <w:r w:rsidRPr="00603B31">
              <w:rPr>
                <w:rFonts w:ascii="Times New Roman" w:hAnsi="Times New Roman" w:cs="Times New Roman"/>
                <w:color w:val="000000"/>
                <w:lang w:val="en-US"/>
              </w:rPr>
              <w:t>19</w:t>
            </w:r>
          </w:p>
        </w:tc>
        <w:tc>
          <w:tcPr>
            <w:tcW w:w="1063" w:type="dxa"/>
          </w:tcPr>
          <w:p w:rsidR="004E0E93" w:rsidRPr="00603B31" w:rsidRDefault="004E0E93" w:rsidP="008D5C8C">
            <w:pPr>
              <w:contextualSpacing/>
              <w:jc w:val="center"/>
              <w:rPr>
                <w:rFonts w:ascii="Times New Roman" w:hAnsi="Times New Roman" w:cs="Times New Roman"/>
                <w:sz w:val="28"/>
                <w:szCs w:val="28"/>
              </w:rPr>
            </w:pPr>
          </w:p>
          <w:p w:rsidR="004E0E93" w:rsidRPr="00603B31" w:rsidRDefault="004E0E93" w:rsidP="008D5C8C">
            <w:pPr>
              <w:contextualSpacing/>
              <w:jc w:val="center"/>
              <w:rPr>
                <w:rFonts w:ascii="Times New Roman" w:hAnsi="Times New Roman" w:cs="Times New Roman"/>
              </w:rPr>
            </w:pPr>
            <w:r w:rsidRPr="00603B31">
              <w:rPr>
                <w:rFonts w:ascii="Times New Roman" w:hAnsi="Times New Roman" w:cs="Times New Roman"/>
                <w:sz w:val="28"/>
                <w:szCs w:val="28"/>
                <w:lang w:val="en-US"/>
              </w:rPr>
              <w:t>&lt;</w:t>
            </w:r>
            <w:r w:rsidRPr="00603B31">
              <w:rPr>
                <w:rFonts w:ascii="Times New Roman" w:hAnsi="Times New Roman" w:cs="Times New Roman"/>
                <w:sz w:val="28"/>
                <w:szCs w:val="28"/>
              </w:rPr>
              <w:t xml:space="preserve"> </w:t>
            </w:r>
            <w:r w:rsidR="00150538" w:rsidRPr="00603B31">
              <w:rPr>
                <w:rFonts w:ascii="Times New Roman" w:hAnsi="Times New Roman" w:cs="Times New Roman"/>
              </w:rPr>
              <w:t>0,</w:t>
            </w:r>
            <w:r w:rsidRPr="00603B31">
              <w:rPr>
                <w:rFonts w:ascii="Times New Roman" w:hAnsi="Times New Roman" w:cs="Times New Roman"/>
              </w:rPr>
              <w:t>05</w:t>
            </w:r>
          </w:p>
        </w:tc>
      </w:tr>
      <w:tr w:rsidR="004E0E93" w:rsidRPr="00603B31" w:rsidTr="004E0E93">
        <w:trPr>
          <w:trHeight w:val="698"/>
        </w:trPr>
        <w:tc>
          <w:tcPr>
            <w:tcW w:w="2640" w:type="dxa"/>
          </w:tcPr>
          <w:p w:rsidR="004E0E93" w:rsidRPr="00603B31" w:rsidRDefault="004E0E93" w:rsidP="008D5C8C">
            <w:pPr>
              <w:contextualSpacing/>
              <w:rPr>
                <w:rFonts w:ascii="Times New Roman" w:hAnsi="Times New Roman" w:cs="Times New Roman"/>
              </w:rPr>
            </w:pPr>
            <w:r w:rsidRPr="00603B31">
              <w:rPr>
                <w:rFonts w:ascii="Times New Roman" w:hAnsi="Times New Roman" w:cs="Times New Roman"/>
              </w:rPr>
              <w:t>Количество эмбрионов хорошего качества</w:t>
            </w:r>
          </w:p>
        </w:tc>
        <w:tc>
          <w:tcPr>
            <w:tcW w:w="2893" w:type="dxa"/>
          </w:tcPr>
          <w:p w:rsidR="004E0E93" w:rsidRPr="00603B31" w:rsidRDefault="004E0E93" w:rsidP="008D5C8C">
            <w:pPr>
              <w:contextualSpacing/>
              <w:jc w:val="center"/>
              <w:rPr>
                <w:rFonts w:ascii="Times New Roman" w:hAnsi="Times New Roman" w:cs="Times New Roman"/>
              </w:rPr>
            </w:pPr>
          </w:p>
          <w:p w:rsidR="004E0E93" w:rsidRPr="00603B31" w:rsidRDefault="004E0E93" w:rsidP="008D5C8C">
            <w:pPr>
              <w:contextualSpacing/>
              <w:jc w:val="center"/>
              <w:rPr>
                <w:rFonts w:ascii="Times New Roman" w:hAnsi="Times New Roman" w:cs="Times New Roman"/>
                <w:lang w:val="en-US"/>
              </w:rPr>
            </w:pPr>
            <w:r w:rsidRPr="00603B31">
              <w:rPr>
                <w:rFonts w:ascii="Times New Roman" w:hAnsi="Times New Roman" w:cs="Times New Roman"/>
                <w:lang w:val="en-US"/>
              </w:rPr>
              <w:t>0,46</w:t>
            </w:r>
          </w:p>
        </w:tc>
        <w:tc>
          <w:tcPr>
            <w:tcW w:w="2975" w:type="dxa"/>
          </w:tcPr>
          <w:p w:rsidR="004E0E93" w:rsidRPr="00603B31" w:rsidRDefault="004E0E93" w:rsidP="008D5C8C">
            <w:pPr>
              <w:contextualSpacing/>
              <w:jc w:val="center"/>
              <w:rPr>
                <w:rFonts w:ascii="Times New Roman" w:hAnsi="Times New Roman" w:cs="Times New Roman"/>
                <w:color w:val="000000"/>
              </w:rPr>
            </w:pPr>
          </w:p>
          <w:p w:rsidR="004E0E93" w:rsidRPr="00603B31" w:rsidRDefault="004E0E93" w:rsidP="008D5C8C">
            <w:pPr>
              <w:contextualSpacing/>
              <w:jc w:val="center"/>
              <w:rPr>
                <w:rFonts w:ascii="Times New Roman" w:hAnsi="Times New Roman" w:cs="Times New Roman"/>
                <w:color w:val="000000"/>
              </w:rPr>
            </w:pPr>
            <w:r w:rsidRPr="00603B31">
              <w:rPr>
                <w:rFonts w:ascii="Times New Roman" w:hAnsi="Times New Roman" w:cs="Times New Roman"/>
                <w:color w:val="000000"/>
              </w:rPr>
              <w:t>0,</w:t>
            </w:r>
            <w:r w:rsidRPr="00603B31">
              <w:rPr>
                <w:rFonts w:ascii="Times New Roman" w:hAnsi="Times New Roman" w:cs="Times New Roman"/>
                <w:color w:val="000000"/>
                <w:lang w:val="en-US"/>
              </w:rPr>
              <w:t>19</w:t>
            </w:r>
          </w:p>
        </w:tc>
        <w:tc>
          <w:tcPr>
            <w:tcW w:w="1063" w:type="dxa"/>
          </w:tcPr>
          <w:p w:rsidR="004E0E93" w:rsidRPr="00603B31" w:rsidRDefault="004E0E93" w:rsidP="008D5C8C">
            <w:pPr>
              <w:contextualSpacing/>
              <w:jc w:val="center"/>
              <w:rPr>
                <w:rFonts w:ascii="Times New Roman" w:hAnsi="Times New Roman" w:cs="Times New Roman"/>
                <w:sz w:val="28"/>
                <w:szCs w:val="28"/>
              </w:rPr>
            </w:pPr>
          </w:p>
          <w:p w:rsidR="004E0E93" w:rsidRPr="00603B31" w:rsidRDefault="004E0E93" w:rsidP="008D5C8C">
            <w:pPr>
              <w:contextualSpacing/>
              <w:jc w:val="center"/>
              <w:rPr>
                <w:rFonts w:ascii="Times New Roman" w:hAnsi="Times New Roman" w:cs="Times New Roman"/>
              </w:rPr>
            </w:pPr>
            <w:r w:rsidRPr="00603B31">
              <w:rPr>
                <w:rFonts w:ascii="Times New Roman" w:hAnsi="Times New Roman" w:cs="Times New Roman"/>
                <w:sz w:val="28"/>
                <w:szCs w:val="28"/>
                <w:lang w:val="en-US"/>
              </w:rPr>
              <w:t>&lt;</w:t>
            </w:r>
            <w:r w:rsidRPr="00603B31">
              <w:rPr>
                <w:rFonts w:ascii="Times New Roman" w:hAnsi="Times New Roman" w:cs="Times New Roman"/>
                <w:sz w:val="28"/>
                <w:szCs w:val="28"/>
              </w:rPr>
              <w:t xml:space="preserve"> </w:t>
            </w:r>
            <w:r w:rsidR="00150538" w:rsidRPr="00603B31">
              <w:rPr>
                <w:rFonts w:ascii="Times New Roman" w:hAnsi="Times New Roman" w:cs="Times New Roman"/>
              </w:rPr>
              <w:t>0,</w:t>
            </w:r>
            <w:r w:rsidRPr="00603B31">
              <w:rPr>
                <w:rFonts w:ascii="Times New Roman" w:hAnsi="Times New Roman" w:cs="Times New Roman"/>
              </w:rPr>
              <w:t>05</w:t>
            </w:r>
          </w:p>
        </w:tc>
      </w:tr>
      <w:tr w:rsidR="004E0E93" w:rsidRPr="00603B31" w:rsidTr="004E0E93">
        <w:trPr>
          <w:trHeight w:val="810"/>
        </w:trPr>
        <w:tc>
          <w:tcPr>
            <w:tcW w:w="2640" w:type="dxa"/>
          </w:tcPr>
          <w:p w:rsidR="004E0E93" w:rsidRPr="00603B31" w:rsidRDefault="004E0E93" w:rsidP="008D5C8C">
            <w:pPr>
              <w:contextualSpacing/>
              <w:rPr>
                <w:rFonts w:ascii="Times New Roman" w:hAnsi="Times New Roman" w:cs="Times New Roman"/>
              </w:rPr>
            </w:pPr>
            <w:r w:rsidRPr="00603B31">
              <w:rPr>
                <w:rFonts w:ascii="Times New Roman" w:hAnsi="Times New Roman" w:cs="Times New Roman"/>
              </w:rPr>
              <w:t>Количество криоконсервированных эмбрионов</w:t>
            </w:r>
          </w:p>
        </w:tc>
        <w:tc>
          <w:tcPr>
            <w:tcW w:w="2893" w:type="dxa"/>
          </w:tcPr>
          <w:p w:rsidR="004E0E93" w:rsidRPr="00603B31" w:rsidRDefault="004E0E93" w:rsidP="008D5C8C">
            <w:pPr>
              <w:contextualSpacing/>
              <w:jc w:val="center"/>
              <w:rPr>
                <w:rFonts w:ascii="Times New Roman" w:hAnsi="Times New Roman" w:cs="Times New Roman"/>
              </w:rPr>
            </w:pPr>
          </w:p>
          <w:p w:rsidR="004E0E93" w:rsidRPr="00603B31" w:rsidRDefault="004E0E93" w:rsidP="008D5C8C">
            <w:pPr>
              <w:contextualSpacing/>
              <w:jc w:val="center"/>
              <w:rPr>
                <w:rFonts w:ascii="Times New Roman" w:hAnsi="Times New Roman" w:cs="Times New Roman"/>
              </w:rPr>
            </w:pPr>
            <w:r w:rsidRPr="00603B31">
              <w:rPr>
                <w:rFonts w:ascii="Times New Roman" w:hAnsi="Times New Roman" w:cs="Times New Roman"/>
              </w:rPr>
              <w:t>0,12</w:t>
            </w:r>
          </w:p>
        </w:tc>
        <w:tc>
          <w:tcPr>
            <w:tcW w:w="2975" w:type="dxa"/>
          </w:tcPr>
          <w:p w:rsidR="004E0E93" w:rsidRPr="00603B31" w:rsidRDefault="004E0E93" w:rsidP="008D5C8C">
            <w:pPr>
              <w:contextualSpacing/>
              <w:jc w:val="center"/>
              <w:rPr>
                <w:rFonts w:ascii="Times New Roman" w:hAnsi="Times New Roman" w:cs="Times New Roman"/>
                <w:color w:val="000000"/>
              </w:rPr>
            </w:pPr>
          </w:p>
          <w:p w:rsidR="004E0E93" w:rsidRPr="00603B31" w:rsidRDefault="004E0E93" w:rsidP="008D5C8C">
            <w:pPr>
              <w:contextualSpacing/>
              <w:jc w:val="center"/>
              <w:rPr>
                <w:rFonts w:ascii="Times New Roman" w:hAnsi="Times New Roman" w:cs="Times New Roman"/>
                <w:color w:val="000000"/>
              </w:rPr>
            </w:pPr>
            <w:r w:rsidRPr="00603B31">
              <w:rPr>
                <w:rFonts w:ascii="Times New Roman" w:hAnsi="Times New Roman" w:cs="Times New Roman"/>
                <w:color w:val="000000"/>
              </w:rPr>
              <w:t>0,19</w:t>
            </w:r>
          </w:p>
        </w:tc>
        <w:tc>
          <w:tcPr>
            <w:tcW w:w="1063" w:type="dxa"/>
          </w:tcPr>
          <w:p w:rsidR="004E0E93" w:rsidRPr="00603B31" w:rsidRDefault="004E0E93" w:rsidP="008D5C8C">
            <w:pPr>
              <w:rPr>
                <w:rFonts w:ascii="Times New Roman" w:hAnsi="Times New Roman" w:cs="Times New Roman"/>
                <w:sz w:val="28"/>
                <w:szCs w:val="28"/>
              </w:rPr>
            </w:pPr>
          </w:p>
          <w:p w:rsidR="004E0E93" w:rsidRPr="00603B31" w:rsidRDefault="004E0E93" w:rsidP="008D5C8C">
            <w:pPr>
              <w:rPr>
                <w:rFonts w:ascii="Times New Roman" w:hAnsi="Times New Roman" w:cs="Times New Roman"/>
              </w:rPr>
            </w:pPr>
            <w:r w:rsidRPr="00603B31">
              <w:rPr>
                <w:rFonts w:ascii="Times New Roman" w:hAnsi="Times New Roman" w:cs="Times New Roman"/>
                <w:sz w:val="28"/>
                <w:szCs w:val="28"/>
              </w:rPr>
              <w:t xml:space="preserve"> </w:t>
            </w:r>
            <w:r w:rsidRPr="00603B31">
              <w:rPr>
                <w:rFonts w:ascii="Times New Roman" w:hAnsi="Times New Roman" w:cs="Times New Roman"/>
                <w:lang w:val="en-US"/>
              </w:rPr>
              <w:t>&gt;</w:t>
            </w:r>
            <w:r w:rsidRPr="00603B31">
              <w:rPr>
                <w:rFonts w:ascii="Times New Roman" w:hAnsi="Times New Roman" w:cs="Times New Roman"/>
              </w:rPr>
              <w:t xml:space="preserve"> 0</w:t>
            </w:r>
            <w:r w:rsidRPr="00603B31">
              <w:rPr>
                <w:rFonts w:ascii="Times New Roman" w:hAnsi="Times New Roman" w:cs="Times New Roman"/>
                <w:lang w:val="en-US"/>
              </w:rPr>
              <w:t>,</w:t>
            </w:r>
            <w:r w:rsidRPr="00603B31">
              <w:rPr>
                <w:rFonts w:ascii="Times New Roman" w:hAnsi="Times New Roman" w:cs="Times New Roman"/>
              </w:rPr>
              <w:t>05</w:t>
            </w:r>
          </w:p>
        </w:tc>
      </w:tr>
      <w:tr w:rsidR="004E0E93" w:rsidRPr="00603B31" w:rsidTr="008D5C8C">
        <w:tc>
          <w:tcPr>
            <w:tcW w:w="9571" w:type="dxa"/>
            <w:gridSpan w:val="4"/>
          </w:tcPr>
          <w:p w:rsidR="004E0E93" w:rsidRPr="00603B31" w:rsidRDefault="004E0E93" w:rsidP="008D5C8C">
            <w:pPr>
              <w:contextualSpacing/>
              <w:rPr>
                <w:rFonts w:ascii="Times New Roman" w:hAnsi="Times New Roman" w:cs="Times New Roman"/>
                <w:sz w:val="20"/>
                <w:szCs w:val="20"/>
              </w:rPr>
            </w:pPr>
            <w:r w:rsidRPr="00603B31">
              <w:rPr>
                <w:rFonts w:ascii="Times New Roman" w:hAnsi="Times New Roman" w:cs="Times New Roman"/>
                <w:sz w:val="20"/>
                <w:szCs w:val="20"/>
              </w:rPr>
              <w:t>Расчет коэффициента корреляции Тау Кендалла</w:t>
            </w:r>
          </w:p>
        </w:tc>
      </w:tr>
    </w:tbl>
    <w:p w:rsidR="004E0E93" w:rsidRPr="00603B31" w:rsidRDefault="004E0E93" w:rsidP="004E0E93">
      <w:pPr>
        <w:spacing w:after="0" w:line="360" w:lineRule="auto"/>
        <w:contextualSpacing/>
        <w:rPr>
          <w:rFonts w:ascii="Times New Roman" w:hAnsi="Times New Roman" w:cs="Times New Roman"/>
          <w:sz w:val="28"/>
          <w:szCs w:val="28"/>
        </w:rPr>
      </w:pPr>
    </w:p>
    <w:p w:rsidR="001D2283" w:rsidRPr="00603B31" w:rsidRDefault="004E0E93" w:rsidP="008028E5">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Полученные данны</w:t>
      </w:r>
      <w:r w:rsidR="00381FA5" w:rsidRPr="00603B31">
        <w:rPr>
          <w:rFonts w:ascii="Times New Roman" w:hAnsi="Times New Roman" w:cs="Times New Roman"/>
          <w:sz w:val="28"/>
          <w:szCs w:val="28"/>
        </w:rPr>
        <w:t xml:space="preserve">е свидетельствуют о том, что </w:t>
      </w:r>
      <w:r w:rsidRPr="00603B31">
        <w:rPr>
          <w:rFonts w:ascii="Times New Roman" w:hAnsi="Times New Roman" w:cs="Times New Roman"/>
          <w:sz w:val="28"/>
          <w:szCs w:val="28"/>
        </w:rPr>
        <w:t>просл</w:t>
      </w:r>
      <w:r w:rsidR="00381FA5" w:rsidRPr="00603B31">
        <w:rPr>
          <w:rFonts w:ascii="Times New Roman" w:hAnsi="Times New Roman" w:cs="Times New Roman"/>
          <w:sz w:val="28"/>
          <w:szCs w:val="28"/>
        </w:rPr>
        <w:t>еживается статистически значимая связь</w:t>
      </w:r>
      <w:r w:rsidRPr="00603B31">
        <w:rPr>
          <w:rFonts w:ascii="Times New Roman" w:hAnsi="Times New Roman" w:cs="Times New Roman"/>
          <w:sz w:val="28"/>
          <w:szCs w:val="28"/>
        </w:rPr>
        <w:t xml:space="preserve"> между </w:t>
      </w:r>
      <w:r w:rsidR="00381FA5" w:rsidRPr="00603B31">
        <w:rPr>
          <w:rFonts w:ascii="Times New Roman" w:hAnsi="Times New Roman" w:cs="Times New Roman"/>
          <w:sz w:val="28"/>
          <w:szCs w:val="28"/>
        </w:rPr>
        <w:t>количеством</w:t>
      </w:r>
      <w:r w:rsidRPr="00603B31">
        <w:rPr>
          <w:rFonts w:ascii="Times New Roman" w:hAnsi="Times New Roman" w:cs="Times New Roman"/>
          <w:sz w:val="28"/>
          <w:szCs w:val="28"/>
        </w:rPr>
        <w:t xml:space="preserve"> </w:t>
      </w:r>
      <w:r w:rsidR="00381FA5" w:rsidRPr="00603B31">
        <w:rPr>
          <w:rFonts w:ascii="Times New Roman" w:hAnsi="Times New Roman" w:cs="Times New Roman"/>
          <w:sz w:val="28"/>
          <w:szCs w:val="28"/>
        </w:rPr>
        <w:t xml:space="preserve">зрелых </w:t>
      </w:r>
      <w:r w:rsidRPr="00603B31">
        <w:rPr>
          <w:rFonts w:ascii="Times New Roman" w:hAnsi="Times New Roman" w:cs="Times New Roman"/>
          <w:sz w:val="28"/>
          <w:szCs w:val="28"/>
        </w:rPr>
        <w:t>ооцитов</w:t>
      </w:r>
      <w:r w:rsidR="00FF2811" w:rsidRPr="00603B31">
        <w:rPr>
          <w:rFonts w:ascii="Times New Roman" w:hAnsi="Times New Roman" w:cs="Times New Roman"/>
          <w:sz w:val="28"/>
          <w:szCs w:val="28"/>
        </w:rPr>
        <w:t xml:space="preserve"> и</w:t>
      </w:r>
      <w:r w:rsidR="00381FA5" w:rsidRPr="00603B31">
        <w:rPr>
          <w:rFonts w:ascii="Times New Roman" w:hAnsi="Times New Roman" w:cs="Times New Roman"/>
          <w:sz w:val="28"/>
          <w:szCs w:val="28"/>
        </w:rPr>
        <w:t xml:space="preserve"> количеством эмбрионов хорошего качества </w:t>
      </w:r>
      <w:r w:rsidR="00CC69C0">
        <w:rPr>
          <w:rFonts w:ascii="Times New Roman" w:hAnsi="Times New Roman" w:cs="Times New Roman"/>
          <w:sz w:val="28"/>
          <w:szCs w:val="28"/>
        </w:rPr>
        <w:t>и приёмом мио-инозитола</w:t>
      </w:r>
      <w:r w:rsidR="00381FA5" w:rsidRPr="00603B31">
        <w:rPr>
          <w:rFonts w:ascii="Times New Roman" w:hAnsi="Times New Roman" w:cs="Times New Roman"/>
          <w:sz w:val="28"/>
          <w:szCs w:val="28"/>
        </w:rPr>
        <w:t xml:space="preserve">. </w:t>
      </w:r>
      <w:r w:rsidRPr="00603B31">
        <w:rPr>
          <w:rFonts w:ascii="Times New Roman" w:hAnsi="Times New Roman" w:cs="Times New Roman"/>
          <w:sz w:val="28"/>
          <w:szCs w:val="28"/>
        </w:rPr>
        <w:t xml:space="preserve"> </w:t>
      </w:r>
    </w:p>
    <w:p w:rsidR="001D2283" w:rsidRPr="00603B31" w:rsidRDefault="00287848" w:rsidP="001D2283">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 xml:space="preserve">3.3 </w:t>
      </w:r>
      <w:r w:rsidR="001D2283" w:rsidRPr="00603B31">
        <w:rPr>
          <w:rFonts w:ascii="Times New Roman" w:hAnsi="Times New Roman" w:cs="Times New Roman"/>
          <w:b/>
          <w:sz w:val="28"/>
          <w:szCs w:val="28"/>
        </w:rPr>
        <w:t xml:space="preserve">Анализ результативности протоколов ЭКО. </w:t>
      </w:r>
    </w:p>
    <w:p w:rsidR="001D2283" w:rsidRPr="00603B31" w:rsidRDefault="001D2283" w:rsidP="006A14B6">
      <w:pPr>
        <w:spacing w:after="0" w:line="360" w:lineRule="auto"/>
        <w:ind w:firstLine="360"/>
        <w:contextualSpacing/>
        <w:rPr>
          <w:rFonts w:ascii="Times New Roman" w:hAnsi="Times New Roman" w:cs="Times New Roman"/>
          <w:sz w:val="28"/>
          <w:szCs w:val="28"/>
        </w:rPr>
      </w:pPr>
      <w:r w:rsidRPr="00603B31">
        <w:rPr>
          <w:rFonts w:ascii="Times New Roman" w:hAnsi="Times New Roman" w:cs="Times New Roman"/>
          <w:sz w:val="28"/>
          <w:szCs w:val="28"/>
        </w:rPr>
        <w:t>Успешность протокола ЭКО оценивалась на основании следующих показателей:</w:t>
      </w:r>
    </w:p>
    <w:p w:rsidR="001D2283" w:rsidRPr="00603B31" w:rsidRDefault="001D2283" w:rsidP="001D2283">
      <w:pPr>
        <w:pStyle w:val="a3"/>
        <w:numPr>
          <w:ilvl w:val="0"/>
          <w:numId w:val="12"/>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анализа </w:t>
      </w:r>
      <w:r w:rsidR="006A39C1" w:rsidRPr="00603B31">
        <w:rPr>
          <w:rFonts w:ascii="Times New Roman" w:eastAsia="TimesNewRomanPS-ItalicMT" w:hAnsi="Times New Roman" w:cs="Times New Roman"/>
          <w:i/>
          <w:iCs/>
          <w:color w:val="0B0B0B"/>
          <w:sz w:val="28"/>
          <w:szCs w:val="28"/>
        </w:rPr>
        <w:t>β</w:t>
      </w:r>
      <w:r w:rsidR="006A39C1" w:rsidRPr="00603B31">
        <w:rPr>
          <w:rFonts w:ascii="Times New Roman" w:eastAsia="TimesNewRomanPSMT" w:hAnsi="Times New Roman" w:cs="Times New Roman"/>
          <w:color w:val="0B0B0B"/>
          <w:sz w:val="28"/>
          <w:szCs w:val="28"/>
        </w:rPr>
        <w:t xml:space="preserve">-ХГЧ </w:t>
      </w:r>
      <w:r w:rsidRPr="00603B31">
        <w:rPr>
          <w:rFonts w:ascii="Times New Roman" w:hAnsi="Times New Roman" w:cs="Times New Roman"/>
          <w:sz w:val="28"/>
          <w:szCs w:val="28"/>
        </w:rPr>
        <w:t>в сыворотке крови на 14 день после переноса эмбрионов и его сопоставление с табличным критическим значением (биохимическая беременность)</w:t>
      </w:r>
    </w:p>
    <w:p w:rsidR="001D2283" w:rsidRPr="00603B31" w:rsidRDefault="001D2283" w:rsidP="001D2283">
      <w:pPr>
        <w:pStyle w:val="a3"/>
        <w:numPr>
          <w:ilvl w:val="0"/>
          <w:numId w:val="12"/>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наличия плодного яйца в полости матки с помощью метода УЗИ через 7-10 дней после анализа на </w:t>
      </w:r>
      <w:r w:rsidR="006A39C1" w:rsidRPr="00603B31">
        <w:rPr>
          <w:rFonts w:ascii="Times New Roman" w:eastAsia="TimesNewRomanPS-ItalicMT" w:hAnsi="Times New Roman" w:cs="Times New Roman"/>
          <w:i/>
          <w:iCs/>
          <w:color w:val="0B0B0B"/>
          <w:sz w:val="28"/>
          <w:szCs w:val="28"/>
        </w:rPr>
        <w:t>β</w:t>
      </w:r>
      <w:r w:rsidR="006A39C1" w:rsidRPr="00603B31">
        <w:rPr>
          <w:rFonts w:ascii="Times New Roman" w:eastAsia="TimesNewRomanPSMT" w:hAnsi="Times New Roman" w:cs="Times New Roman"/>
          <w:color w:val="0B0B0B"/>
          <w:sz w:val="28"/>
          <w:szCs w:val="28"/>
        </w:rPr>
        <w:t xml:space="preserve">-ХГЧ </w:t>
      </w:r>
      <w:r w:rsidRPr="00603B31">
        <w:rPr>
          <w:rFonts w:ascii="Times New Roman" w:hAnsi="Times New Roman" w:cs="Times New Roman"/>
          <w:sz w:val="28"/>
          <w:szCs w:val="28"/>
        </w:rPr>
        <w:t>(клиническая беременность).</w:t>
      </w:r>
    </w:p>
    <w:p w:rsidR="00315103" w:rsidRPr="005D794E" w:rsidRDefault="001D2283" w:rsidP="00315103">
      <w:p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В обеих группах исследования число биохимических беременностей оказалось равным</w:t>
      </w:r>
      <w:r w:rsidR="00381FA5" w:rsidRPr="00603B31">
        <w:rPr>
          <w:rFonts w:ascii="Times New Roman" w:hAnsi="Times New Roman" w:cs="Times New Roman"/>
          <w:sz w:val="28"/>
          <w:szCs w:val="28"/>
        </w:rPr>
        <w:t xml:space="preserve"> числу беременностей, подтверждё</w:t>
      </w:r>
      <w:r w:rsidRPr="00603B31">
        <w:rPr>
          <w:rFonts w:ascii="Times New Roman" w:hAnsi="Times New Roman" w:cs="Times New Roman"/>
          <w:sz w:val="28"/>
          <w:szCs w:val="28"/>
        </w:rPr>
        <w:t xml:space="preserve">нных по УЗИ. </w:t>
      </w:r>
    </w:p>
    <w:p w:rsidR="001D2283" w:rsidRPr="00603B31" w:rsidRDefault="00315103" w:rsidP="00315103">
      <w:pPr>
        <w:spacing w:after="0" w:line="240" w:lineRule="auto"/>
        <w:rPr>
          <w:rFonts w:ascii="Times New Roman" w:hAnsi="Times New Roman" w:cs="Times New Roman"/>
          <w:sz w:val="28"/>
          <w:szCs w:val="28"/>
        </w:rPr>
      </w:pPr>
      <w:r w:rsidRPr="00603B31">
        <w:rPr>
          <w:rFonts w:ascii="Times New Roman" w:hAnsi="Times New Roman" w:cs="Times New Roman"/>
          <w:sz w:val="28"/>
          <w:szCs w:val="28"/>
        </w:rPr>
        <w:t>Таблица 6. Процент наступления беременности (биохимической и клинической) в результате программы ЭКО у пациенток со «слабым ответом» на стимуляцию суперовуляции</w:t>
      </w:r>
    </w:p>
    <w:tbl>
      <w:tblPr>
        <w:tblStyle w:val="aa"/>
        <w:tblW w:w="0" w:type="auto"/>
        <w:tblLook w:val="04A0" w:firstRow="1" w:lastRow="0" w:firstColumn="1" w:lastColumn="0" w:noHBand="0" w:noVBand="1"/>
      </w:tblPr>
      <w:tblGrid>
        <w:gridCol w:w="3402"/>
        <w:gridCol w:w="1985"/>
        <w:gridCol w:w="2268"/>
        <w:gridCol w:w="850"/>
        <w:gridCol w:w="954"/>
      </w:tblGrid>
      <w:tr w:rsidR="001D2283" w:rsidRPr="00603B31" w:rsidTr="001D2283">
        <w:tc>
          <w:tcPr>
            <w:tcW w:w="3402" w:type="dxa"/>
          </w:tcPr>
          <w:p w:rsidR="001D2283" w:rsidRPr="00603B31" w:rsidRDefault="001D2283" w:rsidP="001D2283">
            <w:pPr>
              <w:spacing w:line="360" w:lineRule="auto"/>
              <w:contextualSpacing/>
              <w:jc w:val="center"/>
              <w:rPr>
                <w:rFonts w:ascii="Times New Roman" w:hAnsi="Times New Roman" w:cs="Times New Roman"/>
              </w:rPr>
            </w:pPr>
          </w:p>
        </w:tc>
        <w:tc>
          <w:tcPr>
            <w:tcW w:w="1985"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основная группа</w:t>
            </w:r>
          </w:p>
        </w:tc>
        <w:tc>
          <w:tcPr>
            <w:tcW w:w="2268"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группа сравнения</w:t>
            </w:r>
          </w:p>
        </w:tc>
        <w:tc>
          <w:tcPr>
            <w:tcW w:w="850" w:type="dxa"/>
          </w:tcPr>
          <w:p w:rsidR="001D2283" w:rsidRPr="00603B31" w:rsidRDefault="001D2283" w:rsidP="001D2283">
            <w:pPr>
              <w:contextualSpacing/>
              <w:jc w:val="center"/>
              <w:rPr>
                <w:rFonts w:ascii="Times New Roman" w:hAnsi="Times New Roman" w:cs="Times New Roman"/>
                <w:vertAlign w:val="superscript"/>
              </w:rPr>
            </w:pPr>
            <w:r w:rsidRPr="00603B31">
              <w:rPr>
                <w:rFonts w:ascii="Times New Roman" w:hAnsi="Times New Roman" w:cs="Times New Roman"/>
              </w:rPr>
              <w:t>χ</w:t>
            </w:r>
            <w:r w:rsidRPr="00603B31">
              <w:rPr>
                <w:rFonts w:ascii="Times New Roman" w:hAnsi="Times New Roman" w:cs="Times New Roman"/>
                <w:vertAlign w:val="superscript"/>
              </w:rPr>
              <w:t>2</w:t>
            </w:r>
          </w:p>
        </w:tc>
        <w:tc>
          <w:tcPr>
            <w:tcW w:w="954" w:type="dxa"/>
          </w:tcPr>
          <w:p w:rsidR="001D2283" w:rsidRPr="00603B31" w:rsidRDefault="001D2283" w:rsidP="001D2283">
            <w:pPr>
              <w:contextualSpacing/>
              <w:jc w:val="center"/>
              <w:rPr>
                <w:rFonts w:ascii="Times New Roman" w:hAnsi="Times New Roman" w:cs="Times New Roman"/>
              </w:rPr>
            </w:pPr>
            <w:r w:rsidRPr="00603B31">
              <w:rPr>
                <w:rFonts w:ascii="Times New Roman" w:hAnsi="Times New Roman" w:cs="Times New Roman"/>
              </w:rPr>
              <w:t xml:space="preserve"> p</w:t>
            </w:r>
          </w:p>
        </w:tc>
      </w:tr>
      <w:tr w:rsidR="006D7141" w:rsidRPr="00603B31" w:rsidTr="001D2283">
        <w:tc>
          <w:tcPr>
            <w:tcW w:w="3402" w:type="dxa"/>
          </w:tcPr>
          <w:p w:rsidR="006D7141" w:rsidRPr="00603B31" w:rsidRDefault="006D7141" w:rsidP="001D2283">
            <w:pPr>
              <w:contextualSpacing/>
              <w:rPr>
                <w:rFonts w:ascii="Times New Roman" w:eastAsia="Arial Unicode MS" w:hAnsi="Times New Roman" w:cs="Times New Roman"/>
                <w:bCs/>
              </w:rPr>
            </w:pPr>
            <w:r w:rsidRPr="00603B31">
              <w:rPr>
                <w:rFonts w:ascii="Times New Roman" w:eastAsia="Arial Unicode MS" w:hAnsi="Times New Roman" w:cs="Times New Roman"/>
                <w:bCs/>
              </w:rPr>
              <w:t>Наступление беременности</w:t>
            </w:r>
          </w:p>
        </w:tc>
        <w:tc>
          <w:tcPr>
            <w:tcW w:w="1985" w:type="dxa"/>
          </w:tcPr>
          <w:p w:rsidR="006D7141" w:rsidRPr="00603B31" w:rsidRDefault="006D7141" w:rsidP="001D2283">
            <w:pPr>
              <w:contextualSpacing/>
              <w:jc w:val="center"/>
              <w:rPr>
                <w:rFonts w:ascii="Times New Roman" w:eastAsia="Arial Unicode MS" w:hAnsi="Times New Roman" w:cs="Times New Roman"/>
                <w:lang w:val="en-US"/>
              </w:rPr>
            </w:pPr>
            <w:r w:rsidRPr="00603B31">
              <w:rPr>
                <w:rFonts w:ascii="Times New Roman" w:eastAsia="Arial Unicode MS" w:hAnsi="Times New Roman" w:cs="Times New Roman"/>
                <w:bCs/>
                <w:lang w:val="en-US"/>
              </w:rPr>
              <w:t>8</w:t>
            </w:r>
          </w:p>
          <w:p w:rsidR="006D7141" w:rsidRPr="00603B31" w:rsidRDefault="006D7141" w:rsidP="001D2283">
            <w:pPr>
              <w:contextualSpacing/>
              <w:jc w:val="center"/>
              <w:rPr>
                <w:rFonts w:ascii="Times New Roman" w:eastAsia="Arial Unicode MS" w:hAnsi="Times New Roman" w:cs="Times New Roman"/>
              </w:rPr>
            </w:pPr>
          </w:p>
        </w:tc>
        <w:tc>
          <w:tcPr>
            <w:tcW w:w="2268" w:type="dxa"/>
          </w:tcPr>
          <w:p w:rsidR="006D7141" w:rsidRPr="00603B31" w:rsidRDefault="006D7141" w:rsidP="001D2283">
            <w:pPr>
              <w:contextualSpacing/>
              <w:jc w:val="center"/>
              <w:rPr>
                <w:rFonts w:ascii="Times New Roman" w:eastAsia="Arial Unicode MS" w:hAnsi="Times New Roman" w:cs="Times New Roman"/>
                <w:lang w:val="en-US"/>
              </w:rPr>
            </w:pPr>
            <w:r w:rsidRPr="00603B31">
              <w:rPr>
                <w:rFonts w:ascii="Times New Roman" w:eastAsia="Arial Unicode MS" w:hAnsi="Times New Roman" w:cs="Times New Roman"/>
                <w:bCs/>
                <w:lang w:val="en-US"/>
              </w:rPr>
              <w:t>3</w:t>
            </w:r>
          </w:p>
          <w:p w:rsidR="006D7141" w:rsidRPr="00603B31" w:rsidRDefault="006D7141" w:rsidP="001D2283">
            <w:pPr>
              <w:contextualSpacing/>
              <w:jc w:val="center"/>
              <w:rPr>
                <w:rFonts w:ascii="Times New Roman" w:eastAsia="Arial Unicode MS" w:hAnsi="Times New Roman" w:cs="Times New Roman"/>
              </w:rPr>
            </w:pPr>
          </w:p>
        </w:tc>
        <w:tc>
          <w:tcPr>
            <w:tcW w:w="850" w:type="dxa"/>
            <w:vMerge w:val="restart"/>
          </w:tcPr>
          <w:p w:rsidR="004E0E93" w:rsidRPr="00603B31" w:rsidRDefault="004E0E93" w:rsidP="001D2283">
            <w:pPr>
              <w:contextualSpacing/>
              <w:jc w:val="center"/>
              <w:rPr>
                <w:rFonts w:ascii="Times New Roman" w:hAnsi="Times New Roman" w:cs="Times New Roman"/>
                <w:lang w:val="en-US"/>
              </w:rPr>
            </w:pPr>
          </w:p>
          <w:p w:rsidR="006D7141" w:rsidRPr="00603B31" w:rsidRDefault="006D7141" w:rsidP="001D2283">
            <w:pPr>
              <w:contextualSpacing/>
              <w:jc w:val="center"/>
              <w:rPr>
                <w:rFonts w:ascii="Times New Roman" w:hAnsi="Times New Roman" w:cs="Times New Roman"/>
              </w:rPr>
            </w:pPr>
            <w:r w:rsidRPr="00603B31">
              <w:rPr>
                <w:rFonts w:ascii="Times New Roman" w:hAnsi="Times New Roman" w:cs="Times New Roman"/>
              </w:rPr>
              <w:t>4,338</w:t>
            </w:r>
          </w:p>
        </w:tc>
        <w:tc>
          <w:tcPr>
            <w:tcW w:w="954" w:type="dxa"/>
            <w:vMerge w:val="restart"/>
          </w:tcPr>
          <w:p w:rsidR="004E0E93" w:rsidRPr="00603B31" w:rsidRDefault="004E0E93" w:rsidP="001D2283">
            <w:pPr>
              <w:contextualSpacing/>
              <w:jc w:val="center"/>
              <w:rPr>
                <w:rFonts w:ascii="Times New Roman" w:hAnsi="Times New Roman" w:cs="Times New Roman"/>
                <w:lang w:val="en-US"/>
              </w:rPr>
            </w:pPr>
          </w:p>
          <w:p w:rsidR="006D7141" w:rsidRPr="00603B31" w:rsidRDefault="00CC69C0" w:rsidP="001D2283">
            <w:pPr>
              <w:contextualSpacing/>
              <w:jc w:val="center"/>
              <w:rPr>
                <w:rFonts w:ascii="Times New Roman" w:hAnsi="Times New Roman" w:cs="Times New Roman"/>
                <w:lang w:val="en-US"/>
              </w:rPr>
            </w:pPr>
            <w:r>
              <w:rPr>
                <w:rFonts w:ascii="Times New Roman" w:hAnsi="Times New Roman" w:cs="Times New Roman"/>
                <w:lang w:val="en-US"/>
              </w:rPr>
              <w:t>&gt;</w:t>
            </w:r>
            <w:r w:rsidR="006D7141" w:rsidRPr="00603B31">
              <w:rPr>
                <w:rFonts w:ascii="Times New Roman" w:hAnsi="Times New Roman" w:cs="Times New Roman"/>
                <w:lang w:val="en-US"/>
              </w:rPr>
              <w:t xml:space="preserve"> 0.05</w:t>
            </w:r>
          </w:p>
        </w:tc>
      </w:tr>
      <w:tr w:rsidR="006D7141" w:rsidRPr="00603B31" w:rsidTr="001D2283">
        <w:tc>
          <w:tcPr>
            <w:tcW w:w="3402" w:type="dxa"/>
          </w:tcPr>
          <w:p w:rsidR="006D7141" w:rsidRPr="00603B31" w:rsidRDefault="006D7141" w:rsidP="001D2283">
            <w:pPr>
              <w:contextualSpacing/>
              <w:rPr>
                <w:rFonts w:ascii="Times New Roman" w:eastAsia="Arial Unicode MS" w:hAnsi="Times New Roman" w:cs="Times New Roman"/>
                <w:bCs/>
              </w:rPr>
            </w:pPr>
            <w:r w:rsidRPr="00603B31">
              <w:rPr>
                <w:rFonts w:ascii="Times New Roman" w:eastAsia="Arial Unicode MS" w:hAnsi="Times New Roman" w:cs="Times New Roman"/>
                <w:bCs/>
              </w:rPr>
              <w:t>Беременность не наступила</w:t>
            </w:r>
          </w:p>
        </w:tc>
        <w:tc>
          <w:tcPr>
            <w:tcW w:w="1985" w:type="dxa"/>
          </w:tcPr>
          <w:p w:rsidR="006D7141" w:rsidRPr="00603B31" w:rsidRDefault="006D7141" w:rsidP="001D2283">
            <w:pPr>
              <w:contextualSpacing/>
              <w:jc w:val="center"/>
              <w:rPr>
                <w:rFonts w:ascii="Times New Roman" w:eastAsia="Arial Unicode MS" w:hAnsi="Times New Roman" w:cs="Times New Roman"/>
                <w:lang w:val="en-US"/>
              </w:rPr>
            </w:pPr>
            <w:r w:rsidRPr="00603B31">
              <w:rPr>
                <w:rFonts w:ascii="Times New Roman" w:eastAsia="Arial Unicode MS" w:hAnsi="Times New Roman" w:cs="Times New Roman"/>
                <w:bCs/>
                <w:lang w:val="en-US"/>
              </w:rPr>
              <w:t>24</w:t>
            </w:r>
          </w:p>
        </w:tc>
        <w:tc>
          <w:tcPr>
            <w:tcW w:w="2268" w:type="dxa"/>
          </w:tcPr>
          <w:p w:rsidR="006D7141" w:rsidRPr="00603B31" w:rsidRDefault="006D7141" w:rsidP="001D2283">
            <w:pPr>
              <w:contextualSpacing/>
              <w:jc w:val="center"/>
              <w:rPr>
                <w:rFonts w:ascii="Times New Roman" w:eastAsia="Arial Unicode MS" w:hAnsi="Times New Roman" w:cs="Times New Roman"/>
                <w:lang w:val="en-US"/>
              </w:rPr>
            </w:pPr>
            <w:r w:rsidRPr="00603B31">
              <w:rPr>
                <w:rFonts w:ascii="Times New Roman" w:eastAsia="Arial Unicode MS" w:hAnsi="Times New Roman" w:cs="Times New Roman"/>
                <w:bCs/>
                <w:lang w:val="en-US"/>
              </w:rPr>
              <w:t>15</w:t>
            </w:r>
          </w:p>
          <w:p w:rsidR="006D7141" w:rsidRPr="00603B31" w:rsidRDefault="006D7141" w:rsidP="001D2283">
            <w:pPr>
              <w:contextualSpacing/>
              <w:rPr>
                <w:rFonts w:ascii="Times New Roman" w:eastAsia="Arial Unicode MS" w:hAnsi="Times New Roman" w:cs="Times New Roman"/>
                <w:bCs/>
              </w:rPr>
            </w:pPr>
          </w:p>
        </w:tc>
        <w:tc>
          <w:tcPr>
            <w:tcW w:w="850" w:type="dxa"/>
            <w:vMerge/>
          </w:tcPr>
          <w:p w:rsidR="006D7141" w:rsidRPr="00603B31" w:rsidRDefault="006D7141" w:rsidP="001D2283">
            <w:pPr>
              <w:contextualSpacing/>
              <w:jc w:val="center"/>
              <w:rPr>
                <w:rFonts w:ascii="Times New Roman" w:hAnsi="Times New Roman" w:cs="Times New Roman"/>
              </w:rPr>
            </w:pPr>
          </w:p>
        </w:tc>
        <w:tc>
          <w:tcPr>
            <w:tcW w:w="954" w:type="dxa"/>
            <w:vMerge/>
          </w:tcPr>
          <w:p w:rsidR="006D7141" w:rsidRPr="00603B31" w:rsidRDefault="006D7141" w:rsidP="001D2283">
            <w:pPr>
              <w:contextualSpacing/>
              <w:jc w:val="center"/>
              <w:rPr>
                <w:rFonts w:ascii="Times New Roman" w:hAnsi="Times New Roman" w:cs="Times New Roman"/>
              </w:rPr>
            </w:pPr>
          </w:p>
        </w:tc>
      </w:tr>
      <w:tr w:rsidR="001D2283" w:rsidRPr="00603B31" w:rsidTr="001D2283">
        <w:tc>
          <w:tcPr>
            <w:tcW w:w="9459" w:type="dxa"/>
            <w:gridSpan w:val="5"/>
          </w:tcPr>
          <w:p w:rsidR="001D2283" w:rsidRPr="00603B31" w:rsidRDefault="001D2283" w:rsidP="001D2283">
            <w:pPr>
              <w:contextualSpacing/>
              <w:rPr>
                <w:rFonts w:ascii="Times New Roman" w:hAnsi="Times New Roman" w:cs="Times New Roman"/>
                <w:sz w:val="20"/>
                <w:szCs w:val="20"/>
              </w:rPr>
            </w:pPr>
            <w:r w:rsidRPr="00603B31">
              <w:rPr>
                <w:rFonts w:ascii="Times New Roman" w:hAnsi="Times New Roman" w:cs="Times New Roman"/>
                <w:sz w:val="20"/>
                <w:szCs w:val="20"/>
              </w:rPr>
              <w:t>Расчет критерия Пирсона (хи-квадрат)</w:t>
            </w:r>
          </w:p>
        </w:tc>
      </w:tr>
    </w:tbl>
    <w:p w:rsidR="00315103" w:rsidRPr="005D794E" w:rsidRDefault="00315103" w:rsidP="006A14B6">
      <w:pPr>
        <w:spacing w:after="0" w:line="360" w:lineRule="auto"/>
        <w:ind w:firstLine="708"/>
        <w:contextualSpacing/>
        <w:rPr>
          <w:rFonts w:ascii="Times New Roman" w:hAnsi="Times New Roman" w:cs="Times New Roman"/>
          <w:sz w:val="28"/>
          <w:szCs w:val="28"/>
        </w:rPr>
      </w:pPr>
    </w:p>
    <w:p w:rsidR="001D2283" w:rsidRPr="00603B31" w:rsidRDefault="00381FA5"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По данным таблицы 6</w:t>
      </w:r>
      <w:r w:rsidR="001D2283" w:rsidRPr="00603B31">
        <w:rPr>
          <w:rFonts w:ascii="Times New Roman" w:hAnsi="Times New Roman" w:cs="Times New Roman"/>
          <w:sz w:val="28"/>
          <w:szCs w:val="28"/>
        </w:rPr>
        <w:t xml:space="preserve">, статистически значимых различий в частоте наступления беременности в ходе </w:t>
      </w:r>
      <w:r w:rsidRPr="00603B31">
        <w:rPr>
          <w:rFonts w:ascii="Times New Roman" w:hAnsi="Times New Roman" w:cs="Times New Roman"/>
          <w:sz w:val="28"/>
          <w:szCs w:val="28"/>
        </w:rPr>
        <w:t>циклов</w:t>
      </w:r>
      <w:r w:rsidR="001D2283" w:rsidRPr="00603B31">
        <w:rPr>
          <w:rFonts w:ascii="Times New Roman" w:hAnsi="Times New Roman" w:cs="Times New Roman"/>
          <w:sz w:val="28"/>
          <w:szCs w:val="28"/>
        </w:rPr>
        <w:t xml:space="preserve"> ЭКО между группами сравнения нет, однако прослеживается тенденция в сторону повышения шанса наступления беременности в группе пациенток, получавших мио-инозитол. </w:t>
      </w:r>
    </w:p>
    <w:p w:rsidR="00315103" w:rsidRPr="005D794E" w:rsidRDefault="001D2283" w:rsidP="006A14B6">
      <w:pPr>
        <w:spacing w:after="0" w:line="360" w:lineRule="auto"/>
        <w:contextualSpacing/>
        <w:rPr>
          <w:rFonts w:ascii="Times New Roman" w:eastAsia="Times New Roman" w:hAnsi="Times New Roman" w:cs="Times New Roman"/>
          <w:sz w:val="28"/>
          <w:szCs w:val="28"/>
        </w:rPr>
      </w:pPr>
      <w:r w:rsidRPr="00603B31">
        <w:rPr>
          <w:rFonts w:ascii="Times New Roman" w:hAnsi="Times New Roman" w:cs="Times New Roman"/>
          <w:sz w:val="28"/>
          <w:szCs w:val="28"/>
        </w:rPr>
        <w:t xml:space="preserve">Для оценки шанса наступления беременности </w:t>
      </w:r>
      <w:r w:rsidR="00381FA5" w:rsidRPr="00603B31">
        <w:rPr>
          <w:rFonts w:ascii="Times New Roman" w:hAnsi="Times New Roman" w:cs="Times New Roman"/>
          <w:sz w:val="28"/>
          <w:szCs w:val="28"/>
        </w:rPr>
        <w:t>у пациенток со «слабым ответом» на стимуляцию суперовуляции был проведен расчё</w:t>
      </w:r>
      <w:r w:rsidRPr="00603B31">
        <w:rPr>
          <w:rFonts w:ascii="Times New Roman" w:hAnsi="Times New Roman" w:cs="Times New Roman"/>
          <w:sz w:val="28"/>
          <w:szCs w:val="28"/>
        </w:rPr>
        <w:t>т отношения шансов (OR) и были получены следующие результаты</w:t>
      </w:r>
      <w:r w:rsidR="00381FA5" w:rsidRPr="00603B31">
        <w:rPr>
          <w:rFonts w:ascii="Times New Roman" w:hAnsi="Times New Roman" w:cs="Times New Roman"/>
          <w:sz w:val="28"/>
          <w:szCs w:val="28"/>
        </w:rPr>
        <w:t xml:space="preserve"> (таблица 7)</w:t>
      </w:r>
      <w:r w:rsidRPr="00603B31">
        <w:rPr>
          <w:rFonts w:ascii="Times New Roman" w:hAnsi="Times New Roman" w:cs="Times New Roman"/>
          <w:sz w:val="28"/>
          <w:szCs w:val="28"/>
        </w:rPr>
        <w:t>:</w:t>
      </w:r>
      <w:r w:rsidR="00315103" w:rsidRPr="00315103">
        <w:rPr>
          <w:rFonts w:ascii="Times New Roman" w:eastAsia="Times New Roman" w:hAnsi="Times New Roman" w:cs="Times New Roman"/>
          <w:sz w:val="28"/>
          <w:szCs w:val="28"/>
        </w:rPr>
        <w:t xml:space="preserve"> </w:t>
      </w:r>
    </w:p>
    <w:p w:rsidR="001D2283" w:rsidRPr="00603B31" w:rsidRDefault="00315103" w:rsidP="00315103">
      <w:pPr>
        <w:spacing w:after="0" w:line="240" w:lineRule="auto"/>
        <w:contextualSpacing/>
        <w:rPr>
          <w:rFonts w:ascii="Times New Roman" w:hAnsi="Times New Roman" w:cs="Times New Roman"/>
          <w:sz w:val="28"/>
          <w:szCs w:val="28"/>
        </w:rPr>
      </w:pPr>
      <w:r w:rsidRPr="00603B31">
        <w:rPr>
          <w:rFonts w:ascii="Times New Roman" w:eastAsia="Times New Roman" w:hAnsi="Times New Roman" w:cs="Times New Roman"/>
          <w:sz w:val="28"/>
          <w:szCs w:val="28"/>
        </w:rPr>
        <w:t>Таблица 7. Влияние применения мио-инозитола на возможность наступления беременности в программе ЭКО у пациенток со «слабым ответом» на стимуляцию суперовуляции</w:t>
      </w:r>
    </w:p>
    <w:tbl>
      <w:tblPr>
        <w:tblW w:w="0" w:type="auto"/>
        <w:tblBorders>
          <w:top w:val="single" w:sz="6" w:space="0" w:color="123456"/>
          <w:left w:val="single" w:sz="6" w:space="0" w:color="123456"/>
          <w:bottom w:val="single" w:sz="6" w:space="0" w:color="123456"/>
          <w:right w:val="single" w:sz="6" w:space="0" w:color="123456"/>
        </w:tblBorders>
        <w:shd w:val="clear" w:color="auto" w:fill="FFFFFF"/>
        <w:tblCellMar>
          <w:top w:w="86" w:type="dxa"/>
          <w:left w:w="86" w:type="dxa"/>
          <w:bottom w:w="86" w:type="dxa"/>
          <w:right w:w="86" w:type="dxa"/>
        </w:tblCellMar>
        <w:tblLook w:val="04A0" w:firstRow="1" w:lastRow="0" w:firstColumn="1" w:lastColumn="0" w:noHBand="0" w:noVBand="1"/>
      </w:tblPr>
      <w:tblGrid>
        <w:gridCol w:w="7059"/>
        <w:gridCol w:w="1532"/>
        <w:gridCol w:w="936"/>
      </w:tblGrid>
      <w:tr w:rsidR="001D2283" w:rsidRPr="00603B31" w:rsidTr="001D2283">
        <w:tc>
          <w:tcPr>
            <w:tcW w:w="8591" w:type="dxa"/>
            <w:gridSpan w:val="2"/>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381FA5">
            <w:pPr>
              <w:spacing w:after="0" w:line="240" w:lineRule="auto"/>
              <w:jc w:val="center"/>
              <w:rPr>
                <w:rFonts w:ascii="Times New Roman" w:eastAsia="Times New Roman" w:hAnsi="Times New Roman" w:cs="Times New Roman"/>
                <w:sz w:val="28"/>
                <w:szCs w:val="28"/>
              </w:rPr>
            </w:pPr>
          </w:p>
        </w:tc>
        <w:tc>
          <w:tcPr>
            <w:tcW w:w="936" w:type="dxa"/>
            <w:tcBorders>
              <w:top w:val="single" w:sz="6" w:space="0" w:color="123456"/>
              <w:left w:val="single" w:sz="6" w:space="0" w:color="123456"/>
              <w:bottom w:val="single" w:sz="6" w:space="0" w:color="123456"/>
              <w:right w:val="single" w:sz="6" w:space="0" w:color="123456"/>
            </w:tcBorders>
            <w:shd w:val="clear" w:color="auto" w:fill="FFFFFF"/>
          </w:tcPr>
          <w:p w:rsidR="001D2283" w:rsidRPr="00603B31" w:rsidRDefault="001D2283" w:rsidP="001D2283">
            <w:pPr>
              <w:spacing w:after="0" w:line="240" w:lineRule="auto"/>
              <w:jc w:val="center"/>
              <w:rPr>
                <w:rFonts w:ascii="Times New Roman" w:eastAsia="Times New Roman" w:hAnsi="Times New Roman" w:cs="Times New Roman"/>
                <w:sz w:val="28"/>
                <w:szCs w:val="28"/>
              </w:rPr>
            </w:pPr>
            <w:r w:rsidRPr="00603B31">
              <w:rPr>
                <w:rFonts w:ascii="Times New Roman" w:hAnsi="Times New Roman" w:cs="Times New Roman"/>
                <w:sz w:val="24"/>
                <w:szCs w:val="24"/>
              </w:rPr>
              <w:t xml:space="preserve"> p</w:t>
            </w:r>
          </w:p>
        </w:tc>
      </w:tr>
      <w:tr w:rsidR="001D2283" w:rsidRPr="00603B31" w:rsidTr="001D2283">
        <w:tc>
          <w:tcPr>
            <w:tcW w:w="0" w:type="auto"/>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381FA5">
            <w:pPr>
              <w:spacing w:after="0" w:line="240" w:lineRule="auto"/>
              <w:jc w:val="center"/>
              <w:rPr>
                <w:rFonts w:ascii="Times New Roman" w:eastAsia="Times New Roman" w:hAnsi="Times New Roman" w:cs="Times New Roman"/>
                <w:sz w:val="24"/>
                <w:szCs w:val="24"/>
              </w:rPr>
            </w:pPr>
            <w:r w:rsidRPr="00603B31">
              <w:rPr>
                <w:rFonts w:ascii="Times New Roman" w:eastAsia="Times New Roman" w:hAnsi="Times New Roman" w:cs="Times New Roman"/>
                <w:sz w:val="24"/>
                <w:szCs w:val="24"/>
              </w:rPr>
              <w:t xml:space="preserve">Шанс наступления беременности в </w:t>
            </w:r>
            <w:r w:rsidR="00381FA5" w:rsidRPr="00603B31">
              <w:rPr>
                <w:rFonts w:ascii="Times New Roman" w:eastAsia="Times New Roman" w:hAnsi="Times New Roman" w:cs="Times New Roman"/>
                <w:sz w:val="24"/>
                <w:szCs w:val="24"/>
              </w:rPr>
              <w:t>основной группе</w:t>
            </w:r>
          </w:p>
        </w:tc>
        <w:tc>
          <w:tcPr>
            <w:tcW w:w="1224" w:type="dxa"/>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BB5220">
            <w:pPr>
              <w:spacing w:after="0" w:line="240" w:lineRule="auto"/>
              <w:jc w:val="center"/>
              <w:rPr>
                <w:rFonts w:ascii="Times New Roman" w:eastAsia="Times New Roman" w:hAnsi="Times New Roman" w:cs="Times New Roman"/>
                <w:sz w:val="24"/>
                <w:szCs w:val="24"/>
              </w:rPr>
            </w:pPr>
            <w:r w:rsidRPr="00603B31">
              <w:rPr>
                <w:rFonts w:ascii="Times New Roman" w:eastAsia="Times New Roman" w:hAnsi="Times New Roman" w:cs="Times New Roman"/>
                <w:sz w:val="24"/>
                <w:szCs w:val="24"/>
              </w:rPr>
              <w:t>0.333</w:t>
            </w:r>
          </w:p>
        </w:tc>
        <w:tc>
          <w:tcPr>
            <w:tcW w:w="936" w:type="dxa"/>
            <w:tcBorders>
              <w:top w:val="single" w:sz="6" w:space="0" w:color="123456"/>
              <w:left w:val="single" w:sz="6" w:space="0" w:color="123456"/>
              <w:bottom w:val="single" w:sz="6" w:space="0" w:color="123456"/>
              <w:right w:val="single" w:sz="6" w:space="0" w:color="123456"/>
            </w:tcBorders>
            <w:shd w:val="clear" w:color="auto" w:fill="FFFFFF"/>
          </w:tcPr>
          <w:p w:rsidR="001D2283" w:rsidRPr="00603B31" w:rsidRDefault="004E0E93" w:rsidP="001D2283">
            <w:pPr>
              <w:spacing w:after="0" w:line="240" w:lineRule="auto"/>
              <w:jc w:val="center"/>
              <w:rPr>
                <w:rFonts w:ascii="Times New Roman" w:eastAsia="Times New Roman" w:hAnsi="Times New Roman" w:cs="Times New Roman"/>
                <w:sz w:val="24"/>
                <w:szCs w:val="24"/>
              </w:rPr>
            </w:pPr>
            <w:r w:rsidRPr="00603B31">
              <w:rPr>
                <w:rFonts w:ascii="Times New Roman" w:hAnsi="Times New Roman" w:cs="Times New Roman"/>
                <w:sz w:val="24"/>
                <w:szCs w:val="24"/>
                <w:lang w:val="en-US"/>
              </w:rPr>
              <w:t>&lt;</w:t>
            </w:r>
            <w:r w:rsidR="001D2283" w:rsidRPr="00603B31">
              <w:rPr>
                <w:rFonts w:ascii="Times New Roman" w:hAnsi="Times New Roman" w:cs="Times New Roman"/>
                <w:sz w:val="24"/>
                <w:szCs w:val="24"/>
              </w:rPr>
              <w:t xml:space="preserve"> 0,05</w:t>
            </w:r>
          </w:p>
        </w:tc>
      </w:tr>
      <w:tr w:rsidR="001D2283" w:rsidRPr="00603B31" w:rsidTr="001D2283">
        <w:trPr>
          <w:trHeight w:val="462"/>
        </w:trPr>
        <w:tc>
          <w:tcPr>
            <w:tcW w:w="0" w:type="auto"/>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381FA5">
            <w:pPr>
              <w:spacing w:after="0" w:line="240" w:lineRule="auto"/>
              <w:jc w:val="center"/>
              <w:rPr>
                <w:rFonts w:ascii="Times New Roman" w:eastAsia="Times New Roman" w:hAnsi="Times New Roman" w:cs="Times New Roman"/>
                <w:sz w:val="24"/>
                <w:szCs w:val="24"/>
              </w:rPr>
            </w:pPr>
            <w:r w:rsidRPr="00603B31">
              <w:rPr>
                <w:rFonts w:ascii="Times New Roman" w:eastAsia="Times New Roman" w:hAnsi="Times New Roman" w:cs="Times New Roman"/>
                <w:sz w:val="24"/>
                <w:szCs w:val="24"/>
              </w:rPr>
              <w:t xml:space="preserve">Шанс наступления беременности в </w:t>
            </w:r>
            <w:r w:rsidR="00381FA5" w:rsidRPr="00603B31">
              <w:rPr>
                <w:rFonts w:ascii="Times New Roman" w:eastAsia="Times New Roman" w:hAnsi="Times New Roman" w:cs="Times New Roman"/>
                <w:sz w:val="24"/>
                <w:szCs w:val="24"/>
              </w:rPr>
              <w:t>группе сравнения</w:t>
            </w:r>
          </w:p>
        </w:tc>
        <w:tc>
          <w:tcPr>
            <w:tcW w:w="1224" w:type="dxa"/>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1D2283">
            <w:pPr>
              <w:spacing w:after="0" w:line="240" w:lineRule="auto"/>
              <w:jc w:val="center"/>
              <w:rPr>
                <w:rFonts w:ascii="Times New Roman" w:eastAsia="Times New Roman" w:hAnsi="Times New Roman" w:cs="Times New Roman"/>
                <w:sz w:val="24"/>
                <w:szCs w:val="24"/>
              </w:rPr>
            </w:pPr>
            <w:r w:rsidRPr="00603B31">
              <w:rPr>
                <w:rFonts w:ascii="Times New Roman" w:eastAsia="Times New Roman" w:hAnsi="Times New Roman" w:cs="Times New Roman"/>
                <w:sz w:val="24"/>
                <w:szCs w:val="24"/>
              </w:rPr>
              <w:t>0.200</w:t>
            </w:r>
          </w:p>
        </w:tc>
        <w:tc>
          <w:tcPr>
            <w:tcW w:w="936" w:type="dxa"/>
            <w:tcBorders>
              <w:top w:val="single" w:sz="6" w:space="0" w:color="123456"/>
              <w:left w:val="single" w:sz="6" w:space="0" w:color="123456"/>
              <w:bottom w:val="single" w:sz="6" w:space="0" w:color="123456"/>
              <w:right w:val="single" w:sz="6" w:space="0" w:color="123456"/>
            </w:tcBorders>
            <w:shd w:val="clear" w:color="auto" w:fill="FFFFFF"/>
          </w:tcPr>
          <w:p w:rsidR="001D2283" w:rsidRPr="00603B31" w:rsidRDefault="004E0E93" w:rsidP="001D2283">
            <w:pPr>
              <w:spacing w:after="0" w:line="240" w:lineRule="auto"/>
              <w:jc w:val="center"/>
              <w:rPr>
                <w:rFonts w:ascii="Times New Roman" w:eastAsia="Times New Roman" w:hAnsi="Times New Roman" w:cs="Times New Roman"/>
                <w:sz w:val="24"/>
                <w:szCs w:val="24"/>
              </w:rPr>
            </w:pPr>
            <w:r w:rsidRPr="00603B31">
              <w:rPr>
                <w:rFonts w:ascii="Times New Roman" w:hAnsi="Times New Roman" w:cs="Times New Roman"/>
                <w:sz w:val="24"/>
                <w:szCs w:val="24"/>
                <w:lang w:val="en-US"/>
              </w:rPr>
              <w:t>&lt;</w:t>
            </w:r>
            <w:r w:rsidR="001D2283" w:rsidRPr="00603B31">
              <w:rPr>
                <w:rFonts w:ascii="Times New Roman" w:hAnsi="Times New Roman" w:cs="Times New Roman"/>
                <w:sz w:val="24"/>
                <w:szCs w:val="24"/>
              </w:rPr>
              <w:t xml:space="preserve"> 0,05</w:t>
            </w:r>
          </w:p>
        </w:tc>
      </w:tr>
      <w:tr w:rsidR="001D2283" w:rsidRPr="00603B31" w:rsidTr="001D2283">
        <w:tc>
          <w:tcPr>
            <w:tcW w:w="0" w:type="auto"/>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1D2283">
            <w:pPr>
              <w:spacing w:after="0" w:line="240" w:lineRule="auto"/>
              <w:jc w:val="center"/>
              <w:rPr>
                <w:rFonts w:ascii="Times New Roman" w:hAnsi="Times New Roman" w:cs="Times New Roman"/>
                <w:sz w:val="24"/>
                <w:szCs w:val="24"/>
              </w:rPr>
            </w:pPr>
            <w:r w:rsidRPr="00603B31">
              <w:rPr>
                <w:rFonts w:ascii="Times New Roman" w:hAnsi="Times New Roman" w:cs="Times New Roman"/>
                <w:sz w:val="24"/>
                <w:szCs w:val="24"/>
              </w:rPr>
              <w:t>Отношение шансов (OR)</w:t>
            </w:r>
          </w:p>
        </w:tc>
        <w:tc>
          <w:tcPr>
            <w:tcW w:w="1224" w:type="dxa"/>
            <w:tcBorders>
              <w:top w:val="single" w:sz="6" w:space="0" w:color="123456"/>
              <w:left w:val="single" w:sz="6" w:space="0" w:color="123456"/>
              <w:bottom w:val="single" w:sz="6" w:space="0" w:color="123456"/>
              <w:right w:val="single" w:sz="6" w:space="0" w:color="123456"/>
            </w:tcBorders>
            <w:shd w:val="clear" w:color="auto" w:fill="FFFFFF"/>
            <w:vAlign w:val="center"/>
            <w:hideMark/>
          </w:tcPr>
          <w:p w:rsidR="001D2283" w:rsidRPr="00603B31" w:rsidRDefault="001D2283" w:rsidP="001D2283">
            <w:pPr>
              <w:spacing w:after="0" w:line="240" w:lineRule="auto"/>
              <w:jc w:val="center"/>
              <w:rPr>
                <w:rFonts w:ascii="Times New Roman" w:hAnsi="Times New Roman" w:cs="Times New Roman"/>
                <w:sz w:val="24"/>
                <w:szCs w:val="24"/>
              </w:rPr>
            </w:pPr>
            <w:r w:rsidRPr="00603B31">
              <w:rPr>
                <w:rFonts w:ascii="Times New Roman" w:hAnsi="Times New Roman" w:cs="Times New Roman"/>
                <w:sz w:val="24"/>
                <w:szCs w:val="24"/>
              </w:rPr>
              <w:t>1.667</w:t>
            </w:r>
          </w:p>
        </w:tc>
        <w:tc>
          <w:tcPr>
            <w:tcW w:w="936" w:type="dxa"/>
            <w:tcBorders>
              <w:top w:val="single" w:sz="6" w:space="0" w:color="123456"/>
              <w:left w:val="single" w:sz="6" w:space="0" w:color="123456"/>
              <w:bottom w:val="single" w:sz="6" w:space="0" w:color="123456"/>
              <w:right w:val="single" w:sz="6" w:space="0" w:color="123456"/>
            </w:tcBorders>
            <w:shd w:val="clear" w:color="auto" w:fill="FFFFFF"/>
          </w:tcPr>
          <w:p w:rsidR="001D2283" w:rsidRPr="00603B31" w:rsidRDefault="004E0E93" w:rsidP="001D2283">
            <w:pPr>
              <w:spacing w:after="0" w:line="240" w:lineRule="auto"/>
              <w:jc w:val="center"/>
              <w:rPr>
                <w:rFonts w:ascii="Times New Roman" w:hAnsi="Times New Roman" w:cs="Times New Roman"/>
                <w:sz w:val="24"/>
                <w:szCs w:val="24"/>
              </w:rPr>
            </w:pPr>
            <w:r w:rsidRPr="00603B31">
              <w:rPr>
                <w:rFonts w:ascii="Times New Roman" w:hAnsi="Times New Roman" w:cs="Times New Roman"/>
                <w:sz w:val="24"/>
                <w:szCs w:val="24"/>
                <w:lang w:val="en-US"/>
              </w:rPr>
              <w:t>&lt;</w:t>
            </w:r>
            <w:r w:rsidR="001D2283" w:rsidRPr="00603B31">
              <w:rPr>
                <w:rFonts w:ascii="Times New Roman" w:hAnsi="Times New Roman" w:cs="Times New Roman"/>
                <w:sz w:val="24"/>
                <w:szCs w:val="24"/>
              </w:rPr>
              <w:t xml:space="preserve"> 0,05</w:t>
            </w:r>
          </w:p>
        </w:tc>
      </w:tr>
    </w:tbl>
    <w:p w:rsidR="001D2283" w:rsidRPr="00603B31" w:rsidRDefault="001D2283" w:rsidP="001D2283">
      <w:pPr>
        <w:spacing w:after="0" w:line="360" w:lineRule="auto"/>
        <w:contextualSpacing/>
        <w:rPr>
          <w:rFonts w:ascii="Times New Roman" w:hAnsi="Times New Roman" w:cs="Times New Roman"/>
          <w:sz w:val="24"/>
          <w:szCs w:val="24"/>
        </w:rPr>
      </w:pPr>
    </w:p>
    <w:p w:rsidR="001D2283" w:rsidRPr="00603B31" w:rsidRDefault="001D2283"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Анализируя данные приведенного расчета, можно сделать вывод о том, что существует </w:t>
      </w:r>
      <w:r w:rsidR="00381FA5" w:rsidRPr="00603B31">
        <w:rPr>
          <w:rFonts w:ascii="Times New Roman" w:hAnsi="Times New Roman" w:cs="Times New Roman"/>
          <w:sz w:val="28"/>
          <w:szCs w:val="28"/>
        </w:rPr>
        <w:t xml:space="preserve">вероятность наступления беременности в группе пациенток со «слабым ответом», принимавших мио0-инозитол в качестве адьювантной терапии в цикле ЭКО в 1,7 раз выше, чем в группе сравнения </w:t>
      </w:r>
      <w:r w:rsidRPr="00603B31">
        <w:rPr>
          <w:rFonts w:ascii="Times New Roman" w:hAnsi="Times New Roman" w:cs="Times New Roman"/>
          <w:sz w:val="28"/>
          <w:szCs w:val="28"/>
        </w:rPr>
        <w:t xml:space="preserve">(р </w:t>
      </w:r>
      <w:r w:rsidR="004E0E93" w:rsidRPr="00603B31">
        <w:rPr>
          <w:rFonts w:ascii="Times New Roman" w:hAnsi="Times New Roman" w:cs="Times New Roman"/>
          <w:sz w:val="28"/>
          <w:szCs w:val="28"/>
        </w:rPr>
        <w:t>&lt;</w:t>
      </w:r>
      <w:r w:rsidRPr="00603B31">
        <w:rPr>
          <w:rFonts w:ascii="Times New Roman" w:hAnsi="Times New Roman" w:cs="Times New Roman"/>
          <w:sz w:val="28"/>
          <w:szCs w:val="28"/>
        </w:rPr>
        <w:t xml:space="preserve"> 0,05).</w:t>
      </w:r>
    </w:p>
    <w:p w:rsidR="001D2283" w:rsidRPr="00603B31" w:rsidRDefault="001D2283"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Как было показано выше, прослеживается тенденция в повышении чувствительности яичников к стимуляции суперовуляции в группе </w:t>
      </w:r>
      <w:r w:rsidR="00615D84" w:rsidRPr="00603B31">
        <w:rPr>
          <w:rFonts w:ascii="Times New Roman" w:hAnsi="Times New Roman" w:cs="Times New Roman"/>
          <w:sz w:val="28"/>
          <w:szCs w:val="28"/>
        </w:rPr>
        <w:t xml:space="preserve">пациенток </w:t>
      </w:r>
      <w:r w:rsidRPr="00603B31">
        <w:rPr>
          <w:rFonts w:ascii="Times New Roman" w:hAnsi="Times New Roman" w:cs="Times New Roman"/>
          <w:sz w:val="28"/>
          <w:szCs w:val="28"/>
        </w:rPr>
        <w:t xml:space="preserve"> со «слабым ответом», принимавших мио-инозитол, что выражается в значительном уменьшении суммарной и эффективной дозы гонадотропинов по сравнению с группой сравнения, а также </w:t>
      </w:r>
      <w:r w:rsidR="00615D84" w:rsidRPr="00603B31">
        <w:rPr>
          <w:rFonts w:ascii="Times New Roman" w:hAnsi="Times New Roman" w:cs="Times New Roman"/>
          <w:sz w:val="28"/>
          <w:szCs w:val="28"/>
        </w:rPr>
        <w:t>в наличии статистически значимой зависимости количества и качества эмбрионов от применения мио-инозитола</w:t>
      </w:r>
      <w:r w:rsidRPr="00603B31">
        <w:rPr>
          <w:rFonts w:ascii="Times New Roman" w:hAnsi="Times New Roman" w:cs="Times New Roman"/>
          <w:sz w:val="28"/>
          <w:szCs w:val="28"/>
        </w:rPr>
        <w:t xml:space="preserve">. </w:t>
      </w:r>
    </w:p>
    <w:p w:rsidR="001D2283" w:rsidRPr="00603B31" w:rsidRDefault="00287848" w:rsidP="001D2283">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 xml:space="preserve">3.4 </w:t>
      </w:r>
      <w:r w:rsidR="001D2283" w:rsidRPr="00603B31">
        <w:rPr>
          <w:rFonts w:ascii="Times New Roman" w:hAnsi="Times New Roman" w:cs="Times New Roman"/>
          <w:b/>
          <w:sz w:val="28"/>
          <w:szCs w:val="28"/>
        </w:rPr>
        <w:t>Оценка безопасности применения мио-инозитола.</w:t>
      </w:r>
    </w:p>
    <w:p w:rsidR="001D2283" w:rsidRPr="00603B31" w:rsidRDefault="001D2283" w:rsidP="008028E5">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В связи с отсутствием каких-либо данных о</w:t>
      </w:r>
      <w:r w:rsidR="00BB5220" w:rsidRPr="00603B31">
        <w:rPr>
          <w:rFonts w:ascii="Times New Roman" w:hAnsi="Times New Roman" w:cs="Times New Roman"/>
          <w:sz w:val="28"/>
          <w:szCs w:val="28"/>
        </w:rPr>
        <w:t xml:space="preserve"> наличии </w:t>
      </w:r>
      <w:r w:rsidR="00615D84" w:rsidRPr="00603B31">
        <w:rPr>
          <w:rFonts w:ascii="Times New Roman" w:hAnsi="Times New Roman" w:cs="Times New Roman"/>
          <w:sz w:val="28"/>
          <w:szCs w:val="28"/>
        </w:rPr>
        <w:t>серьёзных неблагополучных явлений</w:t>
      </w:r>
      <w:r w:rsidRPr="00603B31">
        <w:rPr>
          <w:rFonts w:ascii="Times New Roman" w:hAnsi="Times New Roman" w:cs="Times New Roman"/>
          <w:sz w:val="28"/>
          <w:szCs w:val="28"/>
        </w:rPr>
        <w:t xml:space="preserve">, связанных с </w:t>
      </w:r>
      <w:r w:rsidR="00615D84" w:rsidRPr="00603B31">
        <w:rPr>
          <w:rFonts w:ascii="Times New Roman" w:hAnsi="Times New Roman" w:cs="Times New Roman"/>
          <w:sz w:val="28"/>
          <w:szCs w:val="28"/>
        </w:rPr>
        <w:t>приё</w:t>
      </w:r>
      <w:r w:rsidR="00BB5220" w:rsidRPr="00603B31">
        <w:rPr>
          <w:rFonts w:ascii="Times New Roman" w:hAnsi="Times New Roman" w:cs="Times New Roman"/>
          <w:sz w:val="28"/>
          <w:szCs w:val="28"/>
        </w:rPr>
        <w:t>мом мио-инозитола</w:t>
      </w:r>
      <w:r w:rsidRPr="00603B31">
        <w:rPr>
          <w:rFonts w:ascii="Times New Roman" w:hAnsi="Times New Roman" w:cs="Times New Roman"/>
          <w:sz w:val="28"/>
          <w:szCs w:val="28"/>
        </w:rPr>
        <w:t>, можно сделать вывод о том, что применение мио-инозитола является безопасным для женщин, планир</w:t>
      </w:r>
      <w:r w:rsidR="00BB5220" w:rsidRPr="00603B31">
        <w:rPr>
          <w:rFonts w:ascii="Times New Roman" w:hAnsi="Times New Roman" w:cs="Times New Roman"/>
          <w:sz w:val="28"/>
          <w:szCs w:val="28"/>
        </w:rPr>
        <w:t>ующих беременность</w:t>
      </w:r>
      <w:r w:rsidRPr="00603B31">
        <w:rPr>
          <w:rFonts w:ascii="Times New Roman" w:hAnsi="Times New Roman" w:cs="Times New Roman"/>
          <w:sz w:val="28"/>
          <w:szCs w:val="28"/>
        </w:rPr>
        <w:t xml:space="preserve">. </w:t>
      </w:r>
    </w:p>
    <w:p w:rsidR="001D2283" w:rsidRPr="00603B31" w:rsidRDefault="001D2283" w:rsidP="000C09B2">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28"/>
          <w:szCs w:val="28"/>
        </w:rPr>
        <w:t>ЗАКЛЮЧЕНИЕ</w:t>
      </w:r>
    </w:p>
    <w:p w:rsidR="00D51268" w:rsidRPr="00603B31" w:rsidRDefault="001D2283"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Од</w:t>
      </w:r>
      <w:r w:rsidR="00615D84" w:rsidRPr="00603B31">
        <w:rPr>
          <w:rFonts w:ascii="Times New Roman" w:hAnsi="Times New Roman" w:cs="Times New Roman"/>
          <w:sz w:val="28"/>
          <w:szCs w:val="28"/>
        </w:rPr>
        <w:t>ними</w:t>
      </w:r>
      <w:r w:rsidRPr="00603B31">
        <w:rPr>
          <w:rFonts w:ascii="Times New Roman" w:hAnsi="Times New Roman" w:cs="Times New Roman"/>
          <w:sz w:val="28"/>
          <w:szCs w:val="28"/>
        </w:rPr>
        <w:t xml:space="preserve"> из основных причин «слабого ответа» яичников на стимуляцию </w:t>
      </w:r>
      <w:r w:rsidR="00615D84" w:rsidRPr="00603B31">
        <w:rPr>
          <w:rFonts w:ascii="Times New Roman" w:hAnsi="Times New Roman" w:cs="Times New Roman"/>
          <w:sz w:val="28"/>
          <w:szCs w:val="28"/>
        </w:rPr>
        <w:t>суперовуляции в циклах ЭКО являю</w:t>
      </w:r>
      <w:r w:rsidRPr="00603B31">
        <w:rPr>
          <w:rFonts w:ascii="Times New Roman" w:hAnsi="Times New Roman" w:cs="Times New Roman"/>
          <w:sz w:val="28"/>
          <w:szCs w:val="28"/>
        </w:rPr>
        <w:t>тся поздний возраст пациенток, а также наличие в анамнезе указаний на оперативные вмешательства на органах малого таза,</w:t>
      </w:r>
      <w:r w:rsidR="00D51268" w:rsidRPr="00603B31">
        <w:rPr>
          <w:rFonts w:ascii="Times New Roman" w:hAnsi="Times New Roman" w:cs="Times New Roman"/>
          <w:sz w:val="28"/>
          <w:szCs w:val="28"/>
        </w:rPr>
        <w:t xml:space="preserve"> </w:t>
      </w:r>
      <w:r w:rsidR="00615D84" w:rsidRPr="00603B31">
        <w:rPr>
          <w:rFonts w:ascii="Times New Roman" w:hAnsi="Times New Roman" w:cs="Times New Roman"/>
          <w:sz w:val="28"/>
          <w:szCs w:val="28"/>
        </w:rPr>
        <w:t xml:space="preserve">спаечную болезнь малого таза </w:t>
      </w:r>
      <w:r w:rsidR="00D51268" w:rsidRPr="00603B31">
        <w:rPr>
          <w:rFonts w:ascii="Times New Roman" w:hAnsi="Times New Roman" w:cs="Times New Roman"/>
          <w:sz w:val="28"/>
          <w:szCs w:val="28"/>
        </w:rPr>
        <w:t xml:space="preserve">и </w:t>
      </w:r>
      <w:r w:rsidRPr="00603B31">
        <w:rPr>
          <w:rFonts w:ascii="Times New Roman" w:hAnsi="Times New Roman" w:cs="Times New Roman"/>
          <w:sz w:val="28"/>
          <w:szCs w:val="28"/>
        </w:rPr>
        <w:t>не</w:t>
      </w:r>
      <w:r w:rsidR="00D51268" w:rsidRPr="00603B31">
        <w:rPr>
          <w:rFonts w:ascii="Times New Roman" w:hAnsi="Times New Roman" w:cs="Times New Roman"/>
          <w:sz w:val="28"/>
          <w:szCs w:val="28"/>
        </w:rPr>
        <w:t>которые эндокринные заболевания, которые в значительной степени снижают овариальный резерв пациенток.</w:t>
      </w:r>
      <w:r w:rsidRPr="00603B31">
        <w:rPr>
          <w:rFonts w:ascii="Times New Roman" w:hAnsi="Times New Roman" w:cs="Times New Roman"/>
          <w:sz w:val="28"/>
          <w:szCs w:val="28"/>
        </w:rPr>
        <w:t xml:space="preserve"> </w:t>
      </w:r>
      <w:r w:rsidR="00D51268" w:rsidRPr="00603B31">
        <w:rPr>
          <w:rFonts w:ascii="Times New Roman" w:hAnsi="Times New Roman" w:cs="Times New Roman"/>
          <w:sz w:val="28"/>
          <w:szCs w:val="28"/>
        </w:rPr>
        <w:t>«Слабый ответ» на стимуляцию гонадотропинами значительно снижает шансы пациен</w:t>
      </w:r>
      <w:r w:rsidR="00FF2811" w:rsidRPr="00603B31">
        <w:rPr>
          <w:rFonts w:ascii="Times New Roman" w:hAnsi="Times New Roman" w:cs="Times New Roman"/>
          <w:sz w:val="28"/>
          <w:szCs w:val="28"/>
        </w:rPr>
        <w:t>ток на успешное проведение циклов</w:t>
      </w:r>
      <w:r w:rsidR="00D51268" w:rsidRPr="00603B31">
        <w:rPr>
          <w:rFonts w:ascii="Times New Roman" w:hAnsi="Times New Roman" w:cs="Times New Roman"/>
          <w:sz w:val="28"/>
          <w:szCs w:val="28"/>
        </w:rPr>
        <w:t xml:space="preserve"> ЭКО и наступление беременности. Несмотря на то, что данная проблема является предметом интереса многих </w:t>
      </w:r>
      <w:r w:rsidR="00615D84" w:rsidRPr="00603B31">
        <w:rPr>
          <w:rFonts w:ascii="Times New Roman" w:hAnsi="Times New Roman" w:cs="Times New Roman"/>
          <w:sz w:val="28"/>
          <w:szCs w:val="28"/>
        </w:rPr>
        <w:t>специалистов в области ВРТ</w:t>
      </w:r>
      <w:r w:rsidR="00D51268" w:rsidRPr="00603B31">
        <w:rPr>
          <w:rFonts w:ascii="Times New Roman" w:hAnsi="Times New Roman" w:cs="Times New Roman"/>
          <w:sz w:val="28"/>
          <w:szCs w:val="28"/>
        </w:rPr>
        <w:t xml:space="preserve">, на сегодняшний день не существует достоверно эффективного метода терапии, которой мог бы быть рекомендован пациенткам со «слабым ответом» на симуляцию суперовуляции. Тем не менее, опираясь на результаты многих клинических исследований, можно предположить, что мио-инозитол может повысить чувствительность </w:t>
      </w:r>
      <w:r w:rsidR="00615D84" w:rsidRPr="00603B31">
        <w:rPr>
          <w:rFonts w:ascii="Times New Roman" w:hAnsi="Times New Roman" w:cs="Times New Roman"/>
          <w:sz w:val="28"/>
          <w:szCs w:val="28"/>
        </w:rPr>
        <w:t>яичников</w:t>
      </w:r>
      <w:r w:rsidR="00D51268" w:rsidRPr="00603B31">
        <w:rPr>
          <w:rFonts w:ascii="Times New Roman" w:hAnsi="Times New Roman" w:cs="Times New Roman"/>
          <w:sz w:val="28"/>
          <w:szCs w:val="28"/>
        </w:rPr>
        <w:t xml:space="preserve"> к стимуляции гонадотропинами в цикле ЭКО.</w:t>
      </w:r>
    </w:p>
    <w:p w:rsidR="001D2283" w:rsidRPr="00603B31" w:rsidRDefault="00D51268"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Были проанализированы две группы </w:t>
      </w:r>
      <w:r w:rsidR="00615D84" w:rsidRPr="00603B31">
        <w:rPr>
          <w:rFonts w:ascii="Times New Roman" w:hAnsi="Times New Roman" w:cs="Times New Roman"/>
          <w:sz w:val="28"/>
          <w:szCs w:val="28"/>
        </w:rPr>
        <w:t>пациенток</w:t>
      </w:r>
      <w:r w:rsidRPr="00603B31">
        <w:rPr>
          <w:rFonts w:ascii="Times New Roman" w:hAnsi="Times New Roman" w:cs="Times New Roman"/>
          <w:sz w:val="28"/>
          <w:szCs w:val="28"/>
        </w:rPr>
        <w:t>, сопоставимых по клинико-анамнестическим данным (</w:t>
      </w:r>
      <w:r w:rsidR="00615D84" w:rsidRPr="00603B31">
        <w:rPr>
          <w:rFonts w:ascii="Times New Roman" w:hAnsi="Times New Roman" w:cs="Times New Roman"/>
          <w:sz w:val="28"/>
          <w:szCs w:val="28"/>
        </w:rPr>
        <w:t xml:space="preserve">средний </w:t>
      </w:r>
      <w:r w:rsidRPr="00603B31">
        <w:rPr>
          <w:rFonts w:ascii="Times New Roman" w:hAnsi="Times New Roman" w:cs="Times New Roman"/>
          <w:sz w:val="28"/>
          <w:szCs w:val="28"/>
        </w:rPr>
        <w:t>возраст, возраст менархе, длительность бес</w:t>
      </w:r>
      <w:r w:rsidR="0082061C" w:rsidRPr="00603B31">
        <w:rPr>
          <w:rFonts w:ascii="Times New Roman" w:hAnsi="Times New Roman" w:cs="Times New Roman"/>
          <w:sz w:val="28"/>
          <w:szCs w:val="28"/>
        </w:rPr>
        <w:t xml:space="preserve">плодия, количество попыток ЭКО </w:t>
      </w:r>
      <w:r w:rsidRPr="00603B31">
        <w:rPr>
          <w:rFonts w:ascii="Times New Roman" w:hAnsi="Times New Roman" w:cs="Times New Roman"/>
          <w:sz w:val="28"/>
          <w:szCs w:val="28"/>
        </w:rPr>
        <w:t>в анамнезе, уровень ФСГ, АМГ</w:t>
      </w:r>
      <w:r w:rsidR="0082061C" w:rsidRPr="00603B31">
        <w:rPr>
          <w:rFonts w:ascii="Times New Roman" w:hAnsi="Times New Roman" w:cs="Times New Roman"/>
          <w:sz w:val="28"/>
          <w:szCs w:val="28"/>
        </w:rPr>
        <w:t>, пролактина</w:t>
      </w:r>
      <w:r w:rsidRPr="00603B31">
        <w:rPr>
          <w:rFonts w:ascii="Times New Roman" w:hAnsi="Times New Roman" w:cs="Times New Roman"/>
          <w:sz w:val="28"/>
          <w:szCs w:val="28"/>
        </w:rPr>
        <w:t xml:space="preserve">). При этом в основной группе были пациентки со «слабым ответом», принимавшие мио-инозитол за 2 месяца до начала индукции суперовуляции, </w:t>
      </w:r>
      <w:r w:rsidR="0082061C" w:rsidRPr="00603B31">
        <w:rPr>
          <w:rFonts w:ascii="Times New Roman" w:hAnsi="Times New Roman" w:cs="Times New Roman"/>
          <w:sz w:val="28"/>
          <w:szCs w:val="28"/>
        </w:rPr>
        <w:t xml:space="preserve">тогда как </w:t>
      </w:r>
      <w:r w:rsidRPr="00603B31">
        <w:rPr>
          <w:rFonts w:ascii="Times New Roman" w:hAnsi="Times New Roman" w:cs="Times New Roman"/>
          <w:sz w:val="28"/>
          <w:szCs w:val="28"/>
        </w:rPr>
        <w:t>в группе сравнения был</w:t>
      </w:r>
      <w:r w:rsidR="00E81BED" w:rsidRPr="00603B31">
        <w:rPr>
          <w:rFonts w:ascii="Times New Roman" w:hAnsi="Times New Roman" w:cs="Times New Roman"/>
          <w:sz w:val="28"/>
          <w:szCs w:val="28"/>
        </w:rPr>
        <w:t>и пациентки со «слабым ответом»</w:t>
      </w:r>
      <w:r w:rsidRPr="00603B31">
        <w:rPr>
          <w:rFonts w:ascii="Times New Roman" w:hAnsi="Times New Roman" w:cs="Times New Roman"/>
          <w:sz w:val="28"/>
          <w:szCs w:val="28"/>
        </w:rPr>
        <w:t xml:space="preserve">, не получавшие мио-инозитол. </w:t>
      </w:r>
    </w:p>
    <w:p w:rsidR="00D51268" w:rsidRPr="00603B31" w:rsidRDefault="00D51268"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 xml:space="preserve">Были </w:t>
      </w:r>
      <w:r w:rsidR="008817F6" w:rsidRPr="00603B31">
        <w:rPr>
          <w:rFonts w:ascii="Times New Roman" w:hAnsi="Times New Roman" w:cs="Times New Roman"/>
          <w:sz w:val="28"/>
          <w:szCs w:val="28"/>
        </w:rPr>
        <w:t>определены</w:t>
      </w:r>
      <w:r w:rsidRPr="00603B31">
        <w:rPr>
          <w:rFonts w:ascii="Times New Roman" w:hAnsi="Times New Roman" w:cs="Times New Roman"/>
          <w:sz w:val="28"/>
          <w:szCs w:val="28"/>
        </w:rPr>
        <w:t xml:space="preserve"> статистически значимые различия (</w:t>
      </w:r>
      <w:r w:rsidRPr="00603B31">
        <w:rPr>
          <w:rFonts w:ascii="Times New Roman" w:hAnsi="Times New Roman" w:cs="Times New Roman"/>
          <w:sz w:val="28"/>
          <w:szCs w:val="28"/>
          <w:lang w:val="en-US"/>
        </w:rPr>
        <w:t>p</w:t>
      </w:r>
      <w:r w:rsidR="00FF2811" w:rsidRPr="00603B31">
        <w:rPr>
          <w:rFonts w:ascii="Times New Roman" w:hAnsi="Times New Roman" w:cs="Times New Roman"/>
          <w:sz w:val="28"/>
          <w:szCs w:val="28"/>
        </w:rPr>
        <w:t xml:space="preserve"> </w:t>
      </w:r>
      <w:r w:rsidRPr="00603B31">
        <w:rPr>
          <w:rFonts w:ascii="Times New Roman" w:hAnsi="Times New Roman" w:cs="Times New Roman"/>
          <w:sz w:val="28"/>
          <w:szCs w:val="28"/>
        </w:rPr>
        <w:t>&lt;</w:t>
      </w:r>
      <w:r w:rsidR="00FF2811" w:rsidRPr="00603B31">
        <w:rPr>
          <w:rFonts w:ascii="Times New Roman" w:hAnsi="Times New Roman" w:cs="Times New Roman"/>
          <w:sz w:val="28"/>
          <w:szCs w:val="28"/>
        </w:rPr>
        <w:t xml:space="preserve"> </w:t>
      </w:r>
      <w:r w:rsidRPr="00603B31">
        <w:rPr>
          <w:rFonts w:ascii="Times New Roman" w:hAnsi="Times New Roman" w:cs="Times New Roman"/>
          <w:sz w:val="28"/>
          <w:szCs w:val="28"/>
        </w:rPr>
        <w:t>0.05) в сред</w:t>
      </w:r>
      <w:r w:rsidR="00FF2811" w:rsidRPr="00603B31">
        <w:rPr>
          <w:rFonts w:ascii="Times New Roman" w:hAnsi="Times New Roman" w:cs="Times New Roman"/>
          <w:sz w:val="28"/>
          <w:szCs w:val="28"/>
        </w:rPr>
        <w:t>ней суммарной и эффективной дозах</w:t>
      </w:r>
      <w:r w:rsidRPr="00603B31">
        <w:rPr>
          <w:rFonts w:ascii="Times New Roman" w:hAnsi="Times New Roman" w:cs="Times New Roman"/>
          <w:sz w:val="28"/>
          <w:szCs w:val="28"/>
        </w:rPr>
        <w:t xml:space="preserve"> назначаемых гонадотропинов, при этом </w:t>
      </w:r>
      <w:r w:rsidR="008817F6" w:rsidRPr="00603B31">
        <w:rPr>
          <w:rFonts w:ascii="Times New Roman" w:hAnsi="Times New Roman" w:cs="Times New Roman"/>
          <w:sz w:val="28"/>
          <w:szCs w:val="28"/>
        </w:rPr>
        <w:t>пациент</w:t>
      </w:r>
      <w:r w:rsidR="0082061C" w:rsidRPr="00603B31">
        <w:rPr>
          <w:rFonts w:ascii="Times New Roman" w:hAnsi="Times New Roman" w:cs="Times New Roman"/>
          <w:sz w:val="28"/>
          <w:szCs w:val="28"/>
        </w:rPr>
        <w:t>кам из основной группы назначала</w:t>
      </w:r>
      <w:r w:rsidR="00FF2811" w:rsidRPr="00603B31">
        <w:rPr>
          <w:rFonts w:ascii="Times New Roman" w:hAnsi="Times New Roman" w:cs="Times New Roman"/>
          <w:sz w:val="28"/>
          <w:szCs w:val="28"/>
        </w:rPr>
        <w:t>сь в 1,79 раз</w:t>
      </w:r>
      <w:r w:rsidR="008817F6" w:rsidRPr="00603B31">
        <w:rPr>
          <w:rFonts w:ascii="Times New Roman" w:hAnsi="Times New Roman" w:cs="Times New Roman"/>
          <w:sz w:val="28"/>
          <w:szCs w:val="28"/>
        </w:rPr>
        <w:t xml:space="preserve"> меньшая </w:t>
      </w:r>
      <w:r w:rsidR="00FF2811" w:rsidRPr="00603B31">
        <w:rPr>
          <w:rFonts w:ascii="Times New Roman" w:hAnsi="Times New Roman" w:cs="Times New Roman"/>
          <w:sz w:val="28"/>
          <w:szCs w:val="28"/>
        </w:rPr>
        <w:t xml:space="preserve">эффективная </w:t>
      </w:r>
      <w:r w:rsidR="008817F6" w:rsidRPr="00603B31">
        <w:rPr>
          <w:rFonts w:ascii="Times New Roman" w:hAnsi="Times New Roman" w:cs="Times New Roman"/>
          <w:sz w:val="28"/>
          <w:szCs w:val="28"/>
        </w:rPr>
        <w:t>доза, чем пацие</w:t>
      </w:r>
      <w:r w:rsidR="00BB5220" w:rsidRPr="00603B31">
        <w:rPr>
          <w:rFonts w:ascii="Times New Roman" w:hAnsi="Times New Roman" w:cs="Times New Roman"/>
          <w:sz w:val="28"/>
          <w:szCs w:val="28"/>
        </w:rPr>
        <w:t>нткам из группы сравнения. Таким</w:t>
      </w:r>
      <w:r w:rsidR="008817F6" w:rsidRPr="00603B31">
        <w:rPr>
          <w:rFonts w:ascii="Times New Roman" w:hAnsi="Times New Roman" w:cs="Times New Roman"/>
          <w:sz w:val="28"/>
          <w:szCs w:val="28"/>
        </w:rPr>
        <w:t xml:space="preserve"> образом</w:t>
      </w:r>
      <w:r w:rsidR="00BB5220" w:rsidRPr="00603B31">
        <w:rPr>
          <w:rFonts w:ascii="Times New Roman" w:hAnsi="Times New Roman" w:cs="Times New Roman"/>
          <w:sz w:val="28"/>
          <w:szCs w:val="28"/>
        </w:rPr>
        <w:t>,</w:t>
      </w:r>
      <w:r w:rsidR="008817F6" w:rsidRPr="00603B31">
        <w:rPr>
          <w:rFonts w:ascii="Times New Roman" w:hAnsi="Times New Roman" w:cs="Times New Roman"/>
          <w:sz w:val="28"/>
          <w:szCs w:val="28"/>
        </w:rPr>
        <w:t xml:space="preserve"> было определено, что в группе пациенток, получавших мио-инозитол, </w:t>
      </w:r>
      <w:r w:rsidR="0082061C" w:rsidRPr="00603B31">
        <w:rPr>
          <w:rFonts w:ascii="Times New Roman" w:hAnsi="Times New Roman" w:cs="Times New Roman"/>
          <w:sz w:val="28"/>
          <w:szCs w:val="28"/>
        </w:rPr>
        <w:t xml:space="preserve">овариальный ответ на стимуляцию препаратами гонадотропинов </w:t>
      </w:r>
      <w:r w:rsidR="008817F6" w:rsidRPr="00603B31">
        <w:rPr>
          <w:rFonts w:ascii="Times New Roman" w:hAnsi="Times New Roman" w:cs="Times New Roman"/>
          <w:sz w:val="28"/>
          <w:szCs w:val="28"/>
        </w:rPr>
        <w:t xml:space="preserve">выше в сравнении с таковым у </w:t>
      </w:r>
      <w:r w:rsidR="00F939A9" w:rsidRPr="00603B31">
        <w:rPr>
          <w:rFonts w:ascii="Times New Roman" w:hAnsi="Times New Roman" w:cs="Times New Roman"/>
          <w:sz w:val="28"/>
          <w:szCs w:val="28"/>
        </w:rPr>
        <w:t>пациенток</w:t>
      </w:r>
      <w:r w:rsidR="008817F6" w:rsidRPr="00603B31">
        <w:rPr>
          <w:rFonts w:ascii="Times New Roman" w:hAnsi="Times New Roman" w:cs="Times New Roman"/>
          <w:sz w:val="28"/>
          <w:szCs w:val="28"/>
        </w:rPr>
        <w:t xml:space="preserve">, не принимавших мио-инозитол. </w:t>
      </w:r>
    </w:p>
    <w:p w:rsidR="008817F6" w:rsidRPr="00603B31" w:rsidRDefault="008817F6"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Статистически значимых различий между двумя группами сравнения не удалось обнаружить в количестве по</w:t>
      </w:r>
      <w:r w:rsidR="0082061C" w:rsidRPr="00603B31">
        <w:rPr>
          <w:rFonts w:ascii="Times New Roman" w:hAnsi="Times New Roman" w:cs="Times New Roman"/>
          <w:sz w:val="28"/>
          <w:szCs w:val="28"/>
        </w:rPr>
        <w:t>лученных зрелых ооцитов. Однако</w:t>
      </w:r>
      <w:r w:rsidRPr="00603B31">
        <w:rPr>
          <w:rFonts w:ascii="Times New Roman" w:hAnsi="Times New Roman" w:cs="Times New Roman"/>
          <w:sz w:val="28"/>
          <w:szCs w:val="28"/>
        </w:rPr>
        <w:t xml:space="preserve"> удалось выяснить, что шанс наступления беременности </w:t>
      </w:r>
      <w:r w:rsidR="0082061C" w:rsidRPr="00603B31">
        <w:rPr>
          <w:rFonts w:ascii="Times New Roman" w:hAnsi="Times New Roman" w:cs="Times New Roman"/>
          <w:sz w:val="28"/>
          <w:szCs w:val="28"/>
        </w:rPr>
        <w:t xml:space="preserve">в 1,7 раз </w:t>
      </w:r>
      <w:r w:rsidRPr="00603B31">
        <w:rPr>
          <w:rFonts w:ascii="Times New Roman" w:hAnsi="Times New Roman" w:cs="Times New Roman"/>
          <w:sz w:val="28"/>
          <w:szCs w:val="28"/>
        </w:rPr>
        <w:t xml:space="preserve">выше в основной группе </w:t>
      </w:r>
      <w:r w:rsidR="0082061C" w:rsidRPr="00603B31">
        <w:rPr>
          <w:rFonts w:ascii="Times New Roman" w:hAnsi="Times New Roman" w:cs="Times New Roman"/>
          <w:sz w:val="28"/>
          <w:szCs w:val="28"/>
        </w:rPr>
        <w:t>пациенток со «слабым ответом» на стимуляцию суперовуляции</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p</w:t>
      </w:r>
      <w:r w:rsidR="00BB5220" w:rsidRPr="00603B31">
        <w:rPr>
          <w:rFonts w:ascii="Times New Roman" w:hAnsi="Times New Roman" w:cs="Times New Roman"/>
          <w:sz w:val="28"/>
          <w:szCs w:val="28"/>
        </w:rPr>
        <w:t xml:space="preserve"> </w:t>
      </w:r>
      <w:r w:rsidRPr="00603B31">
        <w:rPr>
          <w:rFonts w:ascii="Times New Roman" w:hAnsi="Times New Roman" w:cs="Times New Roman"/>
          <w:sz w:val="28"/>
          <w:szCs w:val="28"/>
        </w:rPr>
        <w:t>&lt;</w:t>
      </w:r>
      <w:r w:rsidR="00BB5220" w:rsidRPr="00603B31">
        <w:rPr>
          <w:rFonts w:ascii="Times New Roman" w:hAnsi="Times New Roman" w:cs="Times New Roman"/>
          <w:sz w:val="28"/>
          <w:szCs w:val="28"/>
        </w:rPr>
        <w:t xml:space="preserve"> </w:t>
      </w:r>
      <w:r w:rsidRPr="00603B31">
        <w:rPr>
          <w:rFonts w:ascii="Times New Roman" w:hAnsi="Times New Roman" w:cs="Times New Roman"/>
          <w:sz w:val="28"/>
          <w:szCs w:val="28"/>
        </w:rPr>
        <w:t xml:space="preserve">0.05). </w:t>
      </w:r>
    </w:p>
    <w:p w:rsidR="008817F6" w:rsidRPr="00603B31" w:rsidRDefault="008817F6" w:rsidP="006A14B6">
      <w:pPr>
        <w:spacing w:after="0" w:line="360" w:lineRule="auto"/>
        <w:ind w:firstLine="708"/>
        <w:contextualSpacing/>
        <w:rPr>
          <w:rFonts w:ascii="Times New Roman" w:hAnsi="Times New Roman" w:cs="Times New Roman"/>
          <w:sz w:val="28"/>
          <w:szCs w:val="28"/>
        </w:rPr>
      </w:pPr>
      <w:r w:rsidRPr="00603B31">
        <w:rPr>
          <w:rFonts w:ascii="Times New Roman" w:hAnsi="Times New Roman" w:cs="Times New Roman"/>
          <w:sz w:val="28"/>
          <w:szCs w:val="28"/>
        </w:rPr>
        <w:t>В связи с отсутствием данных из историй болезн</w:t>
      </w:r>
      <w:r w:rsidR="00E81BED" w:rsidRPr="00603B31">
        <w:rPr>
          <w:rFonts w:ascii="Times New Roman" w:hAnsi="Times New Roman" w:cs="Times New Roman"/>
          <w:sz w:val="28"/>
          <w:szCs w:val="28"/>
        </w:rPr>
        <w:t>и о каких-либо побочных эффектах</w:t>
      </w:r>
      <w:r w:rsidRPr="00603B31">
        <w:rPr>
          <w:rFonts w:ascii="Times New Roman" w:hAnsi="Times New Roman" w:cs="Times New Roman"/>
          <w:sz w:val="28"/>
          <w:szCs w:val="28"/>
        </w:rPr>
        <w:t xml:space="preserve">, связанных с приёмом мио-инозитола, можно предположить, что данный препарат является безопасным </w:t>
      </w:r>
      <w:r w:rsidR="0082061C" w:rsidRPr="00603B31">
        <w:rPr>
          <w:rFonts w:ascii="Times New Roman" w:hAnsi="Times New Roman" w:cs="Times New Roman"/>
          <w:sz w:val="28"/>
          <w:szCs w:val="28"/>
        </w:rPr>
        <w:t>для женщин, планирующих лечение бесплодия методами ВРТ</w:t>
      </w:r>
      <w:r w:rsidRPr="00603B31">
        <w:rPr>
          <w:rFonts w:ascii="Times New Roman" w:hAnsi="Times New Roman" w:cs="Times New Roman"/>
          <w:sz w:val="28"/>
          <w:szCs w:val="28"/>
        </w:rPr>
        <w:t>.</w:t>
      </w:r>
    </w:p>
    <w:p w:rsidR="0082061C" w:rsidRPr="00603B31" w:rsidRDefault="0082061C"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На</w:t>
      </w:r>
      <w:r w:rsidR="00315103">
        <w:rPr>
          <w:rFonts w:ascii="Times New Roman" w:hAnsi="Times New Roman" w:cs="Times New Roman"/>
          <w:sz w:val="28"/>
          <w:szCs w:val="28"/>
        </w:rPr>
        <w:t xml:space="preserve"> сегодняшний день существует не</w:t>
      </w:r>
      <w:r w:rsidRPr="00603B31">
        <w:rPr>
          <w:rFonts w:ascii="Times New Roman" w:hAnsi="Times New Roman" w:cs="Times New Roman"/>
          <w:sz w:val="28"/>
          <w:szCs w:val="28"/>
        </w:rPr>
        <w:t xml:space="preserve">достаточно данных о влиянии мио-инозитола на репродуктивную систему женщин репродуктивного возраста с факторами риска развития «слабого ответа» на стимуляцию суперовуляции. Некоторые исследования </w:t>
      </w:r>
      <w:r w:rsidR="00FF2811" w:rsidRPr="00603B31">
        <w:rPr>
          <w:rFonts w:ascii="Times New Roman" w:hAnsi="Times New Roman" w:cs="Times New Roman"/>
          <w:sz w:val="28"/>
          <w:szCs w:val="28"/>
        </w:rPr>
        <w:t>на моделях</w:t>
      </w:r>
      <w:r w:rsidR="00F939A9" w:rsidRPr="00603B31">
        <w:rPr>
          <w:rFonts w:ascii="Times New Roman" w:hAnsi="Times New Roman" w:cs="Times New Roman"/>
          <w:sz w:val="28"/>
          <w:szCs w:val="28"/>
        </w:rPr>
        <w:t xml:space="preserve"> мышей </w:t>
      </w:r>
      <w:r w:rsidRPr="00603B31">
        <w:rPr>
          <w:rFonts w:ascii="Times New Roman" w:hAnsi="Times New Roman" w:cs="Times New Roman"/>
          <w:sz w:val="28"/>
          <w:szCs w:val="28"/>
        </w:rPr>
        <w:t>показали</w:t>
      </w:r>
      <w:r w:rsidR="00FF2811" w:rsidRPr="00603B31">
        <w:rPr>
          <w:rFonts w:ascii="Times New Roman" w:hAnsi="Times New Roman" w:cs="Times New Roman"/>
          <w:sz w:val="28"/>
          <w:szCs w:val="28"/>
        </w:rPr>
        <w:t>,</w:t>
      </w:r>
      <w:r w:rsidRPr="00603B31">
        <w:rPr>
          <w:rFonts w:ascii="Times New Roman" w:hAnsi="Times New Roman" w:cs="Times New Roman"/>
          <w:sz w:val="28"/>
          <w:szCs w:val="28"/>
        </w:rPr>
        <w:t xml:space="preserve"> какую роль играет мио-инозитол в качестве предшественника </w:t>
      </w:r>
      <w:r w:rsidR="00F939A9" w:rsidRPr="00603B31">
        <w:rPr>
          <w:rFonts w:ascii="Times New Roman" w:hAnsi="Times New Roman" w:cs="Times New Roman"/>
          <w:sz w:val="28"/>
          <w:szCs w:val="28"/>
        </w:rPr>
        <w:t>ва</w:t>
      </w:r>
      <w:r w:rsidRPr="00603B31">
        <w:rPr>
          <w:rFonts w:ascii="Times New Roman" w:hAnsi="Times New Roman" w:cs="Times New Roman"/>
          <w:sz w:val="28"/>
          <w:szCs w:val="28"/>
        </w:rPr>
        <w:t xml:space="preserve">жнейших молекул, участвующих в </w:t>
      </w:r>
      <w:r w:rsidR="00F939A9" w:rsidRPr="00603B31">
        <w:rPr>
          <w:rFonts w:ascii="Times New Roman" w:hAnsi="Times New Roman" w:cs="Times New Roman"/>
          <w:sz w:val="28"/>
          <w:szCs w:val="28"/>
        </w:rPr>
        <w:t xml:space="preserve">сигнальной трансдукции, тем самым повышая </w:t>
      </w:r>
      <w:r w:rsidR="00FF2811" w:rsidRPr="00603B31">
        <w:rPr>
          <w:rFonts w:ascii="Times New Roman" w:hAnsi="Times New Roman" w:cs="Times New Roman"/>
          <w:sz w:val="28"/>
          <w:szCs w:val="28"/>
        </w:rPr>
        <w:t>количество ооцитов</w:t>
      </w:r>
      <w:r w:rsidR="00F939A9" w:rsidRPr="00603B31">
        <w:rPr>
          <w:rFonts w:ascii="Times New Roman" w:hAnsi="Times New Roman" w:cs="Times New Roman"/>
          <w:sz w:val="28"/>
          <w:szCs w:val="28"/>
        </w:rPr>
        <w:t>[32]. Основными показателями результативности стимуляции суперовуляции являются концентрация эстрадиола и количество фолликулов. Была обнаружена связь между концентрацией мио-инозитола в фолликулярной жидкости и повышением значений</w:t>
      </w:r>
      <w:r w:rsidR="00FF2811" w:rsidRPr="00603B31">
        <w:rPr>
          <w:rFonts w:ascii="Times New Roman" w:hAnsi="Times New Roman" w:cs="Times New Roman"/>
          <w:sz w:val="28"/>
          <w:szCs w:val="28"/>
        </w:rPr>
        <w:t xml:space="preserve"> этих двух </w:t>
      </w:r>
      <w:r w:rsidR="00F939A9" w:rsidRPr="00603B31">
        <w:rPr>
          <w:rFonts w:ascii="Times New Roman" w:hAnsi="Times New Roman" w:cs="Times New Roman"/>
          <w:sz w:val="28"/>
          <w:szCs w:val="28"/>
        </w:rPr>
        <w:t>показателей[33].</w:t>
      </w:r>
    </w:p>
    <w:p w:rsidR="00EA4895" w:rsidRPr="00603B31" w:rsidRDefault="00EA4895" w:rsidP="00EA4895">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Не смотря на отсутствие достоверных данных о влиянии мио-инозитола </w:t>
      </w:r>
      <w:r w:rsidR="00FF2811" w:rsidRPr="00603B31">
        <w:rPr>
          <w:rFonts w:ascii="Times New Roman" w:hAnsi="Times New Roman" w:cs="Times New Roman"/>
          <w:sz w:val="28"/>
          <w:szCs w:val="28"/>
        </w:rPr>
        <w:t>на чувствительность яичников к препаратам гонадотропинов у</w:t>
      </w:r>
      <w:r w:rsidRPr="00603B31">
        <w:rPr>
          <w:rFonts w:ascii="Times New Roman" w:hAnsi="Times New Roman" w:cs="Times New Roman"/>
          <w:sz w:val="28"/>
          <w:szCs w:val="28"/>
        </w:rPr>
        <w:t xml:space="preserve"> пациенток со «слабым ответом», </w:t>
      </w:r>
      <w:r w:rsidRPr="00603B31">
        <w:rPr>
          <w:rFonts w:ascii="Times New Roman" w:hAnsi="Times New Roman" w:cs="Times New Roman"/>
          <w:sz w:val="28"/>
          <w:szCs w:val="28"/>
          <w:lang w:val="en-US"/>
        </w:rPr>
        <w:t>Unfer</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V</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et</w:t>
      </w:r>
      <w:r w:rsidRPr="00603B31">
        <w:rPr>
          <w:rFonts w:ascii="Times New Roman" w:hAnsi="Times New Roman" w:cs="Times New Roman"/>
          <w:sz w:val="28"/>
          <w:szCs w:val="28"/>
        </w:rPr>
        <w:t xml:space="preserve"> </w:t>
      </w:r>
      <w:r w:rsidRPr="00603B31">
        <w:rPr>
          <w:rFonts w:ascii="Times New Roman" w:hAnsi="Times New Roman" w:cs="Times New Roman"/>
          <w:sz w:val="28"/>
          <w:szCs w:val="28"/>
          <w:lang w:val="en-US"/>
        </w:rPr>
        <w:t>al</w:t>
      </w:r>
      <w:r w:rsidRPr="00603B31">
        <w:rPr>
          <w:rFonts w:ascii="Times New Roman" w:hAnsi="Times New Roman" w:cs="Times New Roman"/>
          <w:sz w:val="28"/>
          <w:szCs w:val="28"/>
        </w:rPr>
        <w:t>.  (2012) приводят результаты своего исследования, в котором демонстрируют положительное влияние мио-инозитола на результативность циклов ЭКО у пациенток данной категории[</w:t>
      </w:r>
      <w:r w:rsidR="00383394" w:rsidRPr="00603B31">
        <w:rPr>
          <w:rFonts w:ascii="Times New Roman" w:hAnsi="Times New Roman" w:cs="Times New Roman"/>
          <w:sz w:val="28"/>
          <w:szCs w:val="28"/>
        </w:rPr>
        <w:t>75</w:t>
      </w:r>
      <w:r w:rsidRPr="00603B31">
        <w:rPr>
          <w:rFonts w:ascii="Times New Roman" w:hAnsi="Times New Roman" w:cs="Times New Roman"/>
          <w:sz w:val="28"/>
          <w:szCs w:val="28"/>
        </w:rPr>
        <w:t xml:space="preserve">].  </w:t>
      </w:r>
    </w:p>
    <w:p w:rsidR="00B668DE" w:rsidRPr="00603B31" w:rsidRDefault="00F939A9" w:rsidP="006A14B6">
      <w:pPr>
        <w:spacing w:after="0" w:line="360" w:lineRule="auto"/>
        <w:ind w:firstLine="708"/>
        <w:rPr>
          <w:rFonts w:ascii="Times New Roman" w:hAnsi="Times New Roman" w:cs="Times New Roman"/>
          <w:sz w:val="28"/>
          <w:szCs w:val="28"/>
        </w:rPr>
      </w:pPr>
      <w:r w:rsidRPr="00603B31">
        <w:rPr>
          <w:rFonts w:ascii="Times New Roman" w:hAnsi="Times New Roman" w:cs="Times New Roman"/>
          <w:sz w:val="28"/>
          <w:szCs w:val="28"/>
        </w:rPr>
        <w:t xml:space="preserve">В проспективном контролируемом исследовании 2015 г. были получены результаты, указывающие </w:t>
      </w:r>
      <w:r w:rsidR="00B668DE" w:rsidRPr="00603B31">
        <w:rPr>
          <w:rFonts w:ascii="Times New Roman" w:hAnsi="Times New Roman" w:cs="Times New Roman"/>
          <w:sz w:val="28"/>
          <w:szCs w:val="28"/>
        </w:rPr>
        <w:t xml:space="preserve">на то, что </w:t>
      </w:r>
      <w:r w:rsidR="00FF2811" w:rsidRPr="00603B31">
        <w:rPr>
          <w:rFonts w:ascii="Times New Roman" w:hAnsi="Times New Roman" w:cs="Times New Roman"/>
          <w:sz w:val="28"/>
          <w:szCs w:val="28"/>
        </w:rPr>
        <w:t>мио-инозитол</w:t>
      </w:r>
      <w:r w:rsidR="00B668DE" w:rsidRPr="00603B31">
        <w:rPr>
          <w:rFonts w:ascii="Times New Roman" w:hAnsi="Times New Roman" w:cs="Times New Roman"/>
          <w:sz w:val="28"/>
          <w:szCs w:val="28"/>
        </w:rPr>
        <w:t xml:space="preserve"> оказывает влияние на результативность циклов ЭКО у пациенток со «слабым ответом» на стимуляцию суперовуляции[</w:t>
      </w:r>
      <w:r w:rsidR="00EA4895" w:rsidRPr="00603B31">
        <w:rPr>
          <w:rFonts w:ascii="Times New Roman" w:hAnsi="Times New Roman" w:cs="Times New Roman"/>
          <w:sz w:val="28"/>
          <w:szCs w:val="28"/>
        </w:rPr>
        <w:t>31</w:t>
      </w:r>
      <w:r w:rsidR="00B668DE" w:rsidRPr="00603B31">
        <w:rPr>
          <w:rFonts w:ascii="Times New Roman" w:hAnsi="Times New Roman" w:cs="Times New Roman"/>
          <w:sz w:val="28"/>
          <w:szCs w:val="28"/>
        </w:rPr>
        <w:t>], а именно повышает чувствительность яичн</w:t>
      </w:r>
      <w:r w:rsidR="00FF2811" w:rsidRPr="00603B31">
        <w:rPr>
          <w:rFonts w:ascii="Times New Roman" w:hAnsi="Times New Roman" w:cs="Times New Roman"/>
          <w:sz w:val="28"/>
          <w:szCs w:val="28"/>
        </w:rPr>
        <w:t>иков к препаратам гонадотропинов</w:t>
      </w:r>
      <w:r w:rsidR="00B668DE" w:rsidRPr="00603B31">
        <w:rPr>
          <w:rFonts w:ascii="Times New Roman" w:hAnsi="Times New Roman" w:cs="Times New Roman"/>
          <w:sz w:val="28"/>
          <w:szCs w:val="28"/>
        </w:rPr>
        <w:t xml:space="preserve"> и увеличивает количество ооцитов, полученных в циклах ЭКО. </w:t>
      </w:r>
    </w:p>
    <w:p w:rsidR="008817F6" w:rsidRPr="00603B31" w:rsidRDefault="008817F6" w:rsidP="006A14B6">
      <w:pPr>
        <w:spacing w:after="0" w:line="360" w:lineRule="auto"/>
        <w:ind w:firstLine="708"/>
      </w:pPr>
      <w:r w:rsidRPr="00603B31">
        <w:rPr>
          <w:rFonts w:ascii="Times New Roman" w:hAnsi="Times New Roman" w:cs="Times New Roman"/>
          <w:sz w:val="28"/>
          <w:szCs w:val="28"/>
        </w:rPr>
        <w:t>Д</w:t>
      </w:r>
      <w:r w:rsidR="0082061C" w:rsidRPr="00603B31">
        <w:rPr>
          <w:rFonts w:ascii="Times New Roman" w:hAnsi="Times New Roman" w:cs="Times New Roman"/>
          <w:sz w:val="28"/>
          <w:szCs w:val="28"/>
        </w:rPr>
        <w:t>о сих пор ещё не найден достоверно</w:t>
      </w:r>
      <w:r w:rsidRPr="00603B31">
        <w:rPr>
          <w:rFonts w:ascii="Times New Roman" w:hAnsi="Times New Roman" w:cs="Times New Roman"/>
          <w:sz w:val="28"/>
          <w:szCs w:val="28"/>
        </w:rPr>
        <w:t xml:space="preserve"> эффективный метод </w:t>
      </w:r>
      <w:r w:rsidR="00FF2811" w:rsidRPr="00603B31">
        <w:rPr>
          <w:rFonts w:ascii="Times New Roman" w:hAnsi="Times New Roman" w:cs="Times New Roman"/>
          <w:sz w:val="28"/>
          <w:szCs w:val="28"/>
        </w:rPr>
        <w:t xml:space="preserve">повышения чувствительности яичников к гонадотропинам </w:t>
      </w:r>
      <w:r w:rsidRPr="00603B31">
        <w:rPr>
          <w:rFonts w:ascii="Times New Roman" w:hAnsi="Times New Roman" w:cs="Times New Roman"/>
          <w:sz w:val="28"/>
          <w:szCs w:val="28"/>
        </w:rPr>
        <w:t xml:space="preserve"> у пациенток со «слабым ответом». </w:t>
      </w:r>
      <w:r w:rsidR="00196D0F" w:rsidRPr="00603B31">
        <w:rPr>
          <w:rFonts w:ascii="Times New Roman" w:hAnsi="Times New Roman" w:cs="Times New Roman"/>
          <w:sz w:val="28"/>
          <w:szCs w:val="28"/>
        </w:rPr>
        <w:t xml:space="preserve">Однако, несмотря на </w:t>
      </w:r>
      <w:r w:rsidR="00FF2811" w:rsidRPr="00603B31">
        <w:rPr>
          <w:rFonts w:ascii="Times New Roman" w:hAnsi="Times New Roman" w:cs="Times New Roman"/>
          <w:sz w:val="28"/>
          <w:szCs w:val="28"/>
        </w:rPr>
        <w:t>сравнительно небольшую выборку данного исследования</w:t>
      </w:r>
      <w:r w:rsidR="00EA4895" w:rsidRPr="00603B31">
        <w:rPr>
          <w:rFonts w:ascii="Times New Roman" w:hAnsi="Times New Roman" w:cs="Times New Roman"/>
          <w:sz w:val="28"/>
          <w:szCs w:val="28"/>
        </w:rPr>
        <w:t xml:space="preserve">, можно предположить, что мио-инозитол </w:t>
      </w:r>
      <w:r w:rsidR="00196D0F" w:rsidRPr="00603B31">
        <w:rPr>
          <w:rFonts w:ascii="Times New Roman" w:hAnsi="Times New Roman" w:cs="Times New Roman"/>
          <w:sz w:val="28"/>
          <w:szCs w:val="28"/>
        </w:rPr>
        <w:t xml:space="preserve">оказывает положительное влияние на </w:t>
      </w:r>
      <w:r w:rsidR="0082061C" w:rsidRPr="00603B31">
        <w:rPr>
          <w:rFonts w:ascii="Times New Roman" w:hAnsi="Times New Roman" w:cs="Times New Roman"/>
          <w:sz w:val="28"/>
          <w:szCs w:val="28"/>
        </w:rPr>
        <w:t>результативность</w:t>
      </w:r>
      <w:r w:rsidR="00196D0F" w:rsidRPr="00603B31">
        <w:rPr>
          <w:rFonts w:ascii="Times New Roman" w:hAnsi="Times New Roman" w:cs="Times New Roman"/>
          <w:sz w:val="28"/>
          <w:szCs w:val="28"/>
        </w:rPr>
        <w:t xml:space="preserve"> циклов ЭКО, а именно повышает вероятность наступления беременности у </w:t>
      </w:r>
      <w:r w:rsidR="0082061C" w:rsidRPr="00603B31">
        <w:rPr>
          <w:rFonts w:ascii="Times New Roman" w:hAnsi="Times New Roman" w:cs="Times New Roman"/>
          <w:sz w:val="28"/>
          <w:szCs w:val="28"/>
        </w:rPr>
        <w:t>пациенток</w:t>
      </w:r>
      <w:r w:rsidR="00196D0F" w:rsidRPr="00603B31">
        <w:rPr>
          <w:rFonts w:ascii="Times New Roman" w:hAnsi="Times New Roman" w:cs="Times New Roman"/>
          <w:sz w:val="28"/>
          <w:szCs w:val="28"/>
        </w:rPr>
        <w:t xml:space="preserve"> со «слабым ответом» на стимуляцию суперовуляции</w:t>
      </w:r>
      <w:r w:rsidR="00FF2811" w:rsidRPr="00603B31">
        <w:rPr>
          <w:rFonts w:ascii="Times New Roman" w:hAnsi="Times New Roman" w:cs="Times New Roman"/>
          <w:sz w:val="28"/>
          <w:szCs w:val="28"/>
        </w:rPr>
        <w:t>.</w:t>
      </w:r>
      <w:r w:rsidR="00EA4895" w:rsidRPr="00603B31">
        <w:rPr>
          <w:rFonts w:ascii="Times New Roman" w:hAnsi="Times New Roman" w:cs="Times New Roman"/>
          <w:sz w:val="28"/>
          <w:szCs w:val="28"/>
        </w:rPr>
        <w:t xml:space="preserve"> </w:t>
      </w:r>
    </w:p>
    <w:p w:rsidR="001D2283" w:rsidRPr="00603B31" w:rsidRDefault="001D2283">
      <w:pPr>
        <w:rPr>
          <w:rFonts w:ascii="Times New Roman" w:hAnsi="Times New Roman" w:cs="Times New Roman"/>
          <w:b/>
          <w:sz w:val="28"/>
          <w:szCs w:val="28"/>
        </w:rPr>
      </w:pPr>
      <w:r w:rsidRPr="00603B31">
        <w:rPr>
          <w:rFonts w:ascii="Times New Roman" w:hAnsi="Times New Roman" w:cs="Times New Roman"/>
          <w:b/>
          <w:sz w:val="28"/>
          <w:szCs w:val="28"/>
        </w:rPr>
        <w:br w:type="page"/>
      </w:r>
    </w:p>
    <w:p w:rsidR="001D2283" w:rsidRPr="00603B31" w:rsidRDefault="001D2283" w:rsidP="001D2283">
      <w:pPr>
        <w:spacing w:after="0" w:line="360" w:lineRule="auto"/>
        <w:contextualSpacing/>
        <w:rPr>
          <w:rFonts w:ascii="Times New Roman" w:hAnsi="Times New Roman" w:cs="Times New Roman"/>
          <w:b/>
          <w:sz w:val="28"/>
          <w:szCs w:val="28"/>
        </w:rPr>
      </w:pPr>
      <w:r w:rsidRPr="00603B31">
        <w:rPr>
          <w:rFonts w:ascii="Times New Roman" w:hAnsi="Times New Roman" w:cs="Times New Roman"/>
          <w:b/>
          <w:sz w:val="36"/>
          <w:szCs w:val="28"/>
        </w:rPr>
        <w:t>Выводы</w:t>
      </w:r>
      <w:r w:rsidRPr="00603B31">
        <w:rPr>
          <w:rFonts w:ascii="Times New Roman" w:hAnsi="Times New Roman" w:cs="Times New Roman"/>
          <w:b/>
          <w:sz w:val="28"/>
          <w:szCs w:val="28"/>
        </w:rPr>
        <w:t>:</w:t>
      </w:r>
      <w:r w:rsidRPr="00603B31">
        <w:rPr>
          <w:rFonts w:ascii="Times New Roman" w:hAnsi="Times New Roman" w:cs="Times New Roman"/>
          <w:sz w:val="28"/>
          <w:szCs w:val="28"/>
        </w:rPr>
        <w:t xml:space="preserve"> </w:t>
      </w:r>
    </w:p>
    <w:p w:rsidR="006D7EED" w:rsidRPr="00603B31" w:rsidRDefault="006D7EED" w:rsidP="00BB5220">
      <w:pPr>
        <w:pStyle w:val="a3"/>
        <w:numPr>
          <w:ilvl w:val="0"/>
          <w:numId w:val="22"/>
        </w:numPr>
        <w:spacing w:after="0" w:line="360" w:lineRule="auto"/>
        <w:ind w:left="714" w:hanging="357"/>
        <w:rPr>
          <w:rFonts w:ascii="Times New Roman" w:hAnsi="Times New Roman" w:cs="Times New Roman"/>
          <w:sz w:val="28"/>
          <w:szCs w:val="28"/>
        </w:rPr>
      </w:pPr>
      <w:r w:rsidRPr="00603B31">
        <w:rPr>
          <w:rFonts w:ascii="Times New Roman" w:hAnsi="Times New Roman" w:cs="Times New Roman"/>
          <w:sz w:val="28"/>
          <w:szCs w:val="28"/>
        </w:rPr>
        <w:t>Использование мио-инозитола в качестве адьювантной терапии в цикле ЭКО у пациенток со «слабым ответом» на стимуляцию суперовуляции позволяет повысить вероятность наступления беременности (</w:t>
      </w:r>
      <w:r w:rsidRPr="00603B31">
        <w:rPr>
          <w:rFonts w:ascii="Times New Roman" w:hAnsi="Times New Roman" w:cs="Times New Roman"/>
          <w:sz w:val="28"/>
          <w:szCs w:val="28"/>
          <w:lang w:val="en-US"/>
        </w:rPr>
        <w:t>OR</w:t>
      </w:r>
      <w:r w:rsidRPr="00603B31">
        <w:rPr>
          <w:rFonts w:ascii="Times New Roman" w:hAnsi="Times New Roman" w:cs="Times New Roman"/>
          <w:sz w:val="28"/>
          <w:szCs w:val="28"/>
        </w:rPr>
        <w:t xml:space="preserve"> = 1,667; </w:t>
      </w:r>
      <w:r w:rsidRPr="00603B31">
        <w:rPr>
          <w:rFonts w:ascii="Times New Roman" w:hAnsi="Times New Roman" w:cs="Times New Roman"/>
          <w:sz w:val="28"/>
          <w:szCs w:val="28"/>
          <w:lang w:val="en-US"/>
        </w:rPr>
        <w:t>p</w:t>
      </w:r>
      <w:r w:rsidRPr="00603B31">
        <w:rPr>
          <w:rFonts w:ascii="Times New Roman" w:hAnsi="Times New Roman" w:cs="Times New Roman"/>
          <w:sz w:val="28"/>
          <w:szCs w:val="28"/>
        </w:rPr>
        <w:t xml:space="preserve"> &lt; 0,05).</w:t>
      </w:r>
    </w:p>
    <w:p w:rsidR="001D2283" w:rsidRPr="00603B31" w:rsidRDefault="001D2283" w:rsidP="00BB5220">
      <w:pPr>
        <w:pStyle w:val="a3"/>
        <w:numPr>
          <w:ilvl w:val="0"/>
          <w:numId w:val="22"/>
        </w:numPr>
        <w:spacing w:after="0" w:line="360" w:lineRule="auto"/>
        <w:rPr>
          <w:rFonts w:ascii="Times New Roman" w:eastAsia="Calibri" w:hAnsi="Times New Roman" w:cs="Times New Roman"/>
          <w:bCs/>
          <w:kern w:val="24"/>
          <w:sz w:val="24"/>
          <w:szCs w:val="24"/>
        </w:rPr>
      </w:pPr>
      <w:r w:rsidRPr="00603B31">
        <w:rPr>
          <w:rFonts w:ascii="Times New Roman" w:hAnsi="Times New Roman" w:cs="Times New Roman"/>
          <w:sz w:val="28"/>
          <w:szCs w:val="28"/>
        </w:rPr>
        <w:t>Мио-ино</w:t>
      </w:r>
      <w:r w:rsidR="006D7EED" w:rsidRPr="00603B31">
        <w:rPr>
          <w:rFonts w:ascii="Times New Roman" w:hAnsi="Times New Roman" w:cs="Times New Roman"/>
          <w:sz w:val="28"/>
          <w:szCs w:val="28"/>
        </w:rPr>
        <w:t>зитол повышает чувствительность яичников пациенток</w:t>
      </w:r>
      <w:r w:rsidRPr="00603B31">
        <w:rPr>
          <w:rFonts w:ascii="Times New Roman" w:hAnsi="Times New Roman" w:cs="Times New Roman"/>
          <w:sz w:val="28"/>
          <w:szCs w:val="28"/>
        </w:rPr>
        <w:t xml:space="preserve"> со «слабым ответом» на стим</w:t>
      </w:r>
      <w:r w:rsidR="006D7EED" w:rsidRPr="00603B31">
        <w:rPr>
          <w:rFonts w:ascii="Times New Roman" w:hAnsi="Times New Roman" w:cs="Times New Roman"/>
          <w:sz w:val="28"/>
          <w:szCs w:val="28"/>
        </w:rPr>
        <w:t xml:space="preserve">уляцию суперовуляции препаратами </w:t>
      </w:r>
      <w:r w:rsidRPr="00603B31">
        <w:rPr>
          <w:rFonts w:ascii="Times New Roman" w:hAnsi="Times New Roman" w:cs="Times New Roman"/>
          <w:sz w:val="28"/>
          <w:szCs w:val="28"/>
        </w:rPr>
        <w:t>гонадотропинов, что иллюстрируется более низкой по сравнению с группой сравнения суммарной (</w:t>
      </w:r>
      <w:r w:rsidRPr="00603B31">
        <w:rPr>
          <w:rFonts w:ascii="Times New Roman" w:eastAsia="Calibri" w:hAnsi="Times New Roman" w:cs="Times New Roman"/>
          <w:bCs/>
          <w:kern w:val="24"/>
          <w:sz w:val="28"/>
          <w:szCs w:val="28"/>
        </w:rPr>
        <w:t>2284,66±276,38</w:t>
      </w:r>
      <w:r w:rsidR="006D7EED" w:rsidRPr="00603B31">
        <w:rPr>
          <w:rFonts w:ascii="Times New Roman" w:eastAsia="Calibri" w:hAnsi="Times New Roman" w:cs="Times New Roman"/>
          <w:bCs/>
          <w:kern w:val="24"/>
          <w:sz w:val="28"/>
          <w:szCs w:val="28"/>
        </w:rPr>
        <w:t>МЕ</w:t>
      </w:r>
      <w:r w:rsidRPr="00603B31">
        <w:rPr>
          <w:rFonts w:ascii="Times New Roman" w:eastAsia="Calibri" w:hAnsi="Times New Roman" w:cs="Times New Roman"/>
          <w:bCs/>
          <w:kern w:val="24"/>
          <w:sz w:val="28"/>
          <w:szCs w:val="28"/>
        </w:rPr>
        <w:t xml:space="preserve"> и 3470,83±718,75МЕ соответственно, p </w:t>
      </w:r>
      <w:r w:rsidR="00FF2811" w:rsidRPr="00603B31">
        <w:rPr>
          <w:rFonts w:ascii="Times New Roman" w:hAnsi="Times New Roman" w:cs="Times New Roman"/>
          <w:sz w:val="28"/>
          <w:szCs w:val="28"/>
        </w:rPr>
        <w:t>&lt;</w:t>
      </w:r>
      <w:r w:rsidRPr="00603B31">
        <w:rPr>
          <w:rFonts w:ascii="Times New Roman" w:hAnsi="Times New Roman" w:cs="Times New Roman"/>
          <w:sz w:val="28"/>
          <w:szCs w:val="28"/>
        </w:rPr>
        <w:t xml:space="preserve"> 0,05) и эффективной дозой гонадотропинов (</w:t>
      </w:r>
      <w:r w:rsidRPr="00603B31">
        <w:rPr>
          <w:rFonts w:ascii="Times New Roman" w:eastAsia="Calibri" w:hAnsi="Times New Roman" w:cs="Times New Roman"/>
          <w:bCs/>
          <w:kern w:val="24"/>
          <w:sz w:val="28"/>
          <w:szCs w:val="28"/>
        </w:rPr>
        <w:t>618,35±265,32</w:t>
      </w:r>
      <w:r w:rsidR="006D7EED" w:rsidRPr="00603B31">
        <w:rPr>
          <w:rFonts w:ascii="Times New Roman" w:eastAsia="Calibri" w:hAnsi="Times New Roman" w:cs="Times New Roman"/>
          <w:bCs/>
          <w:kern w:val="24"/>
          <w:sz w:val="28"/>
          <w:szCs w:val="28"/>
        </w:rPr>
        <w:t>МЕ</w:t>
      </w:r>
      <w:r w:rsidRPr="00603B31">
        <w:rPr>
          <w:rFonts w:ascii="Times New Roman" w:eastAsia="Calibri" w:hAnsi="Times New Roman" w:cs="Times New Roman"/>
          <w:bCs/>
          <w:kern w:val="24"/>
          <w:sz w:val="28"/>
          <w:szCs w:val="28"/>
        </w:rPr>
        <w:t xml:space="preserve"> и 1108,5±486,37МЕ соответственно, p </w:t>
      </w:r>
      <w:r w:rsidR="006D7EED" w:rsidRPr="00603B31">
        <w:rPr>
          <w:rFonts w:ascii="Times New Roman" w:hAnsi="Times New Roman" w:cs="Times New Roman"/>
          <w:sz w:val="28"/>
          <w:szCs w:val="28"/>
        </w:rPr>
        <w:t>&lt;</w:t>
      </w:r>
      <w:r w:rsidRPr="00603B31">
        <w:rPr>
          <w:rFonts w:ascii="Times New Roman" w:hAnsi="Times New Roman" w:cs="Times New Roman"/>
          <w:sz w:val="28"/>
          <w:szCs w:val="28"/>
        </w:rPr>
        <w:t xml:space="preserve"> 0,05).</w:t>
      </w:r>
      <w:r w:rsidRPr="00603B31">
        <w:rPr>
          <w:rFonts w:ascii="Times New Roman" w:hAnsi="Times New Roman" w:cs="Times New Roman"/>
          <w:sz w:val="24"/>
          <w:szCs w:val="24"/>
        </w:rPr>
        <w:t xml:space="preserve"> </w:t>
      </w:r>
      <w:r w:rsidRPr="00603B31">
        <w:rPr>
          <w:rFonts w:ascii="Times New Roman" w:eastAsia="Calibri" w:hAnsi="Times New Roman" w:cs="Times New Roman"/>
          <w:bCs/>
          <w:kern w:val="24"/>
          <w:sz w:val="24"/>
          <w:szCs w:val="24"/>
        </w:rPr>
        <w:t xml:space="preserve"> </w:t>
      </w:r>
    </w:p>
    <w:p w:rsidR="008D5C8C" w:rsidRPr="00603B31" w:rsidRDefault="008D5C8C" w:rsidP="00BB5220">
      <w:pPr>
        <w:pStyle w:val="a3"/>
        <w:numPr>
          <w:ilvl w:val="0"/>
          <w:numId w:val="22"/>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Применение мио-инозитола связано с изменением количества получаемых ооцитов и эмбрионов хорошего качества</w:t>
      </w:r>
      <w:r w:rsidR="00BB5220" w:rsidRPr="00603B31">
        <w:rPr>
          <w:rFonts w:ascii="Times New Roman" w:hAnsi="Times New Roman" w:cs="Times New Roman"/>
          <w:sz w:val="28"/>
          <w:szCs w:val="28"/>
        </w:rPr>
        <w:t xml:space="preserve"> (</w:t>
      </w:r>
      <w:r w:rsidR="00BB5220" w:rsidRPr="00603B31">
        <w:rPr>
          <w:rFonts w:ascii="Times New Roman" w:hAnsi="Times New Roman" w:cs="Times New Roman"/>
          <w:sz w:val="28"/>
          <w:szCs w:val="28"/>
          <w:lang w:val="en-US"/>
        </w:rPr>
        <w:t>t</w:t>
      </w:r>
      <w:r w:rsidR="00BB5220" w:rsidRPr="00603B31">
        <w:rPr>
          <w:rFonts w:ascii="Times New Roman" w:hAnsi="Times New Roman" w:cs="Times New Roman"/>
          <w:sz w:val="28"/>
          <w:szCs w:val="28"/>
        </w:rPr>
        <w:t xml:space="preserve"> = 0,57 и 0,46 соответственно, </w:t>
      </w:r>
      <w:r w:rsidR="00BB5220" w:rsidRPr="00603B31">
        <w:rPr>
          <w:rFonts w:ascii="Times New Roman" w:hAnsi="Times New Roman" w:cs="Times New Roman"/>
          <w:sz w:val="28"/>
          <w:szCs w:val="28"/>
          <w:lang w:val="en-US"/>
        </w:rPr>
        <w:t>p</w:t>
      </w:r>
      <w:r w:rsidR="00BB5220" w:rsidRPr="00603B31">
        <w:rPr>
          <w:rFonts w:ascii="Times New Roman" w:hAnsi="Times New Roman" w:cs="Times New Roman"/>
          <w:sz w:val="28"/>
          <w:szCs w:val="28"/>
        </w:rPr>
        <w:t xml:space="preserve"> &lt; 0,05)</w:t>
      </w:r>
      <w:r w:rsidRPr="00603B31">
        <w:rPr>
          <w:rFonts w:ascii="Times New Roman" w:hAnsi="Times New Roman" w:cs="Times New Roman"/>
          <w:sz w:val="28"/>
          <w:szCs w:val="28"/>
        </w:rPr>
        <w:t xml:space="preserve">. </w:t>
      </w:r>
    </w:p>
    <w:p w:rsidR="008D5C8C" w:rsidRPr="00603B31" w:rsidRDefault="008D5C8C" w:rsidP="00BB5220">
      <w:pPr>
        <w:pStyle w:val="a3"/>
        <w:numPr>
          <w:ilvl w:val="0"/>
          <w:numId w:val="22"/>
        </w:numPr>
        <w:spacing w:after="0" w:line="360" w:lineRule="auto"/>
        <w:rPr>
          <w:rFonts w:ascii="Times New Roman" w:hAnsi="Times New Roman" w:cs="Times New Roman"/>
          <w:sz w:val="28"/>
          <w:szCs w:val="28"/>
        </w:rPr>
      </w:pPr>
      <w:r w:rsidRPr="00603B31">
        <w:rPr>
          <w:rFonts w:ascii="Times New Roman" w:hAnsi="Times New Roman" w:cs="Times New Roman"/>
          <w:sz w:val="28"/>
          <w:szCs w:val="28"/>
        </w:rPr>
        <w:t xml:space="preserve">Адьювантная терапия мио-инозитолом не вызывает серьёзных неблагоприятных явлений, что свидетельствует о безопасности его применения у пациенток, проходящих лечение бесплодия методами ВРТ. </w:t>
      </w:r>
    </w:p>
    <w:p w:rsidR="00CB2EFE" w:rsidRPr="00603B31" w:rsidRDefault="00CB2EFE" w:rsidP="00BB5220">
      <w:pPr>
        <w:spacing w:after="0" w:line="360" w:lineRule="auto"/>
      </w:pPr>
    </w:p>
    <w:p w:rsidR="00647461" w:rsidRPr="00603B31" w:rsidRDefault="00647461" w:rsidP="00BB5220">
      <w:pPr>
        <w:autoSpaceDE w:val="0"/>
        <w:autoSpaceDN w:val="0"/>
        <w:adjustRightInd w:val="0"/>
        <w:spacing w:after="0" w:line="36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2EFE" w:rsidRPr="00603B31" w:rsidRDefault="00CB2EFE" w:rsidP="00647461">
      <w:pPr>
        <w:autoSpaceDE w:val="0"/>
        <w:autoSpaceDN w:val="0"/>
        <w:adjustRightInd w:val="0"/>
        <w:spacing w:after="0" w:line="240" w:lineRule="auto"/>
        <w:rPr>
          <w:rFonts w:cs="AdvP479F8A"/>
          <w:color w:val="231F20"/>
          <w:sz w:val="19"/>
          <w:szCs w:val="19"/>
        </w:rPr>
      </w:pPr>
    </w:p>
    <w:p w:rsidR="00CB567E" w:rsidRPr="00603B31" w:rsidRDefault="00CB567E" w:rsidP="00647461">
      <w:pPr>
        <w:autoSpaceDE w:val="0"/>
        <w:autoSpaceDN w:val="0"/>
        <w:adjustRightInd w:val="0"/>
        <w:spacing w:after="0" w:line="240" w:lineRule="auto"/>
        <w:rPr>
          <w:rFonts w:ascii="Times New Roman" w:hAnsi="Times New Roman" w:cs="Times New Roman"/>
          <w:b/>
          <w:color w:val="231F20"/>
          <w:sz w:val="28"/>
          <w:szCs w:val="28"/>
        </w:rPr>
      </w:pPr>
    </w:p>
    <w:p w:rsidR="00CB567E" w:rsidRPr="00603B31" w:rsidRDefault="00CB567E" w:rsidP="00647461">
      <w:pPr>
        <w:autoSpaceDE w:val="0"/>
        <w:autoSpaceDN w:val="0"/>
        <w:adjustRightInd w:val="0"/>
        <w:spacing w:after="0" w:line="240" w:lineRule="auto"/>
        <w:rPr>
          <w:rFonts w:ascii="Times New Roman" w:hAnsi="Times New Roman" w:cs="Times New Roman"/>
          <w:b/>
          <w:color w:val="231F20"/>
          <w:sz w:val="28"/>
          <w:szCs w:val="28"/>
        </w:rPr>
      </w:pPr>
    </w:p>
    <w:p w:rsidR="00CB567E" w:rsidRPr="00603B31" w:rsidRDefault="00CB567E" w:rsidP="00647461">
      <w:pPr>
        <w:autoSpaceDE w:val="0"/>
        <w:autoSpaceDN w:val="0"/>
        <w:adjustRightInd w:val="0"/>
        <w:spacing w:after="0" w:line="240" w:lineRule="auto"/>
        <w:rPr>
          <w:rFonts w:ascii="Times New Roman" w:hAnsi="Times New Roman" w:cs="Times New Roman"/>
          <w:b/>
          <w:color w:val="231F20"/>
          <w:sz w:val="28"/>
          <w:szCs w:val="28"/>
        </w:rPr>
      </w:pPr>
    </w:p>
    <w:p w:rsidR="00CB567E" w:rsidRPr="00603B31" w:rsidRDefault="00CB567E" w:rsidP="00647461">
      <w:pPr>
        <w:autoSpaceDE w:val="0"/>
        <w:autoSpaceDN w:val="0"/>
        <w:adjustRightInd w:val="0"/>
        <w:spacing w:after="0" w:line="240" w:lineRule="auto"/>
        <w:rPr>
          <w:rFonts w:ascii="Times New Roman" w:hAnsi="Times New Roman" w:cs="Times New Roman"/>
          <w:b/>
          <w:color w:val="231F20"/>
          <w:sz w:val="28"/>
          <w:szCs w:val="28"/>
        </w:rPr>
      </w:pPr>
    </w:p>
    <w:p w:rsidR="00CB567E" w:rsidRPr="00603B31" w:rsidRDefault="00CB567E" w:rsidP="00647461">
      <w:pPr>
        <w:autoSpaceDE w:val="0"/>
        <w:autoSpaceDN w:val="0"/>
        <w:adjustRightInd w:val="0"/>
        <w:spacing w:after="0" w:line="240" w:lineRule="auto"/>
        <w:rPr>
          <w:rFonts w:ascii="Times New Roman" w:hAnsi="Times New Roman" w:cs="Times New Roman"/>
          <w:b/>
          <w:color w:val="231F20"/>
          <w:sz w:val="28"/>
          <w:szCs w:val="28"/>
        </w:rPr>
      </w:pPr>
    </w:p>
    <w:p w:rsidR="00CB2EFE" w:rsidRPr="00603B31" w:rsidRDefault="00196D0F" w:rsidP="00647461">
      <w:pPr>
        <w:autoSpaceDE w:val="0"/>
        <w:autoSpaceDN w:val="0"/>
        <w:adjustRightInd w:val="0"/>
        <w:spacing w:after="0" w:line="240" w:lineRule="auto"/>
        <w:rPr>
          <w:rFonts w:ascii="Times New Roman" w:hAnsi="Times New Roman" w:cs="Times New Roman"/>
          <w:b/>
          <w:color w:val="231F20"/>
          <w:sz w:val="36"/>
          <w:szCs w:val="28"/>
        </w:rPr>
      </w:pPr>
      <w:r w:rsidRPr="00603B31">
        <w:rPr>
          <w:rFonts w:ascii="Times New Roman" w:hAnsi="Times New Roman" w:cs="Times New Roman"/>
          <w:b/>
          <w:color w:val="231F20"/>
          <w:sz w:val="36"/>
          <w:szCs w:val="28"/>
        </w:rPr>
        <w:t>Список литературы</w:t>
      </w:r>
    </w:p>
    <w:p w:rsidR="00196D0F" w:rsidRPr="00603B31" w:rsidRDefault="00196D0F" w:rsidP="00647461">
      <w:pPr>
        <w:autoSpaceDE w:val="0"/>
        <w:autoSpaceDN w:val="0"/>
        <w:adjustRightInd w:val="0"/>
        <w:spacing w:after="0" w:line="240" w:lineRule="auto"/>
        <w:rPr>
          <w:rFonts w:ascii="Times New Roman" w:hAnsi="Times New Roman" w:cs="Times New Roman"/>
          <w:b/>
          <w:color w:val="231F20"/>
          <w:sz w:val="28"/>
          <w:szCs w:val="28"/>
        </w:rPr>
      </w:pPr>
    </w:p>
    <w:p w:rsidR="00CB567E" w:rsidRPr="00603B31" w:rsidRDefault="00CB567E" w:rsidP="008028E5">
      <w:pPr>
        <w:pStyle w:val="a3"/>
        <w:numPr>
          <w:ilvl w:val="0"/>
          <w:numId w:val="29"/>
        </w:numPr>
        <w:autoSpaceDE w:val="0"/>
        <w:autoSpaceDN w:val="0"/>
        <w:adjustRightInd w:val="0"/>
        <w:spacing w:after="0" w:line="360" w:lineRule="auto"/>
        <w:ind w:left="0"/>
        <w:rPr>
          <w:rFonts w:ascii="Times New Roman" w:eastAsia="TimesNewRomanPSMT" w:hAnsi="Times New Roman" w:cs="Times New Roman"/>
          <w:sz w:val="24"/>
          <w:szCs w:val="24"/>
        </w:rPr>
      </w:pPr>
      <w:r w:rsidRPr="00603B31">
        <w:rPr>
          <w:rFonts w:ascii="Times New Roman" w:eastAsia="TimesNewRomanPSMT" w:hAnsi="Times New Roman" w:cs="Times New Roman"/>
          <w:sz w:val="24"/>
          <w:szCs w:val="24"/>
        </w:rPr>
        <w:t>Боярский К. Ю. Фолликулогенез и современная овариальная стимуляция (обзор литературы) / К. Ю. Боярский // Проблемы репродукции. – 2002.– № 1. – С. 36–43.</w:t>
      </w:r>
    </w:p>
    <w:p w:rsidR="00453321" w:rsidRPr="00603B31" w:rsidRDefault="00453321" w:rsidP="008028E5">
      <w:pPr>
        <w:pStyle w:val="a3"/>
        <w:numPr>
          <w:ilvl w:val="0"/>
          <w:numId w:val="29"/>
        </w:numPr>
        <w:autoSpaceDE w:val="0"/>
        <w:autoSpaceDN w:val="0"/>
        <w:adjustRightInd w:val="0"/>
        <w:spacing w:after="0" w:line="360" w:lineRule="auto"/>
        <w:ind w:left="0" w:hanging="357"/>
        <w:rPr>
          <w:rFonts w:ascii="Times New Roman" w:hAnsi="Times New Roman" w:cs="Times New Roman"/>
          <w:sz w:val="24"/>
          <w:szCs w:val="24"/>
        </w:rPr>
      </w:pPr>
      <w:r w:rsidRPr="00603B31">
        <w:rPr>
          <w:rFonts w:ascii="Times New Roman" w:hAnsi="Times New Roman" w:cs="Times New Roman"/>
          <w:iCs/>
          <w:sz w:val="24"/>
          <w:szCs w:val="24"/>
        </w:rPr>
        <w:t xml:space="preserve">Боярский К.Ю., Гайдуков С.Н. </w:t>
      </w:r>
      <w:r w:rsidRPr="00603B31">
        <w:rPr>
          <w:rFonts w:ascii="Times New Roman" w:hAnsi="Times New Roman" w:cs="Times New Roman"/>
          <w:sz w:val="24"/>
          <w:szCs w:val="24"/>
        </w:rPr>
        <w:t>Роль антимюллерова гормона (АМГ) в норме и при различных гинекологических заболеваниях // Журнал Акушерства и женских болезней. – 2009. – Т. 58. – № 3. – С. 74–83.</w:t>
      </w:r>
    </w:p>
    <w:p w:rsidR="00647152" w:rsidRPr="00603B31" w:rsidRDefault="00647152" w:rsidP="008028E5">
      <w:pPr>
        <w:pStyle w:val="a3"/>
        <w:numPr>
          <w:ilvl w:val="0"/>
          <w:numId w:val="29"/>
        </w:numPr>
        <w:autoSpaceDE w:val="0"/>
        <w:autoSpaceDN w:val="0"/>
        <w:adjustRightInd w:val="0"/>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Боярский К.Ю., Гайдуков С.Н. Патофизиологические механизмы старения репродуктивной функции у женщин после 40 лет // Пробл. Репрод. – 2011. №3. – С.6-13.</w:t>
      </w:r>
    </w:p>
    <w:p w:rsidR="00647152" w:rsidRPr="00603B31" w:rsidRDefault="00647152" w:rsidP="008028E5">
      <w:pPr>
        <w:pStyle w:val="a3"/>
        <w:numPr>
          <w:ilvl w:val="0"/>
          <w:numId w:val="29"/>
        </w:numPr>
        <w:autoSpaceDE w:val="0"/>
        <w:autoSpaceDN w:val="0"/>
        <w:adjustRightInd w:val="0"/>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Габелова К. А. Аутоиммунный оофорит (патогенез, клиника, диагностика, лечение): пособие для врачей. /К. А. Габелова, А. М. Гзгзян, В. В. Потин, В. В. Рулев. – СПб: Н–Л, 2010. – 32 с.</w:t>
      </w:r>
    </w:p>
    <w:p w:rsidR="00A467AF" w:rsidRPr="00603B31" w:rsidRDefault="00A467AF" w:rsidP="008028E5">
      <w:pPr>
        <w:pStyle w:val="a3"/>
        <w:numPr>
          <w:ilvl w:val="0"/>
          <w:numId w:val="29"/>
        </w:numPr>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Громова О.А., Торшин И.Ю., ЛимановаО.А. Перспективы использования миоинозитола у женщин с поликистозом яичников и инсулинорезистентностью в программах прегравидарной подготовки к экстракорпоральному оплодотворению. //  Эффективная фармакотерапия. - 51/2013. – Акушерство и гинекология. № 5</w:t>
      </w:r>
    </w:p>
    <w:p w:rsidR="00647152" w:rsidRPr="00603B31" w:rsidRDefault="00647152" w:rsidP="008028E5">
      <w:pPr>
        <w:pStyle w:val="a3"/>
        <w:numPr>
          <w:ilvl w:val="0"/>
          <w:numId w:val="29"/>
        </w:numPr>
        <w:autoSpaceDE w:val="0"/>
        <w:autoSpaceDN w:val="0"/>
        <w:adjustRightInd w:val="0"/>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Кабанова Д. И. Сравнение протоколов стимуляции суперовуляции рекомбинантным ФСГ с агонистами и антагонистами ГнРГ у пациенток с СПКЯ в зависимости от исходного состояния яичников. /Д. И. Кабанова, К. В. Краснопольская, А. С. Калугина, С. М. Белобородов. //Проблемы репродукции. –2004.–№ 2. –с. 34–42.</w:t>
      </w:r>
    </w:p>
    <w:p w:rsidR="00647152" w:rsidRPr="00603B31" w:rsidRDefault="00647152" w:rsidP="008028E5">
      <w:pPr>
        <w:pStyle w:val="a3"/>
        <w:numPr>
          <w:ilvl w:val="0"/>
          <w:numId w:val="29"/>
        </w:numPr>
        <w:autoSpaceDE w:val="0"/>
        <w:autoSpaceDN w:val="0"/>
        <w:adjustRightInd w:val="0"/>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Корсак В. С. Влияние резекции яичников на их функциональный резерв. /В. С. Корсак, В. Н. Парусов, А. А. Кирсанов и др. //Проблемы репродукции. –1996. –№ 4. –с. 63–67.</w:t>
      </w:r>
    </w:p>
    <w:p w:rsidR="00647152" w:rsidRPr="00603B31" w:rsidRDefault="00647152" w:rsidP="008028E5">
      <w:pPr>
        <w:pStyle w:val="a3"/>
        <w:numPr>
          <w:ilvl w:val="0"/>
          <w:numId w:val="29"/>
        </w:numPr>
        <w:autoSpaceDE w:val="0"/>
        <w:autoSpaceDN w:val="0"/>
        <w:adjustRightInd w:val="0"/>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Краснопольская К. В. Клинические аспекты лечения бесплодия в браке. Монография /К. В. Краснопольская, Т. А. Назаренко. – М.: ГЭОТАР–Медиа. – 2013.–376 с.</w:t>
      </w:r>
    </w:p>
    <w:p w:rsidR="00EF111B" w:rsidRPr="00603B31" w:rsidRDefault="00EF111B" w:rsidP="008028E5">
      <w:pPr>
        <w:pStyle w:val="a3"/>
        <w:numPr>
          <w:ilvl w:val="0"/>
          <w:numId w:val="29"/>
        </w:numPr>
        <w:autoSpaceDE w:val="0"/>
        <w:autoSpaceDN w:val="0"/>
        <w:adjustRightInd w:val="0"/>
        <w:spacing w:line="360" w:lineRule="auto"/>
        <w:ind w:left="0" w:hanging="357"/>
        <w:rPr>
          <w:rFonts w:ascii="Times New Roman" w:hAnsi="Times New Roman" w:cs="Times New Roman"/>
          <w:sz w:val="24"/>
          <w:szCs w:val="24"/>
        </w:rPr>
      </w:pPr>
      <w:r w:rsidRPr="00603B31">
        <w:rPr>
          <w:rFonts w:ascii="Times New Roman" w:hAnsi="Times New Roman" w:cs="Times New Roman"/>
          <w:sz w:val="24"/>
          <w:szCs w:val="24"/>
        </w:rPr>
        <w:t>Краснопольская К. В. Феномен бедного ответа яичников на стимуляторы овуляции в программах ЭКО (обзор литературы). /К. В. Краснопольская, А. С. Калугина. //Проблемы репродукции. –2004. –т. 10. –№ 1. –с. 51–58.</w:t>
      </w:r>
    </w:p>
    <w:p w:rsidR="00371288" w:rsidRPr="00603B31" w:rsidRDefault="00EF111B" w:rsidP="008028E5">
      <w:pPr>
        <w:pStyle w:val="a3"/>
        <w:numPr>
          <w:ilvl w:val="0"/>
          <w:numId w:val="29"/>
        </w:numPr>
        <w:autoSpaceDE w:val="0"/>
        <w:autoSpaceDN w:val="0"/>
        <w:adjustRightInd w:val="0"/>
        <w:spacing w:line="360" w:lineRule="auto"/>
        <w:ind w:left="0" w:hanging="357"/>
        <w:rPr>
          <w:rFonts w:ascii="Times New Roman" w:hAnsi="Times New Roman" w:cs="Times New Roman"/>
          <w:bCs/>
          <w:sz w:val="24"/>
          <w:szCs w:val="24"/>
        </w:rPr>
      </w:pPr>
      <w:r w:rsidRPr="00603B31">
        <w:rPr>
          <w:rFonts w:ascii="Times New Roman" w:hAnsi="Times New Roman" w:cs="Times New Roman"/>
          <w:bCs/>
          <w:iCs/>
          <w:sz w:val="24"/>
          <w:szCs w:val="24"/>
        </w:rPr>
        <w:t>Крстич Е.В., Крстич М., Юдаев В.Н</w:t>
      </w:r>
      <w:r w:rsidRPr="00603B31">
        <w:rPr>
          <w:rFonts w:ascii="Times New Roman" w:hAnsi="Times New Roman" w:cs="Times New Roman"/>
          <w:bCs/>
          <w:sz w:val="24"/>
          <w:szCs w:val="24"/>
        </w:rPr>
        <w:t xml:space="preserve"> Влияние качества ооцитов и состояния овариального резерва на терапевтический потенциал экстракорпорального оплодотворения у пациенток позднего репродуктивного возраста. //  Альманах клинической медицины </w:t>
      </w:r>
      <w:r w:rsidRPr="00603B31">
        <w:rPr>
          <w:rFonts w:ascii="Times New Roman" w:hAnsi="Times New Roman" w:cs="Times New Roman"/>
          <w:bCs/>
          <w:iCs/>
          <w:sz w:val="24"/>
          <w:szCs w:val="24"/>
        </w:rPr>
        <w:t xml:space="preserve">. – </w:t>
      </w:r>
      <w:r w:rsidRPr="00603B31">
        <w:rPr>
          <w:rFonts w:ascii="Times New Roman" w:hAnsi="Times New Roman" w:cs="Times New Roman"/>
          <w:bCs/>
          <w:sz w:val="24"/>
          <w:szCs w:val="24"/>
        </w:rPr>
        <w:t xml:space="preserve">2014. - №31 </w:t>
      </w:r>
    </w:p>
    <w:p w:rsidR="00371288" w:rsidRPr="00603B31" w:rsidRDefault="00371288" w:rsidP="008028E5">
      <w:pPr>
        <w:pStyle w:val="a3"/>
        <w:numPr>
          <w:ilvl w:val="0"/>
          <w:numId w:val="29"/>
        </w:numPr>
        <w:autoSpaceDE w:val="0"/>
        <w:autoSpaceDN w:val="0"/>
        <w:adjustRightInd w:val="0"/>
        <w:spacing w:line="360" w:lineRule="auto"/>
        <w:ind w:left="0" w:hanging="357"/>
        <w:rPr>
          <w:rFonts w:ascii="Times New Roman" w:hAnsi="Times New Roman" w:cs="Times New Roman"/>
          <w:bCs/>
          <w:sz w:val="24"/>
          <w:szCs w:val="24"/>
        </w:rPr>
      </w:pPr>
      <w:r w:rsidRPr="00603B31">
        <w:rPr>
          <w:rFonts w:ascii="Times New Roman" w:eastAsia="TimesNewRomanPSMT" w:hAnsi="Times New Roman" w:cs="Times New Roman"/>
          <w:sz w:val="24"/>
          <w:szCs w:val="24"/>
        </w:rPr>
        <w:t>Кустаров В. Н. Влияние возраста на частоту наступления беременности в программе ЭКО // Проблемы репродукции. – 1999. – Т. 5., № 1. – С. 46–49.</w:t>
      </w:r>
    </w:p>
    <w:p w:rsidR="00A467AF" w:rsidRPr="00603B31" w:rsidRDefault="00A467AF" w:rsidP="008028E5">
      <w:pPr>
        <w:pStyle w:val="a3"/>
        <w:numPr>
          <w:ilvl w:val="0"/>
          <w:numId w:val="29"/>
        </w:numPr>
        <w:autoSpaceDE w:val="0"/>
        <w:autoSpaceDN w:val="0"/>
        <w:adjustRightInd w:val="0"/>
        <w:spacing w:line="360" w:lineRule="auto"/>
        <w:ind w:left="0" w:hanging="357"/>
        <w:rPr>
          <w:rFonts w:ascii="Times New Roman" w:hAnsi="Times New Roman" w:cs="Times New Roman"/>
          <w:bCs/>
          <w:sz w:val="24"/>
          <w:szCs w:val="24"/>
        </w:rPr>
      </w:pPr>
      <w:r w:rsidRPr="00603B31">
        <w:rPr>
          <w:rFonts w:ascii="Times New Roman" w:hAnsi="Times New Roman" w:cs="Times New Roman"/>
          <w:sz w:val="24"/>
          <w:szCs w:val="24"/>
        </w:rPr>
        <w:t>Лиманова О.А., Громова О.А., Торшин И.Ю., Громов А.Н., Гришина Т.Р. Систематический анализ молекулярно-физиологических эффектов мио-инозитола: данные молекулярной биологии, экспериментальной и клинической медицины. // Эффективная фармакотерапия. - 58/2013. – Акушерство и гинекология. № 3</w:t>
      </w:r>
    </w:p>
    <w:p w:rsidR="00EF111B" w:rsidRPr="00603B31" w:rsidRDefault="00EF111B" w:rsidP="008028E5">
      <w:pPr>
        <w:pStyle w:val="a3"/>
        <w:numPr>
          <w:ilvl w:val="0"/>
          <w:numId w:val="29"/>
        </w:numPr>
        <w:autoSpaceDE w:val="0"/>
        <w:autoSpaceDN w:val="0"/>
        <w:adjustRightInd w:val="0"/>
        <w:spacing w:line="360" w:lineRule="auto"/>
        <w:ind w:left="0"/>
        <w:rPr>
          <w:rFonts w:ascii="Times New Roman" w:eastAsia="Newton-Regular" w:hAnsi="Times New Roman" w:cs="Times New Roman"/>
          <w:sz w:val="24"/>
          <w:szCs w:val="24"/>
        </w:rPr>
      </w:pPr>
      <w:r w:rsidRPr="00603B31">
        <w:rPr>
          <w:rFonts w:ascii="Times New Roman" w:eastAsia="Newton-Italic" w:hAnsi="Times New Roman" w:cs="Times New Roman"/>
          <w:iCs/>
          <w:sz w:val="24"/>
          <w:szCs w:val="24"/>
        </w:rPr>
        <w:t xml:space="preserve">Макарова Н.П., Калинина Е.А. </w:t>
      </w:r>
      <w:r w:rsidRPr="00603B31">
        <w:rPr>
          <w:rFonts w:ascii="Times New Roman" w:eastAsia="Newton-Regular" w:hAnsi="Times New Roman" w:cs="Times New Roman"/>
          <w:sz w:val="24"/>
          <w:szCs w:val="24"/>
        </w:rPr>
        <w:t>Критерии оценки качества ооцита в циклах ИКСИ: взгляд клинического эмбриолога. // Гинекология. – 2012; 14: 3: 24—28.</w:t>
      </w:r>
    </w:p>
    <w:p w:rsidR="00EF111B" w:rsidRPr="00603B31" w:rsidRDefault="00EF111B" w:rsidP="008028E5">
      <w:pPr>
        <w:pStyle w:val="a3"/>
        <w:numPr>
          <w:ilvl w:val="0"/>
          <w:numId w:val="29"/>
        </w:numPr>
        <w:spacing w:line="360" w:lineRule="auto"/>
        <w:ind w:left="0"/>
        <w:rPr>
          <w:rFonts w:ascii="Times New Roman" w:hAnsi="Times New Roman" w:cs="Times New Roman"/>
          <w:sz w:val="24"/>
          <w:szCs w:val="24"/>
        </w:rPr>
      </w:pPr>
      <w:r w:rsidRPr="00603B31">
        <w:rPr>
          <w:rFonts w:ascii="Times New Roman" w:hAnsi="Times New Roman" w:cs="Times New Roman"/>
          <w:sz w:val="24"/>
          <w:szCs w:val="24"/>
        </w:rPr>
        <w:t>Назаренко Т.А. «Бедный ответ». Тактика ведения пациенток со сниженной реакцией на стимуляцию гонадотропинами в программах ЭКО / Т. А. Назаренко, К. В. Краснопольская. – М.: МЕДпресс-информ, 2012. – 80 с.</w:t>
      </w:r>
    </w:p>
    <w:p w:rsidR="00EF111B" w:rsidRPr="00603B31" w:rsidRDefault="00EF111B"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rPr>
      </w:pPr>
      <w:r w:rsidRPr="00603B31">
        <w:rPr>
          <w:rFonts w:ascii="Times New Roman" w:hAnsi="Times New Roman" w:cs="Times New Roman"/>
          <w:sz w:val="24"/>
          <w:szCs w:val="24"/>
        </w:rPr>
        <w:t>Назаренко Т.А. Бесплодие и возраст: пути решения проблемы. Монография /Т. А. Назаренко, Н. Г. Мишиева –</w:t>
      </w:r>
      <w:r w:rsidR="006D603A" w:rsidRPr="00603B31">
        <w:rPr>
          <w:rFonts w:ascii="Times New Roman" w:hAnsi="Times New Roman" w:cs="Times New Roman"/>
          <w:sz w:val="24"/>
          <w:szCs w:val="24"/>
        </w:rPr>
        <w:t xml:space="preserve"> </w:t>
      </w:r>
      <w:r w:rsidRPr="00603B31">
        <w:rPr>
          <w:rFonts w:ascii="Times New Roman" w:hAnsi="Times New Roman" w:cs="Times New Roman"/>
          <w:sz w:val="24"/>
          <w:szCs w:val="24"/>
        </w:rPr>
        <w:t>М.: МЕДпресс-информ, 2010. –208 с.</w:t>
      </w:r>
    </w:p>
    <w:p w:rsidR="00D80752" w:rsidRPr="00603B31" w:rsidRDefault="00D80752"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rPr>
      </w:pPr>
      <w:r w:rsidRPr="00603B31">
        <w:rPr>
          <w:rFonts w:ascii="Times New Roman" w:hAnsi="Times New Roman" w:cs="Times New Roman"/>
          <w:sz w:val="24"/>
          <w:szCs w:val="24"/>
        </w:rPr>
        <w:t xml:space="preserve">Назаренко Т.А. Стимуляция функции яичников. / Т.А.Назаренко. – 5-е изд., доп. И перераб. – М. :МЕДпресс-информ, 2015. </w:t>
      </w:r>
    </w:p>
    <w:p w:rsidR="00B852BE" w:rsidRPr="00603B31" w:rsidRDefault="00B852BE"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rPr>
      </w:pPr>
      <w:r w:rsidRPr="00603B31">
        <w:rPr>
          <w:rFonts w:ascii="Times New Roman" w:hAnsi="Times New Roman" w:cs="Times New Roman"/>
          <w:sz w:val="24"/>
          <w:szCs w:val="24"/>
        </w:rPr>
        <w:t>Применение эстрогенов в программах ВРТ. Научно-практические рекомендации. РАРЧ, 2015.</w:t>
      </w:r>
    </w:p>
    <w:p w:rsidR="003062C0" w:rsidRPr="00603B31" w:rsidRDefault="003062C0" w:rsidP="008028E5">
      <w:pPr>
        <w:pStyle w:val="a4"/>
        <w:numPr>
          <w:ilvl w:val="0"/>
          <w:numId w:val="29"/>
        </w:numPr>
        <w:autoSpaceDE w:val="0"/>
        <w:autoSpaceDN w:val="0"/>
        <w:adjustRightInd w:val="0"/>
        <w:spacing w:line="360" w:lineRule="auto"/>
        <w:ind w:left="0"/>
        <w:rPr>
          <w:rFonts w:ascii="Times New Roman" w:eastAsia="Newton-Regular" w:hAnsi="Times New Roman" w:cs="Times New Roman"/>
          <w:sz w:val="24"/>
          <w:szCs w:val="24"/>
        </w:rPr>
      </w:pPr>
      <w:r w:rsidRPr="00603B31">
        <w:rPr>
          <w:rFonts w:ascii="Times New Roman" w:hAnsi="Times New Roman" w:cs="Times New Roman"/>
          <w:sz w:val="24"/>
          <w:szCs w:val="24"/>
        </w:rPr>
        <w:t>Проблемы репродукции. – 2014. – том 20, стр. 13-21.</w:t>
      </w:r>
    </w:p>
    <w:p w:rsidR="00AE5C5B" w:rsidRPr="00603B31" w:rsidRDefault="00AE5C5B" w:rsidP="008028E5">
      <w:pPr>
        <w:pStyle w:val="a4"/>
        <w:numPr>
          <w:ilvl w:val="0"/>
          <w:numId w:val="29"/>
        </w:numPr>
        <w:autoSpaceDE w:val="0"/>
        <w:autoSpaceDN w:val="0"/>
        <w:adjustRightInd w:val="0"/>
        <w:spacing w:line="360" w:lineRule="auto"/>
        <w:ind w:left="0"/>
        <w:rPr>
          <w:rFonts w:ascii="Times New Roman" w:eastAsia="Newton-Regular" w:hAnsi="Times New Roman" w:cs="Times New Roman"/>
          <w:sz w:val="24"/>
          <w:szCs w:val="24"/>
        </w:rPr>
      </w:pPr>
      <w:r w:rsidRPr="00603B31">
        <w:rPr>
          <w:rFonts w:ascii="Times New Roman" w:hAnsi="Times New Roman" w:cs="Times New Roman"/>
          <w:sz w:val="24"/>
          <w:szCs w:val="24"/>
        </w:rPr>
        <w:t>Репродуктивное здоровье населения России 2011. Резюме отчета. ЮНФПА, 2012.</w:t>
      </w:r>
    </w:p>
    <w:p w:rsidR="00AE5C5B" w:rsidRPr="00603B31" w:rsidRDefault="00AE5C5B"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rPr>
      </w:pPr>
      <w:r w:rsidRPr="00603B31">
        <w:rPr>
          <w:rFonts w:ascii="Times New Roman" w:hAnsi="Times New Roman" w:cs="Times New Roman"/>
          <w:sz w:val="24"/>
          <w:szCs w:val="24"/>
        </w:rPr>
        <w:t>Тишкевич О. А. Клинико-эмбриологическая оценка результатов экстракорпорального оплодотворения в зависимости от возраста пациенток. / О. А. Тишкевич, А. Б. Жабинская, Е. В. Малышева. //Проблемы репродукции. –2004. –т. 10.–№ 2. –с. 33–37.</w:t>
      </w:r>
    </w:p>
    <w:p w:rsidR="005009B5" w:rsidRPr="00603B31" w:rsidRDefault="005009B5"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Altuntas G.Z. Autoimmune targeted disruption of the pituitary-ovarian axis causes premature ovarian failure. / Altuntas G. Z., Johnson J. M., Tuohy V. K. //J. Immunology. –2006. –v. 177. –pp. 1988–1996.</w:t>
      </w:r>
    </w:p>
    <w:p w:rsidR="005009B5"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iCs/>
          <w:color w:val="191919"/>
          <w:sz w:val="24"/>
          <w:szCs w:val="24"/>
          <w:lang w:val="en-US"/>
        </w:rPr>
      </w:pPr>
      <w:r w:rsidRPr="00603B31">
        <w:rPr>
          <w:rFonts w:ascii="Times New Roman" w:hAnsi="Times New Roman" w:cs="Times New Roman"/>
          <w:iCs/>
          <w:color w:val="191919"/>
          <w:sz w:val="24"/>
          <w:szCs w:val="24"/>
          <w:lang w:val="en-US"/>
        </w:rPr>
        <w:t xml:space="preserve">Alpha scientists in reproductive medicine and ESHRE special interest group of embryology. </w:t>
      </w:r>
      <w:r w:rsidR="005009B5" w:rsidRPr="00603B31">
        <w:rPr>
          <w:rFonts w:ascii="Times New Roman" w:hAnsi="Times New Roman" w:cs="Times New Roman"/>
          <w:color w:val="191919"/>
          <w:sz w:val="24"/>
          <w:szCs w:val="24"/>
          <w:lang w:val="en-US"/>
        </w:rPr>
        <w:t>The Instanbul consensus workshop on embryo assessment: proceedings of an expert meeting. Hum Reprod 2011; 26: 1270-1283.</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Azem F., Yaron Y., Amit A., Yovel I., Barak Y., Peyser M.R., David M.P.,Lessing J.B. How many embryos to transfer in patients undergoing IVF? Hum Reprod 1996;11(1):229-30.</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Badawy A. et al. Prediction and Diagnosis of Poor Ovarian Response: The Dilemma. // J. Reprod. Infertil. – 2011. – Vol. 12 (4). – P. 241-248.</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Beemsterboer S. FSH receptor polymorphism and treatment of poor responders. / Beemsterboer S., Sriram J.D., Schats R. et al. //Hum. Reprod. –2006. –v. 21. –Suppl.: Abstract Book. –P-334. –i.129.</w:t>
      </w:r>
    </w:p>
    <w:p w:rsidR="000B178D" w:rsidRPr="00603B31" w:rsidRDefault="000B178D" w:rsidP="008028E5">
      <w:pPr>
        <w:pStyle w:val="Default"/>
        <w:numPr>
          <w:ilvl w:val="0"/>
          <w:numId w:val="29"/>
        </w:numPr>
        <w:spacing w:line="360" w:lineRule="auto"/>
        <w:ind w:left="0"/>
        <w:rPr>
          <w:rFonts w:ascii="Times New Roman" w:hAnsi="Times New Roman" w:cs="Times New Roman"/>
          <w:lang w:val="en-US"/>
        </w:rPr>
      </w:pPr>
      <w:r w:rsidRPr="00603B31">
        <w:rPr>
          <w:rFonts w:ascii="Times New Roman" w:hAnsi="Times New Roman" w:cs="Times New Roman"/>
          <w:lang w:val="en-US"/>
        </w:rPr>
        <w:t xml:space="preserve">Benjamin J, Levine J, Fux M, et al. Double-blind, placebo-controlled, crossover trial of inositol treatment for panic disorder. Am J Psychiatry 1995;152:1084-6. </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Berridge M.J. </w:t>
      </w:r>
      <w:r w:rsidRPr="00603B31">
        <w:rPr>
          <w:rFonts w:ascii="Times New Roman" w:hAnsi="Times New Roman" w:cs="Times New Roman"/>
          <w:sz w:val="24"/>
          <w:szCs w:val="24"/>
          <w:lang w:val="en-US"/>
        </w:rPr>
        <w:t>Inositol trisphosphate and calcium signaling // Nature. 1993. Vol. 361. № 6410. P. 315–325.</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Brusco GF, Mariani M. Inositol effects on oocyte quality in patients undergoing ICSI. Eur Rev Med Pharmacol Sci, 2013; 17: 3095-102.</w:t>
      </w:r>
    </w:p>
    <w:p w:rsidR="000B178D" w:rsidRPr="00603B31" w:rsidRDefault="000B178D" w:rsidP="008028E5">
      <w:pPr>
        <w:pStyle w:val="a4"/>
        <w:numPr>
          <w:ilvl w:val="0"/>
          <w:numId w:val="29"/>
        </w:numPr>
        <w:autoSpaceDE w:val="0"/>
        <w:autoSpaceDN w:val="0"/>
        <w:adjustRightInd w:val="0"/>
        <w:spacing w:line="360" w:lineRule="auto"/>
        <w:ind w:left="0"/>
        <w:rPr>
          <w:rFonts w:ascii="Times New Roman" w:eastAsia="Newton-Regular" w:hAnsi="Times New Roman" w:cs="Times New Roman"/>
          <w:sz w:val="24"/>
          <w:szCs w:val="24"/>
          <w:lang w:val="en-US"/>
        </w:rPr>
      </w:pPr>
      <w:r w:rsidRPr="00603B31">
        <w:rPr>
          <w:rFonts w:ascii="Times New Roman" w:hAnsi="Times New Roman" w:cs="Times New Roman"/>
          <w:sz w:val="24"/>
          <w:szCs w:val="24"/>
          <w:lang w:val="en-US"/>
        </w:rPr>
        <w:t>Carlomagno G, De Grazia S, Unfer V, Manna F. Myo-inositol in a new pharmaceutical form: a step forward to a broader clinical use. Expert Opin Drug Deliv, 2012; 9(3): 267-71.</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Carlomagna G, Unfer V. Inositol safety Clinical evidences. Eur Rev Med Pharmacol Sci, 2011; 15: 931-6.</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 xml:space="preserve">Caprio </w:t>
      </w:r>
      <w:r w:rsidR="00EA4895" w:rsidRPr="00603B31">
        <w:rPr>
          <w:rFonts w:ascii="Times New Roman" w:hAnsi="Times New Roman" w:cs="Times New Roman"/>
          <w:sz w:val="24"/>
          <w:szCs w:val="24"/>
          <w:lang w:val="en-US"/>
        </w:rPr>
        <w:t xml:space="preserve">F. </w:t>
      </w:r>
      <w:r w:rsidRPr="00603B31">
        <w:rPr>
          <w:rFonts w:ascii="Times New Roman" w:hAnsi="Times New Roman" w:cs="Times New Roman"/>
          <w:sz w:val="24"/>
          <w:szCs w:val="24"/>
          <w:lang w:val="en-US"/>
        </w:rPr>
        <w:t>et al. Myo-inositol therapy for poor-responders during IVF: a prospective controlled observational trial. // Journal of Ovarian Research (2015) 8:37</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Chiu TT, Tam PP. A correlation of the outcome of clinical in vitro fertilization with the inositol content and embryotrophic properties of human serum. J Assist Reprod Genet 1992;9:524–30.</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Chiu TT, Rogers MS, Law EL, Briton-Jones CM, Cheung LP, Haines CJ. Follicular fluid and serum concentrations of myo-inositol in patients undergoing IVF: relationship with oocyte quality. Hum Reprod. 2002;17(6):1591–6.</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Chiu TT, Rogers MS, Briton-Jones C, Haines C. Effects of myo-inositol on the in-vitro maturation and subsequent development of mouse oocytes. Hum Reprod. 2003;18(2):408–16</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Ciotta L, Stracquadanio M, Pagnao I, Carnonaro A, P</w:t>
      </w:r>
      <w:r w:rsidR="001D67B9" w:rsidRPr="00603B31">
        <w:rPr>
          <w:rFonts w:ascii="Times New Roman" w:hAnsi="Times New Roman" w:cs="Times New Roman"/>
          <w:sz w:val="24"/>
          <w:szCs w:val="24"/>
          <w:lang w:val="en-US"/>
        </w:rPr>
        <w:t>alimbo M, Gulino F. Effect of my</w:t>
      </w:r>
      <w:r w:rsidRPr="00603B31">
        <w:rPr>
          <w:rFonts w:ascii="Times New Roman" w:hAnsi="Times New Roman" w:cs="Times New Roman"/>
          <w:sz w:val="24"/>
          <w:szCs w:val="24"/>
          <w:lang w:val="en-US"/>
        </w:rPr>
        <w:t>o</w:t>
      </w:r>
      <w:r w:rsidR="001D67B9" w:rsidRPr="00603B31">
        <w:rPr>
          <w:rFonts w:ascii="Times New Roman" w:hAnsi="Times New Roman" w:cs="Times New Roman"/>
          <w:sz w:val="24"/>
          <w:szCs w:val="24"/>
          <w:lang w:val="en-US"/>
        </w:rPr>
        <w:t>-</w:t>
      </w:r>
      <w:r w:rsidRPr="00603B31">
        <w:rPr>
          <w:rFonts w:ascii="Times New Roman" w:hAnsi="Times New Roman" w:cs="Times New Roman"/>
          <w:sz w:val="24"/>
          <w:szCs w:val="24"/>
          <w:lang w:val="en-US"/>
        </w:rPr>
        <w:t>inositol supplementation on oocytes quality in PCOS patients: a double blind trial. Eur Rev Med Pharmacol Sci, 2011; 15: 509-14.</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Clements R.S. Jr., Darnell B. </w:t>
      </w:r>
      <w:r w:rsidRPr="00603B31">
        <w:rPr>
          <w:rFonts w:ascii="Times New Roman" w:hAnsi="Times New Roman" w:cs="Times New Roman"/>
          <w:sz w:val="24"/>
          <w:szCs w:val="24"/>
          <w:lang w:val="en-US"/>
        </w:rPr>
        <w:t>Myo-inositol content of common foods: development of a high-myo-inositol diet // Am. J. Clin. Nutr. 1980. Vol. 33. № 9. P. 1954–1967.</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Colacurci N, Caprio F, La Verde E, Trotta C, Ianniello R, Mele D, et al. Sequential protocol with urinary-FSH/recombinant-FSH versus standard protocol with recombinant-FSH in women of advanced age undergoing IVF. Gynecol Endocrinol. 2014;30(10):730–3.</w:t>
      </w:r>
    </w:p>
    <w:p w:rsidR="000B178D" w:rsidRPr="00603B31" w:rsidRDefault="000B178D"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Condorelli R.A., La Vignera S., Di Bari F. et al. </w:t>
      </w:r>
      <w:r w:rsidRPr="00603B31">
        <w:rPr>
          <w:rFonts w:ascii="Times New Roman" w:hAnsi="Times New Roman" w:cs="Times New Roman"/>
          <w:sz w:val="24"/>
          <w:szCs w:val="24"/>
          <w:lang w:val="en-US"/>
        </w:rPr>
        <w:t>Effects of myoinositol on sperm mitochondrial function in-vitro // Eur. Rev. Med. Pharmacol. Sci. 2011. Vol. 15. № 2. P. 129–134.</w:t>
      </w:r>
    </w:p>
    <w:p w:rsidR="002D3429" w:rsidRPr="00603B31" w:rsidRDefault="002D3429" w:rsidP="008028E5">
      <w:pPr>
        <w:pStyle w:val="a4"/>
        <w:numPr>
          <w:ilvl w:val="0"/>
          <w:numId w:val="29"/>
        </w:numPr>
        <w:autoSpaceDE w:val="0"/>
        <w:autoSpaceDN w:val="0"/>
        <w:adjustRightInd w:val="0"/>
        <w:spacing w:line="360" w:lineRule="auto"/>
        <w:ind w:left="0"/>
        <w:rPr>
          <w:rFonts w:ascii="Times New Roman" w:eastAsia="Newton-Regular" w:hAnsi="Times New Roman" w:cs="Times New Roman"/>
          <w:sz w:val="24"/>
          <w:szCs w:val="24"/>
          <w:lang w:val="en-US"/>
        </w:rPr>
      </w:pPr>
      <w:r w:rsidRPr="00603B31">
        <w:rPr>
          <w:rFonts w:ascii="Times New Roman" w:hAnsi="Times New Roman" w:cs="Times New Roman"/>
          <w:iCs/>
          <w:sz w:val="24"/>
          <w:szCs w:val="24"/>
          <w:lang w:val="en-US"/>
        </w:rPr>
        <w:t xml:space="preserve">Condorelli R.A., La Vignera S., Bellanca S. et al. </w:t>
      </w:r>
      <w:r w:rsidRPr="00603B31">
        <w:rPr>
          <w:rFonts w:ascii="Times New Roman" w:hAnsi="Times New Roman" w:cs="Times New Roman"/>
          <w:sz w:val="24"/>
          <w:szCs w:val="24"/>
          <w:lang w:val="en-US"/>
        </w:rPr>
        <w:t>Myo-inositol: does it improve sperm mitochondrial function and sperm motility? // Urology. 2012. Vol. 79. № 6. P. 1290–1295.</w:t>
      </w:r>
    </w:p>
    <w:p w:rsidR="002D3429" w:rsidRPr="00603B31" w:rsidRDefault="002D3429"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De Castro F. Human controlled ovarian hyperstimulation outcome is a polygenic trait. / De Castro F., Morón F.J., Montoro L. et al. //Pharmacogenetics. –2004. –v.</w:t>
      </w:r>
    </w:p>
    <w:p w:rsidR="002D3429" w:rsidRPr="00603B31" w:rsidRDefault="00501F31" w:rsidP="008028E5">
      <w:pPr>
        <w:pStyle w:val="a4"/>
        <w:numPr>
          <w:ilvl w:val="0"/>
          <w:numId w:val="29"/>
        </w:numPr>
        <w:autoSpaceDE w:val="0"/>
        <w:autoSpaceDN w:val="0"/>
        <w:adjustRightInd w:val="0"/>
        <w:spacing w:line="360" w:lineRule="auto"/>
        <w:ind w:left="0"/>
        <w:rPr>
          <w:rFonts w:ascii="Times New Roman" w:eastAsia="Newton-Regular" w:hAnsi="Times New Roman" w:cs="Times New Roman"/>
          <w:sz w:val="24"/>
          <w:szCs w:val="24"/>
          <w:lang w:val="en-US"/>
        </w:rPr>
      </w:pPr>
      <w:r w:rsidRPr="00603B31">
        <w:rPr>
          <w:rFonts w:ascii="Times New Roman" w:hAnsi="Times New Roman" w:cs="Times New Roman"/>
          <w:iCs/>
          <w:color w:val="191919"/>
          <w:sz w:val="24"/>
          <w:szCs w:val="24"/>
          <w:lang w:val="en-US"/>
        </w:rPr>
        <w:t>Ebner T</w:t>
      </w:r>
      <w:r w:rsidRPr="00603B31">
        <w:rPr>
          <w:rFonts w:ascii="Times New Roman" w:hAnsi="Times New Roman" w:cs="Times New Roman"/>
          <w:i/>
          <w:iCs/>
          <w:color w:val="191919"/>
          <w:sz w:val="24"/>
          <w:szCs w:val="24"/>
          <w:lang w:val="en-US"/>
        </w:rPr>
        <w:t xml:space="preserve"> </w:t>
      </w:r>
      <w:r w:rsidRPr="00603B31">
        <w:rPr>
          <w:rFonts w:ascii="Times New Roman" w:hAnsi="Times New Roman" w:cs="Times New Roman"/>
          <w:iCs/>
          <w:color w:val="191919"/>
          <w:sz w:val="24"/>
          <w:szCs w:val="24"/>
          <w:lang w:val="en-US"/>
        </w:rPr>
        <w:t>et al.</w:t>
      </w:r>
      <w:r w:rsidRPr="00603B31">
        <w:rPr>
          <w:rFonts w:ascii="Times New Roman" w:hAnsi="Times New Roman" w:cs="Times New Roman"/>
          <w:i/>
          <w:iCs/>
          <w:color w:val="191919"/>
          <w:sz w:val="24"/>
          <w:szCs w:val="24"/>
          <w:lang w:val="en-US"/>
        </w:rPr>
        <w:t xml:space="preserve"> </w:t>
      </w:r>
      <w:r w:rsidR="002D3429" w:rsidRPr="00603B31">
        <w:rPr>
          <w:rFonts w:ascii="Times New Roman" w:hAnsi="Times New Roman" w:cs="Times New Roman"/>
          <w:color w:val="191919"/>
          <w:sz w:val="24"/>
          <w:szCs w:val="24"/>
          <w:lang w:val="en-US"/>
        </w:rPr>
        <w:t>Developmental fate of ovoid oocytes. Hum Reprod 2008; 23: 62-66.</w:t>
      </w:r>
    </w:p>
    <w:p w:rsidR="002D3429" w:rsidRPr="00603B31" w:rsidRDefault="002D3429"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Gerasimenko J.V., Flowerdew S.E., Voronina S.G. et al. </w:t>
      </w:r>
      <w:r w:rsidRPr="00603B31">
        <w:rPr>
          <w:rFonts w:ascii="Times New Roman" w:hAnsi="Times New Roman" w:cs="Times New Roman"/>
          <w:sz w:val="24"/>
          <w:szCs w:val="24"/>
          <w:lang w:val="en-US"/>
        </w:rPr>
        <w:t>Bile acids induce Ca2+ release from both the endoplasmic reticulum and acidic intracellular calcium stores through activation of inositol trisphosphate receptors and ryanodine receptors //J. Biol. Chem. 2006. Vol. 281. № 52. P. 40154–40163.</w:t>
      </w:r>
    </w:p>
    <w:p w:rsidR="002D3429" w:rsidRPr="00603B31" w:rsidRDefault="002D3429"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Goud P.T., Goud A.P., Leybaert L. et al. </w:t>
      </w:r>
      <w:r w:rsidRPr="00603B31">
        <w:rPr>
          <w:rFonts w:ascii="Times New Roman" w:hAnsi="Times New Roman" w:cs="Times New Roman"/>
          <w:sz w:val="24"/>
          <w:szCs w:val="24"/>
          <w:lang w:val="en-US"/>
        </w:rPr>
        <w:t>Inositol 1,4,5-trisphosphate receptor function in human oocytes: calcium responses and oocyte activation-related phenomena induced by photolytic release of InsP(3) are blocked by a specific antibody to the type I receptor // Mol. Hum. Reprod. 2002. Vol. 8. № 10. P. 912–918.</w:t>
      </w:r>
    </w:p>
    <w:p w:rsidR="002D3429" w:rsidRPr="00603B31" w:rsidRDefault="002D3429" w:rsidP="008028E5">
      <w:pPr>
        <w:pStyle w:val="a3"/>
        <w:numPr>
          <w:ilvl w:val="0"/>
          <w:numId w:val="29"/>
        </w:numPr>
        <w:spacing w:line="360" w:lineRule="auto"/>
        <w:ind w:left="0"/>
        <w:rPr>
          <w:rFonts w:ascii="Times New Roman" w:hAnsi="Times New Roman" w:cs="Times New Roman"/>
          <w:sz w:val="24"/>
          <w:szCs w:val="24"/>
        </w:rPr>
      </w:pPr>
      <w:r w:rsidRPr="00603B31">
        <w:rPr>
          <w:rFonts w:ascii="Times New Roman" w:hAnsi="Times New Roman" w:cs="Times New Roman"/>
          <w:sz w:val="24"/>
          <w:szCs w:val="24"/>
          <w:lang w:val="en-US"/>
        </w:rPr>
        <w:t>Greene ND. Genetics of human neural tube defects. Hum Mol Genet, 2009; 18: 113-29.</w:t>
      </w:r>
    </w:p>
    <w:p w:rsidR="002D3429" w:rsidRPr="00603B31" w:rsidRDefault="00C21D47"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 xml:space="preserve">Hendriks D.J.et al. </w:t>
      </w:r>
      <w:r w:rsidR="002D3429" w:rsidRPr="00603B31">
        <w:rPr>
          <w:rFonts w:ascii="Times New Roman" w:hAnsi="Times New Roman" w:cs="Times New Roman"/>
          <w:sz w:val="24"/>
          <w:szCs w:val="24"/>
          <w:lang w:val="en-US"/>
        </w:rPr>
        <w:t>Expected poor ovarian response in predicting cumulative pregnancy rates : a powerful tool / // J. Reprod. Biomed. Online. – 2008. – Vol. 17.– P. 727-736.</w:t>
      </w:r>
    </w:p>
    <w:p w:rsidR="00C21D47" w:rsidRPr="00603B31" w:rsidRDefault="00C21D47" w:rsidP="008028E5">
      <w:pPr>
        <w:pStyle w:val="a3"/>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Kamble L. et al. Poor responders to controlled ovarian hyperstimulation for in vitro fertilization (IVF) / // Hum. Fertil. (Camb). – 2011. – Vol. 14 (4). –P. 230-245.</w:t>
      </w:r>
    </w:p>
    <w:p w:rsidR="00287848" w:rsidRPr="00603B31" w:rsidRDefault="00287848"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Kutateladze TG. Translation of the phosphoinositide code by PI effectors. Nat Chem Biol. 2011;6(7):507–13</w:t>
      </w:r>
    </w:p>
    <w:p w:rsidR="00C21D47" w:rsidRPr="00603B31" w:rsidRDefault="00C21D47"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Larner J. </w:t>
      </w:r>
      <w:r w:rsidRPr="00603B31">
        <w:rPr>
          <w:rFonts w:ascii="Times New Roman" w:hAnsi="Times New Roman" w:cs="Times New Roman"/>
          <w:sz w:val="24"/>
          <w:szCs w:val="24"/>
          <w:lang w:val="en-US"/>
        </w:rPr>
        <w:t>D-chiro-inositol – its functional role in insulin action and its deficit in insulin resistance // Int. J. Exp. Diabetes. Res. 2002. Vol. 3. № 1. P. 47–60.</w:t>
      </w:r>
    </w:p>
    <w:p w:rsidR="00C21D47" w:rsidRPr="00603B31" w:rsidRDefault="00C21D47"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Levine J, Barak Y, Gonzalves M, Szor H, Elizur A, Kofman O, Belmaker RH. Doubleblind controlled trial of inositol treatment of depression. Amer J Psychiatr</w:t>
      </w:r>
      <w:r w:rsidRPr="00603B31">
        <w:rPr>
          <w:rFonts w:ascii="Times New Roman" w:hAnsi="Times New Roman" w:cs="Times New Roman"/>
          <w:i/>
          <w:iCs/>
          <w:sz w:val="24"/>
          <w:szCs w:val="24"/>
          <w:lang w:val="en-US"/>
        </w:rPr>
        <w:t xml:space="preserve">, </w:t>
      </w:r>
      <w:r w:rsidRPr="00603B31">
        <w:rPr>
          <w:rFonts w:ascii="Times New Roman" w:hAnsi="Times New Roman" w:cs="Times New Roman"/>
          <w:sz w:val="24"/>
          <w:szCs w:val="24"/>
          <w:lang w:val="en-US"/>
        </w:rPr>
        <w:t>1995; 152(5): 792-4.</w:t>
      </w:r>
    </w:p>
    <w:p w:rsidR="00C21D47" w:rsidRPr="00603B31" w:rsidRDefault="00C21D47"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Lisi et al. Pretreatment with myo-inositol in non polycystic ovary syndrome patients undergoing multiple follicular stimulation for IVF: a pilot study. // Reproductive Biology and Endocrinology 2012, 10:52</w:t>
      </w:r>
    </w:p>
    <w:p w:rsidR="00C21D47" w:rsidRPr="00603B31" w:rsidRDefault="00150559" w:rsidP="008028E5">
      <w:pPr>
        <w:pStyle w:val="a3"/>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 xml:space="preserve">Loutradis </w:t>
      </w:r>
      <w:r w:rsidR="00C21D47" w:rsidRPr="00603B31">
        <w:rPr>
          <w:rFonts w:ascii="Times New Roman" w:hAnsi="Times New Roman" w:cs="Times New Roman"/>
          <w:sz w:val="24"/>
          <w:szCs w:val="24"/>
          <w:lang w:val="en-US"/>
        </w:rPr>
        <w:t>D.</w:t>
      </w:r>
      <w:r w:rsidRPr="00603B31">
        <w:rPr>
          <w:rFonts w:ascii="Times New Roman" w:hAnsi="Times New Roman" w:cs="Times New Roman"/>
          <w:sz w:val="24"/>
          <w:szCs w:val="24"/>
          <w:lang w:val="en-US"/>
        </w:rPr>
        <w:t>et al.</w:t>
      </w:r>
      <w:r w:rsidR="00C21D47" w:rsidRPr="00603B31">
        <w:rPr>
          <w:rFonts w:ascii="Times New Roman" w:hAnsi="Times New Roman" w:cs="Times New Roman"/>
          <w:sz w:val="24"/>
          <w:szCs w:val="24"/>
          <w:lang w:val="en-US"/>
        </w:rPr>
        <w:t xml:space="preserve"> Poor responder protocols for in-vitro fertilization: options and results // Curr. Opin. Obstet. Gynecol. –2008. – Vol. 20 (4). – P. 374-378.</w:t>
      </w:r>
    </w:p>
    <w:p w:rsidR="00C21D47" w:rsidRPr="00603B31" w:rsidRDefault="00C21D47"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Macolsei. Schillaci R, Mangione D, Lo Monte G, Vassiliadis A. Inositol supplementation and IVF outcome: preliminary data. It. J. Gynæcol. Obstet., 2012; 24: 38-44</w:t>
      </w:r>
    </w:p>
    <w:p w:rsidR="00C21D47" w:rsidRPr="00603B31" w:rsidRDefault="00C21D47" w:rsidP="008028E5">
      <w:pPr>
        <w:pStyle w:val="a3"/>
        <w:numPr>
          <w:ilvl w:val="0"/>
          <w:numId w:val="29"/>
        </w:numPr>
        <w:autoSpaceDE w:val="0"/>
        <w:autoSpaceDN w:val="0"/>
        <w:adjustRightInd w:val="0"/>
        <w:spacing w:after="0" w:line="360" w:lineRule="auto"/>
        <w:ind w:left="0"/>
        <w:rPr>
          <w:rFonts w:ascii="Times New Roman" w:hAnsi="Times New Roman" w:cs="Times New Roman"/>
          <w:bCs/>
          <w:sz w:val="24"/>
          <w:szCs w:val="24"/>
          <w:lang w:val="en-US"/>
        </w:rPr>
      </w:pPr>
      <w:r w:rsidRPr="00603B31">
        <w:rPr>
          <w:rFonts w:ascii="Times New Roman" w:hAnsi="Times New Roman" w:cs="Times New Roman"/>
          <w:bCs/>
          <w:sz w:val="24"/>
          <w:szCs w:val="24"/>
          <w:lang w:val="en-US"/>
        </w:rPr>
        <w:t>Myoinositol: a review of its use in patients with polycystic ovary syndrome. Chinthana Govi</w:t>
      </w:r>
      <w:r w:rsidR="00603B31">
        <w:rPr>
          <w:rFonts w:ascii="Times New Roman" w:hAnsi="Times New Roman" w:cs="Times New Roman"/>
          <w:bCs/>
          <w:sz w:val="24"/>
          <w:szCs w:val="24"/>
          <w:lang w:val="en-US"/>
        </w:rPr>
        <w:t>ndarajan, Revathi Pitchaipillai</w:t>
      </w:r>
      <w:r w:rsidRPr="00603B31">
        <w:rPr>
          <w:rFonts w:ascii="Times New Roman" w:hAnsi="Times New Roman" w:cs="Times New Roman"/>
          <w:bCs/>
          <w:sz w:val="24"/>
          <w:szCs w:val="24"/>
          <w:lang w:val="en-US"/>
        </w:rPr>
        <w:t xml:space="preserve">, Bhuvaneswari Shanmugasundaram, Sudhananthini Thangam, Jegan Arokiasamy and Manickavasagam Subramania Pillai.//  </w:t>
      </w:r>
      <w:r w:rsidR="00603B31">
        <w:rPr>
          <w:rFonts w:ascii="Times New Roman" w:hAnsi="Times New Roman" w:cs="Times New Roman"/>
          <w:bCs/>
          <w:sz w:val="24"/>
          <w:szCs w:val="24"/>
          <w:lang w:val="en-US"/>
        </w:rPr>
        <w:t>World journal of pharmacy and pharmaceutical sciences. Volume 4, Issue 06</w:t>
      </w:r>
      <w:r w:rsidRPr="00603B31">
        <w:rPr>
          <w:rFonts w:ascii="Times New Roman" w:hAnsi="Times New Roman" w:cs="Times New Roman"/>
          <w:bCs/>
          <w:sz w:val="24"/>
          <w:szCs w:val="24"/>
          <w:lang w:val="en-US"/>
        </w:rPr>
        <w:t xml:space="preserve">, 137-155. </w:t>
      </w:r>
      <w:r w:rsidRPr="00603B31">
        <w:rPr>
          <w:rFonts w:ascii="Times New Roman" w:hAnsi="Times New Roman" w:cs="Times New Roman"/>
          <w:sz w:val="24"/>
          <w:szCs w:val="24"/>
          <w:lang w:val="en-US"/>
        </w:rPr>
        <w:t>2015</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Nordio M., Proietti E. </w:t>
      </w:r>
      <w:r w:rsidRPr="00603B31">
        <w:rPr>
          <w:rFonts w:ascii="Times New Roman" w:hAnsi="Times New Roman" w:cs="Times New Roman"/>
          <w:sz w:val="24"/>
          <w:szCs w:val="24"/>
          <w:lang w:val="en-US"/>
        </w:rPr>
        <w:t>The combined therapy with myo-inositol and D-chiro-inositol reduces the risk of metabolic disease in PCOS overweight patients compared to myo-inositol supplementation alone // Eur. Rev. Med. Pharmacol. Sci. 2012. Vol. 16. № 5. P. 575–581.</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On behalf of the ESHRE working group ESHRE consensus on the definition of ‘poor response’ to ovarian stimulation for in vitro fertilization: the Bologna criteria / A. P. Ferraretti [ et al. ] // Hum. Reprod. – 2011. – Vol. 26 (7). – P. 1616-1624.</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bCs/>
          <w:sz w:val="24"/>
          <w:szCs w:val="24"/>
          <w:lang w:val="en-US"/>
        </w:rPr>
      </w:pPr>
      <w:r w:rsidRPr="00603B31">
        <w:rPr>
          <w:rFonts w:ascii="Times New Roman" w:hAnsi="Times New Roman" w:cs="Times New Roman"/>
          <w:bCs/>
          <w:sz w:val="24"/>
          <w:szCs w:val="24"/>
          <w:lang w:val="en-US"/>
        </w:rPr>
        <w:t>Ovarian Stimulation Protocol in IVF: An Up-to-Date Review of the Literature</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eastAsia="TimesNewRomanPSMT" w:hAnsi="Times New Roman" w:cs="Times New Roman"/>
          <w:sz w:val="24"/>
          <w:szCs w:val="24"/>
          <w:lang w:val="en-US"/>
        </w:rPr>
      </w:pPr>
      <w:r w:rsidRPr="00603B31">
        <w:rPr>
          <w:rFonts w:ascii="Times New Roman" w:eastAsia="TimesNewRomanPSMT" w:hAnsi="Times New Roman" w:cs="Times New Roman"/>
          <w:sz w:val="24"/>
          <w:szCs w:val="24"/>
          <w:lang w:val="en-US"/>
        </w:rPr>
        <w:t xml:space="preserve">Alessandro Pacchiarotti et al. // </w:t>
      </w:r>
      <w:r w:rsidRPr="00603B31">
        <w:rPr>
          <w:rFonts w:ascii="Times New Roman" w:hAnsi="Times New Roman" w:cs="Times New Roman"/>
          <w:bCs/>
          <w:iCs/>
          <w:sz w:val="24"/>
          <w:szCs w:val="24"/>
          <w:lang w:val="en-US"/>
        </w:rPr>
        <w:t xml:space="preserve">Current Pharmaceutical Biotechnology, </w:t>
      </w:r>
      <w:r w:rsidRPr="00603B31">
        <w:rPr>
          <w:rFonts w:ascii="Times New Roman" w:hAnsi="Times New Roman" w:cs="Times New Roman"/>
          <w:bCs/>
          <w:sz w:val="24"/>
          <w:szCs w:val="24"/>
          <w:lang w:val="en-US"/>
        </w:rPr>
        <w:t>2016</w:t>
      </w:r>
      <w:r w:rsidRPr="00603B31">
        <w:rPr>
          <w:rFonts w:ascii="Times New Roman" w:hAnsi="Times New Roman" w:cs="Times New Roman"/>
          <w:bCs/>
          <w:iCs/>
          <w:sz w:val="24"/>
          <w:szCs w:val="24"/>
          <w:lang w:val="en-US"/>
        </w:rPr>
        <w:t>, 17</w:t>
      </w:r>
      <w:r w:rsidRPr="00603B31">
        <w:rPr>
          <w:rFonts w:ascii="Times New Roman" w:hAnsi="Times New Roman" w:cs="Times New Roman"/>
          <w:bCs/>
          <w:sz w:val="24"/>
          <w:szCs w:val="24"/>
          <w:lang w:val="en-US"/>
        </w:rPr>
        <w:t>, 303-315</w:t>
      </w:r>
    </w:p>
    <w:p w:rsidR="00FE3B14" w:rsidRPr="00603B31" w:rsidRDefault="001769DF" w:rsidP="008028E5">
      <w:pPr>
        <w:pStyle w:val="a3"/>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 xml:space="preserve">Padhy N. </w:t>
      </w:r>
      <w:r w:rsidR="00FE3B14" w:rsidRPr="00603B31">
        <w:rPr>
          <w:rFonts w:ascii="Times New Roman" w:hAnsi="Times New Roman" w:cs="Times New Roman"/>
          <w:sz w:val="24"/>
          <w:szCs w:val="24"/>
          <w:lang w:val="en-US"/>
        </w:rPr>
        <w:t>Demographic characteristics and clinical profile of poor responders in IVF/ICSI : a comparative study / N. Padhy [ et al. ] // J. Hum. Reprod. Sci. – 2010. –Vol. 3 (2). – P. 91-94.</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Palatnik A, Frolov K, Fux M, Benjamin J. Double-blind, controlled, crossover trial of inositol versus fluvoxamine for the treatment of panic disorder. J Clin Psychopharmacol, 2001; 21(3): 335-9.</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Pandian Z, McTavish AR, Aucott L, Hamilton MP, Bhattacharya S. Interventions for ‘poor responders’ to controlled ovarian hyper stimulation (COH) in in-vitro fertilisation (IVF). Cochrane Database Syst Rev. 2010;1, CD004379.</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Papaleo E, Unfer V, Baillargeon JP, Fusi F, Occhi F, De Santis L. Myo-inositol may improce oocyte quality in intracitoplasmic sperm injectioncycles. A prospective, controlled randomized trial. Fertil Steril. 2009;91(5):1750–4.</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Papaleo E., Unfer V., Baillargeon J.P. et al. </w:t>
      </w:r>
      <w:r w:rsidRPr="00603B31">
        <w:rPr>
          <w:rFonts w:ascii="Times New Roman" w:hAnsi="Times New Roman" w:cs="Times New Roman"/>
          <w:sz w:val="24"/>
          <w:szCs w:val="24"/>
          <w:lang w:val="en-US"/>
        </w:rPr>
        <w:t>Contribution of myo-inositol to reproduction // Eur. J. Obstet. Gynecol. Reprod. Biol. 2009. Vol. 147. № 2. P. 120–123.</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Papaleo E., Molgora M., Quaranta L. et al. </w:t>
      </w:r>
      <w:r w:rsidRPr="00603B31">
        <w:rPr>
          <w:rFonts w:ascii="Times New Roman" w:hAnsi="Times New Roman" w:cs="Times New Roman"/>
          <w:sz w:val="24"/>
          <w:szCs w:val="24"/>
          <w:lang w:val="en-US"/>
        </w:rPr>
        <w:t>Myo-inositol products in polycystic ovary syndrome (PCOS) treatment: quality, labeling accuracy, and cost comparison // Eur. Rev. Med. Pharmacol. Sci. 2011. Vol. 15. № 2. P. 165–174.</w:t>
      </w:r>
    </w:p>
    <w:p w:rsidR="00FE3B14" w:rsidRPr="00603B31" w:rsidRDefault="00FE3B14" w:rsidP="008028E5">
      <w:pPr>
        <w:pStyle w:val="a3"/>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Poga</w:t>
      </w:r>
      <w:r w:rsidRPr="00603B31">
        <w:rPr>
          <w:rFonts w:ascii="Times New Roman" w:hAnsi="Times New Roman" w:cs="Times New Roman"/>
          <w:sz w:val="24"/>
          <w:szCs w:val="24"/>
        </w:rPr>
        <w:t>с</w:t>
      </w:r>
      <w:r w:rsidRPr="00603B31">
        <w:rPr>
          <w:rFonts w:ascii="Times New Roman" w:hAnsi="Times New Roman" w:cs="Times New Roman"/>
          <w:sz w:val="24"/>
          <w:szCs w:val="24"/>
          <w:lang w:val="en-US"/>
        </w:rPr>
        <w:t>nik L.R. et al. Possible role of autoimmunity in patients with premature ovarian insufficiency / Int. J.Fertil. Steril. – 2014. – Vol. 7 (4). – P.</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bCs/>
          <w:sz w:val="24"/>
          <w:szCs w:val="24"/>
          <w:lang w:val="en-US"/>
        </w:rPr>
      </w:pPr>
      <w:r w:rsidRPr="00603B31">
        <w:rPr>
          <w:rFonts w:ascii="Times New Roman" w:hAnsi="Times New Roman" w:cs="Times New Roman"/>
          <w:bCs/>
          <w:sz w:val="24"/>
          <w:szCs w:val="24"/>
          <w:lang w:val="en-US"/>
        </w:rPr>
        <w:t xml:space="preserve">Prospective Randomized Study on the Influence of Myoinositol in PCOS Women Undergoing IVF in the Improvement of Oocyte Quality, Fertilization Rate, and Embryo Quality / Bernd Lesoine1 and Pedro-Antonio Regidor // </w:t>
      </w:r>
      <w:r w:rsidRPr="00603B31">
        <w:rPr>
          <w:rFonts w:ascii="Times New Roman" w:hAnsi="Times New Roman" w:cs="Times New Roman"/>
          <w:sz w:val="24"/>
          <w:szCs w:val="24"/>
          <w:lang w:val="en-US"/>
        </w:rPr>
        <w:t>International Journal of Endocrinology. Volume 2016, Article ID 4378507</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Results from the International Consensus Conference on myo-inositol and D-chiro-inositol in Obstetrics and Gynecology – assisted reproduction technology / Arturo Bevilacqua1 et al. ISSN: 0951-3590 // Gynecol Endocrinol. 2015</w:t>
      </w:r>
    </w:p>
    <w:p w:rsidR="00FE3B14" w:rsidRPr="00603B31" w:rsidRDefault="00FE3B14" w:rsidP="008028E5">
      <w:pPr>
        <w:pStyle w:val="a3"/>
        <w:numPr>
          <w:ilvl w:val="0"/>
          <w:numId w:val="29"/>
        </w:numPr>
        <w:autoSpaceDE w:val="0"/>
        <w:autoSpaceDN w:val="0"/>
        <w:adjustRightInd w:val="0"/>
        <w:spacing w:after="0" w:line="360" w:lineRule="auto"/>
        <w:ind w:left="0"/>
        <w:rPr>
          <w:rFonts w:ascii="Times New Roman" w:hAnsi="Times New Roman" w:cs="Times New Roman"/>
          <w:iCs/>
          <w:sz w:val="24"/>
          <w:szCs w:val="24"/>
          <w:lang w:val="en-US"/>
        </w:rPr>
      </w:pPr>
      <w:r w:rsidRPr="00603B31">
        <w:rPr>
          <w:rFonts w:ascii="Times New Roman" w:hAnsi="Times New Roman" w:cs="Times New Roman"/>
          <w:iCs/>
          <w:sz w:val="24"/>
          <w:szCs w:val="24"/>
          <w:lang w:val="en-US"/>
        </w:rPr>
        <w:t xml:space="preserve">Review Article </w:t>
      </w:r>
      <w:r w:rsidRPr="00603B31">
        <w:rPr>
          <w:rFonts w:ascii="Times New Roman" w:hAnsi="Times New Roman" w:cs="Times New Roman"/>
          <w:bCs/>
          <w:sz w:val="24"/>
          <w:szCs w:val="24"/>
          <w:lang w:val="en-US"/>
        </w:rPr>
        <w:t>How to Achieve High-Quality Oocytes? The Key Role of Myo-Inositol and Melatonin</w:t>
      </w:r>
      <w:r w:rsidR="000E095F" w:rsidRPr="00603B31">
        <w:rPr>
          <w:rFonts w:ascii="Times New Roman" w:hAnsi="Times New Roman" w:cs="Times New Roman"/>
          <w:bCs/>
          <w:sz w:val="24"/>
          <w:szCs w:val="24"/>
          <w:lang w:val="en-US"/>
        </w:rPr>
        <w:t xml:space="preserve"> / </w:t>
      </w:r>
      <w:r w:rsidRPr="00603B31">
        <w:rPr>
          <w:rFonts w:ascii="Times New Roman" w:hAnsi="Times New Roman" w:cs="Times New Roman"/>
          <w:bCs/>
          <w:sz w:val="24"/>
          <w:szCs w:val="24"/>
          <w:lang w:val="en-US"/>
        </w:rPr>
        <w:t>Salvatore Giovanni Vitale</w:t>
      </w:r>
      <w:r w:rsidR="000E095F" w:rsidRPr="00603B31">
        <w:rPr>
          <w:rFonts w:ascii="Times New Roman" w:hAnsi="Times New Roman" w:cs="Times New Roman"/>
          <w:bCs/>
          <w:sz w:val="24"/>
          <w:szCs w:val="24"/>
          <w:lang w:val="en-US"/>
        </w:rPr>
        <w:t xml:space="preserve"> et al. // </w:t>
      </w:r>
      <w:r w:rsidRPr="00603B31">
        <w:rPr>
          <w:rFonts w:ascii="Times New Roman" w:hAnsi="Times New Roman" w:cs="Times New Roman"/>
          <w:sz w:val="24"/>
          <w:szCs w:val="24"/>
          <w:lang w:val="en-US"/>
        </w:rPr>
        <w:t>International Journal of Endocrinology</w:t>
      </w:r>
      <w:r w:rsidR="000E095F" w:rsidRPr="00603B31">
        <w:rPr>
          <w:rFonts w:ascii="Times New Roman" w:hAnsi="Times New Roman" w:cs="Times New Roman"/>
          <w:sz w:val="24"/>
          <w:szCs w:val="24"/>
          <w:lang w:val="en-US"/>
        </w:rPr>
        <w:t xml:space="preserve">. </w:t>
      </w:r>
      <w:r w:rsidRPr="00603B31">
        <w:rPr>
          <w:rFonts w:ascii="Times New Roman" w:hAnsi="Times New Roman" w:cs="Times New Roman"/>
          <w:sz w:val="24"/>
          <w:szCs w:val="24"/>
          <w:lang w:val="en-US"/>
        </w:rPr>
        <w:t>Volume 2</w:t>
      </w:r>
      <w:r w:rsidR="000E095F" w:rsidRPr="00603B31">
        <w:rPr>
          <w:rFonts w:ascii="Times New Roman" w:hAnsi="Times New Roman" w:cs="Times New Roman"/>
          <w:sz w:val="24"/>
          <w:szCs w:val="24"/>
          <w:lang w:val="en-US"/>
        </w:rPr>
        <w:t>016, Article ID 4987436</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Tesarik J., Sousa M. </w:t>
      </w:r>
      <w:r w:rsidRPr="00603B31">
        <w:rPr>
          <w:rFonts w:ascii="Times New Roman" w:hAnsi="Times New Roman" w:cs="Times New Roman"/>
          <w:sz w:val="24"/>
          <w:szCs w:val="24"/>
          <w:lang w:val="en-US"/>
        </w:rPr>
        <w:t>Mechanism of calcium oscillations in human oocytes: a two-store model // Mol. Hum. Reprod. 1996. Vol. 2. № 6. P. 383–386.</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Tao J., R. Tamis, K. Fink, B. Williams, T. Nelson-White, R. Craig The neglected morula/compact stage embryo transfer // Hum. Reprod. – 2002. – Vol. 17. – P. 1513–1518.</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Silva, C. A. Maintenance of fertility in patients with rheumatic diseases needing antiinflammatory and immunosuppressive drugs / C. A. Silva, E. Bonfa, M.Ostensen // Arthritis Care Res. (Hoboken). – 2010. – Vol. 62. – P. 1682-1690.</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Society for Assisted Reproductive Technology and the American Society for Reproductive Medicine. Assisted reproductive technology in the United States : 2001 results generated from the American Society for Reproductive Medicine/Society for Assisted Reproductive Technology registry // Fertil. Steril. – 2007. – Vol. 87 (6). –</w:t>
      </w:r>
      <w:r w:rsidRPr="00603B31">
        <w:rPr>
          <w:rFonts w:ascii="Times New Roman" w:hAnsi="Times New Roman" w:cs="Times New Roman"/>
          <w:sz w:val="24"/>
          <w:szCs w:val="24"/>
        </w:rPr>
        <w:t xml:space="preserve"> </w:t>
      </w:r>
      <w:r w:rsidRPr="00603B31">
        <w:rPr>
          <w:rFonts w:ascii="Times New Roman" w:hAnsi="Times New Roman" w:cs="Times New Roman"/>
          <w:sz w:val="24"/>
          <w:szCs w:val="24"/>
          <w:lang w:val="en-US"/>
        </w:rPr>
        <w:t>P. 1253-1266.</w:t>
      </w:r>
    </w:p>
    <w:p w:rsidR="000E095F" w:rsidRPr="00603B31" w:rsidRDefault="000E095F" w:rsidP="008028E5">
      <w:pPr>
        <w:pStyle w:val="a3"/>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Subclinical impairment of ovarian reserve in juvenile systemic lupus erythematosus after cyclophosphamide therapy / N. E. Aikawa [ et al. ] // Clin. Exp.Rheumatol. – 2012. – Vol. 30. – P. 445-459.</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Sun W. A new approach to ovarian reserve testing. /Sun W., Stegmann B. J., Henne W. et al. //Fertil. Steril. –2008. –v. 90. –pp. 2196–2202.</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Ulug U.et al.</w:t>
      </w:r>
      <w:r w:rsidR="0055270C" w:rsidRPr="00603B31">
        <w:rPr>
          <w:rFonts w:ascii="Times New Roman" w:hAnsi="Times New Roman" w:cs="Times New Roman"/>
          <w:sz w:val="24"/>
          <w:szCs w:val="24"/>
          <w:lang w:val="en-US"/>
        </w:rPr>
        <w:t xml:space="preserve"> </w:t>
      </w:r>
      <w:r w:rsidRPr="00603B31">
        <w:rPr>
          <w:rFonts w:ascii="Times New Roman" w:hAnsi="Times New Roman" w:cs="Times New Roman"/>
          <w:sz w:val="24"/>
          <w:szCs w:val="24"/>
          <w:lang w:val="en-US"/>
        </w:rPr>
        <w:t>Conception rates following assisted reproduction in poor responder patients: a retrospective study in 300 consecutive cycles / // Reprod. Biomed. Online. – 2003. – Vol. 6. – P. 439-443.</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Unfer V., Carlomagno G., Dante G. et al. </w:t>
      </w:r>
      <w:r w:rsidRPr="00603B31">
        <w:rPr>
          <w:rFonts w:ascii="Times New Roman" w:hAnsi="Times New Roman" w:cs="Times New Roman"/>
          <w:sz w:val="24"/>
          <w:szCs w:val="24"/>
          <w:lang w:val="en-US"/>
        </w:rPr>
        <w:t>Effects of myo-inositol in women with PCOS: a systematic review of randomized controlled trials // Gynecol. Endocrinol. 2012. Vol. 28. № 7. P. 509–551.</w:t>
      </w:r>
    </w:p>
    <w:p w:rsidR="000E095F" w:rsidRPr="00603B31" w:rsidRDefault="000E095F"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Van Steiterghem A, Nagy Z, Joris H, Liu J, Staessen C, Smitz J, et al. High fertilization and implantation rates after intracytoplasmic sperm injection. Hum Reprod 1993;8:1061-6.</w:t>
      </w:r>
    </w:p>
    <w:p w:rsidR="00453321" w:rsidRPr="00603B31" w:rsidRDefault="00453321" w:rsidP="008028E5">
      <w:pPr>
        <w:pStyle w:val="a3"/>
        <w:numPr>
          <w:ilvl w:val="0"/>
          <w:numId w:val="29"/>
        </w:numPr>
        <w:autoSpaceDE w:val="0"/>
        <w:autoSpaceDN w:val="0"/>
        <w:adjustRightInd w:val="0"/>
        <w:spacing w:after="0" w:line="360" w:lineRule="auto"/>
        <w:ind w:left="0"/>
        <w:rPr>
          <w:rFonts w:ascii="Times New Roman" w:hAnsi="Times New Roman" w:cs="Times New Roman"/>
          <w:sz w:val="24"/>
          <w:szCs w:val="24"/>
          <w:lang w:val="en-US"/>
        </w:rPr>
      </w:pPr>
      <w:r w:rsidRPr="00603B31">
        <w:rPr>
          <w:rFonts w:ascii="Times New Roman" w:hAnsi="Times New Roman" w:cs="Times New Roman"/>
          <w:iCs/>
          <w:sz w:val="24"/>
          <w:szCs w:val="24"/>
          <w:lang w:val="en-US"/>
        </w:rPr>
        <w:t xml:space="preserve">Vanky E., Carlsen S.M. </w:t>
      </w:r>
      <w:r w:rsidRPr="00603B31">
        <w:rPr>
          <w:rFonts w:ascii="Times New Roman" w:hAnsi="Times New Roman" w:cs="Times New Roman"/>
          <w:sz w:val="24"/>
          <w:szCs w:val="24"/>
          <w:lang w:val="en-US"/>
        </w:rPr>
        <w:t>Androgens and antimullerian hormone in mothers with polycystic ovary syndrome and their newborns // Fertil Steril. – 2012. – 97(2).</w:t>
      </w:r>
    </w:p>
    <w:p w:rsidR="00647152" w:rsidRPr="00603B31" w:rsidRDefault="00501F31" w:rsidP="008028E5">
      <w:pPr>
        <w:pStyle w:val="a4"/>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Veleva  Z. et al. An initial low response predicts poor outcome in in vitro fertilization/intracytoplasmic sperm injection despite improved ovarian response in consecutive c</w:t>
      </w:r>
      <w:r w:rsidR="00134C34" w:rsidRPr="00603B31">
        <w:rPr>
          <w:rFonts w:ascii="Times New Roman" w:hAnsi="Times New Roman" w:cs="Times New Roman"/>
          <w:sz w:val="24"/>
          <w:szCs w:val="24"/>
          <w:lang w:val="en-US"/>
        </w:rPr>
        <w:t>ycles / // Fertil. Steril. – 201</w:t>
      </w:r>
      <w:r w:rsidRPr="00603B31">
        <w:rPr>
          <w:rFonts w:ascii="Times New Roman" w:hAnsi="Times New Roman" w:cs="Times New Roman"/>
          <w:sz w:val="24"/>
          <w:szCs w:val="24"/>
          <w:lang w:val="en-US"/>
        </w:rPr>
        <w:t>5. – Vol. 83. – P. 1384-1390.</w:t>
      </w:r>
    </w:p>
    <w:p w:rsidR="004B543E" w:rsidRPr="00603B31" w:rsidRDefault="004B543E" w:rsidP="008028E5">
      <w:pPr>
        <w:pStyle w:val="a4"/>
        <w:numPr>
          <w:ilvl w:val="0"/>
          <w:numId w:val="29"/>
        </w:numPr>
        <w:spacing w:line="360" w:lineRule="auto"/>
        <w:ind w:left="0"/>
        <w:rPr>
          <w:rFonts w:ascii="Times New Roman" w:hAnsi="Times New Roman" w:cs="Times New Roman"/>
          <w:sz w:val="24"/>
          <w:szCs w:val="24"/>
          <w:lang w:val="en-US"/>
        </w:rPr>
      </w:pPr>
      <w:r w:rsidRPr="00603B31">
        <w:rPr>
          <w:rFonts w:ascii="Times New Roman" w:hAnsi="Times New Roman" w:cs="Times New Roman"/>
          <w:sz w:val="24"/>
          <w:szCs w:val="24"/>
          <w:lang w:val="en-US"/>
        </w:rPr>
        <w:t xml:space="preserve">Wiser A., Gonen O., Ghetler Y. et al. Addition of dehydroepiandrosterone (DHEA) for poor-responder patients before and during IVF treatment improves the pregnancy rate: A randomized prospective study // Hum. Reprod. – 2010. – Vol. 25, </w:t>
      </w:r>
      <w:r w:rsidRPr="00303FBA">
        <w:rPr>
          <w:rFonts w:ascii="Times New Roman" w:hAnsi="Times New Roman" w:cs="Times New Roman"/>
          <w:sz w:val="24"/>
          <w:szCs w:val="24"/>
          <w:lang w:val="en-US"/>
        </w:rPr>
        <w:t>№10.</w:t>
      </w:r>
    </w:p>
    <w:sectPr w:rsidR="004B543E" w:rsidRPr="00603B31" w:rsidSect="000279E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65" w:rsidRDefault="008B7E65" w:rsidP="00C6524D">
      <w:pPr>
        <w:spacing w:after="0" w:line="240" w:lineRule="auto"/>
      </w:pPr>
      <w:r>
        <w:separator/>
      </w:r>
    </w:p>
  </w:endnote>
  <w:endnote w:type="continuationSeparator" w:id="0">
    <w:p w:rsidR="008B7E65" w:rsidRDefault="008B7E65" w:rsidP="00C6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 New Roman,Bold">
    <w:charset w:val="00"/>
    <w:family w:val="auto"/>
    <w:pitch w:val="variable"/>
    <w:sig w:usb0="00000003" w:usb1="00000000" w:usb2="00000000" w:usb3="00000000" w:csb0="00000001" w:csb1="00000000"/>
  </w:font>
  <w:font w:name="Newton-Regular">
    <w:altName w:val="MS Gothic"/>
    <w:panose1 w:val="00000000000000000000"/>
    <w:charset w:val="80"/>
    <w:family w:val="auto"/>
    <w:notTrueType/>
    <w:pitch w:val="default"/>
    <w:sig w:usb0="00000001"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dvP479F8A">
    <w:altName w:val="Times New Roman"/>
    <w:panose1 w:val="00000000000000000000"/>
    <w:charset w:val="00"/>
    <w:family w:val="roman"/>
    <w:notTrueType/>
    <w:pitch w:val="default"/>
    <w:sig w:usb0="00000003" w:usb1="00000000" w:usb2="00000000" w:usb3="00000000" w:csb0="00000001" w:csb1="00000000"/>
  </w:font>
  <w:font w:name="Newto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662046"/>
      <w:docPartObj>
        <w:docPartGallery w:val="Page Numbers (Bottom of Page)"/>
        <w:docPartUnique/>
      </w:docPartObj>
    </w:sdtPr>
    <w:sdtEndPr/>
    <w:sdtContent>
      <w:p w:rsidR="005D794E" w:rsidRDefault="005D794E">
        <w:pPr>
          <w:pStyle w:val="ad"/>
          <w:jc w:val="right"/>
        </w:pPr>
        <w:r>
          <w:fldChar w:fldCharType="begin"/>
        </w:r>
        <w:r>
          <w:instrText>PAGE   \* MERGEFORMAT</w:instrText>
        </w:r>
        <w:r>
          <w:fldChar w:fldCharType="separate"/>
        </w:r>
        <w:r w:rsidR="008B7E65">
          <w:rPr>
            <w:noProof/>
          </w:rPr>
          <w:t>1</w:t>
        </w:r>
        <w:r>
          <w:rPr>
            <w:noProof/>
          </w:rPr>
          <w:fldChar w:fldCharType="end"/>
        </w:r>
      </w:p>
    </w:sdtContent>
  </w:sdt>
  <w:p w:rsidR="005D794E" w:rsidRDefault="005D79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65" w:rsidRDefault="008B7E65" w:rsidP="00C6524D">
      <w:pPr>
        <w:spacing w:after="0" w:line="240" w:lineRule="auto"/>
      </w:pPr>
      <w:r>
        <w:separator/>
      </w:r>
    </w:p>
  </w:footnote>
  <w:footnote w:type="continuationSeparator" w:id="0">
    <w:p w:rsidR="008B7E65" w:rsidRDefault="008B7E65" w:rsidP="00C6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5B2"/>
    <w:multiLevelType w:val="hybridMultilevel"/>
    <w:tmpl w:val="E924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D3E1C"/>
    <w:multiLevelType w:val="hybridMultilevel"/>
    <w:tmpl w:val="CE4A6F2C"/>
    <w:lvl w:ilvl="0" w:tplc="44A259C0">
      <w:start w:val="1"/>
      <w:numFmt w:val="bullet"/>
      <w:lvlText w:val="•"/>
      <w:lvlJc w:val="left"/>
      <w:pPr>
        <w:tabs>
          <w:tab w:val="num" w:pos="720"/>
        </w:tabs>
        <w:ind w:left="720" w:hanging="360"/>
      </w:pPr>
      <w:rPr>
        <w:rFonts w:ascii="Arial" w:hAnsi="Arial" w:hint="default"/>
      </w:rPr>
    </w:lvl>
    <w:lvl w:ilvl="1" w:tplc="AA54CE18" w:tentative="1">
      <w:start w:val="1"/>
      <w:numFmt w:val="bullet"/>
      <w:lvlText w:val="•"/>
      <w:lvlJc w:val="left"/>
      <w:pPr>
        <w:tabs>
          <w:tab w:val="num" w:pos="1440"/>
        </w:tabs>
        <w:ind w:left="1440" w:hanging="360"/>
      </w:pPr>
      <w:rPr>
        <w:rFonts w:ascii="Arial" w:hAnsi="Arial" w:hint="default"/>
      </w:rPr>
    </w:lvl>
    <w:lvl w:ilvl="2" w:tplc="E6D4FF54" w:tentative="1">
      <w:start w:val="1"/>
      <w:numFmt w:val="bullet"/>
      <w:lvlText w:val="•"/>
      <w:lvlJc w:val="left"/>
      <w:pPr>
        <w:tabs>
          <w:tab w:val="num" w:pos="2160"/>
        </w:tabs>
        <w:ind w:left="2160" w:hanging="360"/>
      </w:pPr>
      <w:rPr>
        <w:rFonts w:ascii="Arial" w:hAnsi="Arial" w:hint="default"/>
      </w:rPr>
    </w:lvl>
    <w:lvl w:ilvl="3" w:tplc="D0FA9DC6" w:tentative="1">
      <w:start w:val="1"/>
      <w:numFmt w:val="bullet"/>
      <w:lvlText w:val="•"/>
      <w:lvlJc w:val="left"/>
      <w:pPr>
        <w:tabs>
          <w:tab w:val="num" w:pos="2880"/>
        </w:tabs>
        <w:ind w:left="2880" w:hanging="360"/>
      </w:pPr>
      <w:rPr>
        <w:rFonts w:ascii="Arial" w:hAnsi="Arial" w:hint="default"/>
      </w:rPr>
    </w:lvl>
    <w:lvl w:ilvl="4" w:tplc="3DF0A96E" w:tentative="1">
      <w:start w:val="1"/>
      <w:numFmt w:val="bullet"/>
      <w:lvlText w:val="•"/>
      <w:lvlJc w:val="left"/>
      <w:pPr>
        <w:tabs>
          <w:tab w:val="num" w:pos="3600"/>
        </w:tabs>
        <w:ind w:left="3600" w:hanging="360"/>
      </w:pPr>
      <w:rPr>
        <w:rFonts w:ascii="Arial" w:hAnsi="Arial" w:hint="default"/>
      </w:rPr>
    </w:lvl>
    <w:lvl w:ilvl="5" w:tplc="92345B96" w:tentative="1">
      <w:start w:val="1"/>
      <w:numFmt w:val="bullet"/>
      <w:lvlText w:val="•"/>
      <w:lvlJc w:val="left"/>
      <w:pPr>
        <w:tabs>
          <w:tab w:val="num" w:pos="4320"/>
        </w:tabs>
        <w:ind w:left="4320" w:hanging="360"/>
      </w:pPr>
      <w:rPr>
        <w:rFonts w:ascii="Arial" w:hAnsi="Arial" w:hint="default"/>
      </w:rPr>
    </w:lvl>
    <w:lvl w:ilvl="6" w:tplc="E8C2F5C4" w:tentative="1">
      <w:start w:val="1"/>
      <w:numFmt w:val="bullet"/>
      <w:lvlText w:val="•"/>
      <w:lvlJc w:val="left"/>
      <w:pPr>
        <w:tabs>
          <w:tab w:val="num" w:pos="5040"/>
        </w:tabs>
        <w:ind w:left="5040" w:hanging="360"/>
      </w:pPr>
      <w:rPr>
        <w:rFonts w:ascii="Arial" w:hAnsi="Arial" w:hint="default"/>
      </w:rPr>
    </w:lvl>
    <w:lvl w:ilvl="7" w:tplc="1820D4AE" w:tentative="1">
      <w:start w:val="1"/>
      <w:numFmt w:val="bullet"/>
      <w:lvlText w:val="•"/>
      <w:lvlJc w:val="left"/>
      <w:pPr>
        <w:tabs>
          <w:tab w:val="num" w:pos="5760"/>
        </w:tabs>
        <w:ind w:left="5760" w:hanging="360"/>
      </w:pPr>
      <w:rPr>
        <w:rFonts w:ascii="Arial" w:hAnsi="Arial" w:hint="default"/>
      </w:rPr>
    </w:lvl>
    <w:lvl w:ilvl="8" w:tplc="B824D50C" w:tentative="1">
      <w:start w:val="1"/>
      <w:numFmt w:val="bullet"/>
      <w:lvlText w:val="•"/>
      <w:lvlJc w:val="left"/>
      <w:pPr>
        <w:tabs>
          <w:tab w:val="num" w:pos="6480"/>
        </w:tabs>
        <w:ind w:left="6480" w:hanging="360"/>
      </w:pPr>
      <w:rPr>
        <w:rFonts w:ascii="Arial" w:hAnsi="Arial" w:hint="default"/>
      </w:rPr>
    </w:lvl>
  </w:abstractNum>
  <w:abstractNum w:abstractNumId="2">
    <w:nsid w:val="07870199"/>
    <w:multiLevelType w:val="hybridMultilevel"/>
    <w:tmpl w:val="F4168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EEB097E"/>
    <w:multiLevelType w:val="hybridMultilevel"/>
    <w:tmpl w:val="4646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A6229"/>
    <w:multiLevelType w:val="hybridMultilevel"/>
    <w:tmpl w:val="276CAFAC"/>
    <w:lvl w:ilvl="0" w:tplc="04190001">
      <w:start w:val="1"/>
      <w:numFmt w:val="bullet"/>
      <w:lvlText w:val=""/>
      <w:lvlJc w:val="left"/>
      <w:pPr>
        <w:tabs>
          <w:tab w:val="num" w:pos="720"/>
        </w:tabs>
        <w:ind w:left="720" w:hanging="360"/>
      </w:pPr>
      <w:rPr>
        <w:rFonts w:ascii="Symbol" w:hAnsi="Symbol" w:hint="default"/>
      </w:rPr>
    </w:lvl>
    <w:lvl w:ilvl="1" w:tplc="AA54CE18" w:tentative="1">
      <w:start w:val="1"/>
      <w:numFmt w:val="bullet"/>
      <w:lvlText w:val="•"/>
      <w:lvlJc w:val="left"/>
      <w:pPr>
        <w:tabs>
          <w:tab w:val="num" w:pos="1440"/>
        </w:tabs>
        <w:ind w:left="1440" w:hanging="360"/>
      </w:pPr>
      <w:rPr>
        <w:rFonts w:ascii="Arial" w:hAnsi="Arial" w:hint="default"/>
      </w:rPr>
    </w:lvl>
    <w:lvl w:ilvl="2" w:tplc="E6D4FF54" w:tentative="1">
      <w:start w:val="1"/>
      <w:numFmt w:val="bullet"/>
      <w:lvlText w:val="•"/>
      <w:lvlJc w:val="left"/>
      <w:pPr>
        <w:tabs>
          <w:tab w:val="num" w:pos="2160"/>
        </w:tabs>
        <w:ind w:left="2160" w:hanging="360"/>
      </w:pPr>
      <w:rPr>
        <w:rFonts w:ascii="Arial" w:hAnsi="Arial" w:hint="default"/>
      </w:rPr>
    </w:lvl>
    <w:lvl w:ilvl="3" w:tplc="D0FA9DC6" w:tentative="1">
      <w:start w:val="1"/>
      <w:numFmt w:val="bullet"/>
      <w:lvlText w:val="•"/>
      <w:lvlJc w:val="left"/>
      <w:pPr>
        <w:tabs>
          <w:tab w:val="num" w:pos="2880"/>
        </w:tabs>
        <w:ind w:left="2880" w:hanging="360"/>
      </w:pPr>
      <w:rPr>
        <w:rFonts w:ascii="Arial" w:hAnsi="Arial" w:hint="default"/>
      </w:rPr>
    </w:lvl>
    <w:lvl w:ilvl="4" w:tplc="3DF0A96E" w:tentative="1">
      <w:start w:val="1"/>
      <w:numFmt w:val="bullet"/>
      <w:lvlText w:val="•"/>
      <w:lvlJc w:val="left"/>
      <w:pPr>
        <w:tabs>
          <w:tab w:val="num" w:pos="3600"/>
        </w:tabs>
        <w:ind w:left="3600" w:hanging="360"/>
      </w:pPr>
      <w:rPr>
        <w:rFonts w:ascii="Arial" w:hAnsi="Arial" w:hint="default"/>
      </w:rPr>
    </w:lvl>
    <w:lvl w:ilvl="5" w:tplc="92345B96" w:tentative="1">
      <w:start w:val="1"/>
      <w:numFmt w:val="bullet"/>
      <w:lvlText w:val="•"/>
      <w:lvlJc w:val="left"/>
      <w:pPr>
        <w:tabs>
          <w:tab w:val="num" w:pos="4320"/>
        </w:tabs>
        <w:ind w:left="4320" w:hanging="360"/>
      </w:pPr>
      <w:rPr>
        <w:rFonts w:ascii="Arial" w:hAnsi="Arial" w:hint="default"/>
      </w:rPr>
    </w:lvl>
    <w:lvl w:ilvl="6" w:tplc="E8C2F5C4" w:tentative="1">
      <w:start w:val="1"/>
      <w:numFmt w:val="bullet"/>
      <w:lvlText w:val="•"/>
      <w:lvlJc w:val="left"/>
      <w:pPr>
        <w:tabs>
          <w:tab w:val="num" w:pos="5040"/>
        </w:tabs>
        <w:ind w:left="5040" w:hanging="360"/>
      </w:pPr>
      <w:rPr>
        <w:rFonts w:ascii="Arial" w:hAnsi="Arial" w:hint="default"/>
      </w:rPr>
    </w:lvl>
    <w:lvl w:ilvl="7" w:tplc="1820D4AE" w:tentative="1">
      <w:start w:val="1"/>
      <w:numFmt w:val="bullet"/>
      <w:lvlText w:val="•"/>
      <w:lvlJc w:val="left"/>
      <w:pPr>
        <w:tabs>
          <w:tab w:val="num" w:pos="5760"/>
        </w:tabs>
        <w:ind w:left="5760" w:hanging="360"/>
      </w:pPr>
      <w:rPr>
        <w:rFonts w:ascii="Arial" w:hAnsi="Arial" w:hint="default"/>
      </w:rPr>
    </w:lvl>
    <w:lvl w:ilvl="8" w:tplc="B824D50C" w:tentative="1">
      <w:start w:val="1"/>
      <w:numFmt w:val="bullet"/>
      <w:lvlText w:val="•"/>
      <w:lvlJc w:val="left"/>
      <w:pPr>
        <w:tabs>
          <w:tab w:val="num" w:pos="6480"/>
        </w:tabs>
        <w:ind w:left="6480" w:hanging="360"/>
      </w:pPr>
      <w:rPr>
        <w:rFonts w:ascii="Arial" w:hAnsi="Arial" w:hint="default"/>
      </w:rPr>
    </w:lvl>
  </w:abstractNum>
  <w:abstractNum w:abstractNumId="5">
    <w:nsid w:val="159A770E"/>
    <w:multiLevelType w:val="hybridMultilevel"/>
    <w:tmpl w:val="FC3E9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F04CF"/>
    <w:multiLevelType w:val="hybridMultilevel"/>
    <w:tmpl w:val="2F7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603B0"/>
    <w:multiLevelType w:val="hybridMultilevel"/>
    <w:tmpl w:val="42E8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404F0"/>
    <w:multiLevelType w:val="hybridMultilevel"/>
    <w:tmpl w:val="417A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F1A55"/>
    <w:multiLevelType w:val="hybridMultilevel"/>
    <w:tmpl w:val="D8BC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82DCC"/>
    <w:multiLevelType w:val="hybridMultilevel"/>
    <w:tmpl w:val="534E402E"/>
    <w:lvl w:ilvl="0" w:tplc="AD808D3E">
      <w:start w:val="1"/>
      <w:numFmt w:val="bullet"/>
      <w:lvlText w:val="•"/>
      <w:lvlJc w:val="left"/>
      <w:pPr>
        <w:tabs>
          <w:tab w:val="num" w:pos="720"/>
        </w:tabs>
        <w:ind w:left="720" w:hanging="360"/>
      </w:pPr>
      <w:rPr>
        <w:rFonts w:ascii="Arial" w:hAnsi="Arial" w:hint="default"/>
      </w:rPr>
    </w:lvl>
    <w:lvl w:ilvl="1" w:tplc="EA7AD43C" w:tentative="1">
      <w:start w:val="1"/>
      <w:numFmt w:val="bullet"/>
      <w:lvlText w:val="•"/>
      <w:lvlJc w:val="left"/>
      <w:pPr>
        <w:tabs>
          <w:tab w:val="num" w:pos="1440"/>
        </w:tabs>
        <w:ind w:left="1440" w:hanging="360"/>
      </w:pPr>
      <w:rPr>
        <w:rFonts w:ascii="Arial" w:hAnsi="Arial" w:hint="default"/>
      </w:rPr>
    </w:lvl>
    <w:lvl w:ilvl="2" w:tplc="B100F8EA" w:tentative="1">
      <w:start w:val="1"/>
      <w:numFmt w:val="bullet"/>
      <w:lvlText w:val="•"/>
      <w:lvlJc w:val="left"/>
      <w:pPr>
        <w:tabs>
          <w:tab w:val="num" w:pos="2160"/>
        </w:tabs>
        <w:ind w:left="2160" w:hanging="360"/>
      </w:pPr>
      <w:rPr>
        <w:rFonts w:ascii="Arial" w:hAnsi="Arial" w:hint="default"/>
      </w:rPr>
    </w:lvl>
    <w:lvl w:ilvl="3" w:tplc="D6B6C360" w:tentative="1">
      <w:start w:val="1"/>
      <w:numFmt w:val="bullet"/>
      <w:lvlText w:val="•"/>
      <w:lvlJc w:val="left"/>
      <w:pPr>
        <w:tabs>
          <w:tab w:val="num" w:pos="2880"/>
        </w:tabs>
        <w:ind w:left="2880" w:hanging="360"/>
      </w:pPr>
      <w:rPr>
        <w:rFonts w:ascii="Arial" w:hAnsi="Arial" w:hint="default"/>
      </w:rPr>
    </w:lvl>
    <w:lvl w:ilvl="4" w:tplc="D10C5776" w:tentative="1">
      <w:start w:val="1"/>
      <w:numFmt w:val="bullet"/>
      <w:lvlText w:val="•"/>
      <w:lvlJc w:val="left"/>
      <w:pPr>
        <w:tabs>
          <w:tab w:val="num" w:pos="3600"/>
        </w:tabs>
        <w:ind w:left="3600" w:hanging="360"/>
      </w:pPr>
      <w:rPr>
        <w:rFonts w:ascii="Arial" w:hAnsi="Arial" w:hint="default"/>
      </w:rPr>
    </w:lvl>
    <w:lvl w:ilvl="5" w:tplc="BBEAA48C" w:tentative="1">
      <w:start w:val="1"/>
      <w:numFmt w:val="bullet"/>
      <w:lvlText w:val="•"/>
      <w:lvlJc w:val="left"/>
      <w:pPr>
        <w:tabs>
          <w:tab w:val="num" w:pos="4320"/>
        </w:tabs>
        <w:ind w:left="4320" w:hanging="360"/>
      </w:pPr>
      <w:rPr>
        <w:rFonts w:ascii="Arial" w:hAnsi="Arial" w:hint="default"/>
      </w:rPr>
    </w:lvl>
    <w:lvl w:ilvl="6" w:tplc="29F2AF48" w:tentative="1">
      <w:start w:val="1"/>
      <w:numFmt w:val="bullet"/>
      <w:lvlText w:val="•"/>
      <w:lvlJc w:val="left"/>
      <w:pPr>
        <w:tabs>
          <w:tab w:val="num" w:pos="5040"/>
        </w:tabs>
        <w:ind w:left="5040" w:hanging="360"/>
      </w:pPr>
      <w:rPr>
        <w:rFonts w:ascii="Arial" w:hAnsi="Arial" w:hint="default"/>
      </w:rPr>
    </w:lvl>
    <w:lvl w:ilvl="7" w:tplc="E702B8D8" w:tentative="1">
      <w:start w:val="1"/>
      <w:numFmt w:val="bullet"/>
      <w:lvlText w:val="•"/>
      <w:lvlJc w:val="left"/>
      <w:pPr>
        <w:tabs>
          <w:tab w:val="num" w:pos="5760"/>
        </w:tabs>
        <w:ind w:left="5760" w:hanging="360"/>
      </w:pPr>
      <w:rPr>
        <w:rFonts w:ascii="Arial" w:hAnsi="Arial" w:hint="default"/>
      </w:rPr>
    </w:lvl>
    <w:lvl w:ilvl="8" w:tplc="E0103FA2" w:tentative="1">
      <w:start w:val="1"/>
      <w:numFmt w:val="bullet"/>
      <w:lvlText w:val="•"/>
      <w:lvlJc w:val="left"/>
      <w:pPr>
        <w:tabs>
          <w:tab w:val="num" w:pos="6480"/>
        </w:tabs>
        <w:ind w:left="6480" w:hanging="360"/>
      </w:pPr>
      <w:rPr>
        <w:rFonts w:ascii="Arial" w:hAnsi="Arial" w:hint="default"/>
      </w:rPr>
    </w:lvl>
  </w:abstractNum>
  <w:abstractNum w:abstractNumId="11">
    <w:nsid w:val="1F857980"/>
    <w:multiLevelType w:val="hybridMultilevel"/>
    <w:tmpl w:val="11DC7724"/>
    <w:lvl w:ilvl="0" w:tplc="309657FA">
      <w:start w:val="1"/>
      <w:numFmt w:val="bullet"/>
      <w:lvlText w:val="•"/>
      <w:lvlJc w:val="left"/>
      <w:pPr>
        <w:tabs>
          <w:tab w:val="num" w:pos="720"/>
        </w:tabs>
        <w:ind w:left="720" w:hanging="360"/>
      </w:pPr>
      <w:rPr>
        <w:rFonts w:ascii="Arial" w:hAnsi="Arial" w:hint="default"/>
      </w:rPr>
    </w:lvl>
    <w:lvl w:ilvl="1" w:tplc="834EEC60" w:tentative="1">
      <w:start w:val="1"/>
      <w:numFmt w:val="bullet"/>
      <w:lvlText w:val="•"/>
      <w:lvlJc w:val="left"/>
      <w:pPr>
        <w:tabs>
          <w:tab w:val="num" w:pos="1440"/>
        </w:tabs>
        <w:ind w:left="1440" w:hanging="360"/>
      </w:pPr>
      <w:rPr>
        <w:rFonts w:ascii="Arial" w:hAnsi="Arial" w:hint="default"/>
      </w:rPr>
    </w:lvl>
    <w:lvl w:ilvl="2" w:tplc="B12C608A" w:tentative="1">
      <w:start w:val="1"/>
      <w:numFmt w:val="bullet"/>
      <w:lvlText w:val="•"/>
      <w:lvlJc w:val="left"/>
      <w:pPr>
        <w:tabs>
          <w:tab w:val="num" w:pos="2160"/>
        </w:tabs>
        <w:ind w:left="2160" w:hanging="360"/>
      </w:pPr>
      <w:rPr>
        <w:rFonts w:ascii="Arial" w:hAnsi="Arial" w:hint="default"/>
      </w:rPr>
    </w:lvl>
    <w:lvl w:ilvl="3" w:tplc="FA564EE0" w:tentative="1">
      <w:start w:val="1"/>
      <w:numFmt w:val="bullet"/>
      <w:lvlText w:val="•"/>
      <w:lvlJc w:val="left"/>
      <w:pPr>
        <w:tabs>
          <w:tab w:val="num" w:pos="2880"/>
        </w:tabs>
        <w:ind w:left="2880" w:hanging="360"/>
      </w:pPr>
      <w:rPr>
        <w:rFonts w:ascii="Arial" w:hAnsi="Arial" w:hint="default"/>
      </w:rPr>
    </w:lvl>
    <w:lvl w:ilvl="4" w:tplc="4266942C" w:tentative="1">
      <w:start w:val="1"/>
      <w:numFmt w:val="bullet"/>
      <w:lvlText w:val="•"/>
      <w:lvlJc w:val="left"/>
      <w:pPr>
        <w:tabs>
          <w:tab w:val="num" w:pos="3600"/>
        </w:tabs>
        <w:ind w:left="3600" w:hanging="360"/>
      </w:pPr>
      <w:rPr>
        <w:rFonts w:ascii="Arial" w:hAnsi="Arial" w:hint="default"/>
      </w:rPr>
    </w:lvl>
    <w:lvl w:ilvl="5" w:tplc="EE3AF0B4" w:tentative="1">
      <w:start w:val="1"/>
      <w:numFmt w:val="bullet"/>
      <w:lvlText w:val="•"/>
      <w:lvlJc w:val="left"/>
      <w:pPr>
        <w:tabs>
          <w:tab w:val="num" w:pos="4320"/>
        </w:tabs>
        <w:ind w:left="4320" w:hanging="360"/>
      </w:pPr>
      <w:rPr>
        <w:rFonts w:ascii="Arial" w:hAnsi="Arial" w:hint="default"/>
      </w:rPr>
    </w:lvl>
    <w:lvl w:ilvl="6" w:tplc="F1A603B0" w:tentative="1">
      <w:start w:val="1"/>
      <w:numFmt w:val="bullet"/>
      <w:lvlText w:val="•"/>
      <w:lvlJc w:val="left"/>
      <w:pPr>
        <w:tabs>
          <w:tab w:val="num" w:pos="5040"/>
        </w:tabs>
        <w:ind w:left="5040" w:hanging="360"/>
      </w:pPr>
      <w:rPr>
        <w:rFonts w:ascii="Arial" w:hAnsi="Arial" w:hint="default"/>
      </w:rPr>
    </w:lvl>
    <w:lvl w:ilvl="7" w:tplc="AF18CD42" w:tentative="1">
      <w:start w:val="1"/>
      <w:numFmt w:val="bullet"/>
      <w:lvlText w:val="•"/>
      <w:lvlJc w:val="left"/>
      <w:pPr>
        <w:tabs>
          <w:tab w:val="num" w:pos="5760"/>
        </w:tabs>
        <w:ind w:left="5760" w:hanging="360"/>
      </w:pPr>
      <w:rPr>
        <w:rFonts w:ascii="Arial" w:hAnsi="Arial" w:hint="default"/>
      </w:rPr>
    </w:lvl>
    <w:lvl w:ilvl="8" w:tplc="1A082060" w:tentative="1">
      <w:start w:val="1"/>
      <w:numFmt w:val="bullet"/>
      <w:lvlText w:val="•"/>
      <w:lvlJc w:val="left"/>
      <w:pPr>
        <w:tabs>
          <w:tab w:val="num" w:pos="6480"/>
        </w:tabs>
        <w:ind w:left="6480" w:hanging="360"/>
      </w:pPr>
      <w:rPr>
        <w:rFonts w:ascii="Arial" w:hAnsi="Arial" w:hint="default"/>
      </w:rPr>
    </w:lvl>
  </w:abstractNum>
  <w:abstractNum w:abstractNumId="12">
    <w:nsid w:val="21405E02"/>
    <w:multiLevelType w:val="hybridMultilevel"/>
    <w:tmpl w:val="37F8B044"/>
    <w:lvl w:ilvl="0" w:tplc="F44C933E">
      <w:numFmt w:val="bullet"/>
      <w:lvlText w:val=""/>
      <w:lvlJc w:val="left"/>
      <w:pPr>
        <w:ind w:left="1080" w:hanging="360"/>
      </w:pPr>
      <w:rPr>
        <w:rFonts w:ascii="Wingdings" w:eastAsiaTheme="minorEastAsia"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5E743A"/>
    <w:multiLevelType w:val="multilevel"/>
    <w:tmpl w:val="3378CFC6"/>
    <w:lvl w:ilvl="0">
      <w:start w:val="1"/>
      <w:numFmt w:val="decimal"/>
      <w:lvlText w:val="%1."/>
      <w:lvlJc w:val="left"/>
      <w:pPr>
        <w:ind w:left="1065" w:hanging="360"/>
      </w:pPr>
      <w:rPr>
        <w:rFonts w:ascii="Times New Roman" w:eastAsiaTheme="minorEastAsia"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nsid w:val="278C5DDF"/>
    <w:multiLevelType w:val="hybridMultilevel"/>
    <w:tmpl w:val="1884BF8E"/>
    <w:lvl w:ilvl="0" w:tplc="C9486FDE">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8776D"/>
    <w:multiLevelType w:val="hybridMultilevel"/>
    <w:tmpl w:val="A0B0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D7E1B"/>
    <w:multiLevelType w:val="hybridMultilevel"/>
    <w:tmpl w:val="70284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14DFE"/>
    <w:multiLevelType w:val="hybridMultilevel"/>
    <w:tmpl w:val="AB2E9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F69C4"/>
    <w:multiLevelType w:val="hybridMultilevel"/>
    <w:tmpl w:val="AE6C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564D8"/>
    <w:multiLevelType w:val="hybridMultilevel"/>
    <w:tmpl w:val="3CA84500"/>
    <w:lvl w:ilvl="0" w:tplc="D794C878">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531263"/>
    <w:multiLevelType w:val="hybridMultilevel"/>
    <w:tmpl w:val="11F69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583D64"/>
    <w:multiLevelType w:val="hybridMultilevel"/>
    <w:tmpl w:val="B860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A61D5"/>
    <w:multiLevelType w:val="hybridMultilevel"/>
    <w:tmpl w:val="07048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37A9D"/>
    <w:multiLevelType w:val="hybridMultilevel"/>
    <w:tmpl w:val="56CE9A78"/>
    <w:lvl w:ilvl="0" w:tplc="6EBCB5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F3DB2"/>
    <w:multiLevelType w:val="hybridMultilevel"/>
    <w:tmpl w:val="1ED8C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E6127"/>
    <w:multiLevelType w:val="hybridMultilevel"/>
    <w:tmpl w:val="B75E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E3FB7"/>
    <w:multiLevelType w:val="hybridMultilevel"/>
    <w:tmpl w:val="272AC652"/>
    <w:lvl w:ilvl="0" w:tplc="EDEC1FEE">
      <w:start w:val="1"/>
      <w:numFmt w:val="bullet"/>
      <w:lvlText w:val="•"/>
      <w:lvlJc w:val="left"/>
      <w:pPr>
        <w:tabs>
          <w:tab w:val="num" w:pos="720"/>
        </w:tabs>
        <w:ind w:left="720" w:hanging="360"/>
      </w:pPr>
      <w:rPr>
        <w:rFonts w:ascii="Arial" w:hAnsi="Arial" w:hint="default"/>
      </w:rPr>
    </w:lvl>
    <w:lvl w:ilvl="1" w:tplc="399ED256" w:tentative="1">
      <w:start w:val="1"/>
      <w:numFmt w:val="bullet"/>
      <w:lvlText w:val="•"/>
      <w:lvlJc w:val="left"/>
      <w:pPr>
        <w:tabs>
          <w:tab w:val="num" w:pos="1440"/>
        </w:tabs>
        <w:ind w:left="1440" w:hanging="360"/>
      </w:pPr>
      <w:rPr>
        <w:rFonts w:ascii="Arial" w:hAnsi="Arial" w:hint="default"/>
      </w:rPr>
    </w:lvl>
    <w:lvl w:ilvl="2" w:tplc="C924E590" w:tentative="1">
      <w:start w:val="1"/>
      <w:numFmt w:val="bullet"/>
      <w:lvlText w:val="•"/>
      <w:lvlJc w:val="left"/>
      <w:pPr>
        <w:tabs>
          <w:tab w:val="num" w:pos="2160"/>
        </w:tabs>
        <w:ind w:left="2160" w:hanging="360"/>
      </w:pPr>
      <w:rPr>
        <w:rFonts w:ascii="Arial" w:hAnsi="Arial" w:hint="default"/>
      </w:rPr>
    </w:lvl>
    <w:lvl w:ilvl="3" w:tplc="74DA60B6" w:tentative="1">
      <w:start w:val="1"/>
      <w:numFmt w:val="bullet"/>
      <w:lvlText w:val="•"/>
      <w:lvlJc w:val="left"/>
      <w:pPr>
        <w:tabs>
          <w:tab w:val="num" w:pos="2880"/>
        </w:tabs>
        <w:ind w:left="2880" w:hanging="360"/>
      </w:pPr>
      <w:rPr>
        <w:rFonts w:ascii="Arial" w:hAnsi="Arial" w:hint="default"/>
      </w:rPr>
    </w:lvl>
    <w:lvl w:ilvl="4" w:tplc="90CEB626" w:tentative="1">
      <w:start w:val="1"/>
      <w:numFmt w:val="bullet"/>
      <w:lvlText w:val="•"/>
      <w:lvlJc w:val="left"/>
      <w:pPr>
        <w:tabs>
          <w:tab w:val="num" w:pos="3600"/>
        </w:tabs>
        <w:ind w:left="3600" w:hanging="360"/>
      </w:pPr>
      <w:rPr>
        <w:rFonts w:ascii="Arial" w:hAnsi="Arial" w:hint="default"/>
      </w:rPr>
    </w:lvl>
    <w:lvl w:ilvl="5" w:tplc="64C2E9E2" w:tentative="1">
      <w:start w:val="1"/>
      <w:numFmt w:val="bullet"/>
      <w:lvlText w:val="•"/>
      <w:lvlJc w:val="left"/>
      <w:pPr>
        <w:tabs>
          <w:tab w:val="num" w:pos="4320"/>
        </w:tabs>
        <w:ind w:left="4320" w:hanging="360"/>
      </w:pPr>
      <w:rPr>
        <w:rFonts w:ascii="Arial" w:hAnsi="Arial" w:hint="default"/>
      </w:rPr>
    </w:lvl>
    <w:lvl w:ilvl="6" w:tplc="27A66072" w:tentative="1">
      <w:start w:val="1"/>
      <w:numFmt w:val="bullet"/>
      <w:lvlText w:val="•"/>
      <w:lvlJc w:val="left"/>
      <w:pPr>
        <w:tabs>
          <w:tab w:val="num" w:pos="5040"/>
        </w:tabs>
        <w:ind w:left="5040" w:hanging="360"/>
      </w:pPr>
      <w:rPr>
        <w:rFonts w:ascii="Arial" w:hAnsi="Arial" w:hint="default"/>
      </w:rPr>
    </w:lvl>
    <w:lvl w:ilvl="7" w:tplc="834EB7A0" w:tentative="1">
      <w:start w:val="1"/>
      <w:numFmt w:val="bullet"/>
      <w:lvlText w:val="•"/>
      <w:lvlJc w:val="left"/>
      <w:pPr>
        <w:tabs>
          <w:tab w:val="num" w:pos="5760"/>
        </w:tabs>
        <w:ind w:left="5760" w:hanging="360"/>
      </w:pPr>
      <w:rPr>
        <w:rFonts w:ascii="Arial" w:hAnsi="Arial" w:hint="default"/>
      </w:rPr>
    </w:lvl>
    <w:lvl w:ilvl="8" w:tplc="1820C910" w:tentative="1">
      <w:start w:val="1"/>
      <w:numFmt w:val="bullet"/>
      <w:lvlText w:val="•"/>
      <w:lvlJc w:val="left"/>
      <w:pPr>
        <w:tabs>
          <w:tab w:val="num" w:pos="6480"/>
        </w:tabs>
        <w:ind w:left="6480" w:hanging="360"/>
      </w:pPr>
      <w:rPr>
        <w:rFonts w:ascii="Arial" w:hAnsi="Arial" w:hint="default"/>
      </w:rPr>
    </w:lvl>
  </w:abstractNum>
  <w:abstractNum w:abstractNumId="27">
    <w:nsid w:val="4826158B"/>
    <w:multiLevelType w:val="hybridMultilevel"/>
    <w:tmpl w:val="9CF0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304335"/>
    <w:multiLevelType w:val="hybridMultilevel"/>
    <w:tmpl w:val="F57EA5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BAF2C8A"/>
    <w:multiLevelType w:val="hybridMultilevel"/>
    <w:tmpl w:val="EA38F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BD470F"/>
    <w:multiLevelType w:val="hybridMultilevel"/>
    <w:tmpl w:val="B61E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6032E3"/>
    <w:multiLevelType w:val="hybridMultilevel"/>
    <w:tmpl w:val="ED1AAC1A"/>
    <w:lvl w:ilvl="0" w:tplc="0E541ED2">
      <w:start w:val="1"/>
      <w:numFmt w:val="bullet"/>
      <w:lvlText w:val="•"/>
      <w:lvlJc w:val="left"/>
      <w:pPr>
        <w:tabs>
          <w:tab w:val="num" w:pos="720"/>
        </w:tabs>
        <w:ind w:left="720" w:hanging="360"/>
      </w:pPr>
      <w:rPr>
        <w:rFonts w:ascii="Arial" w:hAnsi="Arial" w:hint="default"/>
      </w:rPr>
    </w:lvl>
    <w:lvl w:ilvl="1" w:tplc="B8E24432" w:tentative="1">
      <w:start w:val="1"/>
      <w:numFmt w:val="bullet"/>
      <w:lvlText w:val="•"/>
      <w:lvlJc w:val="left"/>
      <w:pPr>
        <w:tabs>
          <w:tab w:val="num" w:pos="1440"/>
        </w:tabs>
        <w:ind w:left="1440" w:hanging="360"/>
      </w:pPr>
      <w:rPr>
        <w:rFonts w:ascii="Arial" w:hAnsi="Arial" w:hint="default"/>
      </w:rPr>
    </w:lvl>
    <w:lvl w:ilvl="2" w:tplc="8F5430AE" w:tentative="1">
      <w:start w:val="1"/>
      <w:numFmt w:val="bullet"/>
      <w:lvlText w:val="•"/>
      <w:lvlJc w:val="left"/>
      <w:pPr>
        <w:tabs>
          <w:tab w:val="num" w:pos="2160"/>
        </w:tabs>
        <w:ind w:left="2160" w:hanging="360"/>
      </w:pPr>
      <w:rPr>
        <w:rFonts w:ascii="Arial" w:hAnsi="Arial" w:hint="default"/>
      </w:rPr>
    </w:lvl>
    <w:lvl w:ilvl="3" w:tplc="F9F61C7A" w:tentative="1">
      <w:start w:val="1"/>
      <w:numFmt w:val="bullet"/>
      <w:lvlText w:val="•"/>
      <w:lvlJc w:val="left"/>
      <w:pPr>
        <w:tabs>
          <w:tab w:val="num" w:pos="2880"/>
        </w:tabs>
        <w:ind w:left="2880" w:hanging="360"/>
      </w:pPr>
      <w:rPr>
        <w:rFonts w:ascii="Arial" w:hAnsi="Arial" w:hint="default"/>
      </w:rPr>
    </w:lvl>
    <w:lvl w:ilvl="4" w:tplc="B79ECE86" w:tentative="1">
      <w:start w:val="1"/>
      <w:numFmt w:val="bullet"/>
      <w:lvlText w:val="•"/>
      <w:lvlJc w:val="left"/>
      <w:pPr>
        <w:tabs>
          <w:tab w:val="num" w:pos="3600"/>
        </w:tabs>
        <w:ind w:left="3600" w:hanging="360"/>
      </w:pPr>
      <w:rPr>
        <w:rFonts w:ascii="Arial" w:hAnsi="Arial" w:hint="default"/>
      </w:rPr>
    </w:lvl>
    <w:lvl w:ilvl="5" w:tplc="64CE9BA0" w:tentative="1">
      <w:start w:val="1"/>
      <w:numFmt w:val="bullet"/>
      <w:lvlText w:val="•"/>
      <w:lvlJc w:val="left"/>
      <w:pPr>
        <w:tabs>
          <w:tab w:val="num" w:pos="4320"/>
        </w:tabs>
        <w:ind w:left="4320" w:hanging="360"/>
      </w:pPr>
      <w:rPr>
        <w:rFonts w:ascii="Arial" w:hAnsi="Arial" w:hint="default"/>
      </w:rPr>
    </w:lvl>
    <w:lvl w:ilvl="6" w:tplc="CA8262DC" w:tentative="1">
      <w:start w:val="1"/>
      <w:numFmt w:val="bullet"/>
      <w:lvlText w:val="•"/>
      <w:lvlJc w:val="left"/>
      <w:pPr>
        <w:tabs>
          <w:tab w:val="num" w:pos="5040"/>
        </w:tabs>
        <w:ind w:left="5040" w:hanging="360"/>
      </w:pPr>
      <w:rPr>
        <w:rFonts w:ascii="Arial" w:hAnsi="Arial" w:hint="default"/>
      </w:rPr>
    </w:lvl>
    <w:lvl w:ilvl="7" w:tplc="F8927CE2" w:tentative="1">
      <w:start w:val="1"/>
      <w:numFmt w:val="bullet"/>
      <w:lvlText w:val="•"/>
      <w:lvlJc w:val="left"/>
      <w:pPr>
        <w:tabs>
          <w:tab w:val="num" w:pos="5760"/>
        </w:tabs>
        <w:ind w:left="5760" w:hanging="360"/>
      </w:pPr>
      <w:rPr>
        <w:rFonts w:ascii="Arial" w:hAnsi="Arial" w:hint="default"/>
      </w:rPr>
    </w:lvl>
    <w:lvl w:ilvl="8" w:tplc="5BF8A9CC" w:tentative="1">
      <w:start w:val="1"/>
      <w:numFmt w:val="bullet"/>
      <w:lvlText w:val="•"/>
      <w:lvlJc w:val="left"/>
      <w:pPr>
        <w:tabs>
          <w:tab w:val="num" w:pos="6480"/>
        </w:tabs>
        <w:ind w:left="6480" w:hanging="360"/>
      </w:pPr>
      <w:rPr>
        <w:rFonts w:ascii="Arial" w:hAnsi="Arial" w:hint="default"/>
      </w:rPr>
    </w:lvl>
  </w:abstractNum>
  <w:abstractNum w:abstractNumId="32">
    <w:nsid w:val="4DF74C34"/>
    <w:multiLevelType w:val="hybridMultilevel"/>
    <w:tmpl w:val="7458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A677E1"/>
    <w:multiLevelType w:val="hybridMultilevel"/>
    <w:tmpl w:val="C114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183626"/>
    <w:multiLevelType w:val="hybridMultilevel"/>
    <w:tmpl w:val="386866CE"/>
    <w:lvl w:ilvl="0" w:tplc="8B28EE82">
      <w:start w:val="1"/>
      <w:numFmt w:val="bullet"/>
      <w:lvlText w:val="•"/>
      <w:lvlJc w:val="left"/>
      <w:pPr>
        <w:tabs>
          <w:tab w:val="num" w:pos="720"/>
        </w:tabs>
        <w:ind w:left="720" w:hanging="360"/>
      </w:pPr>
      <w:rPr>
        <w:rFonts w:ascii="Arial" w:hAnsi="Arial" w:hint="default"/>
      </w:rPr>
    </w:lvl>
    <w:lvl w:ilvl="1" w:tplc="74E02FF4" w:tentative="1">
      <w:start w:val="1"/>
      <w:numFmt w:val="bullet"/>
      <w:lvlText w:val="•"/>
      <w:lvlJc w:val="left"/>
      <w:pPr>
        <w:tabs>
          <w:tab w:val="num" w:pos="1440"/>
        </w:tabs>
        <w:ind w:left="1440" w:hanging="360"/>
      </w:pPr>
      <w:rPr>
        <w:rFonts w:ascii="Arial" w:hAnsi="Arial" w:hint="default"/>
      </w:rPr>
    </w:lvl>
    <w:lvl w:ilvl="2" w:tplc="2D9AF988" w:tentative="1">
      <w:start w:val="1"/>
      <w:numFmt w:val="bullet"/>
      <w:lvlText w:val="•"/>
      <w:lvlJc w:val="left"/>
      <w:pPr>
        <w:tabs>
          <w:tab w:val="num" w:pos="2160"/>
        </w:tabs>
        <w:ind w:left="2160" w:hanging="360"/>
      </w:pPr>
      <w:rPr>
        <w:rFonts w:ascii="Arial" w:hAnsi="Arial" w:hint="default"/>
      </w:rPr>
    </w:lvl>
    <w:lvl w:ilvl="3" w:tplc="6938200A" w:tentative="1">
      <w:start w:val="1"/>
      <w:numFmt w:val="bullet"/>
      <w:lvlText w:val="•"/>
      <w:lvlJc w:val="left"/>
      <w:pPr>
        <w:tabs>
          <w:tab w:val="num" w:pos="2880"/>
        </w:tabs>
        <w:ind w:left="2880" w:hanging="360"/>
      </w:pPr>
      <w:rPr>
        <w:rFonts w:ascii="Arial" w:hAnsi="Arial" w:hint="default"/>
      </w:rPr>
    </w:lvl>
    <w:lvl w:ilvl="4" w:tplc="636CC3CE" w:tentative="1">
      <w:start w:val="1"/>
      <w:numFmt w:val="bullet"/>
      <w:lvlText w:val="•"/>
      <w:lvlJc w:val="left"/>
      <w:pPr>
        <w:tabs>
          <w:tab w:val="num" w:pos="3600"/>
        </w:tabs>
        <w:ind w:left="3600" w:hanging="360"/>
      </w:pPr>
      <w:rPr>
        <w:rFonts w:ascii="Arial" w:hAnsi="Arial" w:hint="default"/>
      </w:rPr>
    </w:lvl>
    <w:lvl w:ilvl="5" w:tplc="4942C02E" w:tentative="1">
      <w:start w:val="1"/>
      <w:numFmt w:val="bullet"/>
      <w:lvlText w:val="•"/>
      <w:lvlJc w:val="left"/>
      <w:pPr>
        <w:tabs>
          <w:tab w:val="num" w:pos="4320"/>
        </w:tabs>
        <w:ind w:left="4320" w:hanging="360"/>
      </w:pPr>
      <w:rPr>
        <w:rFonts w:ascii="Arial" w:hAnsi="Arial" w:hint="default"/>
      </w:rPr>
    </w:lvl>
    <w:lvl w:ilvl="6" w:tplc="4C48D72E" w:tentative="1">
      <w:start w:val="1"/>
      <w:numFmt w:val="bullet"/>
      <w:lvlText w:val="•"/>
      <w:lvlJc w:val="left"/>
      <w:pPr>
        <w:tabs>
          <w:tab w:val="num" w:pos="5040"/>
        </w:tabs>
        <w:ind w:left="5040" w:hanging="360"/>
      </w:pPr>
      <w:rPr>
        <w:rFonts w:ascii="Arial" w:hAnsi="Arial" w:hint="default"/>
      </w:rPr>
    </w:lvl>
    <w:lvl w:ilvl="7" w:tplc="9A0679D2" w:tentative="1">
      <w:start w:val="1"/>
      <w:numFmt w:val="bullet"/>
      <w:lvlText w:val="•"/>
      <w:lvlJc w:val="left"/>
      <w:pPr>
        <w:tabs>
          <w:tab w:val="num" w:pos="5760"/>
        </w:tabs>
        <w:ind w:left="5760" w:hanging="360"/>
      </w:pPr>
      <w:rPr>
        <w:rFonts w:ascii="Arial" w:hAnsi="Arial" w:hint="default"/>
      </w:rPr>
    </w:lvl>
    <w:lvl w:ilvl="8" w:tplc="EE50373A" w:tentative="1">
      <w:start w:val="1"/>
      <w:numFmt w:val="bullet"/>
      <w:lvlText w:val="•"/>
      <w:lvlJc w:val="left"/>
      <w:pPr>
        <w:tabs>
          <w:tab w:val="num" w:pos="6480"/>
        </w:tabs>
        <w:ind w:left="6480" w:hanging="360"/>
      </w:pPr>
      <w:rPr>
        <w:rFonts w:ascii="Arial" w:hAnsi="Arial" w:hint="default"/>
      </w:rPr>
    </w:lvl>
  </w:abstractNum>
  <w:abstractNum w:abstractNumId="35">
    <w:nsid w:val="5EEB1755"/>
    <w:multiLevelType w:val="hybridMultilevel"/>
    <w:tmpl w:val="0206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43C79"/>
    <w:multiLevelType w:val="hybridMultilevel"/>
    <w:tmpl w:val="5F0E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344E4B"/>
    <w:multiLevelType w:val="hybridMultilevel"/>
    <w:tmpl w:val="AAEA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57E7F"/>
    <w:multiLevelType w:val="hybridMultilevel"/>
    <w:tmpl w:val="AF5001B4"/>
    <w:lvl w:ilvl="0" w:tplc="6EBCB5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3338E"/>
    <w:multiLevelType w:val="hybridMultilevel"/>
    <w:tmpl w:val="4588D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D6DBC"/>
    <w:multiLevelType w:val="hybridMultilevel"/>
    <w:tmpl w:val="9332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606C49"/>
    <w:multiLevelType w:val="hybridMultilevel"/>
    <w:tmpl w:val="EAC67662"/>
    <w:lvl w:ilvl="0" w:tplc="F36636EC">
      <w:start w:val="1"/>
      <w:numFmt w:val="bullet"/>
      <w:lvlText w:val="•"/>
      <w:lvlJc w:val="left"/>
      <w:pPr>
        <w:tabs>
          <w:tab w:val="num" w:pos="720"/>
        </w:tabs>
        <w:ind w:left="720" w:hanging="360"/>
      </w:pPr>
      <w:rPr>
        <w:rFonts w:ascii="Arial" w:hAnsi="Arial" w:hint="default"/>
      </w:rPr>
    </w:lvl>
    <w:lvl w:ilvl="1" w:tplc="4E940C54" w:tentative="1">
      <w:start w:val="1"/>
      <w:numFmt w:val="bullet"/>
      <w:lvlText w:val="•"/>
      <w:lvlJc w:val="left"/>
      <w:pPr>
        <w:tabs>
          <w:tab w:val="num" w:pos="1440"/>
        </w:tabs>
        <w:ind w:left="1440" w:hanging="360"/>
      </w:pPr>
      <w:rPr>
        <w:rFonts w:ascii="Arial" w:hAnsi="Arial" w:hint="default"/>
      </w:rPr>
    </w:lvl>
    <w:lvl w:ilvl="2" w:tplc="2E12C3D0" w:tentative="1">
      <w:start w:val="1"/>
      <w:numFmt w:val="bullet"/>
      <w:lvlText w:val="•"/>
      <w:lvlJc w:val="left"/>
      <w:pPr>
        <w:tabs>
          <w:tab w:val="num" w:pos="2160"/>
        </w:tabs>
        <w:ind w:left="2160" w:hanging="360"/>
      </w:pPr>
      <w:rPr>
        <w:rFonts w:ascii="Arial" w:hAnsi="Arial" w:hint="default"/>
      </w:rPr>
    </w:lvl>
    <w:lvl w:ilvl="3" w:tplc="87D21342" w:tentative="1">
      <w:start w:val="1"/>
      <w:numFmt w:val="bullet"/>
      <w:lvlText w:val="•"/>
      <w:lvlJc w:val="left"/>
      <w:pPr>
        <w:tabs>
          <w:tab w:val="num" w:pos="2880"/>
        </w:tabs>
        <w:ind w:left="2880" w:hanging="360"/>
      </w:pPr>
      <w:rPr>
        <w:rFonts w:ascii="Arial" w:hAnsi="Arial" w:hint="default"/>
      </w:rPr>
    </w:lvl>
    <w:lvl w:ilvl="4" w:tplc="2BC8130A" w:tentative="1">
      <w:start w:val="1"/>
      <w:numFmt w:val="bullet"/>
      <w:lvlText w:val="•"/>
      <w:lvlJc w:val="left"/>
      <w:pPr>
        <w:tabs>
          <w:tab w:val="num" w:pos="3600"/>
        </w:tabs>
        <w:ind w:left="3600" w:hanging="360"/>
      </w:pPr>
      <w:rPr>
        <w:rFonts w:ascii="Arial" w:hAnsi="Arial" w:hint="default"/>
      </w:rPr>
    </w:lvl>
    <w:lvl w:ilvl="5" w:tplc="B0FAF598" w:tentative="1">
      <w:start w:val="1"/>
      <w:numFmt w:val="bullet"/>
      <w:lvlText w:val="•"/>
      <w:lvlJc w:val="left"/>
      <w:pPr>
        <w:tabs>
          <w:tab w:val="num" w:pos="4320"/>
        </w:tabs>
        <w:ind w:left="4320" w:hanging="360"/>
      </w:pPr>
      <w:rPr>
        <w:rFonts w:ascii="Arial" w:hAnsi="Arial" w:hint="default"/>
      </w:rPr>
    </w:lvl>
    <w:lvl w:ilvl="6" w:tplc="897E4164" w:tentative="1">
      <w:start w:val="1"/>
      <w:numFmt w:val="bullet"/>
      <w:lvlText w:val="•"/>
      <w:lvlJc w:val="left"/>
      <w:pPr>
        <w:tabs>
          <w:tab w:val="num" w:pos="5040"/>
        </w:tabs>
        <w:ind w:left="5040" w:hanging="360"/>
      </w:pPr>
      <w:rPr>
        <w:rFonts w:ascii="Arial" w:hAnsi="Arial" w:hint="default"/>
      </w:rPr>
    </w:lvl>
    <w:lvl w:ilvl="7" w:tplc="F39675B0" w:tentative="1">
      <w:start w:val="1"/>
      <w:numFmt w:val="bullet"/>
      <w:lvlText w:val="•"/>
      <w:lvlJc w:val="left"/>
      <w:pPr>
        <w:tabs>
          <w:tab w:val="num" w:pos="5760"/>
        </w:tabs>
        <w:ind w:left="5760" w:hanging="360"/>
      </w:pPr>
      <w:rPr>
        <w:rFonts w:ascii="Arial" w:hAnsi="Arial" w:hint="default"/>
      </w:rPr>
    </w:lvl>
    <w:lvl w:ilvl="8" w:tplc="635E6FDE" w:tentative="1">
      <w:start w:val="1"/>
      <w:numFmt w:val="bullet"/>
      <w:lvlText w:val="•"/>
      <w:lvlJc w:val="left"/>
      <w:pPr>
        <w:tabs>
          <w:tab w:val="num" w:pos="6480"/>
        </w:tabs>
        <w:ind w:left="6480" w:hanging="360"/>
      </w:pPr>
      <w:rPr>
        <w:rFonts w:ascii="Arial" w:hAnsi="Arial" w:hint="default"/>
      </w:rPr>
    </w:lvl>
  </w:abstractNum>
  <w:abstractNum w:abstractNumId="42">
    <w:nsid w:val="7CD434E1"/>
    <w:multiLevelType w:val="hybridMultilevel"/>
    <w:tmpl w:val="B684629A"/>
    <w:lvl w:ilvl="0" w:tplc="3B021B8E">
      <w:start w:val="1"/>
      <w:numFmt w:val="bullet"/>
      <w:lvlText w:val="•"/>
      <w:lvlJc w:val="left"/>
      <w:pPr>
        <w:tabs>
          <w:tab w:val="num" w:pos="720"/>
        </w:tabs>
        <w:ind w:left="720" w:hanging="360"/>
      </w:pPr>
      <w:rPr>
        <w:rFonts w:ascii="Arial" w:hAnsi="Arial" w:hint="default"/>
      </w:rPr>
    </w:lvl>
    <w:lvl w:ilvl="1" w:tplc="691831CA" w:tentative="1">
      <w:start w:val="1"/>
      <w:numFmt w:val="bullet"/>
      <w:lvlText w:val="•"/>
      <w:lvlJc w:val="left"/>
      <w:pPr>
        <w:tabs>
          <w:tab w:val="num" w:pos="1440"/>
        </w:tabs>
        <w:ind w:left="1440" w:hanging="360"/>
      </w:pPr>
      <w:rPr>
        <w:rFonts w:ascii="Arial" w:hAnsi="Arial" w:hint="default"/>
      </w:rPr>
    </w:lvl>
    <w:lvl w:ilvl="2" w:tplc="952EA890" w:tentative="1">
      <w:start w:val="1"/>
      <w:numFmt w:val="bullet"/>
      <w:lvlText w:val="•"/>
      <w:lvlJc w:val="left"/>
      <w:pPr>
        <w:tabs>
          <w:tab w:val="num" w:pos="2160"/>
        </w:tabs>
        <w:ind w:left="2160" w:hanging="360"/>
      </w:pPr>
      <w:rPr>
        <w:rFonts w:ascii="Arial" w:hAnsi="Arial" w:hint="default"/>
      </w:rPr>
    </w:lvl>
    <w:lvl w:ilvl="3" w:tplc="37B69266" w:tentative="1">
      <w:start w:val="1"/>
      <w:numFmt w:val="bullet"/>
      <w:lvlText w:val="•"/>
      <w:lvlJc w:val="left"/>
      <w:pPr>
        <w:tabs>
          <w:tab w:val="num" w:pos="2880"/>
        </w:tabs>
        <w:ind w:left="2880" w:hanging="360"/>
      </w:pPr>
      <w:rPr>
        <w:rFonts w:ascii="Arial" w:hAnsi="Arial" w:hint="default"/>
      </w:rPr>
    </w:lvl>
    <w:lvl w:ilvl="4" w:tplc="C2640974" w:tentative="1">
      <w:start w:val="1"/>
      <w:numFmt w:val="bullet"/>
      <w:lvlText w:val="•"/>
      <w:lvlJc w:val="left"/>
      <w:pPr>
        <w:tabs>
          <w:tab w:val="num" w:pos="3600"/>
        </w:tabs>
        <w:ind w:left="3600" w:hanging="360"/>
      </w:pPr>
      <w:rPr>
        <w:rFonts w:ascii="Arial" w:hAnsi="Arial" w:hint="default"/>
      </w:rPr>
    </w:lvl>
    <w:lvl w:ilvl="5" w:tplc="0D76C28C" w:tentative="1">
      <w:start w:val="1"/>
      <w:numFmt w:val="bullet"/>
      <w:lvlText w:val="•"/>
      <w:lvlJc w:val="left"/>
      <w:pPr>
        <w:tabs>
          <w:tab w:val="num" w:pos="4320"/>
        </w:tabs>
        <w:ind w:left="4320" w:hanging="360"/>
      </w:pPr>
      <w:rPr>
        <w:rFonts w:ascii="Arial" w:hAnsi="Arial" w:hint="default"/>
      </w:rPr>
    </w:lvl>
    <w:lvl w:ilvl="6" w:tplc="19F63280" w:tentative="1">
      <w:start w:val="1"/>
      <w:numFmt w:val="bullet"/>
      <w:lvlText w:val="•"/>
      <w:lvlJc w:val="left"/>
      <w:pPr>
        <w:tabs>
          <w:tab w:val="num" w:pos="5040"/>
        </w:tabs>
        <w:ind w:left="5040" w:hanging="360"/>
      </w:pPr>
      <w:rPr>
        <w:rFonts w:ascii="Arial" w:hAnsi="Arial" w:hint="default"/>
      </w:rPr>
    </w:lvl>
    <w:lvl w:ilvl="7" w:tplc="C3F88C4A" w:tentative="1">
      <w:start w:val="1"/>
      <w:numFmt w:val="bullet"/>
      <w:lvlText w:val="•"/>
      <w:lvlJc w:val="left"/>
      <w:pPr>
        <w:tabs>
          <w:tab w:val="num" w:pos="5760"/>
        </w:tabs>
        <w:ind w:left="5760" w:hanging="360"/>
      </w:pPr>
      <w:rPr>
        <w:rFonts w:ascii="Arial" w:hAnsi="Arial" w:hint="default"/>
      </w:rPr>
    </w:lvl>
    <w:lvl w:ilvl="8" w:tplc="964443D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9"/>
  </w:num>
  <w:num w:numId="3">
    <w:abstractNumId w:val="0"/>
  </w:num>
  <w:num w:numId="4">
    <w:abstractNumId w:val="36"/>
  </w:num>
  <w:num w:numId="5">
    <w:abstractNumId w:val="25"/>
  </w:num>
  <w:num w:numId="6">
    <w:abstractNumId w:val="15"/>
  </w:num>
  <w:num w:numId="7">
    <w:abstractNumId w:val="22"/>
  </w:num>
  <w:num w:numId="8">
    <w:abstractNumId w:val="29"/>
  </w:num>
  <w:num w:numId="9">
    <w:abstractNumId w:val="6"/>
  </w:num>
  <w:num w:numId="10">
    <w:abstractNumId w:val="24"/>
  </w:num>
  <w:num w:numId="11">
    <w:abstractNumId w:val="20"/>
  </w:num>
  <w:num w:numId="12">
    <w:abstractNumId w:val="9"/>
  </w:num>
  <w:num w:numId="13">
    <w:abstractNumId w:val="10"/>
  </w:num>
  <w:num w:numId="14">
    <w:abstractNumId w:val="34"/>
  </w:num>
  <w:num w:numId="15">
    <w:abstractNumId w:val="1"/>
  </w:num>
  <w:num w:numId="16">
    <w:abstractNumId w:val="5"/>
  </w:num>
  <w:num w:numId="17">
    <w:abstractNumId w:val="21"/>
  </w:num>
  <w:num w:numId="18">
    <w:abstractNumId w:val="30"/>
  </w:num>
  <w:num w:numId="19">
    <w:abstractNumId w:val="42"/>
  </w:num>
  <w:num w:numId="20">
    <w:abstractNumId w:val="41"/>
  </w:num>
  <w:num w:numId="21">
    <w:abstractNumId w:val="40"/>
  </w:num>
  <w:num w:numId="22">
    <w:abstractNumId w:val="18"/>
  </w:num>
  <w:num w:numId="23">
    <w:abstractNumId w:val="13"/>
  </w:num>
  <w:num w:numId="24">
    <w:abstractNumId w:val="16"/>
  </w:num>
  <w:num w:numId="25">
    <w:abstractNumId w:val="17"/>
  </w:num>
  <w:num w:numId="26">
    <w:abstractNumId w:val="3"/>
  </w:num>
  <w:num w:numId="27">
    <w:abstractNumId w:val="27"/>
  </w:num>
  <w:num w:numId="28">
    <w:abstractNumId w:val="37"/>
  </w:num>
  <w:num w:numId="29">
    <w:abstractNumId w:val="38"/>
  </w:num>
  <w:num w:numId="30">
    <w:abstractNumId w:val="4"/>
  </w:num>
  <w:num w:numId="31">
    <w:abstractNumId w:val="14"/>
  </w:num>
  <w:num w:numId="32">
    <w:abstractNumId w:val="12"/>
  </w:num>
  <w:num w:numId="33">
    <w:abstractNumId w:val="26"/>
  </w:num>
  <w:num w:numId="34">
    <w:abstractNumId w:val="11"/>
  </w:num>
  <w:num w:numId="35">
    <w:abstractNumId w:val="31"/>
  </w:num>
  <w:num w:numId="36">
    <w:abstractNumId w:val="19"/>
  </w:num>
  <w:num w:numId="37">
    <w:abstractNumId w:val="32"/>
  </w:num>
  <w:num w:numId="38">
    <w:abstractNumId w:val="7"/>
  </w:num>
  <w:num w:numId="39">
    <w:abstractNumId w:val="8"/>
  </w:num>
  <w:num w:numId="40">
    <w:abstractNumId w:val="35"/>
  </w:num>
  <w:num w:numId="41">
    <w:abstractNumId w:val="23"/>
  </w:num>
  <w:num w:numId="42">
    <w:abstractNumId w:val="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activeWritingStyle w:appName="MSWord" w:lang="ru-RU" w:vendorID="64" w:dllVersion="131078" w:nlCheck="1" w:checkStyle="0"/>
  <w:activeWritingStyle w:appName="MSWord" w:lang="en-US" w:vendorID="64" w:dllVersion="131078" w:nlCheck="1" w:checkStyle="1"/>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40361"/>
    <w:rsid w:val="000279E2"/>
    <w:rsid w:val="000470AD"/>
    <w:rsid w:val="00067D14"/>
    <w:rsid w:val="00071013"/>
    <w:rsid w:val="00083EF5"/>
    <w:rsid w:val="000A40C7"/>
    <w:rsid w:val="000A7379"/>
    <w:rsid w:val="000B178D"/>
    <w:rsid w:val="000B26D4"/>
    <w:rsid w:val="000C09B2"/>
    <w:rsid w:val="000C14D1"/>
    <w:rsid w:val="000E095F"/>
    <w:rsid w:val="000E7981"/>
    <w:rsid w:val="000F3945"/>
    <w:rsid w:val="000F7647"/>
    <w:rsid w:val="00101709"/>
    <w:rsid w:val="00122DF9"/>
    <w:rsid w:val="00134C34"/>
    <w:rsid w:val="00150538"/>
    <w:rsid w:val="00150559"/>
    <w:rsid w:val="001548F0"/>
    <w:rsid w:val="001769DF"/>
    <w:rsid w:val="001872C2"/>
    <w:rsid w:val="0019595C"/>
    <w:rsid w:val="00196D0F"/>
    <w:rsid w:val="001B000C"/>
    <w:rsid w:val="001D2283"/>
    <w:rsid w:val="001D67B9"/>
    <w:rsid w:val="001E475D"/>
    <w:rsid w:val="001F7456"/>
    <w:rsid w:val="00201B60"/>
    <w:rsid w:val="00210C5B"/>
    <w:rsid w:val="002221F5"/>
    <w:rsid w:val="00222EF9"/>
    <w:rsid w:val="0022322A"/>
    <w:rsid w:val="00231B90"/>
    <w:rsid w:val="0025768A"/>
    <w:rsid w:val="00287848"/>
    <w:rsid w:val="002B138F"/>
    <w:rsid w:val="002D2C90"/>
    <w:rsid w:val="002D3429"/>
    <w:rsid w:val="00303FBA"/>
    <w:rsid w:val="003062C0"/>
    <w:rsid w:val="003144D5"/>
    <w:rsid w:val="00315103"/>
    <w:rsid w:val="0032151E"/>
    <w:rsid w:val="0033380A"/>
    <w:rsid w:val="00334A13"/>
    <w:rsid w:val="0034077E"/>
    <w:rsid w:val="00356630"/>
    <w:rsid w:val="0036326C"/>
    <w:rsid w:val="00371288"/>
    <w:rsid w:val="00381FA5"/>
    <w:rsid w:val="00383394"/>
    <w:rsid w:val="00383F8E"/>
    <w:rsid w:val="003B1972"/>
    <w:rsid w:val="003E07A1"/>
    <w:rsid w:val="00404FF9"/>
    <w:rsid w:val="00406933"/>
    <w:rsid w:val="00436197"/>
    <w:rsid w:val="00453321"/>
    <w:rsid w:val="004621A5"/>
    <w:rsid w:val="004A2C55"/>
    <w:rsid w:val="004B543E"/>
    <w:rsid w:val="004B54C5"/>
    <w:rsid w:val="004E0E93"/>
    <w:rsid w:val="004E3214"/>
    <w:rsid w:val="004E56A9"/>
    <w:rsid w:val="005009B5"/>
    <w:rsid w:val="00501F31"/>
    <w:rsid w:val="005103C3"/>
    <w:rsid w:val="005129B0"/>
    <w:rsid w:val="00540361"/>
    <w:rsid w:val="00543C01"/>
    <w:rsid w:val="0055081B"/>
    <w:rsid w:val="0055270C"/>
    <w:rsid w:val="00576E14"/>
    <w:rsid w:val="0058058E"/>
    <w:rsid w:val="005831AD"/>
    <w:rsid w:val="00591616"/>
    <w:rsid w:val="005A01BA"/>
    <w:rsid w:val="005D5263"/>
    <w:rsid w:val="005D794E"/>
    <w:rsid w:val="005F1822"/>
    <w:rsid w:val="005F6965"/>
    <w:rsid w:val="00601939"/>
    <w:rsid w:val="00603B31"/>
    <w:rsid w:val="00605A24"/>
    <w:rsid w:val="00615D84"/>
    <w:rsid w:val="0063535F"/>
    <w:rsid w:val="00636E5C"/>
    <w:rsid w:val="00647152"/>
    <w:rsid w:val="00647461"/>
    <w:rsid w:val="00696CE9"/>
    <w:rsid w:val="006A14B6"/>
    <w:rsid w:val="006A2AAF"/>
    <w:rsid w:val="006A39C1"/>
    <w:rsid w:val="006D5DDC"/>
    <w:rsid w:val="006D603A"/>
    <w:rsid w:val="006D7141"/>
    <w:rsid w:val="006D7EED"/>
    <w:rsid w:val="0070031B"/>
    <w:rsid w:val="00706BED"/>
    <w:rsid w:val="00793528"/>
    <w:rsid w:val="007B59C5"/>
    <w:rsid w:val="008028E5"/>
    <w:rsid w:val="00811CA0"/>
    <w:rsid w:val="0082061C"/>
    <w:rsid w:val="00820B7A"/>
    <w:rsid w:val="00830453"/>
    <w:rsid w:val="00831B7F"/>
    <w:rsid w:val="00854E1E"/>
    <w:rsid w:val="0085602B"/>
    <w:rsid w:val="008817F6"/>
    <w:rsid w:val="008A0A56"/>
    <w:rsid w:val="008B7E65"/>
    <w:rsid w:val="008D5B3A"/>
    <w:rsid w:val="008D5C8C"/>
    <w:rsid w:val="00903080"/>
    <w:rsid w:val="009433A9"/>
    <w:rsid w:val="009444E2"/>
    <w:rsid w:val="009525DF"/>
    <w:rsid w:val="009716A0"/>
    <w:rsid w:val="009A2C90"/>
    <w:rsid w:val="009A3E9C"/>
    <w:rsid w:val="009B7DFE"/>
    <w:rsid w:val="009C12D8"/>
    <w:rsid w:val="009E2E3A"/>
    <w:rsid w:val="009F5371"/>
    <w:rsid w:val="00A4128A"/>
    <w:rsid w:val="00A44030"/>
    <w:rsid w:val="00A467AF"/>
    <w:rsid w:val="00A4735F"/>
    <w:rsid w:val="00A717FE"/>
    <w:rsid w:val="00AA458B"/>
    <w:rsid w:val="00AB36C9"/>
    <w:rsid w:val="00AC1F16"/>
    <w:rsid w:val="00AC6375"/>
    <w:rsid w:val="00AE5C5B"/>
    <w:rsid w:val="00B174E0"/>
    <w:rsid w:val="00B668DE"/>
    <w:rsid w:val="00B852BE"/>
    <w:rsid w:val="00B90B64"/>
    <w:rsid w:val="00BB5220"/>
    <w:rsid w:val="00C016F3"/>
    <w:rsid w:val="00C06D54"/>
    <w:rsid w:val="00C13DFA"/>
    <w:rsid w:val="00C21D47"/>
    <w:rsid w:val="00C6524D"/>
    <w:rsid w:val="00C70AE2"/>
    <w:rsid w:val="00C7339F"/>
    <w:rsid w:val="00C73F2B"/>
    <w:rsid w:val="00C84B54"/>
    <w:rsid w:val="00C976E3"/>
    <w:rsid w:val="00CA0C4B"/>
    <w:rsid w:val="00CA20D4"/>
    <w:rsid w:val="00CA5CE1"/>
    <w:rsid w:val="00CB2EFE"/>
    <w:rsid w:val="00CB567E"/>
    <w:rsid w:val="00CC3CBC"/>
    <w:rsid w:val="00CC69C0"/>
    <w:rsid w:val="00CE26BC"/>
    <w:rsid w:val="00D0280A"/>
    <w:rsid w:val="00D16144"/>
    <w:rsid w:val="00D2028A"/>
    <w:rsid w:val="00D23183"/>
    <w:rsid w:val="00D270E4"/>
    <w:rsid w:val="00D411B0"/>
    <w:rsid w:val="00D51268"/>
    <w:rsid w:val="00D620A0"/>
    <w:rsid w:val="00D67CA7"/>
    <w:rsid w:val="00D76BE3"/>
    <w:rsid w:val="00D80752"/>
    <w:rsid w:val="00D9080A"/>
    <w:rsid w:val="00D90882"/>
    <w:rsid w:val="00D90975"/>
    <w:rsid w:val="00DA247C"/>
    <w:rsid w:val="00DB18B0"/>
    <w:rsid w:val="00DB40B8"/>
    <w:rsid w:val="00DE739F"/>
    <w:rsid w:val="00DF26B0"/>
    <w:rsid w:val="00E23DCD"/>
    <w:rsid w:val="00E45417"/>
    <w:rsid w:val="00E4693F"/>
    <w:rsid w:val="00E51A1A"/>
    <w:rsid w:val="00E77227"/>
    <w:rsid w:val="00E81BED"/>
    <w:rsid w:val="00EA4895"/>
    <w:rsid w:val="00EA55EF"/>
    <w:rsid w:val="00EF111B"/>
    <w:rsid w:val="00F3176E"/>
    <w:rsid w:val="00F50C41"/>
    <w:rsid w:val="00F7441E"/>
    <w:rsid w:val="00F75866"/>
    <w:rsid w:val="00F812C4"/>
    <w:rsid w:val="00F939A9"/>
    <w:rsid w:val="00FD2F1A"/>
    <w:rsid w:val="00FE3B14"/>
    <w:rsid w:val="00FF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53"/>
    <w:pPr>
      <w:ind w:left="720"/>
      <w:contextualSpacing/>
    </w:pPr>
  </w:style>
  <w:style w:type="paragraph" w:customStyle="1" w:styleId="Default">
    <w:name w:val="Default"/>
    <w:rsid w:val="005F1822"/>
    <w:pPr>
      <w:autoSpaceDE w:val="0"/>
      <w:autoSpaceDN w:val="0"/>
      <w:adjustRightInd w:val="0"/>
      <w:spacing w:after="0" w:line="240" w:lineRule="auto"/>
    </w:pPr>
    <w:rPr>
      <w:rFonts w:ascii="Arial" w:hAnsi="Arial" w:cs="Arial"/>
      <w:color w:val="000000"/>
      <w:sz w:val="24"/>
      <w:szCs w:val="24"/>
    </w:rPr>
  </w:style>
  <w:style w:type="paragraph" w:styleId="a4">
    <w:name w:val="footnote text"/>
    <w:basedOn w:val="a"/>
    <w:link w:val="a5"/>
    <w:uiPriority w:val="99"/>
    <w:unhideWhenUsed/>
    <w:rsid w:val="00C6524D"/>
    <w:pPr>
      <w:spacing w:after="0" w:line="240" w:lineRule="auto"/>
    </w:pPr>
    <w:rPr>
      <w:sz w:val="20"/>
      <w:szCs w:val="20"/>
    </w:rPr>
  </w:style>
  <w:style w:type="character" w:customStyle="1" w:styleId="a5">
    <w:name w:val="Текст сноски Знак"/>
    <w:basedOn w:val="a0"/>
    <w:link w:val="a4"/>
    <w:uiPriority w:val="99"/>
    <w:rsid w:val="00C6524D"/>
    <w:rPr>
      <w:sz w:val="20"/>
      <w:szCs w:val="20"/>
    </w:rPr>
  </w:style>
  <w:style w:type="character" w:styleId="a6">
    <w:name w:val="footnote reference"/>
    <w:basedOn w:val="a0"/>
    <w:uiPriority w:val="99"/>
    <w:semiHidden/>
    <w:unhideWhenUsed/>
    <w:rsid w:val="00C6524D"/>
    <w:rPr>
      <w:vertAlign w:val="superscript"/>
    </w:rPr>
  </w:style>
  <w:style w:type="paragraph" w:styleId="a7">
    <w:name w:val="Balloon Text"/>
    <w:basedOn w:val="a"/>
    <w:link w:val="a8"/>
    <w:uiPriority w:val="99"/>
    <w:semiHidden/>
    <w:unhideWhenUsed/>
    <w:rsid w:val="00CB2E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2EFE"/>
    <w:rPr>
      <w:rFonts w:ascii="Tahoma" w:hAnsi="Tahoma" w:cs="Tahoma"/>
      <w:sz w:val="16"/>
      <w:szCs w:val="16"/>
    </w:rPr>
  </w:style>
  <w:style w:type="paragraph" w:styleId="a9">
    <w:name w:val="Normal (Web)"/>
    <w:basedOn w:val="a"/>
    <w:uiPriority w:val="99"/>
    <w:unhideWhenUsed/>
    <w:rsid w:val="00CB2EF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a">
    <w:name w:val="Table Grid"/>
    <w:basedOn w:val="a1"/>
    <w:uiPriority w:val="59"/>
    <w:rsid w:val="00CB2E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2">
    <w:name w:val="tit2"/>
    <w:basedOn w:val="a"/>
    <w:rsid w:val="00A4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
    <w:rsid w:val="00A467A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878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7848"/>
  </w:style>
  <w:style w:type="paragraph" w:styleId="ad">
    <w:name w:val="footer"/>
    <w:basedOn w:val="a"/>
    <w:link w:val="ae"/>
    <w:uiPriority w:val="99"/>
    <w:unhideWhenUsed/>
    <w:rsid w:val="002878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7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53"/>
    <w:pPr>
      <w:ind w:left="720"/>
      <w:contextualSpacing/>
    </w:pPr>
  </w:style>
  <w:style w:type="paragraph" w:customStyle="1" w:styleId="Default">
    <w:name w:val="Default"/>
    <w:rsid w:val="005F1822"/>
    <w:pPr>
      <w:autoSpaceDE w:val="0"/>
      <w:autoSpaceDN w:val="0"/>
      <w:adjustRightInd w:val="0"/>
      <w:spacing w:after="0" w:line="240" w:lineRule="auto"/>
    </w:pPr>
    <w:rPr>
      <w:rFonts w:ascii="Arial" w:hAnsi="Arial" w:cs="Arial"/>
      <w:color w:val="000000"/>
      <w:sz w:val="24"/>
      <w:szCs w:val="24"/>
    </w:rPr>
  </w:style>
  <w:style w:type="paragraph" w:styleId="a4">
    <w:name w:val="footnote text"/>
    <w:basedOn w:val="a"/>
    <w:link w:val="a5"/>
    <w:uiPriority w:val="99"/>
    <w:unhideWhenUsed/>
    <w:rsid w:val="00C6524D"/>
    <w:pPr>
      <w:spacing w:after="0" w:line="240" w:lineRule="auto"/>
    </w:pPr>
    <w:rPr>
      <w:sz w:val="20"/>
      <w:szCs w:val="20"/>
    </w:rPr>
  </w:style>
  <w:style w:type="character" w:customStyle="1" w:styleId="a5">
    <w:name w:val="Текст сноски Знак"/>
    <w:basedOn w:val="a0"/>
    <w:link w:val="a4"/>
    <w:uiPriority w:val="99"/>
    <w:rsid w:val="00C6524D"/>
    <w:rPr>
      <w:sz w:val="20"/>
      <w:szCs w:val="20"/>
    </w:rPr>
  </w:style>
  <w:style w:type="character" w:styleId="a6">
    <w:name w:val="footnote reference"/>
    <w:basedOn w:val="a0"/>
    <w:uiPriority w:val="99"/>
    <w:semiHidden/>
    <w:unhideWhenUsed/>
    <w:rsid w:val="00C6524D"/>
    <w:rPr>
      <w:vertAlign w:val="superscript"/>
    </w:rPr>
  </w:style>
  <w:style w:type="paragraph" w:styleId="a7">
    <w:name w:val="Balloon Text"/>
    <w:basedOn w:val="a"/>
    <w:link w:val="a8"/>
    <w:uiPriority w:val="99"/>
    <w:semiHidden/>
    <w:unhideWhenUsed/>
    <w:rsid w:val="00CB2E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2EFE"/>
    <w:rPr>
      <w:rFonts w:ascii="Tahoma" w:hAnsi="Tahoma" w:cs="Tahoma"/>
      <w:sz w:val="16"/>
      <w:szCs w:val="16"/>
    </w:rPr>
  </w:style>
  <w:style w:type="paragraph" w:styleId="a9">
    <w:name w:val="Normal (Web)"/>
    <w:basedOn w:val="a"/>
    <w:uiPriority w:val="99"/>
    <w:unhideWhenUsed/>
    <w:rsid w:val="00CB2EF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a">
    <w:name w:val="Table Grid"/>
    <w:basedOn w:val="a1"/>
    <w:uiPriority w:val="59"/>
    <w:rsid w:val="00CB2E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2">
    <w:name w:val="tit2"/>
    <w:basedOn w:val="a"/>
    <w:rsid w:val="00A4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
    <w:rsid w:val="00A467A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878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7848"/>
  </w:style>
  <w:style w:type="paragraph" w:styleId="ad">
    <w:name w:val="footer"/>
    <w:basedOn w:val="a"/>
    <w:link w:val="ae"/>
    <w:uiPriority w:val="99"/>
    <w:unhideWhenUsed/>
    <w:rsid w:val="002878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766">
      <w:bodyDiv w:val="1"/>
      <w:marLeft w:val="0"/>
      <w:marRight w:val="0"/>
      <w:marTop w:val="0"/>
      <w:marBottom w:val="0"/>
      <w:divBdr>
        <w:top w:val="none" w:sz="0" w:space="0" w:color="auto"/>
        <w:left w:val="none" w:sz="0" w:space="0" w:color="auto"/>
        <w:bottom w:val="none" w:sz="0" w:space="0" w:color="auto"/>
        <w:right w:val="none" w:sz="0" w:space="0" w:color="auto"/>
      </w:divBdr>
      <w:divsChild>
        <w:div w:id="1603414279">
          <w:marLeft w:val="547"/>
          <w:marRight w:val="0"/>
          <w:marTop w:val="0"/>
          <w:marBottom w:val="0"/>
          <w:divBdr>
            <w:top w:val="none" w:sz="0" w:space="0" w:color="auto"/>
            <w:left w:val="none" w:sz="0" w:space="0" w:color="auto"/>
            <w:bottom w:val="none" w:sz="0" w:space="0" w:color="auto"/>
            <w:right w:val="none" w:sz="0" w:space="0" w:color="auto"/>
          </w:divBdr>
        </w:div>
      </w:divsChild>
    </w:div>
    <w:div w:id="200017923">
      <w:bodyDiv w:val="1"/>
      <w:marLeft w:val="0"/>
      <w:marRight w:val="0"/>
      <w:marTop w:val="0"/>
      <w:marBottom w:val="0"/>
      <w:divBdr>
        <w:top w:val="none" w:sz="0" w:space="0" w:color="auto"/>
        <w:left w:val="none" w:sz="0" w:space="0" w:color="auto"/>
        <w:bottom w:val="none" w:sz="0" w:space="0" w:color="auto"/>
        <w:right w:val="none" w:sz="0" w:space="0" w:color="auto"/>
      </w:divBdr>
      <w:divsChild>
        <w:div w:id="1299724549">
          <w:marLeft w:val="288"/>
          <w:marRight w:val="0"/>
          <w:marTop w:val="0"/>
          <w:marBottom w:val="0"/>
          <w:divBdr>
            <w:top w:val="none" w:sz="0" w:space="0" w:color="auto"/>
            <w:left w:val="none" w:sz="0" w:space="0" w:color="auto"/>
            <w:bottom w:val="none" w:sz="0" w:space="0" w:color="auto"/>
            <w:right w:val="none" w:sz="0" w:space="0" w:color="auto"/>
          </w:divBdr>
        </w:div>
      </w:divsChild>
    </w:div>
    <w:div w:id="635570562">
      <w:bodyDiv w:val="1"/>
      <w:marLeft w:val="0"/>
      <w:marRight w:val="0"/>
      <w:marTop w:val="0"/>
      <w:marBottom w:val="0"/>
      <w:divBdr>
        <w:top w:val="none" w:sz="0" w:space="0" w:color="auto"/>
        <w:left w:val="none" w:sz="0" w:space="0" w:color="auto"/>
        <w:bottom w:val="none" w:sz="0" w:space="0" w:color="auto"/>
        <w:right w:val="none" w:sz="0" w:space="0" w:color="auto"/>
      </w:divBdr>
    </w:div>
    <w:div w:id="750934978">
      <w:bodyDiv w:val="1"/>
      <w:marLeft w:val="0"/>
      <w:marRight w:val="0"/>
      <w:marTop w:val="0"/>
      <w:marBottom w:val="0"/>
      <w:divBdr>
        <w:top w:val="none" w:sz="0" w:space="0" w:color="auto"/>
        <w:left w:val="none" w:sz="0" w:space="0" w:color="auto"/>
        <w:bottom w:val="none" w:sz="0" w:space="0" w:color="auto"/>
        <w:right w:val="none" w:sz="0" w:space="0" w:color="auto"/>
      </w:divBdr>
    </w:div>
    <w:div w:id="798493866">
      <w:bodyDiv w:val="1"/>
      <w:marLeft w:val="0"/>
      <w:marRight w:val="0"/>
      <w:marTop w:val="0"/>
      <w:marBottom w:val="0"/>
      <w:divBdr>
        <w:top w:val="none" w:sz="0" w:space="0" w:color="auto"/>
        <w:left w:val="none" w:sz="0" w:space="0" w:color="auto"/>
        <w:bottom w:val="none" w:sz="0" w:space="0" w:color="auto"/>
        <w:right w:val="none" w:sz="0" w:space="0" w:color="auto"/>
      </w:divBdr>
      <w:divsChild>
        <w:div w:id="1175724149">
          <w:marLeft w:val="288"/>
          <w:marRight w:val="0"/>
          <w:marTop w:val="0"/>
          <w:marBottom w:val="0"/>
          <w:divBdr>
            <w:top w:val="none" w:sz="0" w:space="0" w:color="auto"/>
            <w:left w:val="none" w:sz="0" w:space="0" w:color="auto"/>
            <w:bottom w:val="none" w:sz="0" w:space="0" w:color="auto"/>
            <w:right w:val="none" w:sz="0" w:space="0" w:color="auto"/>
          </w:divBdr>
        </w:div>
      </w:divsChild>
    </w:div>
    <w:div w:id="942609442">
      <w:bodyDiv w:val="1"/>
      <w:marLeft w:val="0"/>
      <w:marRight w:val="0"/>
      <w:marTop w:val="0"/>
      <w:marBottom w:val="0"/>
      <w:divBdr>
        <w:top w:val="none" w:sz="0" w:space="0" w:color="auto"/>
        <w:left w:val="none" w:sz="0" w:space="0" w:color="auto"/>
        <w:bottom w:val="none" w:sz="0" w:space="0" w:color="auto"/>
        <w:right w:val="none" w:sz="0" w:space="0" w:color="auto"/>
      </w:divBdr>
    </w:div>
    <w:div w:id="1440561032">
      <w:bodyDiv w:val="1"/>
      <w:marLeft w:val="0"/>
      <w:marRight w:val="0"/>
      <w:marTop w:val="0"/>
      <w:marBottom w:val="0"/>
      <w:divBdr>
        <w:top w:val="none" w:sz="0" w:space="0" w:color="auto"/>
        <w:left w:val="none" w:sz="0" w:space="0" w:color="auto"/>
        <w:bottom w:val="none" w:sz="0" w:space="0" w:color="auto"/>
        <w:right w:val="none" w:sz="0" w:space="0" w:color="auto"/>
      </w:divBdr>
    </w:div>
    <w:div w:id="1570076264">
      <w:bodyDiv w:val="1"/>
      <w:marLeft w:val="0"/>
      <w:marRight w:val="0"/>
      <w:marTop w:val="0"/>
      <w:marBottom w:val="0"/>
      <w:divBdr>
        <w:top w:val="none" w:sz="0" w:space="0" w:color="auto"/>
        <w:left w:val="none" w:sz="0" w:space="0" w:color="auto"/>
        <w:bottom w:val="none" w:sz="0" w:space="0" w:color="auto"/>
        <w:right w:val="none" w:sz="0" w:space="0" w:color="auto"/>
      </w:divBdr>
    </w:div>
    <w:div w:id="1570531400">
      <w:bodyDiv w:val="1"/>
      <w:marLeft w:val="0"/>
      <w:marRight w:val="0"/>
      <w:marTop w:val="0"/>
      <w:marBottom w:val="0"/>
      <w:divBdr>
        <w:top w:val="none" w:sz="0" w:space="0" w:color="auto"/>
        <w:left w:val="none" w:sz="0" w:space="0" w:color="auto"/>
        <w:bottom w:val="none" w:sz="0" w:space="0" w:color="auto"/>
        <w:right w:val="none" w:sz="0" w:space="0" w:color="auto"/>
      </w:divBdr>
    </w:div>
    <w:div w:id="1805662305">
      <w:bodyDiv w:val="1"/>
      <w:marLeft w:val="0"/>
      <w:marRight w:val="0"/>
      <w:marTop w:val="0"/>
      <w:marBottom w:val="0"/>
      <w:divBdr>
        <w:top w:val="none" w:sz="0" w:space="0" w:color="auto"/>
        <w:left w:val="none" w:sz="0" w:space="0" w:color="auto"/>
        <w:bottom w:val="none" w:sz="0" w:space="0" w:color="auto"/>
        <w:right w:val="none" w:sz="0" w:space="0" w:color="auto"/>
      </w:divBdr>
      <w:divsChild>
        <w:div w:id="1434787221">
          <w:marLeft w:val="547"/>
          <w:marRight w:val="0"/>
          <w:marTop w:val="0"/>
          <w:marBottom w:val="0"/>
          <w:divBdr>
            <w:top w:val="none" w:sz="0" w:space="0" w:color="auto"/>
            <w:left w:val="none" w:sz="0" w:space="0" w:color="auto"/>
            <w:bottom w:val="none" w:sz="0" w:space="0" w:color="auto"/>
            <w:right w:val="none" w:sz="0" w:space="0" w:color="auto"/>
          </w:divBdr>
        </w:div>
      </w:divsChild>
    </w:div>
    <w:div w:id="2134857578">
      <w:bodyDiv w:val="1"/>
      <w:marLeft w:val="0"/>
      <w:marRight w:val="0"/>
      <w:marTop w:val="0"/>
      <w:marBottom w:val="0"/>
      <w:divBdr>
        <w:top w:val="none" w:sz="0" w:space="0" w:color="auto"/>
        <w:left w:val="none" w:sz="0" w:space="0" w:color="auto"/>
        <w:bottom w:val="none" w:sz="0" w:space="0" w:color="auto"/>
        <w:right w:val="none" w:sz="0" w:space="0" w:color="auto"/>
      </w:divBdr>
      <w:divsChild>
        <w:div w:id="16386508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эффективная доза гонадотропинов, МЕ</c:v>
                </c:pt>
              </c:strCache>
            </c:strRef>
          </c:tx>
          <c:invertIfNegative val="0"/>
          <c:cat>
            <c:strRef>
              <c:f>Sheet1!$A$2:$A$3</c:f>
              <c:strCache>
                <c:ptCount val="2"/>
                <c:pt idx="0">
                  <c:v>основная группа</c:v>
                </c:pt>
                <c:pt idx="1">
                  <c:v>группа сравнения</c:v>
                </c:pt>
              </c:strCache>
            </c:strRef>
          </c:cat>
          <c:val>
            <c:numRef>
              <c:f>Sheet1!$B$2:$B$3</c:f>
              <c:numCache>
                <c:formatCode>General</c:formatCode>
                <c:ptCount val="2"/>
                <c:pt idx="0">
                  <c:v>618</c:v>
                </c:pt>
                <c:pt idx="1">
                  <c:v>1108</c:v>
                </c:pt>
              </c:numCache>
            </c:numRef>
          </c:val>
        </c:ser>
        <c:dLbls>
          <c:showLegendKey val="0"/>
          <c:showVal val="0"/>
          <c:showCatName val="0"/>
          <c:showSerName val="0"/>
          <c:showPercent val="0"/>
          <c:showBubbleSize val="0"/>
        </c:dLbls>
        <c:gapWidth val="219"/>
        <c:overlap val="-27"/>
        <c:axId val="154297088"/>
        <c:axId val="154298624"/>
      </c:barChart>
      <c:catAx>
        <c:axId val="154297088"/>
        <c:scaling>
          <c:orientation val="minMax"/>
        </c:scaling>
        <c:delete val="0"/>
        <c:axPos val="b"/>
        <c:numFmt formatCode="General" sourceLinked="1"/>
        <c:majorTickMark val="none"/>
        <c:minorTickMark val="none"/>
        <c:tickLblPos val="nextTo"/>
        <c:txPr>
          <a:bodyPr rot="-60000000" vert="horz"/>
          <a:lstStyle/>
          <a:p>
            <a:pPr>
              <a:defRPr baseline="0">
                <a:latin typeface="Times New Roman" panose="02020603050405020304" pitchFamily="18" charset="0"/>
              </a:defRPr>
            </a:pPr>
            <a:endParaRPr lang="ru-RU"/>
          </a:p>
        </c:txPr>
        <c:crossAx val="154298624"/>
        <c:crosses val="autoZero"/>
        <c:auto val="1"/>
        <c:lblAlgn val="ctr"/>
        <c:lblOffset val="100"/>
        <c:noMultiLvlLbl val="0"/>
      </c:catAx>
      <c:valAx>
        <c:axId val="154298624"/>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54297088"/>
        <c:crosses val="autoZero"/>
        <c:crossBetween val="between"/>
      </c:valAx>
    </c:plotArea>
    <c:legend>
      <c:legendPos val="b"/>
      <c:overlay val="0"/>
      <c:txPr>
        <a:bodyPr rot="0" vert="horz"/>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1FEA-AAE7-4F1D-A62C-9E1E5ECA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46</Pages>
  <Words>11300</Words>
  <Characters>64412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Витуся</dc:creator>
  <cp:lastModifiedBy>1</cp:lastModifiedBy>
  <cp:revision>8</cp:revision>
  <cp:lastPrinted>2017-05-05T05:33:00Z</cp:lastPrinted>
  <dcterms:created xsi:type="dcterms:W3CDTF">2017-04-26T18:28:00Z</dcterms:created>
  <dcterms:modified xsi:type="dcterms:W3CDTF">2017-05-16T22:35:00Z</dcterms:modified>
</cp:coreProperties>
</file>