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802" w:rsidRDefault="00710802" w:rsidP="00710802">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ФГОУ ВПО «Санкт-Петербургский государственный университет»</w:t>
      </w:r>
    </w:p>
    <w:p w:rsidR="00710802" w:rsidRDefault="00710802" w:rsidP="00710802">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Направление «Медицина»</w:t>
      </w:r>
    </w:p>
    <w:p w:rsidR="00710802" w:rsidRDefault="00710802" w:rsidP="00710802">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Кафедра факультетской хирургии</w:t>
      </w:r>
    </w:p>
    <w:p w:rsidR="00710802" w:rsidRDefault="00710802" w:rsidP="00710802">
      <w:pPr>
        <w:ind w:firstLine="720"/>
        <w:jc w:val="both"/>
        <w:rPr>
          <w:rFonts w:ascii="Times New Roman" w:eastAsia="Times New Roman" w:hAnsi="Times New Roman" w:cs="Times New Roman"/>
          <w:sz w:val="28"/>
        </w:rPr>
      </w:pPr>
    </w:p>
    <w:p w:rsidR="00710802" w:rsidRDefault="00710802" w:rsidP="00710802">
      <w:pPr>
        <w:ind w:firstLine="720"/>
        <w:jc w:val="both"/>
        <w:rPr>
          <w:rFonts w:ascii="Times New Roman" w:eastAsia="Times New Roman" w:hAnsi="Times New Roman" w:cs="Times New Roman"/>
          <w:b/>
          <w:sz w:val="28"/>
        </w:rPr>
      </w:pPr>
    </w:p>
    <w:p w:rsidR="00710802" w:rsidRDefault="00710802" w:rsidP="00710802">
      <w:pPr>
        <w:ind w:firstLine="720"/>
        <w:jc w:val="both"/>
        <w:rPr>
          <w:rFonts w:ascii="Times New Roman" w:eastAsia="Times New Roman" w:hAnsi="Times New Roman" w:cs="Times New Roman"/>
          <w:b/>
          <w:sz w:val="28"/>
        </w:rPr>
      </w:pPr>
    </w:p>
    <w:p w:rsidR="00710802" w:rsidRPr="006F48B7" w:rsidRDefault="00710802" w:rsidP="00710802">
      <w:pPr>
        <w:keepNext/>
        <w:keepLines/>
        <w:spacing w:line="276" w:lineRule="auto"/>
        <w:jc w:val="both"/>
        <w:rPr>
          <w:rFonts w:ascii="Times New Roman" w:eastAsia="Times New Roman" w:hAnsi="Times New Roman" w:cs="Times New Roman"/>
          <w:sz w:val="28"/>
        </w:rPr>
      </w:pPr>
      <w:r w:rsidRPr="006F48B7">
        <w:rPr>
          <w:rFonts w:ascii="Times New Roman" w:eastAsia="Times New Roman" w:hAnsi="Times New Roman" w:cs="Times New Roman"/>
          <w:sz w:val="28"/>
        </w:rPr>
        <w:t>Допускается к защите</w:t>
      </w:r>
    </w:p>
    <w:p w:rsidR="00710802" w:rsidRPr="006F48B7" w:rsidRDefault="00710802" w:rsidP="00710802">
      <w:pPr>
        <w:jc w:val="both"/>
        <w:rPr>
          <w:rFonts w:ascii="Times New Roman" w:eastAsia="Times New Roman" w:hAnsi="Times New Roman" w:cs="Times New Roman"/>
          <w:sz w:val="28"/>
        </w:rPr>
      </w:pPr>
      <w:r w:rsidRPr="006F48B7">
        <w:rPr>
          <w:rFonts w:ascii="Times New Roman" w:eastAsia="Times New Roman" w:hAnsi="Times New Roman" w:cs="Times New Roman"/>
          <w:sz w:val="28"/>
        </w:rPr>
        <w:t>Заведующий кафедрой</w:t>
      </w:r>
      <w:r>
        <w:rPr>
          <w:rFonts w:ascii="Times New Roman" w:eastAsia="Times New Roman" w:hAnsi="Times New Roman" w:cs="Times New Roman"/>
          <w:sz w:val="28"/>
        </w:rPr>
        <w:t>:</w:t>
      </w:r>
    </w:p>
    <w:p w:rsidR="00710802" w:rsidRPr="006F48B7" w:rsidRDefault="00710802" w:rsidP="00710802">
      <w:pPr>
        <w:jc w:val="both"/>
        <w:rPr>
          <w:rFonts w:ascii="Times New Roman" w:eastAsia="Times New Roman" w:hAnsi="Times New Roman" w:cs="Times New Roman"/>
          <w:sz w:val="28"/>
        </w:rPr>
      </w:pPr>
      <w:r w:rsidRPr="006F48B7">
        <w:rPr>
          <w:rFonts w:ascii="Times New Roman" w:eastAsia="Times New Roman" w:hAnsi="Times New Roman" w:cs="Times New Roman"/>
          <w:sz w:val="28"/>
        </w:rPr>
        <w:t>д.м.н., проф. Кащенко В.А.</w:t>
      </w:r>
    </w:p>
    <w:p w:rsidR="00710802" w:rsidRPr="006F48B7" w:rsidRDefault="00710802" w:rsidP="00710802">
      <w:pPr>
        <w:jc w:val="both"/>
        <w:rPr>
          <w:rFonts w:ascii="Times New Roman" w:eastAsia="Times New Roman" w:hAnsi="Times New Roman" w:cs="Times New Roman"/>
          <w:sz w:val="28"/>
        </w:rPr>
      </w:pPr>
      <w:r w:rsidRPr="006F48B7">
        <w:rPr>
          <w:rFonts w:ascii="Times New Roman" w:eastAsia="Times New Roman" w:hAnsi="Times New Roman" w:cs="Times New Roman"/>
          <w:sz w:val="28"/>
        </w:rPr>
        <w:t>«  »________________</w:t>
      </w:r>
    </w:p>
    <w:p w:rsidR="00710802" w:rsidRDefault="00710802" w:rsidP="00710802">
      <w:pPr>
        <w:ind w:firstLine="720"/>
        <w:jc w:val="both"/>
        <w:rPr>
          <w:rFonts w:ascii="Times New Roman" w:eastAsia="Times New Roman" w:hAnsi="Times New Roman" w:cs="Times New Roman"/>
          <w:sz w:val="28"/>
        </w:rPr>
      </w:pPr>
    </w:p>
    <w:p w:rsidR="00710802" w:rsidRDefault="00710802" w:rsidP="00710802">
      <w:pPr>
        <w:ind w:firstLine="720"/>
        <w:jc w:val="both"/>
        <w:rPr>
          <w:rFonts w:ascii="Times New Roman" w:eastAsia="Times New Roman" w:hAnsi="Times New Roman" w:cs="Times New Roman"/>
          <w:sz w:val="28"/>
        </w:rPr>
      </w:pPr>
    </w:p>
    <w:p w:rsidR="00710802" w:rsidRDefault="00710802" w:rsidP="00710802">
      <w:pPr>
        <w:ind w:firstLine="720"/>
        <w:jc w:val="both"/>
        <w:rPr>
          <w:rFonts w:ascii="Times New Roman" w:eastAsia="Times New Roman" w:hAnsi="Times New Roman" w:cs="Times New Roman"/>
          <w:sz w:val="28"/>
        </w:rPr>
      </w:pPr>
    </w:p>
    <w:p w:rsidR="00710802" w:rsidRDefault="00710802" w:rsidP="00710802">
      <w:pPr>
        <w:ind w:firstLine="720"/>
        <w:jc w:val="center"/>
        <w:rPr>
          <w:rFonts w:ascii="Times New Roman" w:eastAsia="Times New Roman" w:hAnsi="Times New Roman" w:cs="Times New Roman"/>
          <w:sz w:val="28"/>
        </w:rPr>
      </w:pPr>
    </w:p>
    <w:p w:rsidR="00710802" w:rsidRDefault="00710802" w:rsidP="00710802">
      <w:pPr>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ВЫПУСКНАЯ КВАЛИФИКАЦИОННАЯ РАБОТА </w:t>
      </w:r>
      <w:r w:rsidRPr="006F48B7">
        <w:rPr>
          <w:rFonts w:ascii="Times New Roman" w:eastAsia="Times New Roman" w:hAnsi="Times New Roman" w:cs="Times New Roman"/>
          <w:b/>
          <w:sz w:val="28"/>
        </w:rPr>
        <w:t>НА ТЕМУ:</w:t>
      </w:r>
      <w:r>
        <w:rPr>
          <w:rFonts w:ascii="Times New Roman" w:eastAsia="Times New Roman" w:hAnsi="Times New Roman" w:cs="Times New Roman"/>
          <w:sz w:val="28"/>
        </w:rPr>
        <w:t xml:space="preserve"> </w:t>
      </w:r>
    </w:p>
    <w:p w:rsidR="00710802" w:rsidRDefault="00710802" w:rsidP="00710802">
      <w:pPr>
        <w:jc w:val="center"/>
        <w:rPr>
          <w:rFonts w:ascii="Times New Roman" w:eastAsia="Times New Roman" w:hAnsi="Times New Roman" w:cs="Times New Roman"/>
          <w:sz w:val="28"/>
        </w:rPr>
      </w:pPr>
    </w:p>
    <w:p w:rsidR="00710802" w:rsidRPr="006F48B7" w:rsidRDefault="00710802" w:rsidP="00710802">
      <w:pPr>
        <w:jc w:val="center"/>
        <w:rPr>
          <w:rFonts w:ascii="Times New Roman" w:eastAsia="Times New Roman" w:hAnsi="Times New Roman" w:cs="Times New Roman"/>
          <w:sz w:val="28"/>
        </w:rPr>
      </w:pPr>
      <w:r w:rsidRPr="006F48B7">
        <w:rPr>
          <w:rFonts w:ascii="Times New Roman" w:eastAsia="Times New Roman" w:hAnsi="Times New Roman" w:cs="Times New Roman"/>
          <w:sz w:val="28"/>
        </w:rPr>
        <w:t>РЕЗУЛЬТАТЫ ХИРУРГИЧЕСКОГО ЛЕЧЕНИЯ ПЕРВИЧНОГО ГИПЕРПАРАТИРЕОЗА</w:t>
      </w:r>
    </w:p>
    <w:p w:rsidR="00710802" w:rsidRPr="006F48B7" w:rsidRDefault="00710802" w:rsidP="00710802">
      <w:pPr>
        <w:jc w:val="center"/>
        <w:rPr>
          <w:rFonts w:ascii="Times New Roman" w:eastAsia="Times New Roman" w:hAnsi="Times New Roman" w:cs="Times New Roman"/>
          <w:sz w:val="28"/>
        </w:rPr>
      </w:pPr>
    </w:p>
    <w:p w:rsidR="00710802" w:rsidRPr="006F48B7" w:rsidRDefault="00710802" w:rsidP="00710802">
      <w:pPr>
        <w:jc w:val="center"/>
        <w:rPr>
          <w:rFonts w:ascii="Times New Roman" w:eastAsia="Times New Roman" w:hAnsi="Times New Roman" w:cs="Times New Roman"/>
          <w:sz w:val="28"/>
        </w:rPr>
      </w:pPr>
    </w:p>
    <w:p w:rsidR="00710802" w:rsidRDefault="00710802" w:rsidP="00710802">
      <w:pPr>
        <w:jc w:val="both"/>
        <w:rPr>
          <w:rFonts w:ascii="Times New Roman" w:eastAsia="Times New Roman" w:hAnsi="Times New Roman" w:cs="Times New Roman"/>
          <w:sz w:val="28"/>
        </w:rPr>
      </w:pPr>
    </w:p>
    <w:p w:rsidR="00710802" w:rsidRDefault="00710802" w:rsidP="00710802">
      <w:pPr>
        <w:jc w:val="both"/>
        <w:rPr>
          <w:rFonts w:ascii="Times New Roman" w:eastAsia="Times New Roman" w:hAnsi="Times New Roman" w:cs="Times New Roman"/>
          <w:sz w:val="28"/>
        </w:rPr>
      </w:pPr>
    </w:p>
    <w:p w:rsidR="00710802" w:rsidRDefault="00710802" w:rsidP="00710802">
      <w:pPr>
        <w:jc w:val="both"/>
        <w:rPr>
          <w:rFonts w:ascii="Times New Roman" w:eastAsia="Times New Roman" w:hAnsi="Times New Roman" w:cs="Times New Roman"/>
          <w:sz w:val="28"/>
        </w:rPr>
      </w:pPr>
    </w:p>
    <w:p w:rsidR="00710802" w:rsidRDefault="00710802" w:rsidP="00710802">
      <w:pPr>
        <w:jc w:val="both"/>
        <w:rPr>
          <w:rFonts w:ascii="Times New Roman" w:eastAsia="Times New Roman" w:hAnsi="Times New Roman" w:cs="Times New Roman"/>
          <w:sz w:val="28"/>
        </w:rPr>
      </w:pPr>
    </w:p>
    <w:p w:rsidR="00710802" w:rsidRDefault="00710802" w:rsidP="0071080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Выполнила студентка 603 группы</w:t>
      </w:r>
    </w:p>
    <w:p w:rsidR="00710802" w:rsidRDefault="00710802" w:rsidP="0071080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Бахтиярова Алюза Рамильевна </w:t>
      </w:r>
    </w:p>
    <w:p w:rsidR="00710802" w:rsidRDefault="00710802" w:rsidP="00710802">
      <w:pPr>
        <w:jc w:val="both"/>
        <w:rPr>
          <w:rFonts w:ascii="Times New Roman" w:eastAsia="Times New Roman" w:hAnsi="Times New Roman" w:cs="Times New Roman"/>
          <w:sz w:val="28"/>
        </w:rPr>
      </w:pPr>
    </w:p>
    <w:p w:rsidR="00710802" w:rsidRDefault="00710802" w:rsidP="0071080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Научный руководитель:</w:t>
      </w:r>
    </w:p>
    <w:p w:rsidR="00710802" w:rsidRDefault="00710802" w:rsidP="0071080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д.м.н., проф. Слепцов Илья Валерьевич</w:t>
      </w:r>
    </w:p>
    <w:p w:rsidR="00710802" w:rsidRDefault="00710802" w:rsidP="00710802">
      <w:pPr>
        <w:ind w:left="4320"/>
        <w:rPr>
          <w:rFonts w:ascii="Times New Roman" w:eastAsia="Times New Roman" w:hAnsi="Times New Roman" w:cs="Times New Roman"/>
          <w:sz w:val="28"/>
        </w:rPr>
      </w:pPr>
    </w:p>
    <w:p w:rsidR="00710802" w:rsidRDefault="00710802" w:rsidP="00710802">
      <w:pPr>
        <w:rPr>
          <w:rFonts w:ascii="Times New Roman" w:eastAsia="Times New Roman" w:hAnsi="Times New Roman" w:cs="Times New Roman"/>
          <w:sz w:val="28"/>
        </w:rPr>
      </w:pPr>
    </w:p>
    <w:p w:rsidR="00710802" w:rsidRDefault="00710802" w:rsidP="00710802">
      <w:pPr>
        <w:ind w:left="4320"/>
        <w:rPr>
          <w:rFonts w:ascii="Times New Roman" w:eastAsia="Times New Roman" w:hAnsi="Times New Roman" w:cs="Times New Roman"/>
          <w:sz w:val="28"/>
        </w:rPr>
      </w:pPr>
    </w:p>
    <w:p w:rsidR="00710802" w:rsidRDefault="00710802" w:rsidP="00710802">
      <w:pPr>
        <w:ind w:left="4320"/>
        <w:jc w:val="both"/>
        <w:rPr>
          <w:rFonts w:ascii="Times New Roman" w:eastAsia="Times New Roman" w:hAnsi="Times New Roman" w:cs="Times New Roman"/>
          <w:sz w:val="28"/>
        </w:rPr>
      </w:pPr>
    </w:p>
    <w:p w:rsidR="00710802" w:rsidRDefault="00710802" w:rsidP="00710802">
      <w:pPr>
        <w:ind w:left="4320"/>
        <w:jc w:val="both"/>
        <w:rPr>
          <w:rFonts w:ascii="Times New Roman" w:eastAsia="Times New Roman" w:hAnsi="Times New Roman" w:cs="Times New Roman"/>
          <w:sz w:val="28"/>
        </w:rPr>
      </w:pPr>
    </w:p>
    <w:p w:rsidR="00710802" w:rsidRDefault="00710802" w:rsidP="00710802">
      <w:pPr>
        <w:ind w:left="4320"/>
        <w:jc w:val="both"/>
        <w:rPr>
          <w:rFonts w:ascii="Times New Roman" w:eastAsia="Times New Roman" w:hAnsi="Times New Roman" w:cs="Times New Roman"/>
          <w:sz w:val="28"/>
        </w:rPr>
      </w:pPr>
    </w:p>
    <w:p w:rsidR="00710802" w:rsidRDefault="00710802" w:rsidP="00710802">
      <w:pPr>
        <w:ind w:left="4320"/>
        <w:jc w:val="both"/>
        <w:rPr>
          <w:rFonts w:ascii="Times New Roman" w:eastAsia="Times New Roman" w:hAnsi="Times New Roman" w:cs="Times New Roman"/>
          <w:sz w:val="28"/>
        </w:rPr>
      </w:pPr>
    </w:p>
    <w:p w:rsidR="00710802" w:rsidRDefault="00710802" w:rsidP="00710802">
      <w:pPr>
        <w:jc w:val="both"/>
        <w:rPr>
          <w:rFonts w:ascii="Times New Roman" w:eastAsia="Times New Roman" w:hAnsi="Times New Roman" w:cs="Times New Roman"/>
          <w:sz w:val="28"/>
        </w:rPr>
      </w:pPr>
    </w:p>
    <w:p w:rsidR="00710802" w:rsidRDefault="00710802" w:rsidP="00710802">
      <w:pPr>
        <w:jc w:val="both"/>
        <w:rPr>
          <w:rFonts w:ascii="Times New Roman" w:eastAsia="Times New Roman" w:hAnsi="Times New Roman" w:cs="Times New Roman"/>
          <w:sz w:val="28"/>
        </w:rPr>
      </w:pPr>
    </w:p>
    <w:p w:rsidR="00710802" w:rsidRDefault="00710802" w:rsidP="00710802">
      <w:pPr>
        <w:jc w:val="both"/>
        <w:rPr>
          <w:rFonts w:ascii="Times New Roman" w:eastAsia="Times New Roman" w:hAnsi="Times New Roman" w:cs="Times New Roman"/>
          <w:sz w:val="28"/>
        </w:rPr>
      </w:pPr>
    </w:p>
    <w:p w:rsidR="00710802" w:rsidRDefault="00710802" w:rsidP="00710802">
      <w:pPr>
        <w:jc w:val="both"/>
        <w:rPr>
          <w:rFonts w:ascii="Times New Roman" w:eastAsia="Times New Roman" w:hAnsi="Times New Roman" w:cs="Times New Roman"/>
          <w:sz w:val="28"/>
        </w:rPr>
      </w:pPr>
    </w:p>
    <w:p w:rsidR="00710802" w:rsidRDefault="00710802" w:rsidP="00710802">
      <w:pPr>
        <w:ind w:left="4320"/>
        <w:jc w:val="both"/>
        <w:rPr>
          <w:rFonts w:ascii="Times New Roman" w:eastAsia="Times New Roman" w:hAnsi="Times New Roman" w:cs="Times New Roman"/>
          <w:sz w:val="28"/>
        </w:rPr>
      </w:pPr>
    </w:p>
    <w:p w:rsidR="00710802" w:rsidRDefault="00710802" w:rsidP="00710802">
      <w:pPr>
        <w:jc w:val="center"/>
        <w:rPr>
          <w:rFonts w:ascii="Times New Roman" w:eastAsia="Times New Roman" w:hAnsi="Times New Roman" w:cs="Times New Roman"/>
          <w:sz w:val="28"/>
        </w:rPr>
      </w:pPr>
      <w:r>
        <w:rPr>
          <w:rFonts w:ascii="Times New Roman" w:eastAsia="Times New Roman" w:hAnsi="Times New Roman" w:cs="Times New Roman"/>
          <w:sz w:val="28"/>
        </w:rPr>
        <w:t>Санкт-Петербург</w:t>
      </w:r>
    </w:p>
    <w:p w:rsidR="00E44ADE" w:rsidRPr="00710802" w:rsidRDefault="00710802" w:rsidP="00710802">
      <w:pPr>
        <w:jc w:val="center"/>
        <w:rPr>
          <w:rFonts w:ascii="Times New Roman" w:eastAsia="Times New Roman" w:hAnsi="Times New Roman" w:cs="Times New Roman"/>
          <w:sz w:val="28"/>
        </w:rPr>
      </w:pPr>
      <w:r>
        <w:rPr>
          <w:rFonts w:ascii="Times New Roman" w:eastAsia="Times New Roman" w:hAnsi="Times New Roman" w:cs="Times New Roman"/>
          <w:sz w:val="28"/>
        </w:rPr>
        <w:t>2017</w:t>
      </w:r>
    </w:p>
    <w:sdt>
      <w:sdtPr>
        <w:rPr>
          <w:rFonts w:ascii="Liberation Serif" w:eastAsia="SimSun" w:hAnsi="Liberation Serif" w:cs="Mangal"/>
          <w:b w:val="0"/>
          <w:bCs w:val="0"/>
          <w:color w:val="00000A"/>
          <w:sz w:val="24"/>
          <w:szCs w:val="24"/>
          <w:lang w:eastAsia="zh-CN" w:bidi="hi-IN"/>
        </w:rPr>
        <w:id w:val="1382609681"/>
        <w:docPartObj>
          <w:docPartGallery w:val="Table of Contents"/>
          <w:docPartUnique/>
        </w:docPartObj>
      </w:sdtPr>
      <w:sdtContent>
        <w:p w:rsidR="00A812BA" w:rsidRPr="00A812BA" w:rsidRDefault="00A812BA">
          <w:pPr>
            <w:pStyle w:val="af3"/>
            <w:rPr>
              <w:rFonts w:cs="Times New Roman"/>
            </w:rPr>
          </w:pPr>
          <w:r w:rsidRPr="00A812BA">
            <w:rPr>
              <w:rFonts w:cs="Times New Roman"/>
            </w:rPr>
            <w:t>Оглавление</w:t>
          </w:r>
        </w:p>
        <w:p w:rsidR="008C4BD0" w:rsidRPr="008C4BD0" w:rsidRDefault="004348B6" w:rsidP="008C4BD0">
          <w:pPr>
            <w:pStyle w:val="11"/>
            <w:rPr>
              <w:rFonts w:ascii="Times New Roman" w:eastAsiaTheme="minorEastAsia" w:hAnsi="Times New Roman" w:cs="Times New Roman"/>
              <w:noProof/>
              <w:color w:val="auto"/>
              <w:sz w:val="28"/>
              <w:szCs w:val="28"/>
              <w:lang w:eastAsia="ru-RU" w:bidi="ar-SA"/>
            </w:rPr>
          </w:pPr>
          <w:r w:rsidRPr="00A812BA">
            <w:fldChar w:fldCharType="begin"/>
          </w:r>
          <w:r w:rsidR="00A812BA" w:rsidRPr="00A812BA">
            <w:instrText xml:space="preserve"> TOC \o "1-3" \h \z \u </w:instrText>
          </w:r>
          <w:r w:rsidRPr="00A812BA">
            <w:fldChar w:fldCharType="separate"/>
          </w:r>
          <w:hyperlink w:anchor="_Toc482798601" w:history="1">
            <w:r w:rsidR="008C4BD0" w:rsidRPr="008C4BD0">
              <w:rPr>
                <w:rStyle w:val="af"/>
                <w:rFonts w:ascii="Times New Roman" w:hAnsi="Times New Roman" w:cs="Times New Roman"/>
                <w:noProof/>
                <w:sz w:val="28"/>
                <w:szCs w:val="28"/>
              </w:rPr>
              <w:t>Список сокращений</w:t>
            </w:r>
            <w:r w:rsidR="008C4BD0" w:rsidRPr="008C4BD0">
              <w:rPr>
                <w:rFonts w:ascii="Times New Roman" w:hAnsi="Times New Roman" w:cs="Times New Roman"/>
                <w:noProof/>
                <w:webHidden/>
                <w:sz w:val="28"/>
                <w:szCs w:val="28"/>
              </w:rPr>
              <w:tab/>
            </w:r>
            <w:r w:rsidR="008C4BD0" w:rsidRPr="008C4BD0">
              <w:rPr>
                <w:rFonts w:ascii="Times New Roman" w:hAnsi="Times New Roman" w:cs="Times New Roman"/>
                <w:noProof/>
                <w:webHidden/>
                <w:sz w:val="28"/>
                <w:szCs w:val="28"/>
              </w:rPr>
              <w:fldChar w:fldCharType="begin"/>
            </w:r>
            <w:r w:rsidR="008C4BD0" w:rsidRPr="008C4BD0">
              <w:rPr>
                <w:rFonts w:ascii="Times New Roman" w:hAnsi="Times New Roman" w:cs="Times New Roman"/>
                <w:noProof/>
                <w:webHidden/>
                <w:sz w:val="28"/>
                <w:szCs w:val="28"/>
              </w:rPr>
              <w:instrText xml:space="preserve"> PAGEREF _Toc482798601 \h </w:instrText>
            </w:r>
            <w:r w:rsidR="008C4BD0" w:rsidRPr="008C4BD0">
              <w:rPr>
                <w:rFonts w:ascii="Times New Roman" w:hAnsi="Times New Roman" w:cs="Times New Roman"/>
                <w:noProof/>
                <w:webHidden/>
                <w:sz w:val="28"/>
                <w:szCs w:val="28"/>
              </w:rPr>
            </w:r>
            <w:r w:rsidR="008C4BD0" w:rsidRPr="008C4BD0">
              <w:rPr>
                <w:rFonts w:ascii="Times New Roman" w:hAnsi="Times New Roman" w:cs="Times New Roman"/>
                <w:noProof/>
                <w:webHidden/>
                <w:sz w:val="28"/>
                <w:szCs w:val="28"/>
              </w:rPr>
              <w:fldChar w:fldCharType="separate"/>
            </w:r>
            <w:r w:rsidR="00F76484">
              <w:rPr>
                <w:rFonts w:ascii="Times New Roman" w:hAnsi="Times New Roman" w:cs="Times New Roman"/>
                <w:noProof/>
                <w:webHidden/>
                <w:sz w:val="28"/>
                <w:szCs w:val="28"/>
              </w:rPr>
              <w:t>3</w:t>
            </w:r>
            <w:r w:rsidR="008C4BD0" w:rsidRPr="008C4BD0">
              <w:rPr>
                <w:rFonts w:ascii="Times New Roman" w:hAnsi="Times New Roman" w:cs="Times New Roman"/>
                <w:noProof/>
                <w:webHidden/>
                <w:sz w:val="28"/>
                <w:szCs w:val="28"/>
              </w:rPr>
              <w:fldChar w:fldCharType="end"/>
            </w:r>
          </w:hyperlink>
        </w:p>
        <w:p w:rsidR="008C4BD0" w:rsidRPr="008C4BD0" w:rsidRDefault="008C4BD0" w:rsidP="008C4BD0">
          <w:pPr>
            <w:pStyle w:val="11"/>
            <w:rPr>
              <w:rFonts w:ascii="Times New Roman" w:eastAsiaTheme="minorEastAsia" w:hAnsi="Times New Roman" w:cs="Times New Roman"/>
              <w:noProof/>
              <w:color w:val="auto"/>
              <w:sz w:val="28"/>
              <w:szCs w:val="28"/>
              <w:lang w:eastAsia="ru-RU" w:bidi="ar-SA"/>
            </w:rPr>
          </w:pPr>
          <w:hyperlink w:anchor="_Toc482798602" w:history="1">
            <w:r w:rsidRPr="008C4BD0">
              <w:rPr>
                <w:rStyle w:val="af"/>
                <w:rFonts w:ascii="Times New Roman" w:eastAsia="Times New Roman" w:hAnsi="Times New Roman" w:cs="Times New Roman"/>
                <w:noProof/>
                <w:sz w:val="28"/>
                <w:szCs w:val="28"/>
              </w:rPr>
              <w:t>Введение</w:t>
            </w:r>
            <w:r w:rsidRPr="008C4BD0">
              <w:rPr>
                <w:rFonts w:ascii="Times New Roman" w:hAnsi="Times New Roman" w:cs="Times New Roman"/>
                <w:noProof/>
                <w:webHidden/>
                <w:sz w:val="28"/>
                <w:szCs w:val="28"/>
              </w:rPr>
              <w:tab/>
            </w:r>
            <w:r w:rsidRPr="008C4BD0">
              <w:rPr>
                <w:rFonts w:ascii="Times New Roman" w:hAnsi="Times New Roman" w:cs="Times New Roman"/>
                <w:noProof/>
                <w:webHidden/>
                <w:sz w:val="28"/>
                <w:szCs w:val="28"/>
              </w:rPr>
              <w:fldChar w:fldCharType="begin"/>
            </w:r>
            <w:r w:rsidRPr="008C4BD0">
              <w:rPr>
                <w:rFonts w:ascii="Times New Roman" w:hAnsi="Times New Roman" w:cs="Times New Roman"/>
                <w:noProof/>
                <w:webHidden/>
                <w:sz w:val="28"/>
                <w:szCs w:val="28"/>
              </w:rPr>
              <w:instrText xml:space="preserve"> PAGEREF _Toc482798602 \h </w:instrText>
            </w:r>
            <w:r w:rsidRPr="008C4BD0">
              <w:rPr>
                <w:rFonts w:ascii="Times New Roman" w:hAnsi="Times New Roman" w:cs="Times New Roman"/>
                <w:noProof/>
                <w:webHidden/>
                <w:sz w:val="28"/>
                <w:szCs w:val="28"/>
              </w:rPr>
            </w:r>
            <w:r w:rsidRPr="008C4BD0">
              <w:rPr>
                <w:rFonts w:ascii="Times New Roman" w:hAnsi="Times New Roman" w:cs="Times New Roman"/>
                <w:noProof/>
                <w:webHidden/>
                <w:sz w:val="28"/>
                <w:szCs w:val="28"/>
              </w:rPr>
              <w:fldChar w:fldCharType="separate"/>
            </w:r>
            <w:r w:rsidR="00F76484">
              <w:rPr>
                <w:rFonts w:ascii="Times New Roman" w:hAnsi="Times New Roman" w:cs="Times New Roman"/>
                <w:noProof/>
                <w:webHidden/>
                <w:sz w:val="28"/>
                <w:szCs w:val="28"/>
              </w:rPr>
              <w:t>4</w:t>
            </w:r>
            <w:r w:rsidRPr="008C4BD0">
              <w:rPr>
                <w:rFonts w:ascii="Times New Roman" w:hAnsi="Times New Roman" w:cs="Times New Roman"/>
                <w:noProof/>
                <w:webHidden/>
                <w:sz w:val="28"/>
                <w:szCs w:val="28"/>
              </w:rPr>
              <w:fldChar w:fldCharType="end"/>
            </w:r>
          </w:hyperlink>
        </w:p>
        <w:p w:rsidR="008C4BD0" w:rsidRPr="008C4BD0" w:rsidRDefault="008C4BD0" w:rsidP="008C4BD0">
          <w:pPr>
            <w:pStyle w:val="11"/>
            <w:rPr>
              <w:rFonts w:ascii="Times New Roman" w:eastAsiaTheme="minorEastAsia" w:hAnsi="Times New Roman" w:cs="Times New Roman"/>
              <w:noProof/>
              <w:color w:val="auto"/>
              <w:sz w:val="28"/>
              <w:szCs w:val="28"/>
              <w:lang w:eastAsia="ru-RU" w:bidi="ar-SA"/>
            </w:rPr>
          </w:pPr>
          <w:hyperlink w:anchor="_Toc482798603" w:history="1">
            <w:r w:rsidRPr="008C4BD0">
              <w:rPr>
                <w:rStyle w:val="af"/>
                <w:rFonts w:ascii="Times New Roman" w:eastAsia="Times New Roman" w:hAnsi="Times New Roman" w:cs="Times New Roman"/>
                <w:noProof/>
                <w:sz w:val="28"/>
                <w:szCs w:val="28"/>
              </w:rPr>
              <w:t>Глава 1. Современное представление о первичном гиперпаратиреозе</w:t>
            </w:r>
            <w:r w:rsidRPr="008C4BD0">
              <w:rPr>
                <w:rFonts w:ascii="Times New Roman" w:hAnsi="Times New Roman" w:cs="Times New Roman"/>
                <w:noProof/>
                <w:webHidden/>
                <w:sz w:val="28"/>
                <w:szCs w:val="28"/>
              </w:rPr>
              <w:tab/>
            </w:r>
            <w:r w:rsidRPr="008C4BD0">
              <w:rPr>
                <w:rFonts w:ascii="Times New Roman" w:hAnsi="Times New Roman" w:cs="Times New Roman"/>
                <w:noProof/>
                <w:webHidden/>
                <w:sz w:val="28"/>
                <w:szCs w:val="28"/>
              </w:rPr>
              <w:fldChar w:fldCharType="begin"/>
            </w:r>
            <w:r w:rsidRPr="008C4BD0">
              <w:rPr>
                <w:rFonts w:ascii="Times New Roman" w:hAnsi="Times New Roman" w:cs="Times New Roman"/>
                <w:noProof/>
                <w:webHidden/>
                <w:sz w:val="28"/>
                <w:szCs w:val="28"/>
              </w:rPr>
              <w:instrText xml:space="preserve"> PAGEREF _Toc482798603 \h </w:instrText>
            </w:r>
            <w:r w:rsidRPr="008C4BD0">
              <w:rPr>
                <w:rFonts w:ascii="Times New Roman" w:hAnsi="Times New Roman" w:cs="Times New Roman"/>
                <w:noProof/>
                <w:webHidden/>
                <w:sz w:val="28"/>
                <w:szCs w:val="28"/>
              </w:rPr>
            </w:r>
            <w:r w:rsidRPr="008C4BD0">
              <w:rPr>
                <w:rFonts w:ascii="Times New Roman" w:hAnsi="Times New Roman" w:cs="Times New Roman"/>
                <w:noProof/>
                <w:webHidden/>
                <w:sz w:val="28"/>
                <w:szCs w:val="28"/>
              </w:rPr>
              <w:fldChar w:fldCharType="separate"/>
            </w:r>
            <w:r w:rsidR="00F76484">
              <w:rPr>
                <w:rFonts w:ascii="Times New Roman" w:hAnsi="Times New Roman" w:cs="Times New Roman"/>
                <w:noProof/>
                <w:webHidden/>
                <w:sz w:val="28"/>
                <w:szCs w:val="28"/>
              </w:rPr>
              <w:t>7</w:t>
            </w:r>
            <w:r w:rsidRPr="008C4BD0">
              <w:rPr>
                <w:rFonts w:ascii="Times New Roman" w:hAnsi="Times New Roman" w:cs="Times New Roman"/>
                <w:noProof/>
                <w:webHidden/>
                <w:sz w:val="28"/>
                <w:szCs w:val="28"/>
              </w:rPr>
              <w:fldChar w:fldCharType="end"/>
            </w:r>
          </w:hyperlink>
        </w:p>
        <w:p w:rsidR="008C4BD0" w:rsidRPr="008C4BD0" w:rsidRDefault="008C4BD0" w:rsidP="008C4BD0">
          <w:pPr>
            <w:pStyle w:val="22"/>
            <w:rPr>
              <w:rFonts w:eastAsiaTheme="minorEastAsia"/>
              <w:noProof/>
              <w:color w:val="auto"/>
              <w:lang w:eastAsia="ru-RU" w:bidi="ar-SA"/>
            </w:rPr>
          </w:pPr>
          <w:hyperlink w:anchor="_Toc482798604" w:history="1">
            <w:r w:rsidRPr="008C4BD0">
              <w:rPr>
                <w:rStyle w:val="af"/>
                <w:rFonts w:eastAsia="Times New Roman"/>
                <w:noProof/>
              </w:rPr>
              <w:t>1.1 Развитие и особенности локализации ОЩЖ</w:t>
            </w:r>
            <w:r w:rsidRPr="008C4BD0">
              <w:rPr>
                <w:noProof/>
                <w:webHidden/>
              </w:rPr>
              <w:tab/>
            </w:r>
            <w:r w:rsidRPr="008C4BD0">
              <w:rPr>
                <w:noProof/>
                <w:webHidden/>
              </w:rPr>
              <w:fldChar w:fldCharType="begin"/>
            </w:r>
            <w:r w:rsidRPr="008C4BD0">
              <w:rPr>
                <w:noProof/>
                <w:webHidden/>
              </w:rPr>
              <w:instrText xml:space="preserve"> PAGEREF _Toc482798604 \h </w:instrText>
            </w:r>
            <w:r w:rsidRPr="008C4BD0">
              <w:rPr>
                <w:noProof/>
                <w:webHidden/>
              </w:rPr>
            </w:r>
            <w:r w:rsidRPr="008C4BD0">
              <w:rPr>
                <w:noProof/>
                <w:webHidden/>
              </w:rPr>
              <w:fldChar w:fldCharType="separate"/>
            </w:r>
            <w:r w:rsidR="00F76484">
              <w:rPr>
                <w:noProof/>
                <w:webHidden/>
              </w:rPr>
              <w:t>7</w:t>
            </w:r>
            <w:r w:rsidRPr="008C4BD0">
              <w:rPr>
                <w:noProof/>
                <w:webHidden/>
              </w:rPr>
              <w:fldChar w:fldCharType="end"/>
            </w:r>
          </w:hyperlink>
        </w:p>
        <w:p w:rsidR="008C4BD0" w:rsidRPr="008C4BD0" w:rsidRDefault="008C4BD0" w:rsidP="008C4BD0">
          <w:pPr>
            <w:pStyle w:val="22"/>
            <w:rPr>
              <w:rFonts w:eastAsiaTheme="minorEastAsia"/>
              <w:noProof/>
              <w:color w:val="auto"/>
              <w:lang w:eastAsia="ru-RU" w:bidi="ar-SA"/>
            </w:rPr>
          </w:pPr>
          <w:hyperlink w:anchor="_Toc482798605" w:history="1">
            <w:r w:rsidRPr="008C4BD0">
              <w:rPr>
                <w:rStyle w:val="af"/>
                <w:rFonts w:eastAsia="Times New Roman"/>
                <w:noProof/>
              </w:rPr>
              <w:t>1.2 Паратиреоидный гормон в норме</w:t>
            </w:r>
            <w:r w:rsidRPr="008C4BD0">
              <w:rPr>
                <w:noProof/>
                <w:webHidden/>
              </w:rPr>
              <w:tab/>
            </w:r>
            <w:r w:rsidRPr="008C4BD0">
              <w:rPr>
                <w:noProof/>
                <w:webHidden/>
              </w:rPr>
              <w:fldChar w:fldCharType="begin"/>
            </w:r>
            <w:r w:rsidRPr="008C4BD0">
              <w:rPr>
                <w:noProof/>
                <w:webHidden/>
              </w:rPr>
              <w:instrText xml:space="preserve"> PAGEREF _Toc482798605 \h </w:instrText>
            </w:r>
            <w:r w:rsidRPr="008C4BD0">
              <w:rPr>
                <w:noProof/>
                <w:webHidden/>
              </w:rPr>
            </w:r>
            <w:r w:rsidRPr="008C4BD0">
              <w:rPr>
                <w:noProof/>
                <w:webHidden/>
              </w:rPr>
              <w:fldChar w:fldCharType="separate"/>
            </w:r>
            <w:r w:rsidR="00F76484">
              <w:rPr>
                <w:noProof/>
                <w:webHidden/>
              </w:rPr>
              <w:t>8</w:t>
            </w:r>
            <w:r w:rsidRPr="008C4BD0">
              <w:rPr>
                <w:noProof/>
                <w:webHidden/>
              </w:rPr>
              <w:fldChar w:fldCharType="end"/>
            </w:r>
          </w:hyperlink>
        </w:p>
        <w:p w:rsidR="008C4BD0" w:rsidRPr="008C4BD0" w:rsidRDefault="008C4BD0" w:rsidP="008C4BD0">
          <w:pPr>
            <w:pStyle w:val="22"/>
            <w:rPr>
              <w:rFonts w:eastAsiaTheme="minorEastAsia"/>
              <w:noProof/>
              <w:color w:val="auto"/>
              <w:lang w:eastAsia="ru-RU" w:bidi="ar-SA"/>
            </w:rPr>
          </w:pPr>
          <w:hyperlink w:anchor="_Toc482798606" w:history="1">
            <w:r w:rsidRPr="008C4BD0">
              <w:rPr>
                <w:rStyle w:val="af"/>
                <w:rFonts w:eastAsia="Times New Roman"/>
                <w:noProof/>
              </w:rPr>
              <w:t>1.3 Первичный гиперпратиреоз. Этиология и патогенез</w:t>
            </w:r>
            <w:r w:rsidRPr="008C4BD0">
              <w:rPr>
                <w:noProof/>
                <w:webHidden/>
              </w:rPr>
              <w:tab/>
            </w:r>
            <w:r w:rsidRPr="008C4BD0">
              <w:rPr>
                <w:noProof/>
                <w:webHidden/>
              </w:rPr>
              <w:fldChar w:fldCharType="begin"/>
            </w:r>
            <w:r w:rsidRPr="008C4BD0">
              <w:rPr>
                <w:noProof/>
                <w:webHidden/>
              </w:rPr>
              <w:instrText xml:space="preserve"> PAGEREF _Toc482798606 \h </w:instrText>
            </w:r>
            <w:r w:rsidRPr="008C4BD0">
              <w:rPr>
                <w:noProof/>
                <w:webHidden/>
              </w:rPr>
            </w:r>
            <w:r w:rsidRPr="008C4BD0">
              <w:rPr>
                <w:noProof/>
                <w:webHidden/>
              </w:rPr>
              <w:fldChar w:fldCharType="separate"/>
            </w:r>
            <w:r w:rsidR="00F76484">
              <w:rPr>
                <w:noProof/>
                <w:webHidden/>
              </w:rPr>
              <w:t>10</w:t>
            </w:r>
            <w:r w:rsidRPr="008C4BD0">
              <w:rPr>
                <w:noProof/>
                <w:webHidden/>
              </w:rPr>
              <w:fldChar w:fldCharType="end"/>
            </w:r>
          </w:hyperlink>
        </w:p>
        <w:p w:rsidR="008C4BD0" w:rsidRPr="008C4BD0" w:rsidRDefault="008C4BD0" w:rsidP="008C4BD0">
          <w:pPr>
            <w:pStyle w:val="22"/>
            <w:rPr>
              <w:rFonts w:eastAsiaTheme="minorEastAsia"/>
              <w:noProof/>
              <w:color w:val="auto"/>
              <w:lang w:eastAsia="ru-RU" w:bidi="ar-SA"/>
            </w:rPr>
          </w:pPr>
          <w:hyperlink w:anchor="_Toc482798607" w:history="1">
            <w:r w:rsidRPr="008C4BD0">
              <w:rPr>
                <w:rStyle w:val="af"/>
                <w:rFonts w:eastAsia="Times New Roman"/>
                <w:noProof/>
                <w:shd w:val="clear" w:color="auto" w:fill="FFFFFF"/>
              </w:rPr>
              <w:t>1.4. Клиническая картина ПГПТ</w:t>
            </w:r>
            <w:r w:rsidRPr="008C4BD0">
              <w:rPr>
                <w:noProof/>
                <w:webHidden/>
              </w:rPr>
              <w:tab/>
            </w:r>
            <w:r w:rsidRPr="008C4BD0">
              <w:rPr>
                <w:noProof/>
                <w:webHidden/>
              </w:rPr>
              <w:fldChar w:fldCharType="begin"/>
            </w:r>
            <w:r w:rsidRPr="008C4BD0">
              <w:rPr>
                <w:noProof/>
                <w:webHidden/>
              </w:rPr>
              <w:instrText xml:space="preserve"> PAGEREF _Toc482798607 \h </w:instrText>
            </w:r>
            <w:r w:rsidRPr="008C4BD0">
              <w:rPr>
                <w:noProof/>
                <w:webHidden/>
              </w:rPr>
            </w:r>
            <w:r w:rsidRPr="008C4BD0">
              <w:rPr>
                <w:noProof/>
                <w:webHidden/>
              </w:rPr>
              <w:fldChar w:fldCharType="separate"/>
            </w:r>
            <w:r w:rsidR="00F76484">
              <w:rPr>
                <w:noProof/>
                <w:webHidden/>
              </w:rPr>
              <w:t>14</w:t>
            </w:r>
            <w:r w:rsidRPr="008C4BD0">
              <w:rPr>
                <w:noProof/>
                <w:webHidden/>
              </w:rPr>
              <w:fldChar w:fldCharType="end"/>
            </w:r>
          </w:hyperlink>
        </w:p>
        <w:p w:rsidR="008C4BD0" w:rsidRPr="008C4BD0" w:rsidRDefault="008C4BD0" w:rsidP="008C4BD0">
          <w:pPr>
            <w:pStyle w:val="22"/>
            <w:rPr>
              <w:rFonts w:eastAsiaTheme="minorEastAsia"/>
              <w:noProof/>
              <w:color w:val="auto"/>
              <w:lang w:eastAsia="ru-RU" w:bidi="ar-SA"/>
            </w:rPr>
          </w:pPr>
          <w:hyperlink w:anchor="_Toc482798608" w:history="1">
            <w:r w:rsidRPr="008C4BD0">
              <w:rPr>
                <w:rStyle w:val="af"/>
                <w:rFonts w:eastAsia="Times New Roman"/>
                <w:noProof/>
              </w:rPr>
              <w:t>1.5. Современные принципы диагностики ПГПТ</w:t>
            </w:r>
            <w:r w:rsidRPr="008C4BD0">
              <w:rPr>
                <w:noProof/>
                <w:webHidden/>
              </w:rPr>
              <w:tab/>
            </w:r>
            <w:r w:rsidRPr="008C4BD0">
              <w:rPr>
                <w:noProof/>
                <w:webHidden/>
              </w:rPr>
              <w:fldChar w:fldCharType="begin"/>
            </w:r>
            <w:r w:rsidRPr="008C4BD0">
              <w:rPr>
                <w:noProof/>
                <w:webHidden/>
              </w:rPr>
              <w:instrText xml:space="preserve"> PAGEREF _Toc482798608 \h </w:instrText>
            </w:r>
            <w:r w:rsidRPr="008C4BD0">
              <w:rPr>
                <w:noProof/>
                <w:webHidden/>
              </w:rPr>
            </w:r>
            <w:r w:rsidRPr="008C4BD0">
              <w:rPr>
                <w:noProof/>
                <w:webHidden/>
              </w:rPr>
              <w:fldChar w:fldCharType="separate"/>
            </w:r>
            <w:r w:rsidR="00F76484">
              <w:rPr>
                <w:noProof/>
                <w:webHidden/>
              </w:rPr>
              <w:t>16</w:t>
            </w:r>
            <w:r w:rsidRPr="008C4BD0">
              <w:rPr>
                <w:noProof/>
                <w:webHidden/>
              </w:rPr>
              <w:fldChar w:fldCharType="end"/>
            </w:r>
          </w:hyperlink>
        </w:p>
        <w:p w:rsidR="008C4BD0" w:rsidRPr="008C4BD0" w:rsidRDefault="008C4BD0" w:rsidP="008C4BD0">
          <w:pPr>
            <w:pStyle w:val="22"/>
            <w:rPr>
              <w:rFonts w:eastAsiaTheme="minorEastAsia"/>
              <w:noProof/>
              <w:color w:val="auto"/>
              <w:lang w:eastAsia="ru-RU" w:bidi="ar-SA"/>
            </w:rPr>
          </w:pPr>
          <w:hyperlink w:anchor="_Toc482798609" w:history="1">
            <w:r w:rsidRPr="008C4BD0">
              <w:rPr>
                <w:rStyle w:val="af"/>
                <w:rFonts w:eastAsia="Times New Roman"/>
                <w:noProof/>
              </w:rPr>
              <w:t>1.6. Лечение ПГПТ</w:t>
            </w:r>
            <w:r w:rsidRPr="008C4BD0">
              <w:rPr>
                <w:noProof/>
                <w:webHidden/>
              </w:rPr>
              <w:tab/>
            </w:r>
            <w:r w:rsidRPr="008C4BD0">
              <w:rPr>
                <w:noProof/>
                <w:webHidden/>
              </w:rPr>
              <w:fldChar w:fldCharType="begin"/>
            </w:r>
            <w:r w:rsidRPr="008C4BD0">
              <w:rPr>
                <w:noProof/>
                <w:webHidden/>
              </w:rPr>
              <w:instrText xml:space="preserve"> PAGEREF _Toc482798609 \h </w:instrText>
            </w:r>
            <w:r w:rsidRPr="008C4BD0">
              <w:rPr>
                <w:noProof/>
                <w:webHidden/>
              </w:rPr>
            </w:r>
            <w:r w:rsidRPr="008C4BD0">
              <w:rPr>
                <w:noProof/>
                <w:webHidden/>
              </w:rPr>
              <w:fldChar w:fldCharType="separate"/>
            </w:r>
            <w:r w:rsidR="00F76484">
              <w:rPr>
                <w:noProof/>
                <w:webHidden/>
              </w:rPr>
              <w:t>20</w:t>
            </w:r>
            <w:r w:rsidRPr="008C4BD0">
              <w:rPr>
                <w:noProof/>
                <w:webHidden/>
              </w:rPr>
              <w:fldChar w:fldCharType="end"/>
            </w:r>
          </w:hyperlink>
        </w:p>
        <w:p w:rsidR="008C4BD0" w:rsidRPr="008C4BD0" w:rsidRDefault="008C4BD0" w:rsidP="008C4BD0">
          <w:pPr>
            <w:pStyle w:val="22"/>
            <w:rPr>
              <w:rFonts w:eastAsiaTheme="minorEastAsia"/>
              <w:noProof/>
              <w:color w:val="auto"/>
              <w:lang w:eastAsia="ru-RU" w:bidi="ar-SA"/>
            </w:rPr>
          </w:pPr>
          <w:hyperlink w:anchor="_Toc482798610" w:history="1">
            <w:r w:rsidRPr="008C4BD0">
              <w:rPr>
                <w:rStyle w:val="af"/>
                <w:rFonts w:eastAsia="Times New Roman"/>
                <w:noProof/>
              </w:rPr>
              <w:t>1.7 Интраоперационное определение ПТГ (иПТГ)</w:t>
            </w:r>
            <w:r w:rsidRPr="008C4BD0">
              <w:rPr>
                <w:noProof/>
                <w:webHidden/>
              </w:rPr>
              <w:tab/>
            </w:r>
            <w:r w:rsidRPr="008C4BD0">
              <w:rPr>
                <w:noProof/>
                <w:webHidden/>
              </w:rPr>
              <w:fldChar w:fldCharType="begin"/>
            </w:r>
            <w:r w:rsidRPr="008C4BD0">
              <w:rPr>
                <w:noProof/>
                <w:webHidden/>
              </w:rPr>
              <w:instrText xml:space="preserve"> PAGEREF _Toc482798610 \h </w:instrText>
            </w:r>
            <w:r w:rsidRPr="008C4BD0">
              <w:rPr>
                <w:noProof/>
                <w:webHidden/>
              </w:rPr>
            </w:r>
            <w:r w:rsidRPr="008C4BD0">
              <w:rPr>
                <w:noProof/>
                <w:webHidden/>
              </w:rPr>
              <w:fldChar w:fldCharType="separate"/>
            </w:r>
            <w:r w:rsidR="00F76484">
              <w:rPr>
                <w:noProof/>
                <w:webHidden/>
              </w:rPr>
              <w:t>24</w:t>
            </w:r>
            <w:r w:rsidRPr="008C4BD0">
              <w:rPr>
                <w:noProof/>
                <w:webHidden/>
              </w:rPr>
              <w:fldChar w:fldCharType="end"/>
            </w:r>
          </w:hyperlink>
        </w:p>
        <w:p w:rsidR="008C4BD0" w:rsidRPr="008C4BD0" w:rsidRDefault="008C4BD0" w:rsidP="008C4BD0">
          <w:pPr>
            <w:pStyle w:val="11"/>
            <w:rPr>
              <w:rFonts w:ascii="Times New Roman" w:eastAsiaTheme="minorEastAsia" w:hAnsi="Times New Roman" w:cs="Times New Roman"/>
              <w:noProof/>
              <w:color w:val="auto"/>
              <w:sz w:val="28"/>
              <w:szCs w:val="28"/>
              <w:lang w:eastAsia="ru-RU" w:bidi="ar-SA"/>
            </w:rPr>
          </w:pPr>
          <w:hyperlink w:anchor="_Toc482798611" w:history="1">
            <w:r w:rsidRPr="008C4BD0">
              <w:rPr>
                <w:rStyle w:val="af"/>
                <w:rFonts w:ascii="Times New Roman" w:hAnsi="Times New Roman" w:cs="Times New Roman"/>
                <w:noProof/>
                <w:sz w:val="28"/>
                <w:szCs w:val="28"/>
              </w:rPr>
              <w:t>Глава 2. Материалы и методы</w:t>
            </w:r>
            <w:r w:rsidRPr="008C4BD0">
              <w:rPr>
                <w:rFonts w:ascii="Times New Roman" w:hAnsi="Times New Roman" w:cs="Times New Roman"/>
                <w:noProof/>
                <w:webHidden/>
                <w:sz w:val="28"/>
                <w:szCs w:val="28"/>
              </w:rPr>
              <w:tab/>
            </w:r>
            <w:r w:rsidRPr="008C4BD0">
              <w:rPr>
                <w:rFonts w:ascii="Times New Roman" w:hAnsi="Times New Roman" w:cs="Times New Roman"/>
                <w:noProof/>
                <w:webHidden/>
                <w:sz w:val="28"/>
                <w:szCs w:val="28"/>
              </w:rPr>
              <w:fldChar w:fldCharType="begin"/>
            </w:r>
            <w:r w:rsidRPr="008C4BD0">
              <w:rPr>
                <w:rFonts w:ascii="Times New Roman" w:hAnsi="Times New Roman" w:cs="Times New Roman"/>
                <w:noProof/>
                <w:webHidden/>
                <w:sz w:val="28"/>
                <w:szCs w:val="28"/>
              </w:rPr>
              <w:instrText xml:space="preserve"> PAGEREF _Toc482798611 \h </w:instrText>
            </w:r>
            <w:r w:rsidRPr="008C4BD0">
              <w:rPr>
                <w:rFonts w:ascii="Times New Roman" w:hAnsi="Times New Roman" w:cs="Times New Roman"/>
                <w:noProof/>
                <w:webHidden/>
                <w:sz w:val="28"/>
                <w:szCs w:val="28"/>
              </w:rPr>
            </w:r>
            <w:r w:rsidRPr="008C4BD0">
              <w:rPr>
                <w:rFonts w:ascii="Times New Roman" w:hAnsi="Times New Roman" w:cs="Times New Roman"/>
                <w:noProof/>
                <w:webHidden/>
                <w:sz w:val="28"/>
                <w:szCs w:val="28"/>
              </w:rPr>
              <w:fldChar w:fldCharType="separate"/>
            </w:r>
            <w:r w:rsidR="00F76484">
              <w:rPr>
                <w:rFonts w:ascii="Times New Roman" w:hAnsi="Times New Roman" w:cs="Times New Roman"/>
                <w:noProof/>
                <w:webHidden/>
                <w:sz w:val="28"/>
                <w:szCs w:val="28"/>
              </w:rPr>
              <w:t>28</w:t>
            </w:r>
            <w:r w:rsidRPr="008C4BD0">
              <w:rPr>
                <w:rFonts w:ascii="Times New Roman" w:hAnsi="Times New Roman" w:cs="Times New Roman"/>
                <w:noProof/>
                <w:webHidden/>
                <w:sz w:val="28"/>
                <w:szCs w:val="28"/>
              </w:rPr>
              <w:fldChar w:fldCharType="end"/>
            </w:r>
          </w:hyperlink>
        </w:p>
        <w:p w:rsidR="008C4BD0" w:rsidRPr="008C4BD0" w:rsidRDefault="008C4BD0" w:rsidP="008C4BD0">
          <w:pPr>
            <w:pStyle w:val="22"/>
            <w:rPr>
              <w:rFonts w:eastAsiaTheme="minorEastAsia"/>
              <w:noProof/>
              <w:color w:val="auto"/>
              <w:lang w:eastAsia="ru-RU" w:bidi="ar-SA"/>
            </w:rPr>
          </w:pPr>
          <w:hyperlink w:anchor="_Toc482798612" w:history="1">
            <w:r w:rsidRPr="008C4BD0">
              <w:rPr>
                <w:rStyle w:val="af"/>
                <w:noProof/>
              </w:rPr>
              <w:t>2.1 Материалы исследования</w:t>
            </w:r>
            <w:r w:rsidRPr="008C4BD0">
              <w:rPr>
                <w:noProof/>
                <w:webHidden/>
              </w:rPr>
              <w:tab/>
            </w:r>
            <w:r w:rsidRPr="008C4BD0">
              <w:rPr>
                <w:noProof/>
                <w:webHidden/>
              </w:rPr>
              <w:fldChar w:fldCharType="begin"/>
            </w:r>
            <w:r w:rsidRPr="008C4BD0">
              <w:rPr>
                <w:noProof/>
                <w:webHidden/>
              </w:rPr>
              <w:instrText xml:space="preserve"> PAGEREF _Toc482798612 \h </w:instrText>
            </w:r>
            <w:r w:rsidRPr="008C4BD0">
              <w:rPr>
                <w:noProof/>
                <w:webHidden/>
              </w:rPr>
            </w:r>
            <w:r w:rsidRPr="008C4BD0">
              <w:rPr>
                <w:noProof/>
                <w:webHidden/>
              </w:rPr>
              <w:fldChar w:fldCharType="separate"/>
            </w:r>
            <w:r w:rsidR="00F76484">
              <w:rPr>
                <w:noProof/>
                <w:webHidden/>
              </w:rPr>
              <w:t>28</w:t>
            </w:r>
            <w:r w:rsidRPr="008C4BD0">
              <w:rPr>
                <w:noProof/>
                <w:webHidden/>
              </w:rPr>
              <w:fldChar w:fldCharType="end"/>
            </w:r>
          </w:hyperlink>
        </w:p>
        <w:p w:rsidR="008C4BD0" w:rsidRPr="008C4BD0" w:rsidRDefault="008C4BD0" w:rsidP="008C4BD0">
          <w:pPr>
            <w:pStyle w:val="22"/>
            <w:rPr>
              <w:rFonts w:eastAsiaTheme="minorEastAsia"/>
              <w:noProof/>
              <w:color w:val="auto"/>
              <w:lang w:eastAsia="ru-RU" w:bidi="ar-SA"/>
            </w:rPr>
          </w:pPr>
          <w:hyperlink w:anchor="_Toc482798613" w:history="1">
            <w:r w:rsidRPr="008C4BD0">
              <w:rPr>
                <w:rStyle w:val="af"/>
                <w:noProof/>
              </w:rPr>
              <w:t>2.2 Методы исследования</w:t>
            </w:r>
            <w:r w:rsidRPr="008C4BD0">
              <w:rPr>
                <w:noProof/>
                <w:webHidden/>
              </w:rPr>
              <w:tab/>
            </w:r>
            <w:r w:rsidRPr="008C4BD0">
              <w:rPr>
                <w:noProof/>
                <w:webHidden/>
              </w:rPr>
              <w:fldChar w:fldCharType="begin"/>
            </w:r>
            <w:r w:rsidRPr="008C4BD0">
              <w:rPr>
                <w:noProof/>
                <w:webHidden/>
              </w:rPr>
              <w:instrText xml:space="preserve"> PAGEREF _Toc482798613 \h </w:instrText>
            </w:r>
            <w:r w:rsidRPr="008C4BD0">
              <w:rPr>
                <w:noProof/>
                <w:webHidden/>
              </w:rPr>
            </w:r>
            <w:r w:rsidRPr="008C4BD0">
              <w:rPr>
                <w:noProof/>
                <w:webHidden/>
              </w:rPr>
              <w:fldChar w:fldCharType="separate"/>
            </w:r>
            <w:r w:rsidR="00F76484">
              <w:rPr>
                <w:noProof/>
                <w:webHidden/>
              </w:rPr>
              <w:t>29</w:t>
            </w:r>
            <w:r w:rsidRPr="008C4BD0">
              <w:rPr>
                <w:noProof/>
                <w:webHidden/>
              </w:rPr>
              <w:fldChar w:fldCharType="end"/>
            </w:r>
          </w:hyperlink>
        </w:p>
        <w:p w:rsidR="008C4BD0" w:rsidRPr="008C4BD0" w:rsidRDefault="008C4BD0" w:rsidP="008C4BD0">
          <w:pPr>
            <w:pStyle w:val="31"/>
            <w:jc w:val="both"/>
            <w:rPr>
              <w:rFonts w:ascii="Times New Roman" w:eastAsiaTheme="minorEastAsia" w:hAnsi="Times New Roman" w:cs="Times New Roman"/>
              <w:noProof/>
              <w:color w:val="auto"/>
              <w:sz w:val="28"/>
              <w:szCs w:val="28"/>
              <w:lang w:eastAsia="ru-RU" w:bidi="ar-SA"/>
            </w:rPr>
          </w:pPr>
          <w:hyperlink w:anchor="_Toc482798614" w:history="1">
            <w:r w:rsidRPr="008C4BD0">
              <w:rPr>
                <w:rStyle w:val="af"/>
                <w:rFonts w:ascii="Times New Roman" w:hAnsi="Times New Roman" w:cs="Times New Roman"/>
                <w:noProof/>
                <w:sz w:val="28"/>
                <w:szCs w:val="28"/>
              </w:rPr>
              <w:t>2.2.1 Методы определения иПТГ</w:t>
            </w:r>
            <w:r w:rsidRPr="008C4BD0">
              <w:rPr>
                <w:rFonts w:ascii="Times New Roman" w:hAnsi="Times New Roman" w:cs="Times New Roman"/>
                <w:noProof/>
                <w:webHidden/>
                <w:sz w:val="28"/>
                <w:szCs w:val="28"/>
              </w:rPr>
              <w:tab/>
            </w:r>
            <w:r w:rsidRPr="008C4BD0">
              <w:rPr>
                <w:rFonts w:ascii="Times New Roman" w:hAnsi="Times New Roman" w:cs="Times New Roman"/>
                <w:noProof/>
                <w:webHidden/>
                <w:sz w:val="28"/>
                <w:szCs w:val="28"/>
              </w:rPr>
              <w:fldChar w:fldCharType="begin"/>
            </w:r>
            <w:r w:rsidRPr="008C4BD0">
              <w:rPr>
                <w:rFonts w:ascii="Times New Roman" w:hAnsi="Times New Roman" w:cs="Times New Roman"/>
                <w:noProof/>
                <w:webHidden/>
                <w:sz w:val="28"/>
                <w:szCs w:val="28"/>
              </w:rPr>
              <w:instrText xml:space="preserve"> PAGEREF _Toc482798614 \h </w:instrText>
            </w:r>
            <w:r w:rsidRPr="008C4BD0">
              <w:rPr>
                <w:rFonts w:ascii="Times New Roman" w:hAnsi="Times New Roman" w:cs="Times New Roman"/>
                <w:noProof/>
                <w:webHidden/>
                <w:sz w:val="28"/>
                <w:szCs w:val="28"/>
              </w:rPr>
            </w:r>
            <w:r w:rsidRPr="008C4BD0">
              <w:rPr>
                <w:rFonts w:ascii="Times New Roman" w:hAnsi="Times New Roman" w:cs="Times New Roman"/>
                <w:noProof/>
                <w:webHidden/>
                <w:sz w:val="28"/>
                <w:szCs w:val="28"/>
              </w:rPr>
              <w:fldChar w:fldCharType="separate"/>
            </w:r>
            <w:r w:rsidR="00F76484">
              <w:rPr>
                <w:rFonts w:ascii="Times New Roman" w:hAnsi="Times New Roman" w:cs="Times New Roman"/>
                <w:noProof/>
                <w:webHidden/>
                <w:sz w:val="28"/>
                <w:szCs w:val="28"/>
              </w:rPr>
              <w:t>29</w:t>
            </w:r>
            <w:r w:rsidRPr="008C4BD0">
              <w:rPr>
                <w:rFonts w:ascii="Times New Roman" w:hAnsi="Times New Roman" w:cs="Times New Roman"/>
                <w:noProof/>
                <w:webHidden/>
                <w:sz w:val="28"/>
                <w:szCs w:val="28"/>
              </w:rPr>
              <w:fldChar w:fldCharType="end"/>
            </w:r>
          </w:hyperlink>
        </w:p>
        <w:p w:rsidR="008C4BD0" w:rsidRPr="008C4BD0" w:rsidRDefault="008C4BD0" w:rsidP="008C4BD0">
          <w:pPr>
            <w:pStyle w:val="31"/>
            <w:jc w:val="both"/>
            <w:rPr>
              <w:rFonts w:ascii="Times New Roman" w:eastAsiaTheme="minorEastAsia" w:hAnsi="Times New Roman" w:cs="Times New Roman"/>
              <w:noProof/>
              <w:color w:val="auto"/>
              <w:sz w:val="28"/>
              <w:szCs w:val="28"/>
              <w:lang w:eastAsia="ru-RU" w:bidi="ar-SA"/>
            </w:rPr>
          </w:pPr>
          <w:hyperlink w:anchor="_Toc482798615" w:history="1">
            <w:r w:rsidRPr="008C4BD0">
              <w:rPr>
                <w:rStyle w:val="af"/>
                <w:rFonts w:ascii="Times New Roman" w:hAnsi="Times New Roman" w:cs="Times New Roman"/>
                <w:noProof/>
                <w:sz w:val="28"/>
                <w:szCs w:val="28"/>
              </w:rPr>
              <w:t>2.2.2 Статистическая обработка</w:t>
            </w:r>
            <w:r w:rsidRPr="008C4BD0">
              <w:rPr>
                <w:rFonts w:ascii="Times New Roman" w:hAnsi="Times New Roman" w:cs="Times New Roman"/>
                <w:noProof/>
                <w:webHidden/>
                <w:sz w:val="28"/>
                <w:szCs w:val="28"/>
              </w:rPr>
              <w:tab/>
            </w:r>
            <w:r w:rsidRPr="008C4BD0">
              <w:rPr>
                <w:rFonts w:ascii="Times New Roman" w:hAnsi="Times New Roman" w:cs="Times New Roman"/>
                <w:noProof/>
                <w:webHidden/>
                <w:sz w:val="28"/>
                <w:szCs w:val="28"/>
              </w:rPr>
              <w:fldChar w:fldCharType="begin"/>
            </w:r>
            <w:r w:rsidRPr="008C4BD0">
              <w:rPr>
                <w:rFonts w:ascii="Times New Roman" w:hAnsi="Times New Roman" w:cs="Times New Roman"/>
                <w:noProof/>
                <w:webHidden/>
                <w:sz w:val="28"/>
                <w:szCs w:val="28"/>
              </w:rPr>
              <w:instrText xml:space="preserve"> PAGEREF _Toc482798615 \h </w:instrText>
            </w:r>
            <w:r w:rsidRPr="008C4BD0">
              <w:rPr>
                <w:rFonts w:ascii="Times New Roman" w:hAnsi="Times New Roman" w:cs="Times New Roman"/>
                <w:noProof/>
                <w:webHidden/>
                <w:sz w:val="28"/>
                <w:szCs w:val="28"/>
              </w:rPr>
            </w:r>
            <w:r w:rsidRPr="008C4BD0">
              <w:rPr>
                <w:rFonts w:ascii="Times New Roman" w:hAnsi="Times New Roman" w:cs="Times New Roman"/>
                <w:noProof/>
                <w:webHidden/>
                <w:sz w:val="28"/>
                <w:szCs w:val="28"/>
              </w:rPr>
              <w:fldChar w:fldCharType="separate"/>
            </w:r>
            <w:r w:rsidR="00F76484">
              <w:rPr>
                <w:rFonts w:ascii="Times New Roman" w:hAnsi="Times New Roman" w:cs="Times New Roman"/>
                <w:noProof/>
                <w:webHidden/>
                <w:sz w:val="28"/>
                <w:szCs w:val="28"/>
              </w:rPr>
              <w:t>30</w:t>
            </w:r>
            <w:r w:rsidRPr="008C4BD0">
              <w:rPr>
                <w:rFonts w:ascii="Times New Roman" w:hAnsi="Times New Roman" w:cs="Times New Roman"/>
                <w:noProof/>
                <w:webHidden/>
                <w:sz w:val="28"/>
                <w:szCs w:val="28"/>
              </w:rPr>
              <w:fldChar w:fldCharType="end"/>
            </w:r>
          </w:hyperlink>
        </w:p>
        <w:p w:rsidR="008C4BD0" w:rsidRPr="008C4BD0" w:rsidRDefault="008C4BD0" w:rsidP="008C4BD0">
          <w:pPr>
            <w:pStyle w:val="11"/>
            <w:rPr>
              <w:rFonts w:ascii="Times New Roman" w:eastAsiaTheme="minorEastAsia" w:hAnsi="Times New Roman" w:cs="Times New Roman"/>
              <w:noProof/>
              <w:color w:val="auto"/>
              <w:sz w:val="28"/>
              <w:szCs w:val="28"/>
              <w:lang w:eastAsia="ru-RU" w:bidi="ar-SA"/>
            </w:rPr>
          </w:pPr>
          <w:hyperlink w:anchor="_Toc482798616" w:history="1">
            <w:r w:rsidRPr="008C4BD0">
              <w:rPr>
                <w:rStyle w:val="af"/>
                <w:rFonts w:ascii="Times New Roman" w:hAnsi="Times New Roman" w:cs="Times New Roman"/>
                <w:noProof/>
                <w:sz w:val="28"/>
                <w:szCs w:val="28"/>
              </w:rPr>
              <w:t>Глава 3. Результаты исследования</w:t>
            </w:r>
            <w:r w:rsidRPr="008C4BD0">
              <w:rPr>
                <w:rFonts w:ascii="Times New Roman" w:hAnsi="Times New Roman" w:cs="Times New Roman"/>
                <w:noProof/>
                <w:webHidden/>
                <w:sz w:val="28"/>
                <w:szCs w:val="28"/>
              </w:rPr>
              <w:tab/>
            </w:r>
            <w:r w:rsidRPr="008C4BD0">
              <w:rPr>
                <w:rFonts w:ascii="Times New Roman" w:hAnsi="Times New Roman" w:cs="Times New Roman"/>
                <w:noProof/>
                <w:webHidden/>
                <w:sz w:val="28"/>
                <w:szCs w:val="28"/>
              </w:rPr>
              <w:fldChar w:fldCharType="begin"/>
            </w:r>
            <w:r w:rsidRPr="008C4BD0">
              <w:rPr>
                <w:rFonts w:ascii="Times New Roman" w:hAnsi="Times New Roman" w:cs="Times New Roman"/>
                <w:noProof/>
                <w:webHidden/>
                <w:sz w:val="28"/>
                <w:szCs w:val="28"/>
              </w:rPr>
              <w:instrText xml:space="preserve"> PAGEREF _Toc482798616 \h </w:instrText>
            </w:r>
            <w:r w:rsidRPr="008C4BD0">
              <w:rPr>
                <w:rFonts w:ascii="Times New Roman" w:hAnsi="Times New Roman" w:cs="Times New Roman"/>
                <w:noProof/>
                <w:webHidden/>
                <w:sz w:val="28"/>
                <w:szCs w:val="28"/>
              </w:rPr>
            </w:r>
            <w:r w:rsidRPr="008C4BD0">
              <w:rPr>
                <w:rFonts w:ascii="Times New Roman" w:hAnsi="Times New Roman" w:cs="Times New Roman"/>
                <w:noProof/>
                <w:webHidden/>
                <w:sz w:val="28"/>
                <w:szCs w:val="28"/>
              </w:rPr>
              <w:fldChar w:fldCharType="separate"/>
            </w:r>
            <w:r w:rsidR="00F76484">
              <w:rPr>
                <w:rFonts w:ascii="Times New Roman" w:hAnsi="Times New Roman" w:cs="Times New Roman"/>
                <w:noProof/>
                <w:webHidden/>
                <w:sz w:val="28"/>
                <w:szCs w:val="28"/>
              </w:rPr>
              <w:t>32</w:t>
            </w:r>
            <w:r w:rsidRPr="008C4BD0">
              <w:rPr>
                <w:rFonts w:ascii="Times New Roman" w:hAnsi="Times New Roman" w:cs="Times New Roman"/>
                <w:noProof/>
                <w:webHidden/>
                <w:sz w:val="28"/>
                <w:szCs w:val="28"/>
              </w:rPr>
              <w:fldChar w:fldCharType="end"/>
            </w:r>
          </w:hyperlink>
        </w:p>
        <w:p w:rsidR="008C4BD0" w:rsidRPr="008C4BD0" w:rsidRDefault="008C4BD0" w:rsidP="008C4BD0">
          <w:pPr>
            <w:pStyle w:val="22"/>
            <w:rPr>
              <w:rFonts w:eastAsiaTheme="minorEastAsia"/>
              <w:noProof/>
              <w:color w:val="auto"/>
              <w:lang w:eastAsia="ru-RU" w:bidi="ar-SA"/>
            </w:rPr>
          </w:pPr>
          <w:hyperlink w:anchor="_Toc482798617" w:history="1">
            <w:r w:rsidRPr="008C4BD0">
              <w:rPr>
                <w:rStyle w:val="af"/>
                <w:noProof/>
              </w:rPr>
              <w:t>3.1 Определение чувствительности и специфичности традиционного метода интраоперационного определения ПТГ</w:t>
            </w:r>
            <w:r w:rsidRPr="008C4BD0">
              <w:rPr>
                <w:noProof/>
                <w:webHidden/>
              </w:rPr>
              <w:tab/>
            </w:r>
            <w:r w:rsidRPr="008C4BD0">
              <w:rPr>
                <w:noProof/>
                <w:webHidden/>
              </w:rPr>
              <w:fldChar w:fldCharType="begin"/>
            </w:r>
            <w:r w:rsidRPr="008C4BD0">
              <w:rPr>
                <w:noProof/>
                <w:webHidden/>
              </w:rPr>
              <w:instrText xml:space="preserve"> PAGEREF _Toc482798617 \h </w:instrText>
            </w:r>
            <w:r w:rsidRPr="008C4BD0">
              <w:rPr>
                <w:noProof/>
                <w:webHidden/>
              </w:rPr>
            </w:r>
            <w:r w:rsidRPr="008C4BD0">
              <w:rPr>
                <w:noProof/>
                <w:webHidden/>
              </w:rPr>
              <w:fldChar w:fldCharType="separate"/>
            </w:r>
            <w:r w:rsidR="00F76484">
              <w:rPr>
                <w:noProof/>
                <w:webHidden/>
              </w:rPr>
              <w:t>32</w:t>
            </w:r>
            <w:r w:rsidRPr="008C4BD0">
              <w:rPr>
                <w:noProof/>
                <w:webHidden/>
              </w:rPr>
              <w:fldChar w:fldCharType="end"/>
            </w:r>
          </w:hyperlink>
        </w:p>
        <w:p w:rsidR="008C4BD0" w:rsidRPr="008C4BD0" w:rsidRDefault="008C4BD0" w:rsidP="008C4BD0">
          <w:pPr>
            <w:pStyle w:val="22"/>
            <w:rPr>
              <w:rFonts w:eastAsiaTheme="minorEastAsia"/>
              <w:noProof/>
              <w:color w:val="auto"/>
              <w:lang w:eastAsia="ru-RU" w:bidi="ar-SA"/>
            </w:rPr>
          </w:pPr>
          <w:hyperlink w:anchor="_Toc482798618" w:history="1">
            <w:r>
              <w:rPr>
                <w:rStyle w:val="af"/>
                <w:noProof/>
              </w:rPr>
              <w:t xml:space="preserve">3.2 </w:t>
            </w:r>
            <w:r w:rsidRPr="008C4BD0">
              <w:rPr>
                <w:rStyle w:val="af"/>
                <w:noProof/>
              </w:rPr>
              <w:t>Определение чувствительности и специфичности модифицированного метода интраоперационного определения ПТГ</w:t>
            </w:r>
            <w:r w:rsidRPr="008C4BD0">
              <w:rPr>
                <w:noProof/>
                <w:webHidden/>
              </w:rPr>
              <w:tab/>
            </w:r>
            <w:r w:rsidRPr="008C4BD0">
              <w:rPr>
                <w:noProof/>
                <w:webHidden/>
              </w:rPr>
              <w:fldChar w:fldCharType="begin"/>
            </w:r>
            <w:r w:rsidRPr="008C4BD0">
              <w:rPr>
                <w:noProof/>
                <w:webHidden/>
              </w:rPr>
              <w:instrText xml:space="preserve"> PAGEREF _Toc482798618 \h </w:instrText>
            </w:r>
            <w:r w:rsidRPr="008C4BD0">
              <w:rPr>
                <w:noProof/>
                <w:webHidden/>
              </w:rPr>
            </w:r>
            <w:r w:rsidRPr="008C4BD0">
              <w:rPr>
                <w:noProof/>
                <w:webHidden/>
              </w:rPr>
              <w:fldChar w:fldCharType="separate"/>
            </w:r>
            <w:r w:rsidR="00F76484">
              <w:rPr>
                <w:noProof/>
                <w:webHidden/>
              </w:rPr>
              <w:t>32</w:t>
            </w:r>
            <w:r w:rsidRPr="008C4BD0">
              <w:rPr>
                <w:noProof/>
                <w:webHidden/>
              </w:rPr>
              <w:fldChar w:fldCharType="end"/>
            </w:r>
          </w:hyperlink>
        </w:p>
        <w:p w:rsidR="008C4BD0" w:rsidRPr="008C4BD0" w:rsidRDefault="008C4BD0" w:rsidP="008C4BD0">
          <w:pPr>
            <w:pStyle w:val="22"/>
            <w:rPr>
              <w:rFonts w:eastAsiaTheme="minorEastAsia"/>
              <w:noProof/>
              <w:color w:val="auto"/>
              <w:lang w:eastAsia="ru-RU" w:bidi="ar-SA"/>
            </w:rPr>
          </w:pPr>
          <w:hyperlink w:anchor="_Toc482798619" w:history="1">
            <w:r w:rsidRPr="008C4BD0">
              <w:rPr>
                <w:rStyle w:val="af"/>
                <w:noProof/>
              </w:rPr>
              <w:t xml:space="preserve">3.3 Сравнительный анализ </w:t>
            </w:r>
            <w:r w:rsidRPr="008C4BD0">
              <w:rPr>
                <w:rStyle w:val="af"/>
                <w:noProof/>
                <w:lang w:val="en-US"/>
              </w:rPr>
              <w:t>ROC</w:t>
            </w:r>
            <w:r w:rsidRPr="008C4BD0">
              <w:rPr>
                <w:rStyle w:val="af"/>
                <w:noProof/>
              </w:rPr>
              <w:t xml:space="preserve"> кривых</w:t>
            </w:r>
            <w:r w:rsidRPr="008C4BD0">
              <w:rPr>
                <w:noProof/>
                <w:webHidden/>
              </w:rPr>
              <w:tab/>
            </w:r>
            <w:r w:rsidRPr="008C4BD0">
              <w:rPr>
                <w:noProof/>
                <w:webHidden/>
              </w:rPr>
              <w:fldChar w:fldCharType="begin"/>
            </w:r>
            <w:r w:rsidRPr="008C4BD0">
              <w:rPr>
                <w:noProof/>
                <w:webHidden/>
              </w:rPr>
              <w:instrText xml:space="preserve"> PAGEREF _Toc482798619 \h </w:instrText>
            </w:r>
            <w:r w:rsidRPr="008C4BD0">
              <w:rPr>
                <w:noProof/>
                <w:webHidden/>
              </w:rPr>
            </w:r>
            <w:r w:rsidRPr="008C4BD0">
              <w:rPr>
                <w:noProof/>
                <w:webHidden/>
              </w:rPr>
              <w:fldChar w:fldCharType="separate"/>
            </w:r>
            <w:r w:rsidR="00F76484">
              <w:rPr>
                <w:noProof/>
                <w:webHidden/>
              </w:rPr>
              <w:t>33</w:t>
            </w:r>
            <w:r w:rsidRPr="008C4BD0">
              <w:rPr>
                <w:noProof/>
                <w:webHidden/>
              </w:rPr>
              <w:fldChar w:fldCharType="end"/>
            </w:r>
          </w:hyperlink>
        </w:p>
        <w:p w:rsidR="008C4BD0" w:rsidRPr="008C4BD0" w:rsidRDefault="008C4BD0" w:rsidP="008C4BD0">
          <w:pPr>
            <w:pStyle w:val="22"/>
            <w:rPr>
              <w:rFonts w:eastAsiaTheme="minorEastAsia"/>
              <w:noProof/>
              <w:color w:val="auto"/>
              <w:lang w:eastAsia="ru-RU" w:bidi="ar-SA"/>
            </w:rPr>
          </w:pPr>
          <w:hyperlink w:anchor="_Toc482798620" w:history="1">
            <w:r w:rsidRPr="008C4BD0">
              <w:rPr>
                <w:rStyle w:val="af"/>
                <w:noProof/>
              </w:rPr>
              <w:t>3.4 Распределение пациентов по исходным данным и прогнозу</w:t>
            </w:r>
            <w:r w:rsidRPr="008C4BD0">
              <w:rPr>
                <w:noProof/>
                <w:webHidden/>
              </w:rPr>
              <w:tab/>
            </w:r>
            <w:r w:rsidRPr="008C4BD0">
              <w:rPr>
                <w:noProof/>
                <w:webHidden/>
              </w:rPr>
              <w:fldChar w:fldCharType="begin"/>
            </w:r>
            <w:r w:rsidRPr="008C4BD0">
              <w:rPr>
                <w:noProof/>
                <w:webHidden/>
              </w:rPr>
              <w:instrText xml:space="preserve"> PAGEREF _Toc482798620 \h </w:instrText>
            </w:r>
            <w:r w:rsidRPr="008C4BD0">
              <w:rPr>
                <w:noProof/>
                <w:webHidden/>
              </w:rPr>
            </w:r>
            <w:r w:rsidRPr="008C4BD0">
              <w:rPr>
                <w:noProof/>
                <w:webHidden/>
              </w:rPr>
              <w:fldChar w:fldCharType="separate"/>
            </w:r>
            <w:r w:rsidR="00F76484">
              <w:rPr>
                <w:noProof/>
                <w:webHidden/>
              </w:rPr>
              <w:t>34</w:t>
            </w:r>
            <w:r w:rsidRPr="008C4BD0">
              <w:rPr>
                <w:noProof/>
                <w:webHidden/>
              </w:rPr>
              <w:fldChar w:fldCharType="end"/>
            </w:r>
          </w:hyperlink>
        </w:p>
        <w:p w:rsidR="008C4BD0" w:rsidRPr="008C4BD0" w:rsidRDefault="008C4BD0" w:rsidP="008C4BD0">
          <w:pPr>
            <w:pStyle w:val="22"/>
            <w:rPr>
              <w:rFonts w:eastAsiaTheme="minorEastAsia"/>
              <w:noProof/>
              <w:color w:val="auto"/>
              <w:lang w:eastAsia="ru-RU" w:bidi="ar-SA"/>
            </w:rPr>
          </w:pPr>
          <w:hyperlink w:anchor="_Toc482798621" w:history="1">
            <w:r w:rsidRPr="008C4BD0">
              <w:rPr>
                <w:rStyle w:val="af"/>
                <w:noProof/>
              </w:rPr>
              <w:t>3.5. Определение наличие связи между дополнительными факторами риска персистенции и прогнозом</w:t>
            </w:r>
            <w:r w:rsidRPr="008C4BD0">
              <w:rPr>
                <w:noProof/>
                <w:webHidden/>
              </w:rPr>
              <w:tab/>
            </w:r>
            <w:r w:rsidRPr="008C4BD0">
              <w:rPr>
                <w:noProof/>
                <w:webHidden/>
              </w:rPr>
              <w:fldChar w:fldCharType="begin"/>
            </w:r>
            <w:r w:rsidRPr="008C4BD0">
              <w:rPr>
                <w:noProof/>
                <w:webHidden/>
              </w:rPr>
              <w:instrText xml:space="preserve"> PAGEREF _Toc482798621 \h </w:instrText>
            </w:r>
            <w:r w:rsidRPr="008C4BD0">
              <w:rPr>
                <w:noProof/>
                <w:webHidden/>
              </w:rPr>
            </w:r>
            <w:r w:rsidRPr="008C4BD0">
              <w:rPr>
                <w:noProof/>
                <w:webHidden/>
              </w:rPr>
              <w:fldChar w:fldCharType="separate"/>
            </w:r>
            <w:r w:rsidR="00F76484">
              <w:rPr>
                <w:noProof/>
                <w:webHidden/>
              </w:rPr>
              <w:t>37</w:t>
            </w:r>
            <w:r w:rsidRPr="008C4BD0">
              <w:rPr>
                <w:noProof/>
                <w:webHidden/>
              </w:rPr>
              <w:fldChar w:fldCharType="end"/>
            </w:r>
          </w:hyperlink>
        </w:p>
        <w:p w:rsidR="008C4BD0" w:rsidRPr="008C4BD0" w:rsidRDefault="008C4BD0" w:rsidP="008C4BD0">
          <w:pPr>
            <w:pStyle w:val="11"/>
            <w:rPr>
              <w:rFonts w:ascii="Times New Roman" w:eastAsiaTheme="minorEastAsia" w:hAnsi="Times New Roman" w:cs="Times New Roman"/>
              <w:noProof/>
              <w:color w:val="auto"/>
              <w:sz w:val="28"/>
              <w:szCs w:val="28"/>
              <w:lang w:eastAsia="ru-RU" w:bidi="ar-SA"/>
            </w:rPr>
          </w:pPr>
          <w:hyperlink w:anchor="_Toc482798622" w:history="1">
            <w:r w:rsidRPr="008C4BD0">
              <w:rPr>
                <w:rStyle w:val="af"/>
                <w:rFonts w:ascii="Times New Roman" w:hAnsi="Times New Roman" w:cs="Times New Roman"/>
                <w:noProof/>
                <w:sz w:val="28"/>
                <w:szCs w:val="28"/>
              </w:rPr>
              <w:t>Список литературы</w:t>
            </w:r>
            <w:r w:rsidRPr="008C4BD0">
              <w:rPr>
                <w:rFonts w:ascii="Times New Roman" w:hAnsi="Times New Roman" w:cs="Times New Roman"/>
                <w:noProof/>
                <w:webHidden/>
                <w:sz w:val="28"/>
                <w:szCs w:val="28"/>
              </w:rPr>
              <w:tab/>
            </w:r>
            <w:r w:rsidRPr="008C4BD0">
              <w:rPr>
                <w:rFonts w:ascii="Times New Roman" w:hAnsi="Times New Roman" w:cs="Times New Roman"/>
                <w:noProof/>
                <w:webHidden/>
                <w:sz w:val="28"/>
                <w:szCs w:val="28"/>
              </w:rPr>
              <w:fldChar w:fldCharType="begin"/>
            </w:r>
            <w:r w:rsidRPr="008C4BD0">
              <w:rPr>
                <w:rFonts w:ascii="Times New Roman" w:hAnsi="Times New Roman" w:cs="Times New Roman"/>
                <w:noProof/>
                <w:webHidden/>
                <w:sz w:val="28"/>
                <w:szCs w:val="28"/>
              </w:rPr>
              <w:instrText xml:space="preserve"> PAGEREF _Toc482798622 \h </w:instrText>
            </w:r>
            <w:r w:rsidRPr="008C4BD0">
              <w:rPr>
                <w:rFonts w:ascii="Times New Roman" w:hAnsi="Times New Roman" w:cs="Times New Roman"/>
                <w:noProof/>
                <w:webHidden/>
                <w:sz w:val="28"/>
                <w:szCs w:val="28"/>
              </w:rPr>
            </w:r>
            <w:r w:rsidRPr="008C4BD0">
              <w:rPr>
                <w:rFonts w:ascii="Times New Roman" w:hAnsi="Times New Roman" w:cs="Times New Roman"/>
                <w:noProof/>
                <w:webHidden/>
                <w:sz w:val="28"/>
                <w:szCs w:val="28"/>
              </w:rPr>
              <w:fldChar w:fldCharType="separate"/>
            </w:r>
            <w:r w:rsidR="00F76484">
              <w:rPr>
                <w:rFonts w:ascii="Times New Roman" w:hAnsi="Times New Roman" w:cs="Times New Roman"/>
                <w:noProof/>
                <w:webHidden/>
                <w:sz w:val="28"/>
                <w:szCs w:val="28"/>
              </w:rPr>
              <w:t>44</w:t>
            </w:r>
            <w:r w:rsidRPr="008C4BD0">
              <w:rPr>
                <w:rFonts w:ascii="Times New Roman" w:hAnsi="Times New Roman" w:cs="Times New Roman"/>
                <w:noProof/>
                <w:webHidden/>
                <w:sz w:val="28"/>
                <w:szCs w:val="28"/>
              </w:rPr>
              <w:fldChar w:fldCharType="end"/>
            </w:r>
          </w:hyperlink>
        </w:p>
        <w:p w:rsidR="008C4BD0" w:rsidRDefault="008C4BD0" w:rsidP="008C4BD0">
          <w:pPr>
            <w:pStyle w:val="11"/>
            <w:rPr>
              <w:rFonts w:asciiTheme="minorHAnsi" w:eastAsiaTheme="minorEastAsia" w:hAnsiTheme="minorHAnsi" w:cstheme="minorBidi"/>
              <w:noProof/>
              <w:color w:val="auto"/>
              <w:sz w:val="22"/>
              <w:szCs w:val="22"/>
              <w:lang w:eastAsia="ru-RU" w:bidi="ar-SA"/>
            </w:rPr>
          </w:pPr>
          <w:hyperlink w:anchor="_Toc482798623" w:history="1">
            <w:r w:rsidRPr="008C4BD0">
              <w:rPr>
                <w:rStyle w:val="af"/>
                <w:rFonts w:ascii="Times New Roman" w:hAnsi="Times New Roman" w:cs="Times New Roman"/>
                <w:noProof/>
                <w:sz w:val="28"/>
                <w:szCs w:val="28"/>
              </w:rPr>
              <w:t>Приложение</w:t>
            </w:r>
            <w:r w:rsidRPr="008C4BD0">
              <w:rPr>
                <w:rFonts w:ascii="Times New Roman" w:hAnsi="Times New Roman" w:cs="Times New Roman"/>
                <w:noProof/>
                <w:webHidden/>
                <w:sz w:val="28"/>
                <w:szCs w:val="28"/>
              </w:rPr>
              <w:tab/>
            </w:r>
            <w:r w:rsidRPr="008C4BD0">
              <w:rPr>
                <w:rFonts w:ascii="Times New Roman" w:hAnsi="Times New Roman" w:cs="Times New Roman"/>
                <w:noProof/>
                <w:webHidden/>
                <w:sz w:val="28"/>
                <w:szCs w:val="28"/>
              </w:rPr>
              <w:fldChar w:fldCharType="begin"/>
            </w:r>
            <w:r w:rsidRPr="008C4BD0">
              <w:rPr>
                <w:rFonts w:ascii="Times New Roman" w:hAnsi="Times New Roman" w:cs="Times New Roman"/>
                <w:noProof/>
                <w:webHidden/>
                <w:sz w:val="28"/>
                <w:szCs w:val="28"/>
              </w:rPr>
              <w:instrText xml:space="preserve"> PAGEREF _Toc482798623 \h </w:instrText>
            </w:r>
            <w:r w:rsidRPr="008C4BD0">
              <w:rPr>
                <w:rFonts w:ascii="Times New Roman" w:hAnsi="Times New Roman" w:cs="Times New Roman"/>
                <w:noProof/>
                <w:webHidden/>
                <w:sz w:val="28"/>
                <w:szCs w:val="28"/>
              </w:rPr>
            </w:r>
            <w:r w:rsidRPr="008C4BD0">
              <w:rPr>
                <w:rFonts w:ascii="Times New Roman" w:hAnsi="Times New Roman" w:cs="Times New Roman"/>
                <w:noProof/>
                <w:webHidden/>
                <w:sz w:val="28"/>
                <w:szCs w:val="28"/>
              </w:rPr>
              <w:fldChar w:fldCharType="separate"/>
            </w:r>
            <w:r w:rsidR="00F76484">
              <w:rPr>
                <w:rFonts w:ascii="Times New Roman" w:hAnsi="Times New Roman" w:cs="Times New Roman"/>
                <w:noProof/>
                <w:webHidden/>
                <w:sz w:val="28"/>
                <w:szCs w:val="28"/>
              </w:rPr>
              <w:t>49</w:t>
            </w:r>
            <w:r w:rsidRPr="008C4BD0">
              <w:rPr>
                <w:rFonts w:ascii="Times New Roman" w:hAnsi="Times New Roman" w:cs="Times New Roman"/>
                <w:noProof/>
                <w:webHidden/>
                <w:sz w:val="28"/>
                <w:szCs w:val="28"/>
              </w:rPr>
              <w:fldChar w:fldCharType="end"/>
            </w:r>
          </w:hyperlink>
        </w:p>
        <w:p w:rsidR="00474415" w:rsidRPr="00474415" w:rsidRDefault="004348B6" w:rsidP="00474415">
          <w:r w:rsidRPr="00A812BA">
            <w:rPr>
              <w:rFonts w:ascii="Times New Roman" w:hAnsi="Times New Roman" w:cs="Times New Roman"/>
              <w:sz w:val="28"/>
              <w:szCs w:val="28"/>
            </w:rPr>
            <w:fldChar w:fldCharType="end"/>
          </w:r>
        </w:p>
      </w:sdtContent>
    </w:sdt>
    <w:p w:rsidR="00C94209" w:rsidRPr="008C4BD0" w:rsidRDefault="00E44ADE" w:rsidP="008C4BD0">
      <w:pPr>
        <w:pStyle w:val="1"/>
      </w:pPr>
      <w:bookmarkStart w:id="0" w:name="_Toc482798601"/>
      <w:r w:rsidRPr="008C4BD0">
        <w:t>Список сокращений</w:t>
      </w:r>
      <w:bookmarkEnd w:id="0"/>
    </w:p>
    <w:p w:rsidR="0002551B" w:rsidRPr="0002551B" w:rsidRDefault="0002551B" w:rsidP="0002551B">
      <w:pPr>
        <w:spacing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БФ – бисфосфонаты</w:t>
      </w:r>
    </w:p>
    <w:p w:rsidR="00C94209" w:rsidRPr="00B94AE4" w:rsidRDefault="00C94209" w:rsidP="0002551B">
      <w:pPr>
        <w:spacing w:line="360" w:lineRule="auto"/>
        <w:jc w:val="both"/>
        <w:rPr>
          <w:rFonts w:ascii="Times New Roman" w:hAnsi="Times New Roman" w:cs="Times New Roman"/>
          <w:sz w:val="28"/>
          <w:shd w:val="clear" w:color="auto" w:fill="FFFFFF"/>
        </w:rPr>
      </w:pPr>
      <w:r w:rsidRPr="00B94AE4">
        <w:rPr>
          <w:rFonts w:ascii="Times New Roman" w:hAnsi="Times New Roman" w:cs="Times New Roman"/>
          <w:sz w:val="28"/>
          <w:shd w:val="clear" w:color="auto" w:fill="FFFFFF"/>
        </w:rPr>
        <w:t xml:space="preserve">иПТГ </w:t>
      </w:r>
      <w:r w:rsidR="00931B3B">
        <w:rPr>
          <w:rFonts w:ascii="Times New Roman" w:hAnsi="Times New Roman" w:cs="Times New Roman"/>
          <w:sz w:val="28"/>
          <w:shd w:val="clear" w:color="auto" w:fill="FFFFFF"/>
        </w:rPr>
        <w:t>–</w:t>
      </w:r>
      <w:r w:rsidRPr="00B94AE4">
        <w:rPr>
          <w:rFonts w:ascii="Times New Roman" w:hAnsi="Times New Roman" w:cs="Times New Roman"/>
          <w:sz w:val="28"/>
          <w:shd w:val="clear" w:color="auto" w:fill="FFFFFF"/>
        </w:rPr>
        <w:t xml:space="preserve"> </w:t>
      </w:r>
      <w:r w:rsidR="00C60A57">
        <w:rPr>
          <w:rFonts w:ascii="Times New Roman" w:hAnsi="Times New Roman" w:cs="Times New Roman"/>
          <w:sz w:val="28"/>
          <w:shd w:val="clear" w:color="auto" w:fill="FFFFFF"/>
        </w:rPr>
        <w:t>интраоперационн</w:t>
      </w:r>
      <w:r w:rsidR="00931B3B">
        <w:rPr>
          <w:rFonts w:ascii="Times New Roman" w:hAnsi="Times New Roman" w:cs="Times New Roman"/>
          <w:sz w:val="28"/>
          <w:shd w:val="clear" w:color="auto" w:fill="FFFFFF"/>
        </w:rPr>
        <w:t>ое определение ПТГ</w:t>
      </w:r>
    </w:p>
    <w:p w:rsidR="00C94209" w:rsidRPr="00B94AE4" w:rsidRDefault="00C94209" w:rsidP="0002551B">
      <w:pPr>
        <w:spacing w:line="360" w:lineRule="auto"/>
        <w:jc w:val="both"/>
        <w:rPr>
          <w:rFonts w:ascii="Times New Roman" w:hAnsi="Times New Roman" w:cs="Times New Roman"/>
          <w:sz w:val="28"/>
          <w:shd w:val="clear" w:color="auto" w:fill="FFFFFF"/>
        </w:rPr>
      </w:pPr>
      <w:r w:rsidRPr="00B94AE4">
        <w:rPr>
          <w:rFonts w:ascii="Times New Roman" w:hAnsi="Times New Roman" w:cs="Times New Roman"/>
          <w:sz w:val="28"/>
          <w:shd w:val="clear" w:color="auto" w:fill="FFFFFF"/>
        </w:rPr>
        <w:t>ОЩЖ – околощитовидные железы</w:t>
      </w:r>
    </w:p>
    <w:p w:rsidR="00C94209" w:rsidRPr="00B94AE4" w:rsidRDefault="00C94209" w:rsidP="0002551B">
      <w:pPr>
        <w:spacing w:line="360" w:lineRule="auto"/>
        <w:jc w:val="both"/>
        <w:rPr>
          <w:rFonts w:ascii="Times New Roman" w:hAnsi="Times New Roman" w:cs="Times New Roman"/>
          <w:sz w:val="28"/>
          <w:shd w:val="clear" w:color="auto" w:fill="FFFFFF"/>
        </w:rPr>
      </w:pPr>
      <w:r w:rsidRPr="00B94AE4">
        <w:rPr>
          <w:rFonts w:ascii="Times New Roman" w:hAnsi="Times New Roman" w:cs="Times New Roman"/>
          <w:sz w:val="28"/>
          <w:shd w:val="clear" w:color="auto" w:fill="FFFFFF"/>
        </w:rPr>
        <w:t>ПГПТ – первичный гиперпаратиреоз</w:t>
      </w:r>
    </w:p>
    <w:p w:rsidR="00931B3B" w:rsidRDefault="00C94209" w:rsidP="0002551B">
      <w:pPr>
        <w:spacing w:line="360" w:lineRule="auto"/>
        <w:jc w:val="both"/>
        <w:rPr>
          <w:rFonts w:ascii="Times New Roman" w:hAnsi="Times New Roman" w:cs="Times New Roman"/>
          <w:sz w:val="28"/>
          <w:shd w:val="clear" w:color="auto" w:fill="FFFFFF"/>
        </w:rPr>
      </w:pPr>
      <w:r w:rsidRPr="00B94AE4">
        <w:rPr>
          <w:rFonts w:ascii="Times New Roman" w:hAnsi="Times New Roman" w:cs="Times New Roman"/>
          <w:sz w:val="28"/>
          <w:shd w:val="clear" w:color="auto" w:fill="FFFFFF"/>
        </w:rPr>
        <w:t xml:space="preserve">ПТГ </w:t>
      </w:r>
      <w:r w:rsidR="00931B3B">
        <w:rPr>
          <w:rFonts w:ascii="Times New Roman" w:hAnsi="Times New Roman" w:cs="Times New Roman"/>
          <w:sz w:val="28"/>
          <w:shd w:val="clear" w:color="auto" w:fill="FFFFFF"/>
        </w:rPr>
        <w:t>–</w:t>
      </w:r>
      <w:r w:rsidRPr="00B94AE4">
        <w:rPr>
          <w:rFonts w:ascii="Times New Roman" w:hAnsi="Times New Roman" w:cs="Times New Roman"/>
          <w:sz w:val="28"/>
          <w:shd w:val="clear" w:color="auto" w:fill="FFFFFF"/>
        </w:rPr>
        <w:t xml:space="preserve"> паратгормон</w:t>
      </w:r>
    </w:p>
    <w:p w:rsidR="0002551B" w:rsidRPr="00B94AE4" w:rsidRDefault="0002551B" w:rsidP="0002551B">
      <w:pPr>
        <w:spacing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ПТЭ – паратиреоидэктомия</w:t>
      </w:r>
    </w:p>
    <w:p w:rsidR="00C94209" w:rsidRDefault="00C94209" w:rsidP="0002551B">
      <w:pPr>
        <w:spacing w:line="360" w:lineRule="auto"/>
        <w:jc w:val="both"/>
        <w:rPr>
          <w:rFonts w:ascii="Times New Roman" w:hAnsi="Times New Roman" w:cs="Times New Roman"/>
          <w:sz w:val="28"/>
          <w:shd w:val="clear" w:color="auto" w:fill="FFFFFF"/>
        </w:rPr>
      </w:pPr>
      <w:r w:rsidRPr="00B94AE4">
        <w:rPr>
          <w:rFonts w:ascii="Times New Roman" w:hAnsi="Times New Roman" w:cs="Times New Roman"/>
          <w:sz w:val="28"/>
          <w:shd w:val="clear" w:color="auto" w:fill="FFFFFF"/>
        </w:rPr>
        <w:t>РФ – Российская Федерация</w:t>
      </w:r>
    </w:p>
    <w:p w:rsidR="00931B3B" w:rsidRPr="00B94AE4" w:rsidRDefault="00931B3B" w:rsidP="0002551B">
      <w:pPr>
        <w:spacing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РФП - радиофармпрепарат</w:t>
      </w:r>
    </w:p>
    <w:p w:rsidR="00C94209" w:rsidRDefault="00C94209" w:rsidP="0002551B">
      <w:pPr>
        <w:spacing w:line="360" w:lineRule="auto"/>
        <w:jc w:val="both"/>
        <w:rPr>
          <w:rFonts w:ascii="Times New Roman" w:hAnsi="Times New Roman" w:cs="Times New Roman"/>
          <w:sz w:val="28"/>
          <w:shd w:val="clear" w:color="auto" w:fill="FFFFFF"/>
        </w:rPr>
      </w:pPr>
      <w:r w:rsidRPr="00B94AE4">
        <w:rPr>
          <w:rFonts w:ascii="Times New Roman" w:hAnsi="Times New Roman" w:cs="Times New Roman"/>
          <w:sz w:val="28"/>
          <w:shd w:val="clear" w:color="auto" w:fill="FFFFFF"/>
        </w:rPr>
        <w:t>СД – сахарный диабет</w:t>
      </w:r>
    </w:p>
    <w:p w:rsidR="006D66AD" w:rsidRPr="00B94AE4" w:rsidRDefault="006D66AD" w:rsidP="0002551B">
      <w:pPr>
        <w:spacing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СКФ – скорость клубочковой фильтрации</w:t>
      </w:r>
    </w:p>
    <w:p w:rsidR="00C94209" w:rsidRDefault="00C94209" w:rsidP="0002551B">
      <w:pPr>
        <w:spacing w:line="360" w:lineRule="auto"/>
        <w:jc w:val="both"/>
        <w:rPr>
          <w:rFonts w:ascii="Times New Roman" w:hAnsi="Times New Roman" w:cs="Times New Roman"/>
          <w:sz w:val="28"/>
          <w:shd w:val="clear" w:color="auto" w:fill="FFFFFF"/>
        </w:rPr>
      </w:pPr>
      <w:r w:rsidRPr="00B94AE4">
        <w:rPr>
          <w:rFonts w:ascii="Times New Roman" w:hAnsi="Times New Roman" w:cs="Times New Roman"/>
          <w:sz w:val="28"/>
          <w:shd w:val="clear" w:color="auto" w:fill="FFFFFF"/>
        </w:rPr>
        <w:t>ЩЖ – щитовидная железа</w:t>
      </w:r>
    </w:p>
    <w:p w:rsidR="0002551B" w:rsidRPr="0002551B" w:rsidRDefault="0002551B" w:rsidP="0002551B">
      <w:pPr>
        <w:spacing w:line="360" w:lineRule="auto"/>
        <w:jc w:val="both"/>
        <w:rPr>
          <w:rFonts w:ascii="Times New Roman" w:hAnsi="Times New Roman" w:cs="Times New Roman"/>
          <w:sz w:val="28"/>
          <w:shd w:val="clear" w:color="auto" w:fill="FFFFFF"/>
        </w:rPr>
      </w:pPr>
      <w:proofErr w:type="spellStart"/>
      <w:r>
        <w:rPr>
          <w:rFonts w:ascii="Times New Roman" w:hAnsi="Times New Roman" w:cs="Times New Roman"/>
          <w:sz w:val="28"/>
          <w:shd w:val="clear" w:color="auto" w:fill="FFFFFF"/>
          <w:lang w:val="en-US"/>
        </w:rPr>
        <w:t>CaSR</w:t>
      </w:r>
      <w:proofErr w:type="spellEnd"/>
      <w:r>
        <w:rPr>
          <w:rFonts w:ascii="Times New Roman" w:hAnsi="Times New Roman" w:cs="Times New Roman"/>
          <w:sz w:val="28"/>
          <w:shd w:val="clear" w:color="auto" w:fill="FFFFFF"/>
        </w:rPr>
        <w:t xml:space="preserve"> – кальций чувствительный рецептор</w:t>
      </w:r>
    </w:p>
    <w:p w:rsidR="00FA66B7" w:rsidRDefault="00FA66B7" w:rsidP="00FA66B7">
      <w:pPr>
        <w:spacing w:line="36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Са</w:t>
      </w:r>
      <w:proofErr w:type="gramStart"/>
      <w:r w:rsidRPr="00FA66B7">
        <w:rPr>
          <w:rFonts w:ascii="Times New Roman" w:hAnsi="Times New Roman" w:cs="Times New Roman"/>
          <w:sz w:val="28"/>
          <w:shd w:val="clear" w:color="auto" w:fill="FFFFFF"/>
          <w:vertAlign w:val="superscript"/>
        </w:rPr>
        <w:t>2</w:t>
      </w:r>
      <w:proofErr w:type="gramEnd"/>
      <w:r w:rsidRPr="00FA66B7">
        <w:rPr>
          <w:rFonts w:ascii="Times New Roman" w:hAnsi="Times New Roman" w:cs="Times New Roman"/>
          <w:sz w:val="28"/>
          <w:shd w:val="clear" w:color="auto" w:fill="FFFFFF"/>
          <w:vertAlign w:val="superscript"/>
        </w:rPr>
        <w:t>+</w:t>
      </w:r>
      <w:r>
        <w:rPr>
          <w:rFonts w:ascii="Times New Roman" w:hAnsi="Times New Roman" w:cs="Times New Roman"/>
          <w:sz w:val="28"/>
          <w:shd w:val="clear" w:color="auto" w:fill="FFFFFF"/>
        </w:rPr>
        <w:t xml:space="preserve"> – ионизированный кальций крови</w:t>
      </w:r>
    </w:p>
    <w:p w:rsidR="0002551B" w:rsidRPr="0002551B" w:rsidRDefault="0002551B" w:rsidP="0002551B">
      <w:pPr>
        <w:spacing w:line="360" w:lineRule="auto"/>
        <w:jc w:val="both"/>
        <w:rPr>
          <w:rFonts w:ascii="Times New Roman" w:hAnsi="Times New Roman" w:cs="Times New Roman"/>
          <w:sz w:val="28"/>
        </w:rPr>
      </w:pPr>
      <w:r w:rsidRPr="0002551B">
        <w:rPr>
          <w:rFonts w:ascii="Times New Roman" w:hAnsi="Times New Roman" w:cs="Times New Roman"/>
          <w:sz w:val="28"/>
        </w:rPr>
        <w:t>DEXA - Двухэнергетическая рентгеновская абсорбциометрия</w:t>
      </w:r>
    </w:p>
    <w:p w:rsidR="00C94209" w:rsidRPr="00B94AE4" w:rsidRDefault="00C94209" w:rsidP="0002551B">
      <w:pPr>
        <w:spacing w:line="360" w:lineRule="auto"/>
        <w:jc w:val="both"/>
        <w:rPr>
          <w:rFonts w:ascii="Times New Roman" w:hAnsi="Times New Roman" w:cs="Times New Roman"/>
          <w:sz w:val="28"/>
          <w:shd w:val="clear" w:color="auto" w:fill="FFFFFF"/>
        </w:rPr>
      </w:pPr>
      <w:r w:rsidRPr="00B94AE4">
        <w:rPr>
          <w:rFonts w:ascii="Times New Roman" w:hAnsi="Times New Roman" w:cs="Times New Roman"/>
          <w:sz w:val="28"/>
          <w:shd w:val="clear" w:color="auto" w:fill="FFFFFF"/>
          <w:lang w:val="en-US"/>
        </w:rPr>
        <w:t>HPT</w:t>
      </w:r>
      <w:r w:rsidRPr="00B94AE4">
        <w:rPr>
          <w:rFonts w:ascii="Times New Roman" w:hAnsi="Times New Roman" w:cs="Times New Roman"/>
          <w:sz w:val="28"/>
          <w:shd w:val="clear" w:color="auto" w:fill="FFFFFF"/>
        </w:rPr>
        <w:t>-</w:t>
      </w:r>
      <w:r w:rsidRPr="00B94AE4">
        <w:rPr>
          <w:rFonts w:ascii="Times New Roman" w:hAnsi="Times New Roman" w:cs="Times New Roman"/>
          <w:sz w:val="28"/>
          <w:shd w:val="clear" w:color="auto" w:fill="FFFFFF"/>
          <w:lang w:val="en-US"/>
        </w:rPr>
        <w:t>JT</w:t>
      </w:r>
      <w:r w:rsidRPr="00B94AE4">
        <w:rPr>
          <w:rFonts w:ascii="Times New Roman" w:hAnsi="Times New Roman" w:cs="Times New Roman"/>
          <w:sz w:val="28"/>
          <w:shd w:val="clear" w:color="auto" w:fill="FFFFFF"/>
        </w:rPr>
        <w:t xml:space="preserve"> – первичный гиперпаратиреоз 2 типа с опухолью челюсти</w:t>
      </w:r>
    </w:p>
    <w:p w:rsidR="00C94209" w:rsidRPr="00B94AE4" w:rsidRDefault="00C94209" w:rsidP="0002551B">
      <w:pPr>
        <w:spacing w:line="360" w:lineRule="auto"/>
        <w:jc w:val="both"/>
        <w:rPr>
          <w:rFonts w:ascii="Times New Roman" w:hAnsi="Times New Roman" w:cs="Times New Roman"/>
          <w:sz w:val="28"/>
          <w:shd w:val="clear" w:color="auto" w:fill="FFFFFF"/>
        </w:rPr>
      </w:pPr>
      <w:r w:rsidRPr="00B94AE4">
        <w:rPr>
          <w:rFonts w:ascii="Times New Roman" w:hAnsi="Times New Roman" w:cs="Times New Roman"/>
          <w:sz w:val="28"/>
          <w:shd w:val="clear" w:color="auto" w:fill="FFFFFF"/>
          <w:lang w:val="en-US"/>
        </w:rPr>
        <w:t>MEN</w:t>
      </w:r>
      <w:r w:rsidRPr="00B94AE4">
        <w:rPr>
          <w:rFonts w:ascii="Times New Roman" w:hAnsi="Times New Roman" w:cs="Times New Roman"/>
          <w:sz w:val="28"/>
          <w:shd w:val="clear" w:color="auto" w:fill="FFFFFF"/>
        </w:rPr>
        <w:t xml:space="preserve"> – множественная эндокринная неоплазия</w:t>
      </w:r>
    </w:p>
    <w:p w:rsidR="00E44ADE" w:rsidRDefault="00E44ADE" w:rsidP="0002551B">
      <w:pPr>
        <w:spacing w:line="360" w:lineRule="auto"/>
        <w:jc w:val="both"/>
        <w:rPr>
          <w:rFonts w:ascii="Times New Roman" w:hAnsi="Times New Roman" w:cs="Times New Roman"/>
          <w:sz w:val="28"/>
          <w:shd w:val="clear" w:color="auto" w:fill="FFFFFF"/>
        </w:rPr>
      </w:pPr>
      <w:r w:rsidRPr="006C08DF">
        <w:rPr>
          <w:rFonts w:ascii="Times New Roman" w:hAnsi="Times New Roman" w:cs="Times New Roman"/>
          <w:sz w:val="28"/>
          <w:shd w:val="clear" w:color="auto" w:fill="FFFFFF"/>
        </w:rPr>
        <w:t>1,25(</w:t>
      </w:r>
      <w:r w:rsidRPr="00B94AE4">
        <w:rPr>
          <w:rFonts w:ascii="Times New Roman" w:hAnsi="Times New Roman" w:cs="Times New Roman"/>
          <w:sz w:val="28"/>
          <w:shd w:val="clear" w:color="auto" w:fill="FFFFFF"/>
        </w:rPr>
        <w:t>ОН</w:t>
      </w:r>
      <w:r w:rsidRPr="006C08DF">
        <w:rPr>
          <w:rFonts w:ascii="Times New Roman" w:hAnsi="Times New Roman" w:cs="Times New Roman"/>
          <w:sz w:val="28"/>
          <w:shd w:val="clear" w:color="auto" w:fill="FFFFFF"/>
        </w:rPr>
        <w:t>)</w:t>
      </w:r>
      <w:r w:rsidRPr="006C08DF">
        <w:rPr>
          <w:rFonts w:ascii="Times New Roman" w:hAnsi="Times New Roman" w:cs="Times New Roman"/>
          <w:sz w:val="28"/>
          <w:shd w:val="clear" w:color="auto" w:fill="FFFFFF"/>
          <w:vertAlign w:val="subscript"/>
        </w:rPr>
        <w:t>2</w:t>
      </w:r>
      <w:r w:rsidRPr="00B94AE4">
        <w:rPr>
          <w:rFonts w:ascii="Times New Roman" w:hAnsi="Times New Roman" w:cs="Times New Roman"/>
          <w:sz w:val="28"/>
          <w:shd w:val="clear" w:color="auto" w:fill="FFFFFF"/>
          <w:lang w:val="en-US"/>
        </w:rPr>
        <w:t>D</w:t>
      </w:r>
      <w:r w:rsidR="00B94AE4" w:rsidRPr="00B94AE4">
        <w:rPr>
          <w:rFonts w:ascii="Times New Roman" w:hAnsi="Times New Roman" w:cs="Times New Roman"/>
          <w:sz w:val="28"/>
          <w:shd w:val="clear" w:color="auto" w:fill="FFFFFF"/>
        </w:rPr>
        <w:t xml:space="preserve"> </w:t>
      </w:r>
      <w:r w:rsidR="00FA66B7">
        <w:rPr>
          <w:rFonts w:ascii="Times New Roman" w:hAnsi="Times New Roman" w:cs="Times New Roman"/>
          <w:sz w:val="28"/>
          <w:shd w:val="clear" w:color="auto" w:fill="FFFFFF"/>
        </w:rPr>
        <w:t>–</w:t>
      </w:r>
      <w:r w:rsidR="00B94AE4" w:rsidRPr="00B94AE4">
        <w:rPr>
          <w:rFonts w:ascii="Times New Roman" w:hAnsi="Times New Roman" w:cs="Times New Roman"/>
          <w:sz w:val="28"/>
          <w:shd w:val="clear" w:color="auto" w:fill="FFFFFF"/>
        </w:rPr>
        <w:t xml:space="preserve"> кальцитриол</w:t>
      </w:r>
    </w:p>
    <w:p w:rsidR="00B1721F" w:rsidRPr="0002551B" w:rsidRDefault="00B1721F" w:rsidP="00E44ADE">
      <w:pPr>
        <w:spacing w:line="360" w:lineRule="auto"/>
        <w:rPr>
          <w:rFonts w:ascii="Times New Roman" w:hAnsi="Times New Roman" w:cs="Times New Roman"/>
          <w:b/>
          <w:sz w:val="28"/>
          <w:szCs w:val="28"/>
        </w:rPr>
      </w:pPr>
    </w:p>
    <w:p w:rsidR="00474415" w:rsidRDefault="00474415" w:rsidP="00A812BA">
      <w:pPr>
        <w:pStyle w:val="1"/>
      </w:pPr>
    </w:p>
    <w:p w:rsidR="00474415" w:rsidRDefault="00474415" w:rsidP="00A812BA">
      <w:pPr>
        <w:pStyle w:val="1"/>
      </w:pPr>
    </w:p>
    <w:p w:rsidR="00474415" w:rsidRDefault="00474415" w:rsidP="00A812BA">
      <w:pPr>
        <w:pStyle w:val="1"/>
      </w:pPr>
    </w:p>
    <w:p w:rsidR="00474415" w:rsidRDefault="00474415" w:rsidP="00A812BA">
      <w:pPr>
        <w:pStyle w:val="1"/>
      </w:pPr>
    </w:p>
    <w:p w:rsidR="00474415" w:rsidRDefault="00474415" w:rsidP="00A812BA">
      <w:pPr>
        <w:pStyle w:val="1"/>
      </w:pPr>
    </w:p>
    <w:p w:rsidR="00474415" w:rsidRDefault="00474415" w:rsidP="00474415"/>
    <w:p w:rsidR="00474415" w:rsidRPr="00474415" w:rsidRDefault="00474415" w:rsidP="00474415"/>
    <w:p w:rsidR="00474415" w:rsidRDefault="00474415" w:rsidP="00474415">
      <w:pPr>
        <w:pStyle w:val="1"/>
        <w:jc w:val="left"/>
      </w:pPr>
    </w:p>
    <w:p w:rsidR="00474415" w:rsidRPr="00474415" w:rsidRDefault="00474415" w:rsidP="00474415"/>
    <w:p w:rsidR="00710802" w:rsidRDefault="00710802" w:rsidP="008C4BD0">
      <w:pPr>
        <w:pStyle w:val="1"/>
        <w:rPr>
          <w:rFonts w:eastAsia="Times New Roman"/>
        </w:rPr>
      </w:pPr>
      <w:bookmarkStart w:id="1" w:name="_Toc482798602"/>
      <w:r>
        <w:rPr>
          <w:rFonts w:eastAsia="Times New Roman"/>
        </w:rPr>
        <w:t>Введение</w:t>
      </w:r>
      <w:bookmarkEnd w:id="1"/>
    </w:p>
    <w:p w:rsidR="00710802" w:rsidRDefault="00710802" w:rsidP="00710802">
      <w:pPr>
        <w:spacing w:line="360" w:lineRule="auto"/>
        <w:ind w:firstLine="709"/>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rPr>
        <w:t>Первичный</w:t>
      </w:r>
      <w:proofErr w:type="gramEnd"/>
      <w:r>
        <w:rPr>
          <w:rFonts w:ascii="Times New Roman" w:eastAsia="Times New Roman" w:hAnsi="Times New Roman" w:cs="Times New Roman"/>
          <w:sz w:val="28"/>
        </w:rPr>
        <w:t xml:space="preserve"> гиперпаратиреоз (ПГПТ) – </w:t>
      </w:r>
      <w:r>
        <w:rPr>
          <w:rFonts w:ascii="Times New Roman" w:eastAsia="Times New Roman" w:hAnsi="Times New Roman" w:cs="Times New Roman"/>
          <w:sz w:val="28"/>
          <w:shd w:val="clear" w:color="auto" w:fill="FFFFFF"/>
        </w:rPr>
        <w:t>эндокринное заболевание, характеризующееся избыточной секрецией паратиреоидного гормона (ПТГ) при верхне-нормальном или повышенном уровне кальция крови вследствие первичной патологии околощитовидных желез (ОЩЖ) [</w:t>
      </w:r>
      <w:r w:rsidR="006E2A91" w:rsidRPr="006E2A91">
        <w:rPr>
          <w:rFonts w:ascii="Times New Roman" w:eastAsia="Times New Roman" w:hAnsi="Times New Roman" w:cs="Times New Roman"/>
          <w:sz w:val="28"/>
          <w:shd w:val="clear" w:color="auto" w:fill="FFFFFF"/>
        </w:rPr>
        <w:t>7</w:t>
      </w:r>
      <w:r>
        <w:rPr>
          <w:rFonts w:ascii="Times New Roman" w:eastAsia="Times New Roman" w:hAnsi="Times New Roman" w:cs="Times New Roman"/>
          <w:sz w:val="28"/>
          <w:shd w:val="clear" w:color="auto" w:fill="FFFFFF"/>
        </w:rPr>
        <w:t>].</w:t>
      </w:r>
    </w:p>
    <w:p w:rsidR="00710802" w:rsidRDefault="00710802" w:rsidP="00710802">
      <w:pPr>
        <w:spacing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 xml:space="preserve">По последним данным (2011-2016 </w:t>
      </w:r>
      <w:proofErr w:type="gramStart"/>
      <w:r>
        <w:rPr>
          <w:rFonts w:ascii="Times New Roman" w:eastAsia="Times New Roman" w:hAnsi="Times New Roman" w:cs="Times New Roman"/>
          <w:sz w:val="28"/>
        </w:rPr>
        <w:t>гг</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sz w:val="28"/>
          <w:shd w:val="clear" w:color="auto" w:fill="FFFFFF"/>
        </w:rPr>
        <w:t>частота ПГПТ составляет около 1 – 2 случаев на 1000 человек, в</w:t>
      </w:r>
      <w:r>
        <w:rPr>
          <w:rFonts w:ascii="Times New Roman" w:eastAsia="Times New Roman" w:hAnsi="Times New Roman" w:cs="Times New Roman"/>
          <w:color w:val="000000"/>
          <w:sz w:val="28"/>
          <w:shd w:val="clear" w:color="auto" w:fill="FFFFFF"/>
        </w:rPr>
        <w:t xml:space="preserve"> среднем 1% среди населения младше 55 лет и 2% среди населения старше 55 лет</w:t>
      </w:r>
      <w:r>
        <w:rPr>
          <w:rFonts w:ascii="Times New Roman" w:eastAsia="Times New Roman" w:hAnsi="Times New Roman" w:cs="Times New Roman"/>
          <w:sz w:val="28"/>
          <w:shd w:val="clear" w:color="auto" w:fill="FFFFFF"/>
        </w:rPr>
        <w:t>, где п</w:t>
      </w:r>
      <w:r>
        <w:rPr>
          <w:rFonts w:ascii="Times New Roman" w:eastAsia="Times New Roman" w:hAnsi="Times New Roman" w:cs="Times New Roman"/>
          <w:color w:val="000000"/>
          <w:sz w:val="28"/>
          <w:shd w:val="clear" w:color="auto" w:fill="FFFFFF"/>
        </w:rPr>
        <w:t xml:space="preserve">ик заболеваемости приходится на возраст 60-70 лет </w:t>
      </w:r>
      <w:r>
        <w:rPr>
          <w:rFonts w:ascii="Times New Roman" w:eastAsia="Times New Roman" w:hAnsi="Times New Roman" w:cs="Times New Roman"/>
          <w:sz w:val="28"/>
          <w:shd w:val="clear" w:color="auto" w:fill="FFFFFF"/>
        </w:rPr>
        <w:t>[</w:t>
      </w:r>
      <w:r w:rsidR="006E2A91" w:rsidRPr="006E2A91">
        <w:rPr>
          <w:rFonts w:ascii="Times New Roman" w:eastAsia="Times New Roman" w:hAnsi="Times New Roman" w:cs="Times New Roman"/>
          <w:sz w:val="28"/>
          <w:shd w:val="clear" w:color="auto" w:fill="FFFFFF"/>
        </w:rPr>
        <w:t>6</w:t>
      </w:r>
      <w:r w:rsidR="006E2A91">
        <w:rPr>
          <w:rFonts w:ascii="Times New Roman" w:eastAsia="Times New Roman" w:hAnsi="Times New Roman" w:cs="Times New Roman"/>
          <w:sz w:val="28"/>
          <w:shd w:val="clear" w:color="auto" w:fill="FFFFFF"/>
        </w:rPr>
        <w:t>, 12</w:t>
      </w:r>
      <w:r>
        <w:rPr>
          <w:rFonts w:ascii="Times New Roman" w:eastAsia="Times New Roman" w:hAnsi="Times New Roman" w:cs="Times New Roman"/>
          <w:sz w:val="28"/>
          <w:shd w:val="clear" w:color="auto" w:fill="FFFFFF"/>
        </w:rPr>
        <w:t>]</w:t>
      </w:r>
      <w:r>
        <w:rPr>
          <w:rFonts w:ascii="Times New Roman" w:eastAsia="Times New Roman" w:hAnsi="Times New Roman" w:cs="Times New Roman"/>
          <w:color w:val="000000"/>
          <w:sz w:val="28"/>
          <w:shd w:val="clear" w:color="auto" w:fill="FFFFFF"/>
        </w:rPr>
        <w:t>. По распространенности заболевания среди мужчин и женщин в странах Северной Америки и Западной Европы наблюдается соотношение 1:3 [</w:t>
      </w:r>
      <w:r w:rsidR="006E2A91">
        <w:rPr>
          <w:rFonts w:ascii="Times New Roman" w:eastAsia="Times New Roman" w:hAnsi="Times New Roman" w:cs="Times New Roman"/>
          <w:color w:val="000000"/>
          <w:sz w:val="28"/>
          <w:shd w:val="clear" w:color="auto" w:fill="FFFFFF"/>
        </w:rPr>
        <w:t>38</w:t>
      </w:r>
      <w:r>
        <w:rPr>
          <w:rFonts w:ascii="Times New Roman" w:eastAsia="Times New Roman" w:hAnsi="Times New Roman" w:cs="Times New Roman"/>
          <w:color w:val="000000"/>
          <w:sz w:val="28"/>
          <w:shd w:val="clear" w:color="auto" w:fill="FFFFFF"/>
        </w:rPr>
        <w:t xml:space="preserve">]. Что касается частоты ПГПТ в России (РФ), то, к сожалению, крупных эпидемиологических исследований по этой патологии до настоящего времени не проводилось. </w:t>
      </w:r>
    </w:p>
    <w:p w:rsidR="00710802" w:rsidRDefault="00710802" w:rsidP="00710802">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структуре эндокринных заболеваний ПГПТ занимает третье место после сахарного диабета (СД) и заболеваний щитовидной железы </w:t>
      </w:r>
      <w:r>
        <w:rPr>
          <w:rFonts w:ascii="Times New Roman" w:eastAsia="Times New Roman" w:hAnsi="Times New Roman" w:cs="Times New Roman"/>
          <w:sz w:val="28"/>
          <w:shd w:val="clear" w:color="auto" w:fill="FFFFFF"/>
        </w:rPr>
        <w:t xml:space="preserve">и </w:t>
      </w:r>
      <w:r>
        <w:rPr>
          <w:rFonts w:ascii="Times New Roman" w:eastAsia="Times New Roman" w:hAnsi="Times New Roman" w:cs="Times New Roman"/>
          <w:sz w:val="28"/>
        </w:rPr>
        <w:t>является одной из актуальных проблем эндокринологии, что связано с мультисистемностью проявлений и его широкой распространенностью</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rPr>
        <w:t>[</w:t>
      </w:r>
      <w:r w:rsidR="006E2A91">
        <w:rPr>
          <w:rFonts w:ascii="Times New Roman" w:eastAsia="Times New Roman" w:hAnsi="Times New Roman" w:cs="Times New Roman"/>
          <w:sz w:val="28"/>
        </w:rPr>
        <w:t>42</w:t>
      </w:r>
      <w:r>
        <w:rPr>
          <w:rFonts w:ascii="Times New Roman" w:eastAsia="Times New Roman" w:hAnsi="Times New Roman" w:cs="Times New Roman"/>
          <w:sz w:val="28"/>
        </w:rPr>
        <w:t xml:space="preserve">]. </w:t>
      </w:r>
    </w:p>
    <w:p w:rsidR="00710802" w:rsidRDefault="00710802" w:rsidP="00710802">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 xml:space="preserve">В связи с </w:t>
      </w:r>
      <w:r>
        <w:rPr>
          <w:rFonts w:ascii="Times New Roman" w:eastAsia="Times New Roman" w:hAnsi="Times New Roman" w:cs="Times New Roman"/>
          <w:sz w:val="28"/>
        </w:rPr>
        <w:t xml:space="preserve">отсутствием специфической клинической картины возможности диагностики ПГПТ затруднены, требуется объективное исследование с применением комплексного мультидисциплинарного подхода. Однако </w:t>
      </w:r>
      <w:r>
        <w:rPr>
          <w:rFonts w:ascii="Times New Roman" w:eastAsia="Times New Roman" w:hAnsi="Times New Roman" w:cs="Times New Roman"/>
          <w:color w:val="000000"/>
          <w:sz w:val="28"/>
        </w:rPr>
        <w:t>ни один из методов дооперационной диагностики ПГПТ не позволяет достоверно прогнозировать необходимый объем операционного вмешательства, являющегося единственным патогенетически особоснованным методом лечения. Для улучшения контроля адекватности удаления пораженной ткани ОЩЖ появилась потребность определения интраоперационного ПТГ (иПТГ) [</w:t>
      </w:r>
      <w:r w:rsidR="006E2A91">
        <w:rPr>
          <w:rFonts w:ascii="Times New Roman" w:eastAsia="Times New Roman" w:hAnsi="Times New Roman" w:cs="Times New Roman"/>
          <w:color w:val="000000"/>
          <w:sz w:val="28"/>
        </w:rPr>
        <w:t>18, 35</w:t>
      </w:r>
      <w:r>
        <w:rPr>
          <w:rFonts w:ascii="Times New Roman" w:eastAsia="Times New Roman" w:hAnsi="Times New Roman" w:cs="Times New Roman"/>
          <w:color w:val="000000"/>
          <w:sz w:val="28"/>
        </w:rPr>
        <w:t xml:space="preserve">]. В настоящее время определение иПТГ является обязательной процедурой во многих квалифицированных клиниках и совместно с </w:t>
      </w:r>
      <w:r>
        <w:rPr>
          <w:rFonts w:ascii="Times New Roman" w:eastAsia="Times New Roman" w:hAnsi="Times New Roman" w:cs="Times New Roman"/>
          <w:color w:val="000000"/>
          <w:sz w:val="28"/>
          <w:shd w:val="clear" w:color="auto" w:fill="FFFFFF"/>
        </w:rPr>
        <w:t xml:space="preserve">селективной паратиреоидэктомией </w:t>
      </w:r>
      <w:r>
        <w:rPr>
          <w:rFonts w:ascii="Times New Roman" w:eastAsia="Times New Roman" w:hAnsi="Times New Roman" w:cs="Times New Roman"/>
          <w:color w:val="000000"/>
          <w:sz w:val="28"/>
        </w:rPr>
        <w:t xml:space="preserve">позволяет минимизировать послеоперационную травму, улучшить косметический эффект, увеличить возможность ранней активизации больных </w:t>
      </w:r>
      <w:r>
        <w:rPr>
          <w:rFonts w:ascii="Times New Roman" w:eastAsia="Times New Roman" w:hAnsi="Times New Roman" w:cs="Times New Roman"/>
          <w:sz w:val="28"/>
        </w:rPr>
        <w:t>при одновременном сохранении высокого уровня эффективности операции [</w:t>
      </w:r>
      <w:r w:rsidR="006E2A91">
        <w:rPr>
          <w:rFonts w:ascii="Times New Roman" w:eastAsia="Times New Roman" w:hAnsi="Times New Roman" w:cs="Times New Roman"/>
          <w:sz w:val="28"/>
        </w:rPr>
        <w:t>7</w:t>
      </w:r>
      <w:r>
        <w:rPr>
          <w:rFonts w:ascii="Times New Roman" w:eastAsia="Times New Roman" w:hAnsi="Times New Roman" w:cs="Times New Roman"/>
          <w:sz w:val="28"/>
        </w:rPr>
        <w:t>]. Однако время, затрачиваемое на стандартную пробу определения иПТГ, составляет в среднем от 15 до 30 минут, что приводит к увеличению времени операционного вмешательства [</w:t>
      </w:r>
      <w:r w:rsidR="006E2A91">
        <w:rPr>
          <w:rFonts w:ascii="Times New Roman" w:eastAsia="Times New Roman" w:hAnsi="Times New Roman" w:cs="Times New Roman"/>
          <w:sz w:val="28"/>
        </w:rPr>
        <w:t>18, 19</w:t>
      </w:r>
      <w:r>
        <w:rPr>
          <w:rFonts w:ascii="Times New Roman" w:eastAsia="Times New Roman" w:hAnsi="Times New Roman" w:cs="Times New Roman"/>
          <w:sz w:val="28"/>
        </w:rPr>
        <w:t>]. В связи с этим был предложен модифицированный метод определения иПТГ, при котором средняя длительность теста составляет 10-15 минут [</w:t>
      </w:r>
      <w:r w:rsidR="006E2A91">
        <w:rPr>
          <w:rFonts w:ascii="Times New Roman" w:eastAsia="Times New Roman" w:hAnsi="Times New Roman" w:cs="Times New Roman"/>
          <w:sz w:val="28"/>
        </w:rPr>
        <w:t>10</w:t>
      </w:r>
      <w:r>
        <w:rPr>
          <w:rFonts w:ascii="Times New Roman" w:eastAsia="Times New Roman" w:hAnsi="Times New Roman" w:cs="Times New Roman"/>
          <w:sz w:val="28"/>
        </w:rPr>
        <w:t xml:space="preserve">]. </w:t>
      </w:r>
    </w:p>
    <w:p w:rsidR="00710802" w:rsidRDefault="00710802" w:rsidP="00710802">
      <w:pPr>
        <w:spacing w:after="24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Сравнение вышеуказанных методов интраоперационного определения паратиреоидного гормона по их эффективности и адекватности удаления пораженных околощитовидных желез позволит выделить наиболее оптимальный вариант интраоперационного теста, который с высокой вероятностью сможет прогнозировать развитие персистенции ПГПТ. </w:t>
      </w:r>
    </w:p>
    <w:p w:rsidR="00710802" w:rsidRDefault="00710802" w:rsidP="00710802">
      <w:pPr>
        <w:spacing w:after="24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 xml:space="preserve">Таким образом, </w:t>
      </w:r>
      <w:r>
        <w:rPr>
          <w:rFonts w:ascii="Times New Roman" w:eastAsia="Times New Roman" w:hAnsi="Times New Roman" w:cs="Times New Roman"/>
          <w:color w:val="000000"/>
          <w:sz w:val="28"/>
          <w:shd w:val="clear" w:color="auto" w:fill="FFFFFF"/>
        </w:rPr>
        <w:t xml:space="preserve">учитывая высокую медицинскую и экономическую значимость ПГПТ, </w:t>
      </w:r>
      <w:r>
        <w:rPr>
          <w:rFonts w:ascii="Times New Roman" w:eastAsia="Times New Roman" w:hAnsi="Times New Roman" w:cs="Times New Roman"/>
          <w:sz w:val="28"/>
        </w:rPr>
        <w:t xml:space="preserve">сегодня наиболее актуальны исследования заболеваний ОЩЖ, создаются регистры оценки ПГПТ в РФ, </w:t>
      </w:r>
      <w:r>
        <w:rPr>
          <w:rFonts w:ascii="Times New Roman" w:eastAsia="Times New Roman" w:hAnsi="Times New Roman" w:cs="Times New Roman"/>
          <w:color w:val="000000"/>
          <w:sz w:val="28"/>
          <w:shd w:val="clear" w:color="auto" w:fill="FFFFFF"/>
        </w:rPr>
        <w:t>изучаются патогенетические и этиологические основы ПГПТ. Разработка и модификация методов диагностики и лечения пациентов с различными формами ПГПТ позволят определить объемы необходимой и рациональной высокоспециализированной медицинской помощи, оценить адекватность проводимого лечения.</w:t>
      </w:r>
    </w:p>
    <w:p w:rsidR="00710802" w:rsidRDefault="00710802" w:rsidP="00710802">
      <w:pPr>
        <w:spacing w:line="360" w:lineRule="auto"/>
        <w:ind w:left="-180" w:right="175" w:firstLine="709"/>
        <w:jc w:val="both"/>
        <w:rPr>
          <w:rFonts w:ascii="Times New Roman" w:eastAsia="Times New Roman" w:hAnsi="Times New Roman" w:cs="Times New Roman"/>
          <w:color w:val="000000"/>
          <w:sz w:val="28"/>
          <w:shd w:val="clear" w:color="auto" w:fill="FFFFFF"/>
        </w:rPr>
      </w:pPr>
    </w:p>
    <w:p w:rsidR="00710802" w:rsidRDefault="00710802" w:rsidP="00710802">
      <w:pPr>
        <w:spacing w:line="360" w:lineRule="auto"/>
        <w:ind w:left="-180" w:right="175" w:firstLine="709"/>
        <w:jc w:val="both"/>
        <w:rPr>
          <w:rFonts w:ascii="Times New Roman" w:eastAsia="Times New Roman" w:hAnsi="Times New Roman" w:cs="Times New Roman"/>
          <w:color w:val="000000"/>
          <w:sz w:val="28"/>
          <w:shd w:val="clear" w:color="auto" w:fill="FFFFFF"/>
        </w:rPr>
      </w:pPr>
    </w:p>
    <w:p w:rsidR="00710802" w:rsidRDefault="00710802" w:rsidP="00710802">
      <w:pPr>
        <w:spacing w:line="360" w:lineRule="auto"/>
        <w:ind w:left="-180" w:right="175" w:firstLine="709"/>
        <w:jc w:val="both"/>
        <w:rPr>
          <w:rFonts w:ascii="Times New Roman" w:eastAsia="Times New Roman" w:hAnsi="Times New Roman" w:cs="Times New Roman"/>
          <w:color w:val="000000"/>
          <w:sz w:val="28"/>
          <w:shd w:val="clear" w:color="auto" w:fill="FFFFFF"/>
        </w:rPr>
      </w:pPr>
    </w:p>
    <w:p w:rsidR="00710802" w:rsidRDefault="00710802" w:rsidP="00710802">
      <w:pPr>
        <w:spacing w:line="360" w:lineRule="auto"/>
        <w:ind w:left="-180" w:right="175" w:firstLine="709"/>
        <w:jc w:val="both"/>
        <w:rPr>
          <w:rFonts w:ascii="Times New Roman" w:eastAsia="Times New Roman" w:hAnsi="Times New Roman" w:cs="Times New Roman"/>
          <w:color w:val="000000"/>
          <w:sz w:val="28"/>
          <w:shd w:val="clear" w:color="auto" w:fill="FFFFFF"/>
        </w:rPr>
      </w:pPr>
    </w:p>
    <w:p w:rsidR="00710802" w:rsidRDefault="00710802" w:rsidP="00710802">
      <w:pPr>
        <w:spacing w:line="360" w:lineRule="auto"/>
        <w:ind w:left="-180" w:right="175" w:firstLine="709"/>
        <w:jc w:val="both"/>
        <w:rPr>
          <w:rFonts w:ascii="Times New Roman" w:eastAsia="Times New Roman" w:hAnsi="Times New Roman" w:cs="Times New Roman"/>
          <w:color w:val="000000"/>
          <w:sz w:val="28"/>
          <w:shd w:val="clear" w:color="auto" w:fill="FFFFFF"/>
        </w:rPr>
      </w:pPr>
    </w:p>
    <w:p w:rsidR="00710802" w:rsidRDefault="00710802" w:rsidP="00710802">
      <w:pPr>
        <w:spacing w:line="360" w:lineRule="auto"/>
        <w:ind w:left="-180" w:right="175" w:firstLine="709"/>
        <w:jc w:val="both"/>
        <w:rPr>
          <w:rFonts w:ascii="Times New Roman" w:eastAsia="Times New Roman" w:hAnsi="Times New Roman" w:cs="Times New Roman"/>
          <w:color w:val="000000"/>
          <w:sz w:val="28"/>
          <w:shd w:val="clear" w:color="auto" w:fill="FFFFFF"/>
        </w:rPr>
      </w:pPr>
    </w:p>
    <w:p w:rsidR="00710802" w:rsidRDefault="00710802" w:rsidP="00710802">
      <w:pPr>
        <w:spacing w:line="360" w:lineRule="auto"/>
        <w:ind w:left="-180" w:right="175" w:firstLine="709"/>
        <w:jc w:val="both"/>
        <w:rPr>
          <w:rFonts w:ascii="Times New Roman" w:eastAsia="Times New Roman" w:hAnsi="Times New Roman" w:cs="Times New Roman"/>
          <w:color w:val="000000"/>
          <w:sz w:val="28"/>
          <w:shd w:val="clear" w:color="auto" w:fill="FFFFFF"/>
        </w:rPr>
      </w:pPr>
    </w:p>
    <w:p w:rsidR="00710802" w:rsidRDefault="00710802" w:rsidP="00710802">
      <w:pPr>
        <w:spacing w:line="360" w:lineRule="auto"/>
        <w:ind w:left="-180" w:right="175" w:firstLine="709"/>
        <w:jc w:val="both"/>
        <w:rPr>
          <w:rFonts w:ascii="Times New Roman" w:eastAsia="Times New Roman" w:hAnsi="Times New Roman" w:cs="Times New Roman"/>
          <w:color w:val="000000"/>
          <w:sz w:val="28"/>
          <w:shd w:val="clear" w:color="auto" w:fill="FFFFFF"/>
        </w:rPr>
      </w:pPr>
    </w:p>
    <w:p w:rsidR="00710802" w:rsidRDefault="00710802" w:rsidP="00710802">
      <w:pPr>
        <w:spacing w:line="360" w:lineRule="auto"/>
        <w:ind w:right="175"/>
        <w:jc w:val="both"/>
        <w:rPr>
          <w:rFonts w:ascii="Times New Roman" w:eastAsia="Times New Roman" w:hAnsi="Times New Roman" w:cs="Times New Roman"/>
          <w:color w:val="000000"/>
          <w:sz w:val="28"/>
          <w:shd w:val="clear" w:color="auto" w:fill="FFFFFF"/>
        </w:rPr>
      </w:pPr>
    </w:p>
    <w:p w:rsidR="00710802" w:rsidRDefault="00710802" w:rsidP="00710802">
      <w:pPr>
        <w:spacing w:line="360" w:lineRule="auto"/>
        <w:ind w:left="-180" w:right="175"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Цель исследования:</w:t>
      </w:r>
    </w:p>
    <w:p w:rsidR="00710802" w:rsidRDefault="00710802" w:rsidP="00710802">
      <w:pPr>
        <w:spacing w:line="360" w:lineRule="auto"/>
        <w:ind w:left="-180" w:right="175" w:firstLine="889"/>
        <w:jc w:val="both"/>
        <w:rPr>
          <w:rFonts w:ascii="Times New Roman" w:eastAsia="Times New Roman" w:hAnsi="Times New Roman" w:cs="Times New Roman"/>
          <w:sz w:val="28"/>
        </w:rPr>
      </w:pPr>
      <w:r>
        <w:rPr>
          <w:rFonts w:ascii="Times New Roman" w:eastAsia="Times New Roman" w:hAnsi="Times New Roman" w:cs="Times New Roman"/>
          <w:sz w:val="28"/>
        </w:rPr>
        <w:t>Улучшение результатов хирургического лечения первичного гиперпаратиреоза за счет оптимизации методики интраоперационного определения уровня паратиреоидного гормона крови.</w:t>
      </w:r>
    </w:p>
    <w:p w:rsidR="00710802" w:rsidRDefault="00710802" w:rsidP="00710802">
      <w:pPr>
        <w:spacing w:line="360" w:lineRule="auto"/>
        <w:ind w:left="-180" w:right="175" w:firstLine="889"/>
        <w:jc w:val="both"/>
        <w:rPr>
          <w:rFonts w:ascii="Times New Roman" w:eastAsia="Times New Roman" w:hAnsi="Times New Roman" w:cs="Times New Roman"/>
          <w:sz w:val="28"/>
        </w:rPr>
      </w:pPr>
    </w:p>
    <w:p w:rsidR="00710802" w:rsidRDefault="00710802" w:rsidP="00710802">
      <w:pPr>
        <w:spacing w:line="360" w:lineRule="auto"/>
        <w:ind w:left="360"/>
        <w:jc w:val="both"/>
        <w:rPr>
          <w:rFonts w:ascii="Times New Roman" w:eastAsia="Times New Roman" w:hAnsi="Times New Roman" w:cs="Times New Roman"/>
          <w:b/>
          <w:sz w:val="28"/>
        </w:rPr>
      </w:pPr>
      <w:r>
        <w:rPr>
          <w:rFonts w:ascii="Times New Roman" w:eastAsia="Times New Roman" w:hAnsi="Times New Roman" w:cs="Times New Roman"/>
          <w:b/>
          <w:sz w:val="28"/>
        </w:rPr>
        <w:t>Задачи исследования:</w:t>
      </w:r>
    </w:p>
    <w:p w:rsidR="00710802" w:rsidRDefault="00710802" w:rsidP="00BC1F7A">
      <w:pPr>
        <w:widowControl/>
        <w:numPr>
          <w:ilvl w:val="0"/>
          <w:numId w:val="1"/>
        </w:numPr>
        <w:spacing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Определить чувствительность и специфичность традиционного метода интраоперационного определения паратиреоидного гормона при </w:t>
      </w:r>
      <w:proofErr w:type="gramStart"/>
      <w:r>
        <w:rPr>
          <w:rFonts w:ascii="Times New Roman" w:eastAsia="Times New Roman" w:hAnsi="Times New Roman" w:cs="Times New Roman"/>
          <w:sz w:val="28"/>
        </w:rPr>
        <w:t>первичном</w:t>
      </w:r>
      <w:proofErr w:type="gramEnd"/>
      <w:r>
        <w:rPr>
          <w:rFonts w:ascii="Times New Roman" w:eastAsia="Times New Roman" w:hAnsi="Times New Roman" w:cs="Times New Roman"/>
          <w:sz w:val="28"/>
        </w:rPr>
        <w:t xml:space="preserve"> гиперпаратиреозе. </w:t>
      </w:r>
    </w:p>
    <w:p w:rsidR="00710802" w:rsidRDefault="00710802" w:rsidP="00BC1F7A">
      <w:pPr>
        <w:widowControl/>
        <w:numPr>
          <w:ilvl w:val="0"/>
          <w:numId w:val="1"/>
        </w:numPr>
        <w:spacing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Определить чувствительность и специфичность модифицированного метода интраоперационного определения паратиреоидного гормона при </w:t>
      </w:r>
      <w:proofErr w:type="gramStart"/>
      <w:r>
        <w:rPr>
          <w:rFonts w:ascii="Times New Roman" w:eastAsia="Times New Roman" w:hAnsi="Times New Roman" w:cs="Times New Roman"/>
          <w:sz w:val="28"/>
        </w:rPr>
        <w:t>первичном</w:t>
      </w:r>
      <w:proofErr w:type="gramEnd"/>
      <w:r>
        <w:rPr>
          <w:rFonts w:ascii="Times New Roman" w:eastAsia="Times New Roman" w:hAnsi="Times New Roman" w:cs="Times New Roman"/>
          <w:sz w:val="28"/>
        </w:rPr>
        <w:t xml:space="preserve"> гиперпаратиреозе. </w:t>
      </w:r>
    </w:p>
    <w:p w:rsidR="00710802" w:rsidRDefault="00710802" w:rsidP="00BC1F7A">
      <w:pPr>
        <w:widowControl/>
        <w:numPr>
          <w:ilvl w:val="0"/>
          <w:numId w:val="1"/>
        </w:numPr>
        <w:spacing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Провести сравнительный анализ традиционного и модифицированного методов интраоперационного определения паратиреоидного гормона при </w:t>
      </w:r>
      <w:proofErr w:type="gramStart"/>
      <w:r>
        <w:rPr>
          <w:rFonts w:ascii="Times New Roman" w:eastAsia="Times New Roman" w:hAnsi="Times New Roman" w:cs="Times New Roman"/>
          <w:sz w:val="28"/>
        </w:rPr>
        <w:t>первичном</w:t>
      </w:r>
      <w:proofErr w:type="gramEnd"/>
      <w:r>
        <w:rPr>
          <w:rFonts w:ascii="Times New Roman" w:eastAsia="Times New Roman" w:hAnsi="Times New Roman" w:cs="Times New Roman"/>
          <w:sz w:val="28"/>
        </w:rPr>
        <w:t xml:space="preserve"> гиперпаратиреозе. </w:t>
      </w:r>
    </w:p>
    <w:p w:rsidR="00710802" w:rsidRDefault="00710802" w:rsidP="00BC1F7A">
      <w:pPr>
        <w:widowControl/>
        <w:numPr>
          <w:ilvl w:val="0"/>
          <w:numId w:val="1"/>
        </w:numPr>
        <w:spacing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Установить наличие связи между предполагаемыми факторами риска персистенции и прогнозом у пациентов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первичным гиперпаратиреозом. </w:t>
      </w:r>
    </w:p>
    <w:p w:rsidR="00710802" w:rsidRDefault="00710802" w:rsidP="00710802">
      <w:pPr>
        <w:spacing w:line="360" w:lineRule="auto"/>
        <w:ind w:left="-180" w:right="175" w:firstLine="889"/>
        <w:jc w:val="both"/>
        <w:rPr>
          <w:rFonts w:ascii="Times New Roman" w:eastAsia="Times New Roman" w:hAnsi="Times New Roman" w:cs="Times New Roman"/>
          <w:b/>
          <w:color w:val="000000"/>
          <w:sz w:val="36"/>
          <w:shd w:val="clear" w:color="auto" w:fill="FFFFFF"/>
        </w:rPr>
      </w:pPr>
    </w:p>
    <w:p w:rsidR="00710802" w:rsidRDefault="00710802" w:rsidP="00710802">
      <w:pPr>
        <w:spacing w:line="360" w:lineRule="auto"/>
        <w:ind w:left="-180" w:right="175" w:firstLine="889"/>
        <w:jc w:val="both"/>
        <w:rPr>
          <w:rFonts w:ascii="Times New Roman" w:eastAsia="Times New Roman" w:hAnsi="Times New Roman" w:cs="Times New Roman"/>
          <w:b/>
          <w:color w:val="000000"/>
          <w:sz w:val="36"/>
          <w:shd w:val="clear" w:color="auto" w:fill="FFFFFF"/>
        </w:rPr>
      </w:pPr>
    </w:p>
    <w:p w:rsidR="00710802" w:rsidRDefault="00710802" w:rsidP="00710802">
      <w:pPr>
        <w:spacing w:line="360" w:lineRule="auto"/>
        <w:ind w:left="-180" w:right="175" w:firstLine="889"/>
        <w:jc w:val="both"/>
        <w:rPr>
          <w:rFonts w:ascii="Times New Roman" w:eastAsia="Times New Roman" w:hAnsi="Times New Roman" w:cs="Times New Roman"/>
          <w:b/>
          <w:color w:val="000000"/>
          <w:sz w:val="36"/>
          <w:shd w:val="clear" w:color="auto" w:fill="FFFFFF"/>
        </w:rPr>
      </w:pPr>
    </w:p>
    <w:p w:rsidR="00E44ADE" w:rsidRDefault="00E44ADE" w:rsidP="00E44ADE">
      <w:pPr>
        <w:spacing w:line="360" w:lineRule="auto"/>
        <w:ind w:left="-180" w:right="175" w:firstLine="889"/>
        <w:jc w:val="both"/>
        <w:rPr>
          <w:rFonts w:ascii="Times New Roman" w:hAnsi="Times New Roman" w:cs="Times New Roman"/>
          <w:b/>
          <w:color w:val="000000"/>
          <w:sz w:val="36"/>
          <w:szCs w:val="28"/>
          <w:shd w:val="clear" w:color="auto" w:fill="FFFFFF"/>
        </w:rPr>
      </w:pPr>
    </w:p>
    <w:p w:rsidR="00E44ADE" w:rsidRDefault="00E44ADE" w:rsidP="00E44ADE">
      <w:pPr>
        <w:spacing w:line="360" w:lineRule="auto"/>
        <w:ind w:left="-180" w:right="175" w:firstLine="889"/>
        <w:jc w:val="both"/>
        <w:rPr>
          <w:rFonts w:ascii="Times New Roman" w:hAnsi="Times New Roman" w:cs="Times New Roman"/>
          <w:b/>
          <w:color w:val="000000"/>
          <w:sz w:val="36"/>
          <w:szCs w:val="28"/>
          <w:shd w:val="clear" w:color="auto" w:fill="FFFFFF"/>
        </w:rPr>
      </w:pPr>
    </w:p>
    <w:p w:rsidR="00710802" w:rsidRDefault="00710802" w:rsidP="00E44ADE">
      <w:pPr>
        <w:spacing w:line="360" w:lineRule="auto"/>
        <w:ind w:left="-180" w:right="175" w:firstLine="889"/>
        <w:jc w:val="both"/>
        <w:rPr>
          <w:rFonts w:ascii="Times New Roman" w:hAnsi="Times New Roman" w:cs="Times New Roman"/>
          <w:b/>
          <w:color w:val="000000"/>
          <w:sz w:val="36"/>
          <w:szCs w:val="28"/>
          <w:shd w:val="clear" w:color="auto" w:fill="FFFFFF"/>
        </w:rPr>
      </w:pPr>
    </w:p>
    <w:p w:rsidR="00710802" w:rsidRDefault="00710802" w:rsidP="00E44ADE">
      <w:pPr>
        <w:spacing w:line="360" w:lineRule="auto"/>
        <w:ind w:left="-180" w:right="175" w:firstLine="889"/>
        <w:jc w:val="both"/>
        <w:rPr>
          <w:rFonts w:ascii="Times New Roman" w:hAnsi="Times New Roman" w:cs="Times New Roman"/>
          <w:b/>
          <w:color w:val="000000"/>
          <w:sz w:val="36"/>
          <w:szCs w:val="28"/>
          <w:shd w:val="clear" w:color="auto" w:fill="FFFFFF"/>
        </w:rPr>
      </w:pPr>
    </w:p>
    <w:p w:rsidR="00E44ADE" w:rsidRDefault="00E44ADE" w:rsidP="00E44ADE">
      <w:pPr>
        <w:spacing w:line="360" w:lineRule="auto"/>
        <w:ind w:right="175"/>
        <w:jc w:val="both"/>
        <w:rPr>
          <w:rFonts w:ascii="Times New Roman" w:hAnsi="Times New Roman" w:cs="Times New Roman"/>
          <w:b/>
          <w:color w:val="000000"/>
          <w:sz w:val="36"/>
          <w:szCs w:val="28"/>
          <w:shd w:val="clear" w:color="auto" w:fill="FFFFFF"/>
        </w:rPr>
      </w:pPr>
    </w:p>
    <w:p w:rsidR="00710802" w:rsidRDefault="00710802" w:rsidP="008C4BD0">
      <w:pPr>
        <w:pStyle w:val="1"/>
        <w:rPr>
          <w:rFonts w:eastAsia="Times New Roman"/>
        </w:rPr>
      </w:pPr>
      <w:bookmarkStart w:id="2" w:name="_Toc482798603"/>
      <w:r>
        <w:rPr>
          <w:rFonts w:eastAsia="Times New Roman"/>
        </w:rPr>
        <w:t xml:space="preserve">Глава 1. Современное представление о </w:t>
      </w:r>
      <w:proofErr w:type="gramStart"/>
      <w:r>
        <w:rPr>
          <w:rFonts w:eastAsia="Times New Roman"/>
        </w:rPr>
        <w:t>первичном</w:t>
      </w:r>
      <w:proofErr w:type="gramEnd"/>
      <w:r>
        <w:rPr>
          <w:rFonts w:eastAsia="Times New Roman"/>
        </w:rPr>
        <w:t xml:space="preserve"> гиперпаратиреозе</w:t>
      </w:r>
      <w:bookmarkEnd w:id="2"/>
    </w:p>
    <w:p w:rsidR="00710802" w:rsidRDefault="00710802" w:rsidP="008C4BD0">
      <w:pPr>
        <w:pStyle w:val="2"/>
        <w:rPr>
          <w:rFonts w:eastAsia="Times New Roman"/>
          <w:color w:val="000000"/>
          <w:shd w:val="clear" w:color="auto" w:fill="FFFFFF"/>
        </w:rPr>
      </w:pPr>
      <w:bookmarkStart w:id="3" w:name="_Toc482798604"/>
      <w:r>
        <w:rPr>
          <w:rFonts w:eastAsia="Times New Roman"/>
        </w:rPr>
        <w:t>1.1 Развитие и особенности локализации ОЩЖ</w:t>
      </w:r>
      <w:bookmarkEnd w:id="3"/>
    </w:p>
    <w:p w:rsidR="00710802" w:rsidRDefault="00710802" w:rsidP="00710802">
      <w:pPr>
        <w:spacing w:line="360" w:lineRule="auto"/>
        <w:ind w:right="176" w:firstLine="709"/>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sz w:val="28"/>
        </w:rPr>
        <w:t>Околощитовидные железы – это железы внутренней секреции с плотностью чуть больше плотности ткани щитовидной железы (ЩЖ), с гладкой, блестящей поверхностью бледно-розового или буровато-желтого цвета. Размеры ОЩЖ у взрослых людей варьируют от 2,0*0,5*0,5 мм до 8,0*4,0*5,0 мм, при этом нижние железы несколько крупнее верхних. Масса каждой ОЩЖ в норме составляет 20-75 мг, а общая их масса - 120,0±3,5 мг у женщин и 142,0±5,2 мг у мужчин [</w:t>
      </w:r>
      <w:r w:rsidR="006E2A91">
        <w:rPr>
          <w:rFonts w:ascii="Times New Roman" w:eastAsia="Times New Roman" w:hAnsi="Times New Roman" w:cs="Times New Roman"/>
          <w:sz w:val="28"/>
        </w:rPr>
        <w:t>12</w:t>
      </w:r>
      <w:r>
        <w:rPr>
          <w:rFonts w:ascii="Times New Roman" w:eastAsia="Times New Roman" w:hAnsi="Times New Roman" w:cs="Times New Roman"/>
          <w:sz w:val="28"/>
        </w:rPr>
        <w:t>].</w:t>
      </w:r>
    </w:p>
    <w:p w:rsidR="00710802" w:rsidRDefault="00710802" w:rsidP="00710802">
      <w:pPr>
        <w:spacing w:line="360" w:lineRule="auto"/>
        <w:ind w:right="176" w:firstLine="709"/>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sz w:val="28"/>
        </w:rPr>
        <w:t>В большинстве работ указано, что у человека, как и у большинства млекопитающих, имеется две пары околощитовидных желез (верхняя и нижняя) [</w:t>
      </w:r>
      <w:r w:rsidR="006E2A91">
        <w:rPr>
          <w:rFonts w:ascii="Times New Roman" w:eastAsia="Times New Roman" w:hAnsi="Times New Roman" w:cs="Times New Roman"/>
          <w:sz w:val="28"/>
        </w:rPr>
        <w:t>7, 10</w:t>
      </w:r>
      <w:r>
        <w:rPr>
          <w:rFonts w:ascii="Times New Roman" w:eastAsia="Times New Roman" w:hAnsi="Times New Roman" w:cs="Times New Roman"/>
          <w:sz w:val="28"/>
        </w:rPr>
        <w:t xml:space="preserve">]. В других же работах показано, что общее число ОЩЖ может колебаться от 1 до 12, причем “избыточные” железы могут быть как рудиментарными остатками нормально заложенных желез, так и истинными добавочными ОЩЖ, расположенными отдельно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основных [</w:t>
      </w:r>
      <w:r w:rsidR="006E2A91">
        <w:rPr>
          <w:rFonts w:ascii="Times New Roman" w:eastAsia="Times New Roman" w:hAnsi="Times New Roman" w:cs="Times New Roman"/>
          <w:sz w:val="28"/>
        </w:rPr>
        <w:t>14, 46</w:t>
      </w:r>
      <w:r>
        <w:rPr>
          <w:rFonts w:ascii="Times New Roman" w:eastAsia="Times New Roman" w:hAnsi="Times New Roman" w:cs="Times New Roman"/>
          <w:sz w:val="28"/>
        </w:rPr>
        <w:t>].  По данным J. C. Gillot и соавт., уменьшение общего числа ОЩЖ более характерно, чем увеличение. Так авторами было обнаружено, что у 1% вскрытых трупов имелись 2 ОЩЖ, у 13% – 3, у 85% – 4, у 6% – 5 и у 0.4% – 6 желез [</w:t>
      </w:r>
      <w:r w:rsidR="006E2A91">
        <w:rPr>
          <w:rFonts w:ascii="Times New Roman" w:eastAsia="Times New Roman" w:hAnsi="Times New Roman" w:cs="Times New Roman"/>
          <w:sz w:val="28"/>
        </w:rPr>
        <w:t>23</w:t>
      </w:r>
      <w:r>
        <w:rPr>
          <w:rFonts w:ascii="Times New Roman" w:eastAsia="Times New Roman" w:hAnsi="Times New Roman" w:cs="Times New Roman"/>
          <w:sz w:val="28"/>
        </w:rPr>
        <w:t xml:space="preserve">].  </w:t>
      </w:r>
    </w:p>
    <w:p w:rsidR="00710802" w:rsidRDefault="00710802" w:rsidP="00710802">
      <w:pPr>
        <w:spacing w:line="360" w:lineRule="auto"/>
        <w:ind w:right="176" w:firstLine="709"/>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sz w:val="28"/>
        </w:rPr>
        <w:t>В 1937 году E. H. Norris, изучив эмбриогенез ОЩЖ, выделил пять стадий внутриутробного развития ОЩЖ. Было замечено, что первые зачатки данных желез возникают на 26-32 день эмбриогенеза из энтодермы третьего и четвертого глоточных карманов. На 5-й неделе внутриутробного развития из III жаберного кармана формируются ОЩЖ III, которые находятся в тесной связи с зачатками тимуса, а из IV жаберных карманов - ОЩЖ IV, связананные с зачатками парафолликулярных</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 xml:space="preserve"> клеток ЩЖ. ОЩЖ IV, прикрепляясь к капсуле ЩЖ, вступают в тесное с ней соприкосновение или даже оказываются включенными в ее ткань. В результате вытягивания шейного отдела позвоночника на 7-8 неделе внутриутробного развития и опускания сердца и крупных сосудов, тимус быстро перемещается вниз, а ОЩЖ III отстают и остаются в проекции его верхнего полюса, на уровне нижних полюсов долей ЩЖ. ОЩЖ IV обособляются при соединении боковой и медиальной частей ЩЖ и локализуются на заднелатеральной поверхности боковых долей ЩЖ. В возрасте</w:t>
      </w:r>
      <w:r>
        <w:rPr>
          <w:rFonts w:ascii="Times New Roman" w:eastAsia="Times New Roman" w:hAnsi="Times New Roman" w:cs="Times New Roman"/>
          <w:color w:val="000000"/>
          <w:sz w:val="28"/>
        </w:rPr>
        <w:t xml:space="preserve"> 5 месяцев внутриутробного развития плода начинается </w:t>
      </w:r>
      <w:r>
        <w:rPr>
          <w:rFonts w:ascii="Times New Roman" w:eastAsia="Times New Roman" w:hAnsi="Times New Roman" w:cs="Times New Roman"/>
          <w:sz w:val="28"/>
        </w:rPr>
        <w:t>д</w:t>
      </w:r>
      <w:r>
        <w:rPr>
          <w:rFonts w:ascii="Times New Roman" w:eastAsia="Times New Roman" w:hAnsi="Times New Roman" w:cs="Times New Roman"/>
          <w:color w:val="000000"/>
          <w:sz w:val="28"/>
        </w:rPr>
        <w:t>ифференцировка клеток ОЩЖ на светлые и темные паратироциты [</w:t>
      </w:r>
      <w:r w:rsidR="00EC68A5">
        <w:rPr>
          <w:rFonts w:ascii="Times New Roman" w:eastAsia="Times New Roman" w:hAnsi="Times New Roman" w:cs="Times New Roman"/>
          <w:color w:val="000000"/>
          <w:sz w:val="28"/>
        </w:rPr>
        <w:t>14, 23</w:t>
      </w:r>
      <w:r>
        <w:rPr>
          <w:rFonts w:ascii="Times New Roman" w:eastAsia="Times New Roman" w:hAnsi="Times New Roman" w:cs="Times New Roman"/>
          <w:color w:val="000000"/>
          <w:sz w:val="28"/>
        </w:rPr>
        <w:t xml:space="preserve">]. </w:t>
      </w:r>
    </w:p>
    <w:p w:rsidR="00710802" w:rsidRDefault="00710802" w:rsidP="00710802">
      <w:pPr>
        <w:spacing w:line="360" w:lineRule="auto"/>
        <w:ind w:right="176" w:firstLine="709"/>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sz w:val="28"/>
        </w:rPr>
        <w:t>Верхние ОЩЖ чаще всего локализуются между ЩЖ и трахеей в радиусе 1 см от места пересечения верхнего гортанного нерва и нижней щитовидной артерии или сочленения перстневидного хряща с передним рогом щитовидного хряща [</w:t>
      </w:r>
      <w:r w:rsidR="00EC68A5">
        <w:rPr>
          <w:rFonts w:ascii="Times New Roman" w:eastAsia="Times New Roman" w:hAnsi="Times New Roman" w:cs="Times New Roman"/>
          <w:sz w:val="28"/>
        </w:rPr>
        <w:t>12</w:t>
      </w:r>
      <w:r>
        <w:rPr>
          <w:rFonts w:ascii="Times New Roman" w:eastAsia="Times New Roman" w:hAnsi="Times New Roman" w:cs="Times New Roman"/>
          <w:sz w:val="28"/>
        </w:rPr>
        <w:t xml:space="preserve">]. Положение </w:t>
      </w:r>
      <w:proofErr w:type="gramStart"/>
      <w:r>
        <w:rPr>
          <w:rFonts w:ascii="Times New Roman" w:eastAsia="Times New Roman" w:hAnsi="Times New Roman" w:cs="Times New Roman"/>
          <w:sz w:val="28"/>
        </w:rPr>
        <w:t>нижних</w:t>
      </w:r>
      <w:proofErr w:type="gramEnd"/>
      <w:r>
        <w:rPr>
          <w:rFonts w:ascii="Times New Roman" w:eastAsia="Times New Roman" w:hAnsi="Times New Roman" w:cs="Times New Roman"/>
          <w:sz w:val="28"/>
        </w:rPr>
        <w:t xml:space="preserve"> ОЩЖ многообразно в связи с возможностью эмбриональной миграции. Чаще нижние ОЩЖ находятся на боковой поверхности нижней трети долей ЩЖ, реже у основания тимуса или даже у верхнего полюса ЩЖ, намного реже в латеральной области шеи или в средостении [1</w:t>
      </w:r>
      <w:r w:rsidR="00EC68A5">
        <w:rPr>
          <w:rFonts w:ascii="Times New Roman" w:eastAsia="Times New Roman" w:hAnsi="Times New Roman" w:cs="Times New Roman"/>
          <w:sz w:val="28"/>
        </w:rPr>
        <w:t>4</w:t>
      </w:r>
      <w:r>
        <w:rPr>
          <w:rFonts w:ascii="Times New Roman" w:eastAsia="Times New Roman" w:hAnsi="Times New Roman" w:cs="Times New Roman"/>
          <w:sz w:val="28"/>
        </w:rPr>
        <w:t xml:space="preserve">]. </w:t>
      </w:r>
    </w:p>
    <w:p w:rsidR="00710802" w:rsidRDefault="00710802" w:rsidP="00710802">
      <w:pPr>
        <w:spacing w:line="360" w:lineRule="auto"/>
        <w:ind w:right="176" w:firstLine="709"/>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sz w:val="28"/>
        </w:rPr>
        <w:t>У 15% пациентов отмечают наличие эктопических желез в пределах истинной оболочки тимуса, реже интратиреоидно, в области переднего средостения, в подчелюстной области [</w:t>
      </w:r>
      <w:r w:rsidR="00EC68A5">
        <w:rPr>
          <w:rFonts w:ascii="Times New Roman" w:eastAsia="Times New Roman" w:hAnsi="Times New Roman" w:cs="Times New Roman"/>
          <w:sz w:val="28"/>
        </w:rPr>
        <w:t>9, 12, 41</w:t>
      </w:r>
      <w:r>
        <w:rPr>
          <w:rFonts w:ascii="Times New Roman" w:eastAsia="Times New Roman" w:hAnsi="Times New Roman" w:cs="Times New Roman"/>
          <w:sz w:val="28"/>
        </w:rPr>
        <w:t xml:space="preserve">]. </w:t>
      </w:r>
    </w:p>
    <w:p w:rsidR="00710802" w:rsidRDefault="00710802" w:rsidP="00710802">
      <w:pPr>
        <w:spacing w:line="360" w:lineRule="auto"/>
        <w:ind w:right="176" w:firstLine="709"/>
        <w:jc w:val="both"/>
        <w:rPr>
          <w:rFonts w:ascii="Times New Roman" w:eastAsia="Times New Roman" w:hAnsi="Times New Roman" w:cs="Times New Roman"/>
          <w:sz w:val="28"/>
        </w:rPr>
      </w:pPr>
      <w:r>
        <w:rPr>
          <w:rFonts w:ascii="Times New Roman" w:eastAsia="Times New Roman" w:hAnsi="Times New Roman" w:cs="Times New Roman"/>
          <w:sz w:val="28"/>
        </w:rPr>
        <w:t>Длительная стимуляция роста ОЩЖ при гиперплазии органа может явиться причиной роста зачатков дополнительных желез, которые могут находиться в среднем средостении, на уровне аортопульмонального окна или латеральнее яремно-каротидной оси. Наиболее вероятная причина данного феномена — ранняя фрагментация ОЩЖ IV [</w:t>
      </w:r>
      <w:r w:rsidR="00EC68A5">
        <w:rPr>
          <w:rFonts w:ascii="Times New Roman" w:eastAsia="Times New Roman" w:hAnsi="Times New Roman" w:cs="Times New Roman"/>
          <w:sz w:val="28"/>
        </w:rPr>
        <w:t>9</w:t>
      </w:r>
      <w:r>
        <w:rPr>
          <w:rFonts w:ascii="Times New Roman" w:eastAsia="Times New Roman" w:hAnsi="Times New Roman" w:cs="Times New Roman"/>
          <w:sz w:val="28"/>
        </w:rPr>
        <w:t>].</w:t>
      </w:r>
    </w:p>
    <w:p w:rsidR="00710802" w:rsidRDefault="00710802" w:rsidP="008C4BD0">
      <w:pPr>
        <w:pStyle w:val="2"/>
        <w:rPr>
          <w:rFonts w:eastAsia="Times New Roman"/>
        </w:rPr>
      </w:pPr>
      <w:bookmarkStart w:id="4" w:name="_Toc482798605"/>
      <w:r>
        <w:rPr>
          <w:rFonts w:eastAsia="Times New Roman"/>
        </w:rPr>
        <w:t>1.2 Паратиреоидный гормон в норме</w:t>
      </w:r>
      <w:bookmarkEnd w:id="4"/>
    </w:p>
    <w:p w:rsidR="00710802" w:rsidRDefault="00710802" w:rsidP="00710802">
      <w:pPr>
        <w:spacing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Впервые </w:t>
      </w:r>
      <w:r>
        <w:rPr>
          <w:rFonts w:ascii="Times New Roman" w:eastAsia="Times New Roman" w:hAnsi="Times New Roman" w:cs="Times New Roman"/>
          <w:sz w:val="28"/>
          <w:shd w:val="clear" w:color="auto" w:fill="FFFFFF"/>
        </w:rPr>
        <w:t>паратироидный гормон (</w:t>
      </w:r>
      <w:r>
        <w:rPr>
          <w:rFonts w:ascii="Times New Roman" w:eastAsia="Times New Roman" w:hAnsi="Times New Roman" w:cs="Times New Roman"/>
          <w:color w:val="000000"/>
          <w:sz w:val="28"/>
          <w:shd w:val="clear" w:color="auto" w:fill="FFFFFF"/>
        </w:rPr>
        <w:t>ПТГ) был получен из бычьих ОЩЖ в 1923 г., а уже в 1925 г. J. Collip успешно использовал это вещество для лечения пациента с тетанией. Однако только в 1959 г. Аурбах смог впервые полностью очистить и описать первичную структуру ПТГ [</w:t>
      </w:r>
      <w:r w:rsidR="00EC68A5">
        <w:rPr>
          <w:rFonts w:ascii="Times New Roman" w:eastAsia="Times New Roman" w:hAnsi="Times New Roman" w:cs="Times New Roman"/>
          <w:color w:val="000000"/>
          <w:sz w:val="28"/>
          <w:shd w:val="clear" w:color="auto" w:fill="FFFFFF"/>
        </w:rPr>
        <w:t>33</w:t>
      </w:r>
      <w:r>
        <w:rPr>
          <w:rFonts w:ascii="Times New Roman" w:eastAsia="Times New Roman" w:hAnsi="Times New Roman" w:cs="Times New Roman"/>
          <w:color w:val="000000"/>
          <w:sz w:val="28"/>
          <w:shd w:val="clear" w:color="auto" w:fill="FFFFFF"/>
        </w:rPr>
        <w:t>].</w:t>
      </w:r>
    </w:p>
    <w:p w:rsidR="00710802" w:rsidRDefault="00710802" w:rsidP="00710802">
      <w:pPr>
        <w:spacing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ПТГ синтезируется в виде предшественника – препроПТГ, содержащего 115 аминокислот, однако в кровь поступает только </w:t>
      </w:r>
      <w:proofErr w:type="gramStart"/>
      <w:r>
        <w:rPr>
          <w:rFonts w:ascii="Times New Roman" w:eastAsia="Times New Roman" w:hAnsi="Times New Roman" w:cs="Times New Roman"/>
          <w:sz w:val="28"/>
          <w:shd w:val="clear" w:color="auto" w:fill="FFFFFF"/>
        </w:rPr>
        <w:t>подвергшийся</w:t>
      </w:r>
      <w:proofErr w:type="gramEnd"/>
      <w:r>
        <w:rPr>
          <w:rFonts w:ascii="Times New Roman" w:eastAsia="Times New Roman" w:hAnsi="Times New Roman" w:cs="Times New Roman"/>
          <w:sz w:val="28"/>
          <w:shd w:val="clear" w:color="auto" w:fill="FFFFFF"/>
        </w:rPr>
        <w:t xml:space="preserve"> процессингу интактный ПТГ (1-84 аминокислот). В дальнейшем ПТГ 1-84 метаболизируется в печени, почках и в самих ОЩЖ с образованием C-концевого, N-концевого и срединного фрагментов (рис.1). </w:t>
      </w:r>
      <w:r>
        <w:rPr>
          <w:rFonts w:ascii="Times New Roman" w:eastAsia="Times New Roman" w:hAnsi="Times New Roman" w:cs="Times New Roman"/>
          <w:color w:val="000000"/>
          <w:sz w:val="28"/>
          <w:shd w:val="clear" w:color="auto" w:fill="FFFFFF"/>
        </w:rPr>
        <w:t xml:space="preserve">Вышеуказанные фрагменты ПТГ выводятся из крови биэкспоненциально, а именно: с ранней быстрой фазой (период полувыведения 4-5 мин) и поздней медленной фазой (период полувыведения два дня). </w:t>
      </w:r>
      <w:r>
        <w:rPr>
          <w:rFonts w:ascii="Times New Roman" w:eastAsia="Times New Roman" w:hAnsi="Times New Roman" w:cs="Times New Roman"/>
          <w:sz w:val="28"/>
          <w:shd w:val="clear" w:color="auto" w:fill="FFFFFF"/>
        </w:rPr>
        <w:t xml:space="preserve">Почечную фильтрацию проходят только </w:t>
      </w:r>
      <w:proofErr w:type="gramStart"/>
      <w:r>
        <w:rPr>
          <w:rFonts w:ascii="Times New Roman" w:eastAsia="Times New Roman" w:hAnsi="Times New Roman" w:cs="Times New Roman"/>
          <w:sz w:val="28"/>
          <w:shd w:val="clear" w:color="auto" w:fill="FFFFFF"/>
        </w:rPr>
        <w:t>С-концевые</w:t>
      </w:r>
      <w:proofErr w:type="gramEnd"/>
      <w:r>
        <w:rPr>
          <w:rFonts w:ascii="Times New Roman" w:eastAsia="Times New Roman" w:hAnsi="Times New Roman" w:cs="Times New Roman"/>
          <w:sz w:val="28"/>
          <w:shd w:val="clear" w:color="auto" w:fill="FFFFFF"/>
        </w:rPr>
        <w:t xml:space="preserve"> фрагменты ПТГ, следовательно, от скорости клубочковой фильтрации (СКФ) будет зависеть период полувыведения С-концевой молекулы. </w:t>
      </w:r>
    </w:p>
    <w:p w:rsidR="00710802" w:rsidRDefault="00710802" w:rsidP="00710802">
      <w:pPr>
        <w:spacing w:after="24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На данный момент биологическая </w:t>
      </w:r>
      <w:r>
        <w:rPr>
          <w:rFonts w:ascii="Times New Roman" w:eastAsia="Times New Roman" w:hAnsi="Times New Roman" w:cs="Times New Roman"/>
          <w:sz w:val="28"/>
        </w:rPr>
        <w:t>активность доказана только у N-концевой молекулы: участок ПТГ с 1 по 6-й аминокислотный остаток активизирует рецепторы ПТГ</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 xml:space="preserve"> или ПТГ2, а за связь с рецептором без активации отвечает участок ПТГ с 18 по 34-й аминокислотный остаток [</w:t>
      </w:r>
      <w:r w:rsidR="00EC68A5">
        <w:rPr>
          <w:rFonts w:ascii="Times New Roman" w:eastAsia="Times New Roman" w:hAnsi="Times New Roman" w:cs="Times New Roman"/>
          <w:sz w:val="28"/>
        </w:rPr>
        <w:t>3, 9, 32</w:t>
      </w:r>
      <w:r>
        <w:rPr>
          <w:rFonts w:ascii="Times New Roman" w:eastAsia="Times New Roman" w:hAnsi="Times New Roman" w:cs="Times New Roman"/>
          <w:sz w:val="28"/>
        </w:rPr>
        <w:t xml:space="preserve">]. </w:t>
      </w:r>
    </w:p>
    <w:p w:rsidR="00710802" w:rsidRDefault="00710802" w:rsidP="00710802">
      <w:pPr>
        <w:spacing w:after="240" w:line="360" w:lineRule="auto"/>
        <w:jc w:val="center"/>
        <w:rPr>
          <w:rFonts w:ascii="Times New Roman" w:eastAsia="Times New Roman" w:hAnsi="Times New Roman" w:cs="Times New Roman"/>
          <w:sz w:val="28"/>
        </w:rPr>
      </w:pPr>
      <w:r>
        <w:object w:dxaOrig="5842" w:dyaOrig="3211">
          <v:rect id="rectole0000000000" o:spid="_x0000_i1025" style="width:291.75pt;height:160.3pt" o:ole="" o:preferrelative="t" stroked="f">
            <v:imagedata r:id="rId8" o:title=""/>
          </v:rect>
          <o:OLEObject Type="Embed" ProgID="StaticMetafile" ShapeID="rectole0000000000" DrawAspect="Content" ObjectID="_1556546847" r:id="rId9"/>
        </w:object>
      </w:r>
    </w:p>
    <w:p w:rsidR="00710802" w:rsidRDefault="00710802" w:rsidP="00710802">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Рис.1 Процессинг молекулы ПТГ [</w:t>
      </w:r>
      <w:r w:rsidR="00EC68A5">
        <w:rPr>
          <w:rFonts w:ascii="Times New Roman" w:eastAsia="Times New Roman" w:hAnsi="Times New Roman" w:cs="Times New Roman"/>
          <w:sz w:val="28"/>
        </w:rPr>
        <w:t>3</w:t>
      </w:r>
      <w:r>
        <w:rPr>
          <w:rFonts w:ascii="Times New Roman" w:eastAsia="Times New Roman" w:hAnsi="Times New Roman" w:cs="Times New Roman"/>
          <w:sz w:val="28"/>
        </w:rPr>
        <w:t>].</w:t>
      </w:r>
    </w:p>
    <w:p w:rsidR="00710802" w:rsidRDefault="00710802" w:rsidP="00710802">
      <w:pPr>
        <w:spacing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Инициаторами синтеза и секреции ПТГ являются низкие концентрации 1,25(ОН)</w:t>
      </w:r>
      <w:r>
        <w:rPr>
          <w:rFonts w:ascii="Times New Roman" w:eastAsia="Times New Roman" w:hAnsi="Times New Roman" w:cs="Times New Roman"/>
          <w:sz w:val="28"/>
          <w:shd w:val="clear" w:color="auto" w:fill="FFFFFF"/>
          <w:vertAlign w:val="subscript"/>
        </w:rPr>
        <w:t>2</w:t>
      </w:r>
      <w:r>
        <w:rPr>
          <w:rFonts w:ascii="Times New Roman" w:eastAsia="Times New Roman" w:hAnsi="Times New Roman" w:cs="Times New Roman"/>
          <w:sz w:val="28"/>
          <w:shd w:val="clear" w:color="auto" w:fill="FFFFFF"/>
        </w:rPr>
        <w:t xml:space="preserve">D и ионизированного кальция. В качестве дополнительных факторов транскрипции гена ПТГ (11 хромосома) могут выступать </w:t>
      </w:r>
      <w:r>
        <w:rPr>
          <w:rFonts w:ascii="Times New Roman" w:eastAsia="Times New Roman" w:hAnsi="Times New Roman" w:cs="Times New Roman"/>
          <w:sz w:val="28"/>
        </w:rPr>
        <w:t>магний, гистамин, кортизол, дофамин [</w:t>
      </w:r>
      <w:r w:rsidR="00EC68A5">
        <w:rPr>
          <w:rFonts w:ascii="Times New Roman" w:eastAsia="Times New Roman" w:hAnsi="Times New Roman" w:cs="Times New Roman"/>
          <w:sz w:val="28"/>
        </w:rPr>
        <w:t>1</w:t>
      </w:r>
      <w:r>
        <w:rPr>
          <w:rFonts w:ascii="Times New Roman" w:eastAsia="Times New Roman" w:hAnsi="Times New Roman" w:cs="Times New Roman"/>
          <w:sz w:val="28"/>
        </w:rPr>
        <w:t xml:space="preserve">]. </w:t>
      </w:r>
    </w:p>
    <w:p w:rsidR="00710802" w:rsidRDefault="00710802" w:rsidP="00710802">
      <w:pPr>
        <w:spacing w:line="360" w:lineRule="auto"/>
        <w:ind w:firstLine="709"/>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color w:val="000000"/>
          <w:sz w:val="28"/>
          <w:shd w:val="clear" w:color="auto" w:fill="FFFFFF"/>
        </w:rPr>
        <w:t xml:space="preserve">Основным эффектом ПТГ является нормализация уровня кальция крови за счет резорбции костей, а именно: созревание остеокластов, усиление их метаболической активности, увеличение реабсорбции кальция в восходящей части петли Генле с одновременным снижением реабсорбции фосфатов. Также за счет активизации 1альфа-гидроксилазы в почках ПТГ опосредованно стимулирует всасывание кальция в кишечнике. </w:t>
      </w:r>
      <w:r>
        <w:rPr>
          <w:rFonts w:ascii="Times New Roman" w:eastAsia="Times New Roman" w:hAnsi="Times New Roman" w:cs="Times New Roman"/>
          <w:sz w:val="28"/>
          <w:shd w:val="clear" w:color="auto" w:fill="FFFFFF"/>
        </w:rPr>
        <w:t>Дополнительно ПТГ увеличивает диурез и натриурез за счет торможения действия АДГ на почки и стимулирует секрецию соляной кислоты и пепсина в желудке [</w:t>
      </w:r>
      <w:r w:rsidR="00EC68A5">
        <w:rPr>
          <w:rFonts w:ascii="Times New Roman" w:eastAsia="Times New Roman" w:hAnsi="Times New Roman" w:cs="Times New Roman"/>
          <w:sz w:val="28"/>
          <w:shd w:val="clear" w:color="auto" w:fill="FFFFFF"/>
        </w:rPr>
        <w:t>19</w:t>
      </w:r>
      <w:r>
        <w:rPr>
          <w:rFonts w:ascii="Times New Roman" w:eastAsia="Times New Roman" w:hAnsi="Times New Roman" w:cs="Times New Roman"/>
          <w:sz w:val="28"/>
          <w:shd w:val="clear" w:color="auto" w:fill="FFFFFF"/>
        </w:rPr>
        <w:t>].</w:t>
      </w:r>
      <w:r>
        <w:rPr>
          <w:rFonts w:ascii="Times New Roman" w:eastAsia="Times New Roman" w:hAnsi="Times New Roman" w:cs="Times New Roman"/>
          <w:b/>
          <w:sz w:val="28"/>
          <w:shd w:val="clear" w:color="auto" w:fill="FFFFFF"/>
        </w:rPr>
        <w:t xml:space="preserve"> </w:t>
      </w:r>
    </w:p>
    <w:p w:rsidR="00710802" w:rsidRDefault="00710802" w:rsidP="00710802">
      <w:pPr>
        <w:spacing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rPr>
        <w:t xml:space="preserve">Вместе с тем, не только </w:t>
      </w:r>
      <w:proofErr w:type="gramStart"/>
      <w:r>
        <w:rPr>
          <w:rFonts w:ascii="Times New Roman" w:eastAsia="Times New Roman" w:hAnsi="Times New Roman" w:cs="Times New Roman"/>
          <w:color w:val="000000"/>
          <w:sz w:val="28"/>
        </w:rPr>
        <w:t>первичный</w:t>
      </w:r>
      <w:proofErr w:type="gramEnd"/>
      <w:r>
        <w:rPr>
          <w:rFonts w:ascii="Times New Roman" w:eastAsia="Times New Roman" w:hAnsi="Times New Roman" w:cs="Times New Roman"/>
          <w:color w:val="000000"/>
          <w:sz w:val="28"/>
        </w:rPr>
        <w:t xml:space="preserve"> гиперпаратиреоз сопровождается увеличением уровня ПТГ</w:t>
      </w:r>
      <w:r>
        <w:rPr>
          <w:rFonts w:ascii="Times New Roman" w:eastAsia="Times New Roman" w:hAnsi="Times New Roman" w:cs="Times New Roman"/>
          <w:sz w:val="28"/>
          <w:shd w:val="clear" w:color="auto" w:fill="FFFFFF"/>
        </w:rPr>
        <w:t xml:space="preserve"> крови. Повышение концентрации данного гормона можно наблюдать при следующих состояниях [</w:t>
      </w:r>
      <w:r w:rsidR="00EC68A5">
        <w:rPr>
          <w:rFonts w:ascii="Times New Roman" w:eastAsia="Times New Roman" w:hAnsi="Times New Roman" w:cs="Times New Roman"/>
          <w:sz w:val="28"/>
          <w:shd w:val="clear" w:color="auto" w:fill="FFFFFF"/>
        </w:rPr>
        <w:t>3</w:t>
      </w:r>
      <w:r>
        <w:rPr>
          <w:rFonts w:ascii="Times New Roman" w:eastAsia="Times New Roman" w:hAnsi="Times New Roman" w:cs="Times New Roman"/>
          <w:sz w:val="28"/>
          <w:shd w:val="clear" w:color="auto" w:fill="FFFFFF"/>
        </w:rPr>
        <w:t>]:</w:t>
      </w:r>
    </w:p>
    <w:p w:rsidR="00710802" w:rsidRDefault="00710802" w:rsidP="00BC1F7A">
      <w:pPr>
        <w:numPr>
          <w:ilvl w:val="0"/>
          <w:numId w:val="2"/>
        </w:numPr>
        <w:spacing w:line="360" w:lineRule="auto"/>
        <w:ind w:left="644"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повышение уровня липидов в крови, </w:t>
      </w:r>
    </w:p>
    <w:p w:rsidR="00710802" w:rsidRDefault="00710802" w:rsidP="00BC1F7A">
      <w:pPr>
        <w:numPr>
          <w:ilvl w:val="0"/>
          <w:numId w:val="2"/>
        </w:numPr>
        <w:spacing w:line="360" w:lineRule="auto"/>
        <w:ind w:left="644"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синдром мальабсорбции;</w:t>
      </w:r>
    </w:p>
    <w:p w:rsidR="00710802" w:rsidRDefault="00710802" w:rsidP="00BC1F7A">
      <w:pPr>
        <w:numPr>
          <w:ilvl w:val="0"/>
          <w:numId w:val="2"/>
        </w:numPr>
        <w:spacing w:line="360" w:lineRule="auto"/>
        <w:ind w:left="644"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остеомаляция у взрослых;</w:t>
      </w:r>
    </w:p>
    <w:p w:rsidR="00710802" w:rsidRDefault="00710802" w:rsidP="00BC1F7A">
      <w:pPr>
        <w:numPr>
          <w:ilvl w:val="0"/>
          <w:numId w:val="2"/>
        </w:numPr>
        <w:spacing w:line="360" w:lineRule="auto"/>
        <w:ind w:left="644"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беременность и кормление грудью; </w:t>
      </w:r>
    </w:p>
    <w:p w:rsidR="00710802" w:rsidRDefault="00710802" w:rsidP="00BC1F7A">
      <w:pPr>
        <w:numPr>
          <w:ilvl w:val="0"/>
          <w:numId w:val="2"/>
        </w:numPr>
        <w:spacing w:line="360" w:lineRule="auto"/>
        <w:ind w:left="644"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рахит у детей;</w:t>
      </w:r>
    </w:p>
    <w:p w:rsidR="00710802" w:rsidRDefault="00710802" w:rsidP="00BC1F7A">
      <w:pPr>
        <w:numPr>
          <w:ilvl w:val="0"/>
          <w:numId w:val="2"/>
        </w:numPr>
        <w:spacing w:line="360" w:lineRule="auto"/>
        <w:ind w:left="644"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использование некоторых лекарственных препаратов (рифампицин, противосудорожные препараты, диуретики, препараты лития, препараты, содержащие фосфаты);</w:t>
      </w:r>
    </w:p>
    <w:p w:rsidR="00710802" w:rsidRDefault="00710802" w:rsidP="00BC1F7A">
      <w:pPr>
        <w:numPr>
          <w:ilvl w:val="0"/>
          <w:numId w:val="2"/>
        </w:numPr>
        <w:spacing w:line="360" w:lineRule="auto"/>
        <w:ind w:left="644"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д</w:t>
      </w:r>
      <w:r>
        <w:rPr>
          <w:rFonts w:ascii="Times New Roman" w:eastAsia="Times New Roman" w:hAnsi="Times New Roman" w:cs="Times New Roman"/>
          <w:sz w:val="28"/>
          <w:shd w:val="clear" w:color="auto" w:fill="FFFFFF"/>
        </w:rPr>
        <w:t>ефицит витамина D</w:t>
      </w:r>
      <w:r>
        <w:rPr>
          <w:rFonts w:ascii="Times New Roman" w:eastAsia="Times New Roman" w:hAnsi="Times New Roman" w:cs="Times New Roman"/>
          <w:sz w:val="28"/>
          <w:shd w:val="clear" w:color="auto" w:fill="FFFFFF"/>
          <w:vertAlign w:val="subscript"/>
        </w:rPr>
        <w:t>3</w:t>
      </w:r>
      <w:r>
        <w:rPr>
          <w:rFonts w:ascii="Times New Roman" w:eastAsia="Times New Roman" w:hAnsi="Times New Roman" w:cs="Times New Roman"/>
          <w:sz w:val="28"/>
          <w:shd w:val="clear" w:color="auto" w:fill="FFFFFF"/>
        </w:rPr>
        <w:t>;</w:t>
      </w:r>
    </w:p>
    <w:p w:rsidR="00710802" w:rsidRDefault="00710802" w:rsidP="00BC1F7A">
      <w:pPr>
        <w:numPr>
          <w:ilvl w:val="0"/>
          <w:numId w:val="2"/>
        </w:numPr>
        <w:spacing w:line="360" w:lineRule="auto"/>
        <w:ind w:left="644"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хроническая болезнь почек.</w:t>
      </w:r>
    </w:p>
    <w:p w:rsidR="00710802" w:rsidRDefault="00710802" w:rsidP="008C4BD0">
      <w:pPr>
        <w:pStyle w:val="2"/>
        <w:rPr>
          <w:rFonts w:eastAsia="Times New Roman"/>
        </w:rPr>
      </w:pPr>
      <w:bookmarkStart w:id="5" w:name="_Toc482798606"/>
      <w:r>
        <w:rPr>
          <w:rFonts w:eastAsia="Times New Roman"/>
        </w:rPr>
        <w:t>1.3 Первичный гиперпратиреоз. Этиология и патогенез</w:t>
      </w:r>
      <w:bookmarkEnd w:id="5"/>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shd w:val="clear" w:color="auto" w:fill="FFFFFF"/>
        </w:rPr>
        <w:t xml:space="preserve">Гиперсекреция ПТГ при ПГПТ может быть обусловлена либо снижением чувствительности клеток ОЩЖ к нормальному уровню кальция в крови, либо абсолютным увеличением массы и количества секретирующих клеток </w:t>
      </w:r>
      <w:r>
        <w:rPr>
          <w:rFonts w:ascii="Times New Roman" w:eastAsia="Times New Roman" w:hAnsi="Times New Roman" w:cs="Times New Roman"/>
          <w:color w:val="000000"/>
          <w:sz w:val="28"/>
        </w:rPr>
        <w:t>[</w:t>
      </w:r>
      <w:r w:rsidR="00EC68A5">
        <w:rPr>
          <w:rFonts w:ascii="Times New Roman" w:eastAsia="Times New Roman" w:hAnsi="Times New Roman" w:cs="Times New Roman"/>
          <w:color w:val="000000"/>
          <w:sz w:val="28"/>
        </w:rPr>
        <w:t>2, 30</w:t>
      </w:r>
      <w:r>
        <w:rPr>
          <w:rFonts w:ascii="Times New Roman" w:eastAsia="Times New Roman" w:hAnsi="Times New Roman" w:cs="Times New Roman"/>
          <w:color w:val="000000"/>
          <w:sz w:val="28"/>
        </w:rPr>
        <w:t xml:space="preserve">]. </w:t>
      </w:r>
    </w:p>
    <w:p w:rsidR="00710802" w:rsidRDefault="00710802" w:rsidP="00710802">
      <w:pPr>
        <w:spacing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80-89% случаев причиной ПГПТ является солитарная аденома, в 4-15% - первичная гиперплазия ОЩЖ и всего в 0,5-3% случаев выявляют рак ОЩЖ [</w:t>
      </w:r>
      <w:r w:rsidR="00EC68A5">
        <w:rPr>
          <w:rFonts w:ascii="Times New Roman" w:eastAsia="Times New Roman" w:hAnsi="Times New Roman" w:cs="Times New Roman"/>
          <w:color w:val="000000"/>
          <w:sz w:val="28"/>
          <w:shd w:val="clear" w:color="auto" w:fill="FFFFFF"/>
        </w:rPr>
        <w:t>2, 3</w:t>
      </w:r>
      <w:r>
        <w:rPr>
          <w:rFonts w:ascii="Times New Roman" w:eastAsia="Times New Roman" w:hAnsi="Times New Roman" w:cs="Times New Roman"/>
          <w:color w:val="000000"/>
          <w:sz w:val="28"/>
          <w:shd w:val="clear" w:color="auto" w:fill="FFFFFF"/>
        </w:rPr>
        <w:t xml:space="preserve">]. </w:t>
      </w:r>
    </w:p>
    <w:p w:rsidR="00710802" w:rsidRDefault="00710802" w:rsidP="00710802">
      <w:pPr>
        <w:keepNext/>
        <w:keepLines/>
        <w:spacing w:line="360" w:lineRule="auto"/>
        <w:ind w:firstLine="709"/>
        <w:jc w:val="both"/>
        <w:rPr>
          <w:rFonts w:ascii="Times New Roman" w:eastAsia="Times New Roman" w:hAnsi="Times New Roman" w:cs="Times New Roman"/>
          <w:b/>
          <w:i/>
          <w:color w:val="252525"/>
          <w:sz w:val="28"/>
          <w:shd w:val="clear" w:color="auto" w:fill="FFFFFF"/>
        </w:rPr>
      </w:pPr>
      <w:r>
        <w:rPr>
          <w:rFonts w:ascii="Times New Roman" w:eastAsia="Times New Roman" w:hAnsi="Times New Roman" w:cs="Times New Roman"/>
          <w:sz w:val="28"/>
          <w:shd w:val="clear" w:color="auto" w:fill="FFFFFF"/>
        </w:rPr>
        <w:t>В ряде работ описывается роль ионизирующего излучения как причины спорадических случаев аденом ОЩЖ, однако частота встречаемости таких случаев крайне низка (до 2%) [</w:t>
      </w:r>
      <w:r w:rsidR="00EC68A5">
        <w:rPr>
          <w:rFonts w:ascii="Times New Roman" w:eastAsia="Times New Roman" w:hAnsi="Times New Roman" w:cs="Times New Roman"/>
          <w:sz w:val="28"/>
          <w:shd w:val="clear" w:color="auto" w:fill="FFFFFF"/>
        </w:rPr>
        <w:t>30</w:t>
      </w:r>
      <w:r>
        <w:rPr>
          <w:rFonts w:ascii="Times New Roman" w:eastAsia="Times New Roman" w:hAnsi="Times New Roman" w:cs="Times New Roman"/>
          <w:sz w:val="28"/>
          <w:shd w:val="clear" w:color="auto" w:fill="FFFFFF"/>
        </w:rPr>
        <w:t>]. Другой важной причиной спорадических аденом ОЩЖ является мутация в гене циклина D1 (11q13 хромосома), частота встречаемости которой составляет 20-40%. Данная перестройка в гене приводит к одновременной активации транскрипции и гиперэкспрессии белка циклина D1 с последующим усилением пролиферации клеток околощитовидных желез [</w:t>
      </w:r>
      <w:r w:rsidR="00EC68A5">
        <w:rPr>
          <w:rFonts w:ascii="Times New Roman" w:eastAsia="Times New Roman" w:hAnsi="Times New Roman" w:cs="Times New Roman"/>
          <w:sz w:val="28"/>
          <w:shd w:val="clear" w:color="auto" w:fill="FFFFFF"/>
        </w:rPr>
        <w:t>5, 24</w:t>
      </w:r>
      <w:r>
        <w:rPr>
          <w:rFonts w:ascii="Times New Roman" w:eastAsia="Times New Roman" w:hAnsi="Times New Roman" w:cs="Times New Roman"/>
          <w:sz w:val="28"/>
          <w:shd w:val="clear" w:color="auto" w:fill="FFFFFF"/>
        </w:rPr>
        <w:t xml:space="preserve">]. Yasuo Imanishi и соавт. (2001) было замечено, что в аденомах ОЩЖ с мутациями в гене циклина D1 снижена экспрессия </w:t>
      </w:r>
      <w:proofErr w:type="gramStart"/>
      <w:r>
        <w:rPr>
          <w:rFonts w:ascii="Times New Roman" w:eastAsia="Times New Roman" w:hAnsi="Times New Roman" w:cs="Times New Roman"/>
          <w:sz w:val="28"/>
          <w:shd w:val="clear" w:color="auto" w:fill="FFFFFF"/>
        </w:rPr>
        <w:t>кальций-чувствительного</w:t>
      </w:r>
      <w:proofErr w:type="gramEnd"/>
      <w:r>
        <w:rPr>
          <w:rFonts w:ascii="Times New Roman" w:eastAsia="Times New Roman" w:hAnsi="Times New Roman" w:cs="Times New Roman"/>
          <w:sz w:val="28"/>
          <w:shd w:val="clear" w:color="auto" w:fill="FFFFFF"/>
        </w:rPr>
        <w:t xml:space="preserve"> рецептора. Возможно, данное нарушение обратной связи между уровнем кальция крови и ОЩЖ лежит в основе избыточной пролиферации клеток ОЩЖ.</w:t>
      </w:r>
      <w:r>
        <w:rPr>
          <w:rFonts w:ascii="Times New Roman" w:eastAsia="Times New Roman" w:hAnsi="Times New Roman" w:cs="Times New Roman"/>
          <w:b/>
          <w:i/>
          <w:color w:val="4F81BD"/>
          <w:sz w:val="28"/>
          <w:shd w:val="clear" w:color="auto" w:fill="FFFFFF"/>
        </w:rPr>
        <w:t xml:space="preserve"> </w:t>
      </w:r>
      <w:r>
        <w:rPr>
          <w:rFonts w:ascii="Times New Roman" w:eastAsia="Times New Roman" w:hAnsi="Times New Roman" w:cs="Times New Roman"/>
          <w:sz w:val="28"/>
          <w:shd w:val="clear" w:color="auto" w:fill="FFFFFF"/>
        </w:rPr>
        <w:t>По данным E.D. Hsi и соавт., циклин D1 выявлялся в 12 из 65 аденом околощитовидной железы (18%), тогда как он отсутствовал в 51 нормальной околощитовидной железе. Необходимо учитывать, что данная мутация в онкогене циклина D1 также приводит к развитию рака поджелудочной (40-80%) и молочных желез (50-70%), лимфомы (более 90%) и меланомы (30-60%) [</w:t>
      </w:r>
      <w:r w:rsidR="00EC68A5">
        <w:rPr>
          <w:rFonts w:ascii="Times New Roman" w:eastAsia="Times New Roman" w:hAnsi="Times New Roman" w:cs="Times New Roman"/>
          <w:sz w:val="28"/>
          <w:shd w:val="clear" w:color="auto" w:fill="FFFFFF"/>
        </w:rPr>
        <w:t>5, 24</w:t>
      </w:r>
      <w:r>
        <w:rPr>
          <w:rFonts w:ascii="Times New Roman" w:eastAsia="Times New Roman" w:hAnsi="Times New Roman" w:cs="Times New Roman"/>
          <w:sz w:val="28"/>
          <w:shd w:val="clear" w:color="auto" w:fill="FFFFFF"/>
        </w:rPr>
        <w:t>].</w:t>
      </w:r>
      <w:r>
        <w:rPr>
          <w:rFonts w:ascii="Times New Roman" w:eastAsia="Times New Roman" w:hAnsi="Times New Roman" w:cs="Times New Roman"/>
          <w:b/>
          <w:i/>
          <w:color w:val="252525"/>
          <w:sz w:val="28"/>
          <w:shd w:val="clear" w:color="auto" w:fill="FFFFFF"/>
        </w:rPr>
        <w:t xml:space="preserve"> </w:t>
      </w:r>
    </w:p>
    <w:p w:rsidR="00710802" w:rsidRDefault="00710802" w:rsidP="00710802">
      <w:pPr>
        <w:rPr>
          <w:rFonts w:eastAsia="Liberation Serif" w:cs="Liberation Serif"/>
        </w:rPr>
      </w:pPr>
      <w:r>
        <w:object w:dxaOrig="8980" w:dyaOrig="4595">
          <v:rect id="rectole0000000001" o:spid="_x0000_i1026" style="width:449.55pt;height:229.75pt" o:ole="" o:preferrelative="t" stroked="f">
            <v:imagedata r:id="rId10" o:title=""/>
          </v:rect>
          <o:OLEObject Type="Embed" ProgID="StaticMetafile" ShapeID="rectole0000000001" DrawAspect="Content" ObjectID="_1556546848" r:id="rId11"/>
        </w:object>
      </w:r>
    </w:p>
    <w:p w:rsidR="00710802" w:rsidRDefault="00710802" w:rsidP="00710802">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Рис.2 Функция белка Циклина D1 [</w:t>
      </w:r>
      <w:r w:rsidR="00EC68A5">
        <w:rPr>
          <w:rFonts w:ascii="Times New Roman" w:eastAsia="Times New Roman" w:hAnsi="Times New Roman" w:cs="Times New Roman"/>
          <w:sz w:val="28"/>
        </w:rPr>
        <w:t>34</w:t>
      </w:r>
      <w:r>
        <w:rPr>
          <w:rFonts w:ascii="Times New Roman" w:eastAsia="Times New Roman" w:hAnsi="Times New Roman" w:cs="Times New Roman"/>
          <w:sz w:val="28"/>
        </w:rPr>
        <w:t>].</w:t>
      </w:r>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наследственных синдромах ПГПТ таких, как MEN I, MEN IIA, </w:t>
      </w:r>
      <w:proofErr w:type="gramStart"/>
      <w:r>
        <w:rPr>
          <w:rFonts w:ascii="Times New Roman" w:eastAsia="Times New Roman" w:hAnsi="Times New Roman" w:cs="Times New Roman"/>
          <w:color w:val="000000"/>
          <w:sz w:val="28"/>
        </w:rPr>
        <w:t>семейный</w:t>
      </w:r>
      <w:proofErr w:type="gramEnd"/>
      <w:r>
        <w:rPr>
          <w:rFonts w:ascii="Times New Roman" w:eastAsia="Times New Roman" w:hAnsi="Times New Roman" w:cs="Times New Roman"/>
          <w:color w:val="000000"/>
          <w:sz w:val="28"/>
        </w:rPr>
        <w:t xml:space="preserve"> гиперпаратиреоз типа 1 и 2, избыточная секреция ПТГ обусловлена  чаще (в 12-15% случаях) гиперплазией ОЩЖ [</w:t>
      </w:r>
      <w:r w:rsidR="00EC68A5">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 xml:space="preserve">]. </w:t>
      </w:r>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Для синдрома MEN I (синдром Вермера, </w:t>
      </w:r>
      <w:r>
        <w:rPr>
          <w:rFonts w:ascii="Times New Roman" w:eastAsia="Times New Roman" w:hAnsi="Times New Roman" w:cs="Times New Roman"/>
          <w:sz w:val="28"/>
          <w:shd w:val="clear" w:color="auto" w:fill="FFFFFF"/>
        </w:rPr>
        <w:t>11q13 хромосома</w:t>
      </w:r>
      <w:r>
        <w:rPr>
          <w:rFonts w:ascii="Times New Roman" w:eastAsia="Times New Roman" w:hAnsi="Times New Roman" w:cs="Times New Roman"/>
          <w:sz w:val="28"/>
        </w:rPr>
        <w:t>)</w:t>
      </w: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характерно наличие опухолей в двух и более эндокринных органах, эмбриологически связанных с нейроэктодермальным ростком</w:t>
      </w:r>
      <w:r>
        <w:rPr>
          <w:rFonts w:ascii="Times New Roman" w:eastAsia="Times New Roman" w:hAnsi="Times New Roman" w:cs="Times New Roman"/>
          <w:color w:val="000000"/>
          <w:sz w:val="28"/>
        </w:rPr>
        <w:t>, чаще это опухоли гипофиза, поджелудочной и околощитовидных желез. Причина синдрома – эта мутация в гене</w:t>
      </w:r>
      <w:r>
        <w:rPr>
          <w:rFonts w:ascii="Times New Roman" w:eastAsia="Times New Roman" w:hAnsi="Times New Roman" w:cs="Times New Roman"/>
          <w:sz w:val="28"/>
          <w:shd w:val="clear" w:color="auto" w:fill="FFFFFF"/>
        </w:rPr>
        <w:t xml:space="preserve"> MEN, кодирующем белок Menin, </w:t>
      </w:r>
      <w:r>
        <w:rPr>
          <w:rFonts w:ascii="Times New Roman" w:eastAsia="Times New Roman" w:hAnsi="Times New Roman" w:cs="Times New Roman"/>
          <w:sz w:val="28"/>
        </w:rPr>
        <w:t>который в норме модулирует активность ингибиторов клеточного цикла, инактивирует факторы транскрипции и участвует в процессах репарации ДНК [</w:t>
      </w:r>
      <w:r w:rsidR="00EC68A5">
        <w:rPr>
          <w:rFonts w:ascii="Times New Roman" w:eastAsia="Times New Roman" w:hAnsi="Times New Roman" w:cs="Times New Roman"/>
          <w:sz w:val="28"/>
        </w:rPr>
        <w:t>5</w:t>
      </w:r>
      <w:r>
        <w:rPr>
          <w:rFonts w:ascii="Times New Roman" w:eastAsia="Times New Roman" w:hAnsi="Times New Roman" w:cs="Times New Roman"/>
          <w:sz w:val="28"/>
        </w:rPr>
        <w:t xml:space="preserve">].  </w:t>
      </w:r>
      <w:r>
        <w:rPr>
          <w:rFonts w:ascii="Times New Roman" w:eastAsia="Times New Roman" w:hAnsi="Times New Roman" w:cs="Times New Roman"/>
          <w:sz w:val="28"/>
          <w:shd w:val="clear" w:color="auto" w:fill="FFFFFF"/>
        </w:rPr>
        <w:t xml:space="preserve">Частота встречаемости MEN I у пациентов с ПГПТ – 2-4%. Чаще всего пациенты обращаются с клинической картиной </w:t>
      </w:r>
      <w:r>
        <w:rPr>
          <w:rFonts w:ascii="Times New Roman" w:eastAsia="Times New Roman" w:hAnsi="Times New Roman" w:cs="Times New Roman"/>
          <w:color w:val="000000"/>
          <w:sz w:val="28"/>
        </w:rPr>
        <w:t>акромегалии или болезни Иценко–Кушинга (15-42%), гиперинсулинемии (30-60%), гастриномы (30%)</w:t>
      </w:r>
      <w:r>
        <w:rPr>
          <w:rFonts w:ascii="Times New Roman" w:eastAsia="Times New Roman" w:hAnsi="Times New Roman" w:cs="Times New Roman"/>
          <w:color w:val="212121"/>
          <w:sz w:val="28"/>
          <w:shd w:val="clear" w:color="auto" w:fill="FFFFFF"/>
        </w:rPr>
        <w:t>, гиперпаратиреоза (90%) [</w:t>
      </w:r>
      <w:r w:rsidR="00EC68A5">
        <w:rPr>
          <w:rFonts w:ascii="Times New Roman" w:eastAsia="Times New Roman" w:hAnsi="Times New Roman" w:cs="Times New Roman"/>
          <w:color w:val="212121"/>
          <w:sz w:val="28"/>
          <w:shd w:val="clear" w:color="auto" w:fill="FFFFFF"/>
        </w:rPr>
        <w:t>21</w:t>
      </w:r>
      <w:r>
        <w:rPr>
          <w:rFonts w:ascii="Times New Roman" w:eastAsia="Times New Roman" w:hAnsi="Times New Roman" w:cs="Times New Roman"/>
          <w:color w:val="212121"/>
          <w:sz w:val="28"/>
          <w:shd w:val="clear" w:color="auto" w:fill="FFFFFF"/>
        </w:rPr>
        <w:t>]. Для данного синдрома характерно преобладание малосимптомных и бессимптомных клинических форм ПГПТ и ранняя манифестация (20-25 лет), однако 100</w:t>
      </w:r>
      <w:r>
        <w:rPr>
          <w:rFonts w:ascii="Times New Roman" w:eastAsia="Times New Roman" w:hAnsi="Times New Roman" w:cs="Times New Roman"/>
          <w:color w:val="000000"/>
          <w:sz w:val="28"/>
        </w:rPr>
        <w:t>%-ная пенентрантность достигается к 50-ти годам</w:t>
      </w:r>
      <w:r>
        <w:rPr>
          <w:rFonts w:ascii="Times New Roman" w:eastAsia="Times New Roman" w:hAnsi="Times New Roman" w:cs="Times New Roman"/>
          <w:color w:val="212121"/>
          <w:sz w:val="28"/>
          <w:shd w:val="clear" w:color="auto" w:fill="FFFFFF"/>
        </w:rPr>
        <w:t xml:space="preserve">. Вопрос об объеме операции при MEN I остается спорным в связи с гиперплазией двух и более ОЩЖ.  По последним данным, самой распространенной операцией у пациентов с MEN I является паратиреоидэктомия с трансцервикальной, почти полной тимэктомией. Однако отмечают, что после паратиреоидэктомии через 5-10 лет частота рецидива ПГПТ составляет 50% случаев. Интраоперационное определение ПТГ является оптимальным методом для ревизии </w:t>
      </w:r>
      <w:proofErr w:type="gramStart"/>
      <w:r>
        <w:rPr>
          <w:rFonts w:ascii="Times New Roman" w:eastAsia="Times New Roman" w:hAnsi="Times New Roman" w:cs="Times New Roman"/>
          <w:color w:val="212121"/>
          <w:sz w:val="28"/>
          <w:shd w:val="clear" w:color="auto" w:fill="FFFFFF"/>
        </w:rPr>
        <w:t>оставшихся</w:t>
      </w:r>
      <w:proofErr w:type="gramEnd"/>
      <w:r>
        <w:rPr>
          <w:rFonts w:ascii="Times New Roman" w:eastAsia="Times New Roman" w:hAnsi="Times New Roman" w:cs="Times New Roman"/>
          <w:color w:val="212121"/>
          <w:sz w:val="28"/>
          <w:shd w:val="clear" w:color="auto" w:fill="FFFFFF"/>
        </w:rPr>
        <w:t xml:space="preserve"> измененных ОЩЖ [</w:t>
      </w:r>
      <w:r w:rsidR="00EC68A5">
        <w:rPr>
          <w:rFonts w:ascii="Times New Roman" w:eastAsia="Times New Roman" w:hAnsi="Times New Roman" w:cs="Times New Roman"/>
          <w:color w:val="212121"/>
          <w:sz w:val="28"/>
          <w:shd w:val="clear" w:color="auto" w:fill="FFFFFF"/>
        </w:rPr>
        <w:t>21</w:t>
      </w:r>
      <w:r>
        <w:rPr>
          <w:rFonts w:ascii="Times New Roman" w:eastAsia="Times New Roman" w:hAnsi="Times New Roman" w:cs="Times New Roman"/>
          <w:color w:val="212121"/>
          <w:sz w:val="28"/>
          <w:shd w:val="clear" w:color="auto" w:fill="FFFFFF"/>
        </w:rPr>
        <w:t>].</w:t>
      </w:r>
      <w:r>
        <w:rPr>
          <w:rFonts w:ascii="Times New Roman" w:eastAsia="Times New Roman" w:hAnsi="Times New Roman" w:cs="Times New Roman"/>
          <w:color w:val="212121"/>
          <w:sz w:val="28"/>
          <w:shd w:val="clear" w:color="auto" w:fill="C9D7F1"/>
        </w:rPr>
        <w:t xml:space="preserve">  </w:t>
      </w:r>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shd w:val="clear" w:color="auto" w:fill="FFFFFF"/>
        </w:rPr>
        <w:t xml:space="preserve">Что касается другого наследственного синдрома, MEN </w:t>
      </w:r>
      <w:r>
        <w:rPr>
          <w:rFonts w:ascii="Times New Roman" w:eastAsia="Times New Roman" w:hAnsi="Times New Roman" w:cs="Times New Roman"/>
          <w:color w:val="000000"/>
          <w:sz w:val="28"/>
        </w:rPr>
        <w:t>II</w:t>
      </w:r>
      <w:proofErr w:type="gramStart"/>
      <w:r>
        <w:rPr>
          <w:rFonts w:ascii="Times New Roman" w:eastAsia="Times New Roman" w:hAnsi="Times New Roman" w:cs="Times New Roman"/>
          <w:color w:val="000000"/>
          <w:sz w:val="28"/>
        </w:rPr>
        <w:t>А</w:t>
      </w:r>
      <w:proofErr w:type="gramEnd"/>
      <w:r>
        <w:rPr>
          <w:rFonts w:ascii="Times New Roman" w:eastAsia="Times New Roman" w:hAnsi="Times New Roman" w:cs="Times New Roman"/>
          <w:color w:val="000000"/>
          <w:sz w:val="28"/>
        </w:rPr>
        <w:t xml:space="preserve"> (синдром Сиппла, </w:t>
      </w:r>
      <w:r>
        <w:rPr>
          <w:rFonts w:ascii="Times New Roman" w:eastAsia="Times New Roman" w:hAnsi="Times New Roman" w:cs="Times New Roman"/>
          <w:color w:val="000000"/>
          <w:sz w:val="28"/>
          <w:shd w:val="clear" w:color="auto" w:fill="FFFFFF"/>
        </w:rPr>
        <w:t>10q11 хромосома</w:t>
      </w:r>
      <w:r>
        <w:rPr>
          <w:rFonts w:ascii="Times New Roman" w:eastAsia="Times New Roman" w:hAnsi="Times New Roman" w:cs="Times New Roman"/>
          <w:color w:val="000000"/>
          <w:sz w:val="28"/>
        </w:rPr>
        <w:t xml:space="preserve">), то в данном случае мутация активирует протоонкоген RET, который кодирует рецептор тирозинкиназы, </w:t>
      </w:r>
      <w:r>
        <w:rPr>
          <w:rFonts w:ascii="Times New Roman" w:eastAsia="Times New Roman" w:hAnsi="Times New Roman" w:cs="Times New Roman"/>
          <w:sz w:val="28"/>
          <w:shd w:val="clear" w:color="auto" w:fill="FFFFFF"/>
        </w:rPr>
        <w:t xml:space="preserve">и </w:t>
      </w:r>
      <w:r>
        <w:rPr>
          <w:rFonts w:ascii="Times New Roman" w:eastAsia="Times New Roman" w:hAnsi="Times New Roman" w:cs="Times New Roman"/>
          <w:color w:val="252525"/>
          <w:sz w:val="28"/>
          <w:shd w:val="clear" w:color="auto" w:fill="FFFFFF"/>
        </w:rPr>
        <w:t>сочетает в клинической картине симптомы </w:t>
      </w:r>
      <w:r>
        <w:rPr>
          <w:rFonts w:ascii="Times New Roman" w:eastAsia="Times New Roman" w:hAnsi="Times New Roman" w:cs="Times New Roman"/>
          <w:sz w:val="28"/>
          <w:shd w:val="clear" w:color="auto" w:fill="FFFFFF"/>
        </w:rPr>
        <w:t>медуллярного рака щитовидной железы (</w:t>
      </w:r>
      <w:r>
        <w:rPr>
          <w:rFonts w:ascii="Times New Roman" w:eastAsia="Times New Roman" w:hAnsi="Times New Roman" w:cs="Times New Roman"/>
          <w:color w:val="000000"/>
          <w:sz w:val="28"/>
        </w:rPr>
        <w:t>80-95%)</w:t>
      </w:r>
      <w:r>
        <w:rPr>
          <w:rFonts w:ascii="Times New Roman" w:eastAsia="Times New Roman" w:hAnsi="Times New Roman" w:cs="Times New Roman"/>
          <w:color w:val="252525"/>
          <w:sz w:val="28"/>
          <w:shd w:val="clear" w:color="auto" w:fill="FFFFFF"/>
        </w:rPr>
        <w:t xml:space="preserve">, двухсторонней </w:t>
      </w:r>
      <w:r>
        <w:rPr>
          <w:rFonts w:ascii="Times New Roman" w:eastAsia="Times New Roman" w:hAnsi="Times New Roman" w:cs="Times New Roman"/>
          <w:sz w:val="28"/>
          <w:shd w:val="clear" w:color="auto" w:fill="FFFFFF"/>
        </w:rPr>
        <w:t xml:space="preserve">феохромоцитомы </w:t>
      </w:r>
      <w:r>
        <w:rPr>
          <w:rFonts w:ascii="Times New Roman" w:eastAsia="Times New Roman" w:hAnsi="Times New Roman" w:cs="Times New Roman"/>
          <w:color w:val="252525"/>
          <w:sz w:val="28"/>
          <w:shd w:val="clear" w:color="auto" w:fill="FFFFFF"/>
        </w:rPr>
        <w:t>(</w:t>
      </w:r>
      <w:r>
        <w:rPr>
          <w:rFonts w:ascii="Times New Roman" w:eastAsia="Times New Roman" w:hAnsi="Times New Roman" w:cs="Times New Roman"/>
          <w:color w:val="000000"/>
          <w:sz w:val="28"/>
        </w:rPr>
        <w:t xml:space="preserve">40-70%) </w:t>
      </w:r>
      <w:r>
        <w:rPr>
          <w:rFonts w:ascii="Times New Roman" w:eastAsia="Times New Roman" w:hAnsi="Times New Roman" w:cs="Times New Roman"/>
          <w:color w:val="252525"/>
          <w:sz w:val="28"/>
          <w:shd w:val="clear" w:color="auto" w:fill="FFFFFF"/>
        </w:rPr>
        <w:t>и опухоли околощитовидных желез (1</w:t>
      </w:r>
      <w:r>
        <w:rPr>
          <w:rFonts w:ascii="Times New Roman" w:eastAsia="Times New Roman" w:hAnsi="Times New Roman" w:cs="Times New Roman"/>
          <w:color w:val="000000"/>
          <w:sz w:val="28"/>
        </w:rPr>
        <w:t>0-35%)</w:t>
      </w:r>
      <w:r>
        <w:rPr>
          <w:rFonts w:ascii="Times New Roman" w:eastAsia="Times New Roman" w:hAnsi="Times New Roman" w:cs="Times New Roman"/>
          <w:color w:val="252525"/>
          <w:sz w:val="28"/>
          <w:shd w:val="clear" w:color="auto" w:fill="FFFFFF"/>
        </w:rPr>
        <w:t>.</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color w:val="000000"/>
          <w:sz w:val="28"/>
        </w:rPr>
        <w:t>Было отмечено, что гиперпаратиреоз при MEN 2А отличается преимущественно бессимптомным течением и по морфологическому строению чаще - аденома [</w:t>
      </w:r>
      <w:r w:rsidR="00EC68A5">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 xml:space="preserve">]. Что касается феохромоцитомы, то при данном синдроме она редко бывает вненадпочечниковой и злокачественной и проявляется в возрасте старше 10 лет жалобами на артериальную гипертензию.  </w:t>
      </w:r>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синдроме гиперпаратиреоза с опухолью челюсти (HPT-JT) или семейного гиперпаратиреоза типа 2 выделяют мутацию гена </w:t>
      </w:r>
      <w:r>
        <w:rPr>
          <w:rFonts w:ascii="Times New Roman" w:eastAsia="Times New Roman" w:hAnsi="Times New Roman" w:cs="Times New Roman"/>
          <w:color w:val="000000"/>
          <w:sz w:val="28"/>
          <w:shd w:val="clear" w:color="auto" w:fill="FFFFFF"/>
        </w:rPr>
        <w:t xml:space="preserve">HRPT2 с аутосомно-доминантным типом наследования (1q31 хромосома), что приводит к снижению секреции белка парафибромина как супрессора опухолевого роста, с развитием нарушений регуляции клеточного цикла и апоптоза (рис.3). Синдром </w:t>
      </w:r>
      <w:r>
        <w:rPr>
          <w:rFonts w:ascii="Times New Roman" w:eastAsia="Times New Roman" w:hAnsi="Times New Roman" w:cs="Times New Roman"/>
          <w:color w:val="000000"/>
          <w:sz w:val="28"/>
        </w:rPr>
        <w:t>HPT-JT</w:t>
      </w:r>
      <w:r>
        <w:rPr>
          <w:rFonts w:ascii="Times New Roman" w:eastAsia="Times New Roman" w:hAnsi="Times New Roman" w:cs="Times New Roman"/>
          <w:color w:val="000000"/>
          <w:sz w:val="28"/>
          <w:shd w:val="clear" w:color="auto" w:fill="FFFFFF"/>
        </w:rPr>
        <w:t xml:space="preserve"> характеризуется более агрессивным течением ПГПТ (с частотой 95%), тяжелыми гиперкалициемическими кризами, и в 10-15% случаев у пациентов выявляется рак ОЩЖ. Характерным для HPT-JT является развитие, помимо ПГПТ, оссифицирующей фибромы челюстей, опухоли Вильмса, папиллярной карциномы почки, поликистоза почек [</w:t>
      </w:r>
      <w:r w:rsidR="00EC68A5">
        <w:rPr>
          <w:rFonts w:ascii="Times New Roman" w:eastAsia="Times New Roman" w:hAnsi="Times New Roman" w:cs="Times New Roman"/>
          <w:color w:val="000000"/>
          <w:sz w:val="28"/>
          <w:shd w:val="clear" w:color="auto" w:fill="FFFFFF"/>
        </w:rPr>
        <w:t>26, 27, 33</w:t>
      </w:r>
      <w:r>
        <w:rPr>
          <w:rFonts w:ascii="Times New Roman" w:eastAsia="Times New Roman" w:hAnsi="Times New Roman" w:cs="Times New Roman"/>
          <w:color w:val="000000"/>
          <w:sz w:val="28"/>
          <w:shd w:val="clear" w:color="auto" w:fill="FFFFFF"/>
        </w:rPr>
        <w:t xml:space="preserve">]. </w:t>
      </w:r>
    </w:p>
    <w:p w:rsidR="00710802" w:rsidRDefault="00710802" w:rsidP="00710802">
      <w:pPr>
        <w:spacing w:line="360" w:lineRule="auto"/>
        <w:jc w:val="center"/>
        <w:rPr>
          <w:rFonts w:ascii="Arial" w:eastAsia="Arial" w:hAnsi="Arial" w:cs="Arial"/>
          <w:color w:val="000000"/>
          <w:sz w:val="28"/>
        </w:rPr>
      </w:pPr>
      <w:r>
        <w:object w:dxaOrig="4168" w:dyaOrig="3938">
          <v:rect id="rectole0000000002" o:spid="_x0000_i1027" style="width:208.5pt;height:197.2pt" o:ole="" o:preferrelative="t" stroked="f">
            <v:imagedata r:id="rId12" o:title=""/>
          </v:rect>
          <o:OLEObject Type="Embed" ProgID="StaticMetafile" ShapeID="rectole0000000002" DrawAspect="Content" ObjectID="_1556546849" r:id="rId13"/>
        </w:object>
      </w:r>
    </w:p>
    <w:p w:rsidR="00710802" w:rsidRDefault="00710802" w:rsidP="00710802">
      <w:pPr>
        <w:spacing w:line="36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Рис.3 Функции белка парафибромина (</w:t>
      </w:r>
      <w:r>
        <w:rPr>
          <w:rFonts w:ascii="Times New Roman" w:eastAsia="Times New Roman" w:hAnsi="Times New Roman" w:cs="Times New Roman"/>
          <w:sz w:val="28"/>
        </w:rPr>
        <w:t xml:space="preserve">модифицировано из </w:t>
      </w:r>
      <w:r>
        <w:rPr>
          <w:rFonts w:ascii="Times New Roman" w:eastAsia="Times New Roman" w:hAnsi="Times New Roman" w:cs="Times New Roman"/>
          <w:sz w:val="28"/>
          <w:shd w:val="clear" w:color="auto" w:fill="FFFFFF"/>
        </w:rPr>
        <w:t>C.</w:t>
      </w:r>
      <w:proofErr w:type="gramEnd"/>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Christofer Juhlin</w:t>
      </w:r>
      <w:r>
        <w:rPr>
          <w:rFonts w:ascii="Times New Roman" w:eastAsia="Times New Roman" w:hAnsi="Times New Roman" w:cs="Times New Roman"/>
          <w:sz w:val="28"/>
        </w:rPr>
        <w:t xml:space="preserve">, </w:t>
      </w:r>
      <w:r>
        <w:rPr>
          <w:rFonts w:ascii="Times New Roman" w:eastAsia="Times New Roman" w:hAnsi="Times New Roman" w:cs="Times New Roman"/>
          <w:sz w:val="28"/>
          <w:shd w:val="clear" w:color="auto" w:fill="FFFFFF"/>
        </w:rPr>
        <w:t>Anders Höög</w:t>
      </w:r>
      <w:r>
        <w:rPr>
          <w:rFonts w:ascii="Times New Roman" w:eastAsia="Times New Roman" w:hAnsi="Times New Roman" w:cs="Times New Roman"/>
          <w:sz w:val="28"/>
        </w:rPr>
        <w:t xml:space="preserve">, 2010) </w:t>
      </w:r>
      <w:r>
        <w:rPr>
          <w:rFonts w:ascii="Times New Roman" w:eastAsia="Times New Roman" w:hAnsi="Times New Roman" w:cs="Times New Roman"/>
          <w:color w:val="000000"/>
          <w:sz w:val="28"/>
        </w:rPr>
        <w:t xml:space="preserve">[26]. </w:t>
      </w:r>
      <w:proofErr w:type="gramEnd"/>
    </w:p>
    <w:p w:rsidR="00710802" w:rsidRDefault="00710802" w:rsidP="00710802">
      <w:pPr>
        <w:spacing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Как уже было отмечено ранее, гиперсекреция ПТГ может наблюдаться при снижении чувствительности ОЩЖ к нормальному уровню кальция в крови, и чаще это встречается при дефекте белка </w:t>
      </w:r>
      <w:proofErr w:type="gramStart"/>
      <w:r>
        <w:rPr>
          <w:rFonts w:ascii="Times New Roman" w:eastAsia="Times New Roman" w:hAnsi="Times New Roman" w:cs="Times New Roman"/>
          <w:sz w:val="28"/>
          <w:shd w:val="clear" w:color="auto" w:fill="FFFFFF"/>
        </w:rPr>
        <w:t>кальций-чувствительного</w:t>
      </w:r>
      <w:proofErr w:type="gramEnd"/>
      <w:r>
        <w:rPr>
          <w:rFonts w:ascii="Times New Roman" w:eastAsia="Times New Roman" w:hAnsi="Times New Roman" w:cs="Times New Roman"/>
          <w:sz w:val="28"/>
          <w:shd w:val="clear" w:color="auto" w:fill="FFFFFF"/>
        </w:rPr>
        <w:t xml:space="preserve"> рецептора (3q хромосома). Мутация в гене </w:t>
      </w:r>
      <w:proofErr w:type="gramStart"/>
      <w:r>
        <w:rPr>
          <w:rFonts w:ascii="Times New Roman" w:eastAsia="Times New Roman" w:hAnsi="Times New Roman" w:cs="Times New Roman"/>
          <w:sz w:val="28"/>
          <w:shd w:val="clear" w:color="auto" w:fill="FFFFFF"/>
        </w:rPr>
        <w:t>кальций-чувствительного</w:t>
      </w:r>
      <w:proofErr w:type="gramEnd"/>
      <w:r>
        <w:rPr>
          <w:rFonts w:ascii="Times New Roman" w:eastAsia="Times New Roman" w:hAnsi="Times New Roman" w:cs="Times New Roman"/>
          <w:sz w:val="28"/>
          <w:shd w:val="clear" w:color="auto" w:fill="FFFFFF"/>
        </w:rPr>
        <w:t xml:space="preserve"> рецептора приводит к развитию семейной гипокальциурии с гиперкальциемией (при гетерозиготном состоянии) и к развитию неонатального тяжелого гиперпаратиреоза (при гомозиготном состоянии) в результате нарушения регуляции функции ОЩЖ, поддержания гомеостаза кальция крови [</w:t>
      </w:r>
      <w:r w:rsidR="00EC68A5">
        <w:rPr>
          <w:rFonts w:ascii="Times New Roman" w:eastAsia="Times New Roman" w:hAnsi="Times New Roman" w:cs="Times New Roman"/>
          <w:sz w:val="28"/>
          <w:shd w:val="clear" w:color="auto" w:fill="FFFFFF"/>
        </w:rPr>
        <w:t>3, 20</w:t>
      </w:r>
      <w:r>
        <w:rPr>
          <w:rFonts w:ascii="Times New Roman" w:eastAsia="Times New Roman" w:hAnsi="Times New Roman" w:cs="Times New Roman"/>
          <w:sz w:val="28"/>
          <w:shd w:val="clear" w:color="auto" w:fill="FFFFFF"/>
        </w:rPr>
        <w:t xml:space="preserve">]. </w:t>
      </w:r>
    </w:p>
    <w:p w:rsidR="00710802" w:rsidRDefault="00710802" w:rsidP="00710802">
      <w:pPr>
        <w:spacing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Вследствие избыточной продукции ПТГ в костной ткани преобладают катаболические процессы по сравнению с </w:t>
      </w:r>
      <w:proofErr w:type="gramStart"/>
      <w:r>
        <w:rPr>
          <w:rFonts w:ascii="Times New Roman" w:eastAsia="Times New Roman" w:hAnsi="Times New Roman" w:cs="Times New Roman"/>
          <w:sz w:val="28"/>
          <w:shd w:val="clear" w:color="auto" w:fill="FFFFFF"/>
        </w:rPr>
        <w:t>анаболическими</w:t>
      </w:r>
      <w:proofErr w:type="gramEnd"/>
      <w:r>
        <w:rPr>
          <w:rFonts w:ascii="Times New Roman" w:eastAsia="Times New Roman" w:hAnsi="Times New Roman" w:cs="Times New Roman"/>
          <w:sz w:val="28"/>
          <w:shd w:val="clear" w:color="auto" w:fill="FFFFFF"/>
        </w:rPr>
        <w:t>, усиливается реабсорбция кальция в почках и всасывание его в тонкой кишке, что приводит к синдрому гиперкальциемии. В свою очередь, изменение уровня кальция крови нарушает многие процессы: меняется порог возбудимости нервных и мышечных клеток, нарушается функционирования кальциевого насоса, снижается активность ферментов. Концентрация Са</w:t>
      </w:r>
      <w:proofErr w:type="gramStart"/>
      <w:r>
        <w:rPr>
          <w:rFonts w:ascii="Times New Roman" w:eastAsia="Times New Roman" w:hAnsi="Times New Roman" w:cs="Times New Roman"/>
          <w:sz w:val="28"/>
          <w:shd w:val="clear" w:color="auto" w:fill="FFFFFF"/>
          <w:vertAlign w:val="superscript"/>
        </w:rPr>
        <w:t>2</w:t>
      </w:r>
      <w:proofErr w:type="gramEnd"/>
      <w:r>
        <w:rPr>
          <w:rFonts w:ascii="Times New Roman" w:eastAsia="Times New Roman" w:hAnsi="Times New Roman" w:cs="Times New Roman"/>
          <w:sz w:val="28"/>
          <w:shd w:val="clear" w:color="auto" w:fill="FFFFFF"/>
          <w:vertAlign w:val="superscript"/>
        </w:rPr>
        <w:t>+</w:t>
      </w:r>
      <w:r>
        <w:rPr>
          <w:rFonts w:ascii="Times New Roman" w:eastAsia="Times New Roman" w:hAnsi="Times New Roman" w:cs="Times New Roman"/>
          <w:sz w:val="28"/>
          <w:shd w:val="clear" w:color="auto" w:fill="FFFFFF"/>
        </w:rPr>
        <w:t xml:space="preserve"> в плазме регулируется с высокой точностью, изменение её всего на 1% приводит в действие гомеостатические механизмы, восстанавливающие его равновесие [</w:t>
      </w:r>
      <w:r w:rsidR="00EC68A5">
        <w:rPr>
          <w:rFonts w:ascii="Times New Roman" w:eastAsia="Times New Roman" w:hAnsi="Times New Roman" w:cs="Times New Roman"/>
          <w:sz w:val="28"/>
          <w:shd w:val="clear" w:color="auto" w:fill="FFFFFF"/>
        </w:rPr>
        <w:t>9</w:t>
      </w:r>
      <w:r>
        <w:rPr>
          <w:rFonts w:ascii="Times New Roman" w:eastAsia="Times New Roman" w:hAnsi="Times New Roman" w:cs="Times New Roman"/>
          <w:sz w:val="28"/>
          <w:shd w:val="clear" w:color="auto" w:fill="FFFFFF"/>
        </w:rPr>
        <w:t xml:space="preserve">]. </w:t>
      </w:r>
    </w:p>
    <w:p w:rsidR="00710802" w:rsidRDefault="00710802" w:rsidP="00710802">
      <w:pPr>
        <w:spacing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 xml:space="preserve">Таким образом, состояние гиперкальциемии, гипофосфатемии приводит к изменениям функции почек (нефрокальциноз, нефролитиаз), </w:t>
      </w:r>
      <w:proofErr w:type="gramStart"/>
      <w:r>
        <w:rPr>
          <w:rFonts w:ascii="Times New Roman" w:eastAsia="Times New Roman" w:hAnsi="Times New Roman" w:cs="Times New Roman"/>
          <w:color w:val="000000"/>
          <w:sz w:val="28"/>
          <w:shd w:val="clear" w:color="auto" w:fill="FFFFFF"/>
        </w:rPr>
        <w:t>сердечно-сосудистой</w:t>
      </w:r>
      <w:proofErr w:type="gramEnd"/>
      <w:r>
        <w:rPr>
          <w:rFonts w:ascii="Times New Roman" w:eastAsia="Times New Roman" w:hAnsi="Times New Roman" w:cs="Times New Roman"/>
          <w:color w:val="000000"/>
          <w:sz w:val="28"/>
          <w:shd w:val="clear" w:color="auto" w:fill="FFFFFF"/>
        </w:rPr>
        <w:t xml:space="preserve"> системы (артериальная гипертензия), ЖКТ (язвы желудка и 12-перстной кишки, панкреатит) и ЦНС (психозы), изменяя качество жизни пациентов. </w:t>
      </w:r>
    </w:p>
    <w:p w:rsidR="00710802" w:rsidRDefault="00710802" w:rsidP="008C4BD0">
      <w:pPr>
        <w:pStyle w:val="2"/>
        <w:rPr>
          <w:rFonts w:eastAsia="Times New Roman"/>
          <w:shd w:val="clear" w:color="auto" w:fill="FFFFFF"/>
        </w:rPr>
      </w:pPr>
      <w:bookmarkStart w:id="6" w:name="_Toc482798607"/>
      <w:r>
        <w:rPr>
          <w:rFonts w:eastAsia="Times New Roman"/>
          <w:shd w:val="clear" w:color="auto" w:fill="FFFFFF"/>
        </w:rPr>
        <w:t>1.4. Клиническая картина ПГПТ</w:t>
      </w:r>
      <w:bookmarkEnd w:id="6"/>
    </w:p>
    <w:p w:rsidR="00710802" w:rsidRDefault="00710802" w:rsidP="00710802">
      <w:pPr>
        <w:spacing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Различают несколько клинических форм ПГПТ [</w:t>
      </w:r>
      <w:r w:rsidR="00EC68A5">
        <w:rPr>
          <w:rFonts w:ascii="Times New Roman" w:eastAsia="Times New Roman" w:hAnsi="Times New Roman" w:cs="Times New Roman"/>
          <w:color w:val="000000"/>
          <w:sz w:val="28"/>
          <w:shd w:val="clear" w:color="auto" w:fill="FFFFFF"/>
        </w:rPr>
        <w:t>7, 16, 43</w:t>
      </w:r>
      <w:r>
        <w:rPr>
          <w:rFonts w:ascii="Times New Roman" w:eastAsia="Times New Roman" w:hAnsi="Times New Roman" w:cs="Times New Roman"/>
          <w:color w:val="000000"/>
          <w:sz w:val="28"/>
          <w:shd w:val="clear" w:color="auto" w:fill="FFFFFF"/>
        </w:rPr>
        <w:t>]:</w:t>
      </w:r>
    </w:p>
    <w:p w:rsidR="00710802" w:rsidRDefault="00710802" w:rsidP="00710802">
      <w:pPr>
        <w:spacing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I. Манифестная форма ПГПТ включает в себя висцеральную, костную и смешанную формы. </w:t>
      </w:r>
    </w:p>
    <w:p w:rsidR="00710802" w:rsidRDefault="00710802" w:rsidP="00710802">
      <w:pPr>
        <w:spacing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 Висцеральная форма проявляется множественными поражениями органов и систем органов, а именно:</w:t>
      </w:r>
    </w:p>
    <w:p w:rsidR="00710802" w:rsidRDefault="00710802" w:rsidP="00BC1F7A">
      <w:pPr>
        <w:numPr>
          <w:ilvl w:val="0"/>
          <w:numId w:val="3"/>
        </w:numPr>
        <w:spacing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почечная форма характеризуется п</w:t>
      </w:r>
      <w:r>
        <w:rPr>
          <w:rFonts w:ascii="Times New Roman" w:eastAsia="Times New Roman" w:hAnsi="Times New Roman" w:cs="Times New Roman"/>
          <w:color w:val="000000"/>
          <w:sz w:val="28"/>
        </w:rPr>
        <w:t>олиурией, гематурией, гиперкальциурией, нефролитиазом, нефрокальцинозом, рецидивирующими инфекциями мочевыводящих путей</w:t>
      </w:r>
      <w:r>
        <w:rPr>
          <w:rFonts w:ascii="Times New Roman" w:eastAsia="Times New Roman" w:hAnsi="Times New Roman" w:cs="Times New Roman"/>
          <w:color w:val="000000"/>
          <w:sz w:val="28"/>
          <w:shd w:val="clear" w:color="auto" w:fill="FFFFFF"/>
        </w:rPr>
        <w:t xml:space="preserve">. При детальном исследовании функции почек у пациентов с ПГПТ выявляют мочекаменную болезнь (7-35%), нефрокальциноз (3-15%) и хроническую болезнь почек (10-14%) </w:t>
      </w:r>
      <w:r>
        <w:rPr>
          <w:rFonts w:ascii="Times New Roman" w:eastAsia="Times New Roman" w:hAnsi="Times New Roman" w:cs="Times New Roman"/>
          <w:color w:val="000000"/>
          <w:sz w:val="28"/>
        </w:rPr>
        <w:t>[</w:t>
      </w:r>
      <w:r w:rsidR="00EC68A5">
        <w:rPr>
          <w:rFonts w:ascii="Times New Roman" w:eastAsia="Times New Roman" w:hAnsi="Times New Roman" w:cs="Times New Roman"/>
          <w:color w:val="000000"/>
          <w:sz w:val="28"/>
        </w:rPr>
        <w:t>22</w:t>
      </w:r>
      <w:r>
        <w:rPr>
          <w:rFonts w:ascii="Times New Roman" w:eastAsia="Times New Roman" w:hAnsi="Times New Roman" w:cs="Times New Roman"/>
          <w:color w:val="000000"/>
          <w:sz w:val="28"/>
        </w:rPr>
        <w:t>]. В ряде исследований было замечено, что причиной образования камней в почках является тубулярный ацидоз, который развивается вследствие повышенной экскреции бикарбоната при ПГПТ [</w:t>
      </w:r>
      <w:r w:rsidR="00EC68A5">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 Таким образом, ПГПТ признается фактором риска развития почечной дисфункции, хотя точных механизмов ПГПТ-ассоциированной нефропатии не выявлено.</w:t>
      </w:r>
    </w:p>
    <w:p w:rsidR="00710802" w:rsidRDefault="00710802" w:rsidP="00BC1F7A">
      <w:pPr>
        <w:numPr>
          <w:ilvl w:val="0"/>
          <w:numId w:val="3"/>
        </w:numPr>
        <w:spacing w:line="360" w:lineRule="auto"/>
        <w:ind w:left="360" w:hanging="360"/>
        <w:jc w:val="both"/>
        <w:rPr>
          <w:rFonts w:ascii="Times New Roman" w:eastAsia="Times New Roman" w:hAnsi="Times New Roman" w:cs="Times New Roman"/>
          <w:sz w:val="28"/>
        </w:rPr>
      </w:pPr>
      <w:proofErr w:type="gramStart"/>
      <w:r>
        <w:rPr>
          <w:rFonts w:ascii="Times New Roman" w:eastAsia="Times New Roman" w:hAnsi="Times New Roman" w:cs="Times New Roman"/>
          <w:color w:val="000000"/>
          <w:sz w:val="28"/>
          <w:shd w:val="clear" w:color="auto" w:fill="FFFFFF"/>
        </w:rPr>
        <w:t>ж</w:t>
      </w:r>
      <w:proofErr w:type="gramEnd"/>
      <w:r>
        <w:rPr>
          <w:rFonts w:ascii="Times New Roman" w:eastAsia="Times New Roman" w:hAnsi="Times New Roman" w:cs="Times New Roman"/>
          <w:color w:val="000000"/>
          <w:sz w:val="28"/>
          <w:shd w:val="clear" w:color="auto" w:fill="FFFFFF"/>
        </w:rPr>
        <w:t>елудочно-кишечная форма ассоциируется развитием тошноты</w:t>
      </w:r>
      <w:r>
        <w:rPr>
          <w:rFonts w:ascii="Times New Roman" w:eastAsia="Times New Roman" w:hAnsi="Times New Roman" w:cs="Times New Roman"/>
          <w:color w:val="000000"/>
          <w:sz w:val="28"/>
        </w:rPr>
        <w:t>, рвоты, запора, пептической язвы желудка и 12-перстной кишки, острого панкреатита, желчнокаменной болезни. Образование язвенных дефектов слизистой желудочно-кишечного тракта может быть опосредовано непосредственным проявлением гиперсекреции ПТГ или как следствие гипергастринемии в рамках синдрома MEN 1. Причинно-следственная связь ПГПТ и панкреатита до настоящего времени не выявлена, однако возможными предикторами являются гиперацидность желудочного сока и камнеобразование в протоках [</w:t>
      </w:r>
      <w:r w:rsidR="00EC68A5">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  </w:t>
      </w:r>
    </w:p>
    <w:p w:rsidR="00710802" w:rsidRDefault="00710802" w:rsidP="00BC1F7A">
      <w:pPr>
        <w:numPr>
          <w:ilvl w:val="0"/>
          <w:numId w:val="3"/>
        </w:numPr>
        <w:spacing w:line="360" w:lineRule="auto"/>
        <w:ind w:left="360" w:hanging="360"/>
        <w:jc w:val="both"/>
        <w:rPr>
          <w:rFonts w:ascii="Times New Roman" w:eastAsia="Times New Roman" w:hAnsi="Times New Roman" w:cs="Times New Roman"/>
          <w:sz w:val="28"/>
        </w:rPr>
      </w:pPr>
      <w:proofErr w:type="gramStart"/>
      <w:r>
        <w:rPr>
          <w:rFonts w:ascii="Times New Roman" w:eastAsia="Times New Roman" w:hAnsi="Times New Roman" w:cs="Times New Roman"/>
          <w:color w:val="000000"/>
          <w:sz w:val="28"/>
          <w:shd w:val="clear" w:color="auto" w:fill="FFFFFF"/>
        </w:rPr>
        <w:t>сердечно-сосудистая</w:t>
      </w:r>
      <w:proofErr w:type="gramEnd"/>
      <w:r>
        <w:rPr>
          <w:rFonts w:ascii="Times New Roman" w:eastAsia="Times New Roman" w:hAnsi="Times New Roman" w:cs="Times New Roman"/>
          <w:color w:val="000000"/>
          <w:sz w:val="28"/>
          <w:shd w:val="clear" w:color="auto" w:fill="FFFFFF"/>
        </w:rPr>
        <w:t xml:space="preserve"> форма чаще всего беспокоит пациентов с ПГПТ и характеризуется развитием артериальной гипертензии, брадикардии, укорочением интервала QT, гипертрофии левого желудочка. Было замечено, что высокий уровень ПТГ при ПГПТ является значительным фактором риска </w:t>
      </w:r>
      <w:proofErr w:type="gramStart"/>
      <w:r>
        <w:rPr>
          <w:rFonts w:ascii="Times New Roman" w:eastAsia="Times New Roman" w:hAnsi="Times New Roman" w:cs="Times New Roman"/>
          <w:color w:val="000000"/>
          <w:sz w:val="28"/>
          <w:shd w:val="clear" w:color="auto" w:fill="FFFFFF"/>
        </w:rPr>
        <w:t>сердечно-сосудистой</w:t>
      </w:r>
      <w:proofErr w:type="gramEnd"/>
      <w:r>
        <w:rPr>
          <w:rFonts w:ascii="Times New Roman" w:eastAsia="Times New Roman" w:hAnsi="Times New Roman" w:cs="Times New Roman"/>
          <w:color w:val="000000"/>
          <w:sz w:val="28"/>
          <w:shd w:val="clear" w:color="auto" w:fill="FFFFFF"/>
        </w:rPr>
        <w:t xml:space="preserve"> летальности [</w:t>
      </w:r>
      <w:r w:rsidR="00EC68A5">
        <w:rPr>
          <w:rFonts w:ascii="Times New Roman" w:eastAsia="Times New Roman" w:hAnsi="Times New Roman" w:cs="Times New Roman"/>
          <w:color w:val="000000"/>
          <w:sz w:val="28"/>
          <w:shd w:val="clear" w:color="auto" w:fill="FFFFFF"/>
        </w:rPr>
        <w:t>21</w:t>
      </w:r>
      <w:r>
        <w:rPr>
          <w:rFonts w:ascii="Times New Roman" w:eastAsia="Times New Roman" w:hAnsi="Times New Roman" w:cs="Times New Roman"/>
          <w:color w:val="000000"/>
          <w:sz w:val="28"/>
          <w:shd w:val="clear" w:color="auto" w:fill="FFFFFF"/>
        </w:rPr>
        <w:t xml:space="preserve">]. </w:t>
      </w:r>
    </w:p>
    <w:p w:rsidR="00710802" w:rsidRDefault="00710802" w:rsidP="00BC1F7A">
      <w:pPr>
        <w:numPr>
          <w:ilvl w:val="0"/>
          <w:numId w:val="3"/>
        </w:numPr>
        <w:spacing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психоэмоциональная форма также часто выявляется у пациентов с ПГПТ, однако проявления ее весьма разнообразны и неспецифичны: д</w:t>
      </w:r>
      <w:r>
        <w:rPr>
          <w:rFonts w:ascii="Times New Roman" w:eastAsia="Times New Roman" w:hAnsi="Times New Roman" w:cs="Times New Roman"/>
          <w:color w:val="000000"/>
          <w:sz w:val="28"/>
        </w:rPr>
        <w:t xml:space="preserve">епрессия, утомляемость, снижение памяти и концентрации внимания. К сожалению, после хирургического лечения ПГПТ нейрокогнитивные изменения не подвергаются обратному развитию </w:t>
      </w:r>
      <w:r w:rsidR="00EC68A5">
        <w:rPr>
          <w:rFonts w:ascii="Times New Roman" w:eastAsia="Times New Roman" w:hAnsi="Times New Roman" w:cs="Times New Roman"/>
          <w:color w:val="000000"/>
          <w:sz w:val="28"/>
        </w:rPr>
        <w:t>[2</w:t>
      </w:r>
      <w:r>
        <w:rPr>
          <w:rFonts w:ascii="Times New Roman" w:eastAsia="Times New Roman" w:hAnsi="Times New Roman" w:cs="Times New Roman"/>
          <w:color w:val="000000"/>
          <w:sz w:val="28"/>
        </w:rPr>
        <w:t xml:space="preserve">1]. </w:t>
      </w:r>
    </w:p>
    <w:p w:rsidR="00710802" w:rsidRDefault="00710802" w:rsidP="00710802">
      <w:pPr>
        <w:spacing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shd w:val="clear" w:color="auto" w:fill="FFFFFF"/>
        </w:rPr>
        <w:t>2. Костная форма ПГПТ встречается в 10-15% случаев и характеризуется к</w:t>
      </w:r>
      <w:r>
        <w:rPr>
          <w:rFonts w:ascii="Times New Roman" w:eastAsia="Times New Roman" w:hAnsi="Times New Roman" w:cs="Times New Roman"/>
          <w:color w:val="000000"/>
          <w:sz w:val="28"/>
        </w:rPr>
        <w:t>остно-мышечными болями, псевдоподагрой, частыми низкоэргическими переломами вследствие сниженной минеральной плотности костной ткани (МПК), «бурыми» опухолями и костными кистами. Классическими проявлениями поражения костной ткани при ПГПТ являются фиброзно-костный остит и остеопороз, характеризующиеся повышенным метаболизмом в кости (повышение щелочной фосфатазы), субпериостальной резорбцией, фиброзом костного мозга и преимущественным уменьшением массы компактного вещества кости. Анализ различных исследований показал, что мнения об эффективности паратиреоидэктомии и обратного развития поражения костной ткани различны [</w:t>
      </w:r>
      <w:r w:rsidR="00EC68A5">
        <w:rPr>
          <w:rFonts w:ascii="Times New Roman" w:eastAsia="Times New Roman" w:hAnsi="Times New Roman" w:cs="Times New Roman"/>
          <w:color w:val="000000"/>
          <w:sz w:val="28"/>
        </w:rPr>
        <w:t>3, 29, 33</w:t>
      </w:r>
      <w:r>
        <w:rPr>
          <w:rFonts w:ascii="Times New Roman" w:eastAsia="Times New Roman" w:hAnsi="Times New Roman" w:cs="Times New Roman"/>
          <w:color w:val="000000"/>
          <w:sz w:val="28"/>
        </w:rPr>
        <w:t xml:space="preserve">]. </w:t>
      </w:r>
    </w:p>
    <w:p w:rsidR="00710802" w:rsidRDefault="00710802" w:rsidP="00710802">
      <w:pPr>
        <w:spacing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Смешанная форма сочетает поражение костной ткани и внутренних органов и по распространенности занимает второе место после мягкой формы ПГПТ. </w:t>
      </w:r>
    </w:p>
    <w:p w:rsidR="00710802" w:rsidRDefault="00710802" w:rsidP="00710802">
      <w:pPr>
        <w:spacing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rPr>
        <w:t xml:space="preserve">II. Мягкая форма ПГПТ встречается в 50-85% случаев ПГПТ. </w:t>
      </w:r>
      <w:r>
        <w:rPr>
          <w:rFonts w:ascii="Times New Roman" w:eastAsia="Times New Roman" w:hAnsi="Times New Roman" w:cs="Times New Roman"/>
          <w:color w:val="000000"/>
          <w:sz w:val="28"/>
          <w:shd w:val="clear" w:color="auto" w:fill="FFFFFF"/>
        </w:rPr>
        <w:t xml:space="preserve">В настоящее время </w:t>
      </w:r>
      <w:proofErr w:type="gramStart"/>
      <w:r>
        <w:rPr>
          <w:rFonts w:ascii="Times New Roman" w:eastAsia="Times New Roman" w:hAnsi="Times New Roman" w:cs="Times New Roman"/>
          <w:color w:val="000000"/>
          <w:sz w:val="28"/>
          <w:shd w:val="clear" w:color="auto" w:fill="FFFFFF"/>
        </w:rPr>
        <w:t>ведутся споры по тому является</w:t>
      </w:r>
      <w:proofErr w:type="gramEnd"/>
      <w:r>
        <w:rPr>
          <w:rFonts w:ascii="Times New Roman" w:eastAsia="Times New Roman" w:hAnsi="Times New Roman" w:cs="Times New Roman"/>
          <w:color w:val="000000"/>
          <w:sz w:val="28"/>
          <w:shd w:val="clear" w:color="auto" w:fill="FFFFFF"/>
        </w:rPr>
        <w:t xml:space="preserve"> ли мягкая форма самостоятельной формой заболевания или это начальная стадия манифестного течения. Ряд исследований свидетельствует о возможности длительного (пожизненного) доброкачественного течения асимптомного ПГПТ у большей части пациентов, но вероятность прогрессирования, по результатам ряда авторов, составляет от 23 до 62 % в течение 10 лет [</w:t>
      </w:r>
      <w:r w:rsidR="00EC68A5">
        <w:rPr>
          <w:rFonts w:ascii="Times New Roman" w:eastAsia="Times New Roman" w:hAnsi="Times New Roman" w:cs="Times New Roman"/>
          <w:color w:val="000000"/>
          <w:sz w:val="28"/>
          <w:shd w:val="clear" w:color="auto" w:fill="FFFFFF"/>
        </w:rPr>
        <w:t>8</w:t>
      </w: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rPr>
        <w:t xml:space="preserve"> Асимптомное течение ПГПТ встречается в </w:t>
      </w:r>
      <w:r>
        <w:rPr>
          <w:rFonts w:ascii="Times New Roman" w:eastAsia="Times New Roman" w:hAnsi="Times New Roman" w:cs="Times New Roman"/>
          <w:color w:val="000000"/>
          <w:sz w:val="28"/>
          <w:shd w:val="clear" w:color="auto" w:fill="FFFFFF"/>
        </w:rPr>
        <w:t>50% случаев среди пациентов с мягкой формой [</w:t>
      </w:r>
      <w:r w:rsidR="00EC68A5">
        <w:rPr>
          <w:rFonts w:ascii="Times New Roman" w:eastAsia="Times New Roman" w:hAnsi="Times New Roman" w:cs="Times New Roman"/>
          <w:color w:val="000000"/>
          <w:sz w:val="28"/>
          <w:shd w:val="clear" w:color="auto" w:fill="FFFFFF"/>
        </w:rPr>
        <w:t>22</w:t>
      </w:r>
      <w:r>
        <w:rPr>
          <w:rFonts w:ascii="Times New Roman" w:eastAsia="Times New Roman" w:hAnsi="Times New Roman" w:cs="Times New Roman"/>
          <w:color w:val="000000"/>
          <w:sz w:val="28"/>
          <w:shd w:val="clear" w:color="auto" w:fill="FFFFFF"/>
        </w:rPr>
        <w:t>].</w:t>
      </w:r>
    </w:p>
    <w:p w:rsidR="00710802" w:rsidRDefault="00710802" w:rsidP="008C4BD0">
      <w:pPr>
        <w:pStyle w:val="2"/>
        <w:rPr>
          <w:rFonts w:eastAsia="Times New Roman"/>
        </w:rPr>
      </w:pPr>
      <w:bookmarkStart w:id="7" w:name="_Toc482798608"/>
      <w:r>
        <w:rPr>
          <w:rFonts w:eastAsia="Times New Roman"/>
        </w:rPr>
        <w:t>1.5. Современные принципы диагностики ПГПТ</w:t>
      </w:r>
      <w:bookmarkEnd w:id="7"/>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постановки диагноза ПГПТ необходимо наличие следующих биохимических маркеров: гиперкальциемия (Са</w:t>
      </w:r>
      <w:proofErr w:type="gramStart"/>
      <w:r>
        <w:rPr>
          <w:rFonts w:ascii="Times New Roman" w:eastAsia="Times New Roman" w:hAnsi="Times New Roman" w:cs="Times New Roman"/>
          <w:color w:val="000000"/>
          <w:sz w:val="28"/>
          <w:vertAlign w:val="superscript"/>
        </w:rPr>
        <w:t>2</w:t>
      </w:r>
      <w:proofErr w:type="gramEnd"/>
      <w:r>
        <w:rPr>
          <w:rFonts w:ascii="Times New Roman" w:eastAsia="Times New Roman" w:hAnsi="Times New Roman" w:cs="Times New Roman"/>
          <w:color w:val="000000"/>
          <w:sz w:val="28"/>
          <w:vertAlign w:val="superscript"/>
        </w:rPr>
        <w:t xml:space="preserve">+ </w:t>
      </w:r>
      <w:r>
        <w:rPr>
          <w:rFonts w:ascii="Times New Roman" w:eastAsia="Times New Roman" w:hAnsi="Times New Roman" w:cs="Times New Roman"/>
          <w:color w:val="000000"/>
          <w:sz w:val="28"/>
        </w:rPr>
        <w:t>более 1,3 ммоль/л), увеличение концентрации ПТГ в сыворотке крови, гипофосфатемия (встречается реже), увеличение концентрации щелочной фосфатазы, снижение концентрации бикарбонатов и связанное с этим увеличение концентрации хлоридов в сыворотке крови (гиперхлоремический ацидоз вследствие ПТГ-ассоциированной блокады Na-H антипорта и уменьшении реабсорбции бикарбонатов). Помимо этого, необходимо определение экскреции кальция и фосфатов с мочой при условии, что СКФ более 60 мл/мин</w:t>
      </w:r>
      <w:r>
        <w:rPr>
          <w:rFonts w:ascii="Times New Roman" w:eastAsia="Times New Roman" w:hAnsi="Times New Roman" w:cs="Times New Roman"/>
          <w:sz w:val="28"/>
        </w:rPr>
        <w:t>/1,73 м</w:t>
      </w:r>
      <w:proofErr w:type="gramStart"/>
      <w:r>
        <w:rPr>
          <w:rFonts w:ascii="Times New Roman" w:eastAsia="Times New Roman" w:hAnsi="Times New Roman" w:cs="Times New Roman"/>
          <w:sz w:val="28"/>
          <w:vertAlign w:val="superscript"/>
        </w:rPr>
        <w:t>2</w:t>
      </w:r>
      <w:proofErr w:type="gramEnd"/>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rPr>
        <w:t>[</w:t>
      </w:r>
      <w:r w:rsidR="00EC68A5">
        <w:rPr>
          <w:rFonts w:ascii="Times New Roman" w:eastAsia="Times New Roman" w:hAnsi="Times New Roman" w:cs="Times New Roman"/>
          <w:sz w:val="28"/>
        </w:rPr>
        <w:t>7</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Более специфичные маркеры ПГПТ – это маркеры костной резорбции такие, как </w:t>
      </w:r>
      <w:r w:rsidRPr="00831F25">
        <w:rPr>
          <w:rFonts w:ascii="Times New Roman" w:eastAsia="Times New Roman" w:hAnsi="Times New Roman" w:cs="Times New Roman"/>
          <w:color w:val="000000"/>
          <w:sz w:val="28"/>
        </w:rPr>
        <w:t>дезоксипиридинолин</w:t>
      </w:r>
      <w:r>
        <w:rPr>
          <w:rFonts w:ascii="Times New Roman" w:eastAsia="Times New Roman" w:hAnsi="Times New Roman" w:cs="Times New Roman"/>
          <w:color w:val="000000"/>
          <w:sz w:val="28"/>
        </w:rPr>
        <w:t>, N-концевой телопептид в моче, β-crossLaps (</w:t>
      </w:r>
      <w:proofErr w:type="gramStart"/>
      <w:r>
        <w:rPr>
          <w:rFonts w:ascii="Times New Roman" w:eastAsia="Times New Roman" w:hAnsi="Times New Roman" w:cs="Times New Roman"/>
          <w:color w:val="000000"/>
          <w:sz w:val="28"/>
        </w:rPr>
        <w:t>С-концевой</w:t>
      </w:r>
      <w:proofErr w:type="gramEnd"/>
      <w:r>
        <w:rPr>
          <w:rFonts w:ascii="Times New Roman" w:eastAsia="Times New Roman" w:hAnsi="Times New Roman" w:cs="Times New Roman"/>
          <w:color w:val="000000"/>
          <w:sz w:val="28"/>
        </w:rPr>
        <w:t xml:space="preserve"> телопептид) в крови.</w:t>
      </w:r>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Для дифференциальной диагностики ПГПТ от вторичного гиперпаратиреоза возможно определение уровня 25(ОН)D, хотя убедительных оснований для рутинного измерения данного маркера нет [1, 28]</w:t>
      </w:r>
      <w:r>
        <w:rPr>
          <w:rFonts w:ascii="Times New Roman" w:eastAsia="Times New Roman" w:hAnsi="Times New Roman" w:cs="Times New Roman"/>
          <w:sz w:val="28"/>
          <w:shd w:val="clear" w:color="auto" w:fill="FFFFFF"/>
        </w:rPr>
        <w:t>. Также для уточнения этиологии ПГПТ необходимо определение уровня кальцитонина, хромогранина</w:t>
      </w:r>
      <w:proofErr w:type="gramStart"/>
      <w:r>
        <w:rPr>
          <w:rFonts w:ascii="Times New Roman" w:eastAsia="Times New Roman" w:hAnsi="Times New Roman" w:cs="Times New Roman"/>
          <w:sz w:val="28"/>
          <w:shd w:val="clear" w:color="auto" w:fill="FFFFFF"/>
        </w:rPr>
        <w:t xml:space="preserve"> А</w:t>
      </w:r>
      <w:proofErr w:type="gramEnd"/>
      <w:r>
        <w:rPr>
          <w:rFonts w:ascii="Times New Roman" w:eastAsia="Times New Roman" w:hAnsi="Times New Roman" w:cs="Times New Roman"/>
          <w:sz w:val="28"/>
          <w:shd w:val="clear" w:color="auto" w:fill="FFFFFF"/>
        </w:rPr>
        <w:t xml:space="preserve"> и </w:t>
      </w:r>
      <w:r>
        <w:rPr>
          <w:rFonts w:ascii="Times New Roman" w:eastAsia="Times New Roman" w:hAnsi="Times New Roman" w:cs="Times New Roman"/>
          <w:sz w:val="28"/>
          <w:shd w:val="clear" w:color="auto" w:fill="FFFFFF"/>
          <w:lang w:val="en-US"/>
        </w:rPr>
        <w:t>B</w:t>
      </w:r>
      <w:r>
        <w:rPr>
          <w:rFonts w:ascii="Times New Roman" w:eastAsia="Times New Roman" w:hAnsi="Times New Roman" w:cs="Times New Roman"/>
          <w:sz w:val="28"/>
          <w:shd w:val="clear" w:color="auto" w:fill="FFFFFF"/>
        </w:rPr>
        <w:t xml:space="preserve"> в сыворотке крови (MEN IIA) [</w:t>
      </w:r>
      <w:r w:rsidR="00EC68A5">
        <w:rPr>
          <w:rFonts w:ascii="Times New Roman" w:eastAsia="Times New Roman" w:hAnsi="Times New Roman" w:cs="Times New Roman"/>
          <w:sz w:val="28"/>
          <w:shd w:val="clear" w:color="auto" w:fill="FFFFFF"/>
        </w:rPr>
        <w:t>7, 27, 28</w:t>
      </w:r>
      <w:r>
        <w:rPr>
          <w:rFonts w:ascii="Times New Roman" w:eastAsia="Times New Roman" w:hAnsi="Times New Roman" w:cs="Times New Roman"/>
          <w:sz w:val="28"/>
          <w:shd w:val="clear" w:color="auto" w:fill="FFFFFF"/>
        </w:rPr>
        <w:t xml:space="preserve">]. </w:t>
      </w:r>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Визуализация опухоли ОЩЖ является следующим важным этапом в диагностике ПГПТ.</w:t>
      </w:r>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УЗИ околощитовидных желез – первый этап визуализации по причине доступности и неинвазивности метода.  Ч</w:t>
      </w:r>
      <w:r>
        <w:rPr>
          <w:rFonts w:ascii="Times New Roman" w:eastAsia="Times New Roman" w:hAnsi="Times New Roman" w:cs="Times New Roman"/>
          <w:color w:val="000000"/>
          <w:sz w:val="28"/>
          <w:shd w:val="clear" w:color="auto" w:fill="FFFFFF"/>
        </w:rPr>
        <w:t xml:space="preserve">увствительность УЗИ при аденоме ОЩЖ более 1 см - 87%, а при гиперплазии и двойных аденомах - 30-40% и 16-40%, соответственно, специфичность – 90-99%. Однако, если аденома ОЩЖ имеет интратимическое или медиастинальное расположение, то чувствительность УЗИ близка нулю </w:t>
      </w:r>
      <w:r>
        <w:rPr>
          <w:rFonts w:ascii="Times New Roman" w:eastAsia="Times New Roman" w:hAnsi="Times New Roman" w:cs="Times New Roman"/>
          <w:sz w:val="28"/>
        </w:rPr>
        <w:t>[</w:t>
      </w:r>
      <w:r w:rsidR="006742F7">
        <w:rPr>
          <w:rFonts w:ascii="Times New Roman" w:eastAsia="Times New Roman" w:hAnsi="Times New Roman" w:cs="Times New Roman"/>
          <w:sz w:val="28"/>
        </w:rPr>
        <w:t>7, 34</w:t>
      </w:r>
      <w:r>
        <w:rPr>
          <w:rFonts w:ascii="Times New Roman" w:eastAsia="Times New Roman" w:hAnsi="Times New Roman" w:cs="Times New Roman"/>
          <w:sz w:val="28"/>
        </w:rPr>
        <w:t>].</w:t>
      </w:r>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Сцинтиграфия ОЩЖ с технетрилом пертехнетатом (</w:t>
      </w:r>
      <w:r>
        <w:rPr>
          <w:rFonts w:ascii="Times New Roman" w:eastAsia="Times New Roman" w:hAnsi="Times New Roman" w:cs="Times New Roman"/>
          <w:sz w:val="28"/>
          <w:vertAlign w:val="superscript"/>
        </w:rPr>
        <w:t>99m</w:t>
      </w:r>
      <w:r>
        <w:rPr>
          <w:rFonts w:ascii="Times New Roman" w:eastAsia="Times New Roman" w:hAnsi="Times New Roman" w:cs="Times New Roman"/>
          <w:sz w:val="28"/>
        </w:rPr>
        <w:t>Tc, sestamibi, 2-methoxy-2-methylpropylisonitrile)</w:t>
      </w:r>
      <w:r>
        <w:rPr>
          <w:rFonts w:ascii="Times New Roman" w:eastAsia="Times New Roman" w:hAnsi="Times New Roman" w:cs="Times New Roman"/>
          <w:color w:val="000000"/>
          <w:sz w:val="28"/>
        </w:rPr>
        <w:t xml:space="preserve"> является наиболее информативным методом топической диагностики патологий ОЩЖ (чувствительность при солитарных аденомах более 90%). </w:t>
      </w:r>
      <w:r>
        <w:rPr>
          <w:rFonts w:ascii="Times New Roman" w:eastAsia="Times New Roman" w:hAnsi="Times New Roman" w:cs="Times New Roman"/>
          <w:sz w:val="28"/>
          <w:vertAlign w:val="superscript"/>
        </w:rPr>
        <w:t>99m</w:t>
      </w:r>
      <w:r>
        <w:rPr>
          <w:rFonts w:ascii="Times New Roman" w:eastAsia="Times New Roman" w:hAnsi="Times New Roman" w:cs="Times New Roman"/>
          <w:sz w:val="28"/>
        </w:rPr>
        <w:t>Tc</w:t>
      </w:r>
      <w:r>
        <w:rPr>
          <w:rFonts w:ascii="Times New Roman" w:eastAsia="Times New Roman" w:hAnsi="Times New Roman" w:cs="Times New Roman"/>
          <w:color w:val="000000"/>
          <w:sz w:val="28"/>
          <w:shd w:val="clear" w:color="auto" w:fill="FFFFFF"/>
        </w:rPr>
        <w:t xml:space="preserve"> Sestamibi состоит из липофильных катионных молекул, и после внутривенного введения они распределяются по всей системе кровообращения, пассивно поступают в клетки ОЩЖ и концентрируются в митохондриях. </w:t>
      </w:r>
      <w:proofErr w:type="gramStart"/>
      <w:r>
        <w:rPr>
          <w:rFonts w:ascii="Times New Roman" w:eastAsia="Times New Roman" w:hAnsi="Times New Roman" w:cs="Times New Roman"/>
          <w:color w:val="000000"/>
          <w:sz w:val="28"/>
          <w:shd w:val="clear" w:color="auto" w:fill="FFFFFF"/>
        </w:rPr>
        <w:t>В</w:t>
      </w:r>
      <w:proofErr w:type="gramEnd"/>
      <w:r>
        <w:rPr>
          <w:rFonts w:ascii="Times New Roman" w:eastAsia="Times New Roman" w:hAnsi="Times New Roman" w:cs="Times New Roman"/>
          <w:color w:val="000000"/>
          <w:sz w:val="28"/>
          <w:shd w:val="clear" w:color="auto" w:fill="FFFFFF"/>
        </w:rPr>
        <w:t xml:space="preserve"> патологично </w:t>
      </w:r>
      <w:proofErr w:type="gramStart"/>
      <w:r>
        <w:rPr>
          <w:rFonts w:ascii="Times New Roman" w:eastAsia="Times New Roman" w:hAnsi="Times New Roman" w:cs="Times New Roman"/>
          <w:color w:val="000000"/>
          <w:sz w:val="28"/>
          <w:shd w:val="clear" w:color="auto" w:fill="FFFFFF"/>
        </w:rPr>
        <w:t>измененных</w:t>
      </w:r>
      <w:proofErr w:type="gramEnd"/>
      <w:r>
        <w:rPr>
          <w:rFonts w:ascii="Times New Roman" w:eastAsia="Times New Roman" w:hAnsi="Times New Roman" w:cs="Times New Roman"/>
          <w:color w:val="000000"/>
          <w:sz w:val="28"/>
          <w:shd w:val="clear" w:color="auto" w:fill="FFFFFF"/>
        </w:rPr>
        <w:t xml:space="preserve"> ОЩЖ маркер активно поглощается и удерживается более 2 часов после введения [</w:t>
      </w:r>
      <w:r w:rsidR="006742F7">
        <w:rPr>
          <w:rFonts w:ascii="Times New Roman" w:eastAsia="Times New Roman" w:hAnsi="Times New Roman" w:cs="Times New Roman"/>
          <w:color w:val="000000"/>
          <w:sz w:val="28"/>
          <w:shd w:val="clear" w:color="auto" w:fill="FFFFFF"/>
        </w:rPr>
        <w:t>16, 30</w:t>
      </w:r>
      <w:r>
        <w:rPr>
          <w:rFonts w:ascii="Times New Roman" w:eastAsia="Times New Roman" w:hAnsi="Times New Roman" w:cs="Times New Roman"/>
          <w:color w:val="000000"/>
          <w:sz w:val="28"/>
          <w:shd w:val="clear" w:color="auto" w:fill="FFFFFF"/>
        </w:rPr>
        <w:t>].</w:t>
      </w:r>
    </w:p>
    <w:p w:rsidR="00710802" w:rsidRDefault="00710802" w:rsidP="00710802">
      <w:pPr>
        <w:spacing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 сегодняшний день существуют два протокола сцинтиграфии для получения изображения: </w:t>
      </w:r>
    </w:p>
    <w:p w:rsidR="00710802" w:rsidRDefault="00710802" w:rsidP="00710802">
      <w:pPr>
        <w:spacing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shd w:val="clear" w:color="auto" w:fill="FFFFFF"/>
        </w:rPr>
        <w:t xml:space="preserve">1. </w:t>
      </w:r>
      <w:proofErr w:type="gramStart"/>
      <w:r>
        <w:rPr>
          <w:rFonts w:ascii="Times New Roman" w:eastAsia="Times New Roman" w:hAnsi="Times New Roman" w:cs="Times New Roman"/>
          <w:color w:val="000000"/>
          <w:sz w:val="28"/>
          <w:shd w:val="clear" w:color="auto" w:fill="FFFFFF"/>
        </w:rPr>
        <w:t>Двухфазный</w:t>
      </w:r>
      <w:proofErr w:type="gramEnd"/>
      <w:r>
        <w:rPr>
          <w:rFonts w:ascii="Times New Roman" w:eastAsia="Times New Roman" w:hAnsi="Times New Roman" w:cs="Times New Roman"/>
          <w:color w:val="000000"/>
          <w:sz w:val="28"/>
          <w:shd w:val="clear" w:color="auto" w:fill="FFFFFF"/>
        </w:rPr>
        <w:t xml:space="preserve"> — основан на разной скорости элиминации изотопа из нормальной ЩЖ и измененной ПЩЖ. После внутривенного введения изотопа выполняют сканирование шеи и верхней части грудной клетки в прямой планарной проекции через 10-15 минут (ранняя фаза) и через 2-3 часа (отсроченная фаза). Во время ранней фазы происходит накопление радиоизотопа в тканях ЩЖ, нормальных и измененных ОЩЖ, в слюнных железах. В отсроченную фазу накопление изотопа сохраняется только в </w:t>
      </w:r>
      <w:proofErr w:type="gramStart"/>
      <w:r>
        <w:rPr>
          <w:rFonts w:ascii="Times New Roman" w:eastAsia="Times New Roman" w:hAnsi="Times New Roman" w:cs="Times New Roman"/>
          <w:color w:val="000000"/>
          <w:sz w:val="28"/>
          <w:shd w:val="clear" w:color="auto" w:fill="FFFFFF"/>
        </w:rPr>
        <w:t>измененных</w:t>
      </w:r>
      <w:proofErr w:type="gramEnd"/>
      <w:r>
        <w:rPr>
          <w:rFonts w:ascii="Times New Roman" w:eastAsia="Times New Roman" w:hAnsi="Times New Roman" w:cs="Times New Roman"/>
          <w:color w:val="000000"/>
          <w:sz w:val="28"/>
          <w:shd w:val="clear" w:color="auto" w:fill="FFFFFF"/>
        </w:rPr>
        <w:t xml:space="preserve"> ОЩЖ, поскольку из ЩЖ и неизмененных ОЩЖ изотоп достаточно быстро элиминируется. </w:t>
      </w:r>
    </w:p>
    <w:p w:rsidR="00710802" w:rsidRDefault="00710802" w:rsidP="00710802">
      <w:pPr>
        <w:spacing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 Двухизотопный (субтракционный) — основан на использовании изотопа </w:t>
      </w:r>
      <w:r>
        <w:rPr>
          <w:rFonts w:ascii="Times New Roman" w:eastAsia="Times New Roman" w:hAnsi="Times New Roman" w:cs="Times New Roman"/>
          <w:color w:val="000000"/>
          <w:sz w:val="28"/>
          <w:shd w:val="clear" w:color="auto" w:fill="FFFFFF"/>
          <w:vertAlign w:val="superscript"/>
        </w:rPr>
        <w:t>99m</w:t>
      </w:r>
      <w:r>
        <w:rPr>
          <w:rFonts w:ascii="Times New Roman" w:eastAsia="Times New Roman" w:hAnsi="Times New Roman" w:cs="Times New Roman"/>
          <w:color w:val="000000"/>
          <w:sz w:val="28"/>
          <w:shd w:val="clear" w:color="auto" w:fill="FFFFFF"/>
        </w:rPr>
        <w:t xml:space="preserve">Tc-sestamibi, который накапливается и в ЩЖ, и в ОЩЖ, и тропного только к ЩЖ изотопа </w:t>
      </w:r>
      <w:r>
        <w:rPr>
          <w:rFonts w:ascii="Times New Roman" w:eastAsia="Times New Roman" w:hAnsi="Times New Roman" w:cs="Times New Roman"/>
          <w:color w:val="000000"/>
          <w:sz w:val="28"/>
          <w:shd w:val="clear" w:color="auto" w:fill="FFFFFF"/>
          <w:vertAlign w:val="superscript"/>
        </w:rPr>
        <w:t>123</w:t>
      </w:r>
      <w:r>
        <w:rPr>
          <w:rFonts w:ascii="Times New Roman" w:eastAsia="Times New Roman" w:hAnsi="Times New Roman" w:cs="Times New Roman"/>
          <w:color w:val="000000"/>
          <w:sz w:val="28"/>
          <w:shd w:val="clear" w:color="auto" w:fill="FFFFFF"/>
        </w:rPr>
        <w:t>I. Из полученного при этом изображения ЩЖ и гиперфунционирующей ОЩЖ осуществляется компьютерное вычитание (субтракция) йодного изображения ЩЖ, в результате чего на сканограмме остается пятно накопления изотопа, по своим размерам и локализации соответствующее аденоме [</w:t>
      </w:r>
      <w:r w:rsidR="006742F7">
        <w:rPr>
          <w:rFonts w:ascii="Times New Roman" w:eastAsia="Times New Roman" w:hAnsi="Times New Roman" w:cs="Times New Roman"/>
          <w:sz w:val="28"/>
        </w:rPr>
        <w:t>7</w:t>
      </w:r>
      <w:r>
        <w:rPr>
          <w:rFonts w:ascii="Times New Roman" w:eastAsia="Times New Roman" w:hAnsi="Times New Roman" w:cs="Times New Roman"/>
          <w:sz w:val="28"/>
        </w:rPr>
        <w:t>].</w:t>
      </w:r>
    </w:p>
    <w:p w:rsidR="00710802" w:rsidRDefault="00710802" w:rsidP="00710802">
      <w:pPr>
        <w:spacing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Несмотря на значительные преимущества, данный метод малочувствителен в диагностике MEN синдрома и множественных аденом ОЩЖ, дает ложноположительные результаты при наличии </w:t>
      </w:r>
      <w:r>
        <w:rPr>
          <w:rFonts w:ascii="Times New Roman" w:eastAsia="Times New Roman" w:hAnsi="Times New Roman" w:cs="Times New Roman"/>
          <w:sz w:val="28"/>
        </w:rPr>
        <w:t>метастазов рака ЩЖ, рака молочной железы, а также РФП активно накапливается в лимфатических узлах при туберкулезе и саркоидозе [</w:t>
      </w:r>
      <w:r w:rsidR="006742F7">
        <w:rPr>
          <w:rFonts w:ascii="Times New Roman" w:eastAsia="Times New Roman" w:hAnsi="Times New Roman" w:cs="Times New Roman"/>
          <w:color w:val="000000"/>
          <w:sz w:val="28"/>
          <w:shd w:val="clear" w:color="auto" w:fill="FFFFFF"/>
        </w:rPr>
        <w:t>41, 30</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Данный метод хорошо визуализирует только те ткани, которые хорошо кровоснабжаются и имеют достаточную клеточную плотность.</w:t>
      </w:r>
      <w:proofErr w:type="gramEnd"/>
      <w:r>
        <w:rPr>
          <w:rFonts w:ascii="Times New Roman" w:eastAsia="Times New Roman" w:hAnsi="Times New Roman" w:cs="Times New Roman"/>
          <w:color w:val="000000"/>
          <w:sz w:val="28"/>
          <w:shd w:val="clear" w:color="auto" w:fill="FFFFFF"/>
        </w:rPr>
        <w:t xml:space="preserve"> Необходимо отметить, что в клинической практике для диагностики ПГПТ часто используют сочетание УЗИ и сцинтиграфии, что значительно повышает чувствительность (до 96-98%) и дает возможность сэкономить на применении интраоперационного определения ПТГ [</w:t>
      </w:r>
      <w:r w:rsidR="006742F7">
        <w:rPr>
          <w:rFonts w:ascii="Times New Roman" w:eastAsia="Times New Roman" w:hAnsi="Times New Roman" w:cs="Times New Roman"/>
          <w:color w:val="000000"/>
          <w:sz w:val="28"/>
          <w:shd w:val="clear" w:color="auto" w:fill="FFFFFF"/>
        </w:rPr>
        <w:t>7, 16, 25</w:t>
      </w:r>
      <w:r>
        <w:rPr>
          <w:rFonts w:ascii="Times New Roman" w:eastAsia="Times New Roman" w:hAnsi="Times New Roman" w:cs="Times New Roman"/>
          <w:color w:val="000000"/>
          <w:sz w:val="28"/>
          <w:shd w:val="clear" w:color="auto" w:fill="FFFFFF"/>
        </w:rPr>
        <w:t>].</w:t>
      </w:r>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Чувствительность мультиспиральной компьютерной томографии (КТ) органов шеи достаточно высока (46–87%), однако данный метод является малодоступным, имеет высокую стоимость и сопровождается значимой лучевой нагрузкой. Кроме того, необходимо учесть, что при стандартном шаге в 5 мм возможно выявление аденомы весом 5 г и более, в таком случае вероятность ошибки не превышает 5% [</w:t>
      </w:r>
      <w:r w:rsidR="006742F7">
        <w:rPr>
          <w:rFonts w:ascii="Times New Roman" w:eastAsia="Times New Roman" w:hAnsi="Times New Roman" w:cs="Times New Roman"/>
          <w:color w:val="000000"/>
          <w:sz w:val="28"/>
        </w:rPr>
        <w:t>30</w:t>
      </w:r>
      <w:r>
        <w:rPr>
          <w:rFonts w:ascii="Times New Roman" w:eastAsia="Times New Roman" w:hAnsi="Times New Roman" w:cs="Times New Roman"/>
          <w:color w:val="000000"/>
          <w:sz w:val="28"/>
        </w:rPr>
        <w:t xml:space="preserve">]. Чаще КТ органов шеи используют при дискордантности УЗИ и сцинтиграфии или при отсутствии каких-либо данных о локализации ПТГ-продуцирующего источника. </w:t>
      </w:r>
    </w:p>
    <w:p w:rsidR="00710802" w:rsidRDefault="00710802" w:rsidP="00710802">
      <w:pPr>
        <w:spacing w:line="360" w:lineRule="auto"/>
        <w:ind w:firstLine="709"/>
        <w:jc w:val="both"/>
        <w:rPr>
          <w:rFonts w:ascii="Times New Roman" w:eastAsia="Times New Roman" w:hAnsi="Times New Roman" w:cs="Times New Roman"/>
          <w:sz w:val="28"/>
        </w:rPr>
      </w:pPr>
      <w:r w:rsidRPr="00326C97">
        <w:rPr>
          <w:rFonts w:ascii="Times New Roman" w:eastAsia="Times New Roman" w:hAnsi="Times New Roman" w:cs="Times New Roman"/>
          <w:sz w:val="28"/>
        </w:rPr>
        <w:t xml:space="preserve">Однофотонная эмиссионная компьютерная томография </w:t>
      </w:r>
      <w:r>
        <w:rPr>
          <w:rFonts w:ascii="Times New Roman" w:eastAsia="Times New Roman" w:hAnsi="Times New Roman" w:cs="Times New Roman"/>
          <w:sz w:val="28"/>
        </w:rPr>
        <w:t>(</w:t>
      </w:r>
      <w:r>
        <w:rPr>
          <w:rFonts w:ascii="Times New Roman" w:eastAsia="Times New Roman" w:hAnsi="Times New Roman" w:cs="Times New Roman"/>
          <w:sz w:val="28"/>
          <w:shd w:val="clear" w:color="auto" w:fill="FFFFFF"/>
        </w:rPr>
        <w:t>ОФЭКТ) – это идеальный метод, с помощью которого получают трехмерную проекцию распределения радионуклидов в организме, в отличие от 2D-изображения, получаемого при сцинтиграфии. Данная технология максимально минимизирует все ложноотрицательные и ложноположительные результаты и сочетает высокую точность и наглядность (чувствительность 55-70%). ОФЭКТ чаще используют в качестве диагностики ПГПТ при необходимости повторной операции. Однако и в данном методе есть свои недостатки, а именно: дороговизна и достаточное облучение пациентов [</w:t>
      </w:r>
      <w:r w:rsidR="006742F7">
        <w:rPr>
          <w:rFonts w:ascii="Times New Roman" w:eastAsia="Times New Roman" w:hAnsi="Times New Roman" w:cs="Times New Roman"/>
          <w:sz w:val="28"/>
          <w:shd w:val="clear" w:color="auto" w:fill="FFFFFF"/>
        </w:rPr>
        <w:t>8, 42</w:t>
      </w:r>
      <w:r>
        <w:rPr>
          <w:rFonts w:ascii="Times New Roman" w:eastAsia="Times New Roman" w:hAnsi="Times New Roman" w:cs="Times New Roman"/>
          <w:sz w:val="28"/>
          <w:shd w:val="clear" w:color="auto" w:fill="FFFFFF"/>
        </w:rPr>
        <w:t>]. Возможно также использование ОФЭКТ/КТ для определения расположения эктопических аденом ОЩЖ, чувствительность в данном случае превышает 75% [</w:t>
      </w:r>
      <w:r w:rsidR="006742F7">
        <w:rPr>
          <w:rFonts w:ascii="Times New Roman" w:eastAsia="Times New Roman" w:hAnsi="Times New Roman" w:cs="Times New Roman"/>
          <w:sz w:val="28"/>
          <w:shd w:val="clear" w:color="auto" w:fill="FFFFFF"/>
        </w:rPr>
        <w:t>41</w:t>
      </w:r>
      <w:r>
        <w:rPr>
          <w:rFonts w:ascii="Times New Roman" w:eastAsia="Times New Roman" w:hAnsi="Times New Roman" w:cs="Times New Roman"/>
          <w:sz w:val="28"/>
          <w:shd w:val="clear" w:color="auto" w:fill="FFFFFF"/>
        </w:rPr>
        <w:t xml:space="preserve">]. </w:t>
      </w:r>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Позитронно-эмиссионная томография (ПЭТ) с </w:t>
      </w:r>
      <w:r>
        <w:rPr>
          <w:rFonts w:ascii="Times New Roman" w:eastAsia="Times New Roman" w:hAnsi="Times New Roman" w:cs="Times New Roman"/>
          <w:color w:val="000000"/>
          <w:sz w:val="28"/>
          <w:vertAlign w:val="superscript"/>
        </w:rPr>
        <w:t>11</w:t>
      </w:r>
      <w:r>
        <w:rPr>
          <w:rFonts w:ascii="Times New Roman" w:eastAsia="Times New Roman" w:hAnsi="Times New Roman" w:cs="Times New Roman"/>
          <w:color w:val="000000"/>
          <w:sz w:val="28"/>
        </w:rPr>
        <w:t xml:space="preserve">C-метионином используется для исследования больных с персистенцией или рецидивом ПГПТ, при наличии неинформативных данных после сцинтиграфии с </w:t>
      </w:r>
      <w:r>
        <w:rPr>
          <w:rFonts w:ascii="Times New Roman" w:eastAsia="Times New Roman" w:hAnsi="Times New Roman" w:cs="Times New Roman"/>
          <w:color w:val="000000"/>
          <w:sz w:val="28"/>
          <w:vertAlign w:val="superscript"/>
        </w:rPr>
        <w:t>99m</w:t>
      </w:r>
      <w:r>
        <w:rPr>
          <w:rFonts w:ascii="Times New Roman" w:eastAsia="Times New Roman" w:hAnsi="Times New Roman" w:cs="Times New Roman"/>
          <w:color w:val="000000"/>
          <w:sz w:val="28"/>
        </w:rPr>
        <w:t>Tс. Чувствительность метода составляет 73-77%. Таким образом, ПЭТ, как и ОФЭКТ/КТ, является методом дополнительной диагностики ПГПТ, направленным на выявление эктопированных ОЩЖ [</w:t>
      </w:r>
      <w:r w:rsidR="006742F7">
        <w:rPr>
          <w:rFonts w:ascii="Times New Roman" w:eastAsia="Times New Roman" w:hAnsi="Times New Roman" w:cs="Times New Roman"/>
          <w:color w:val="000000"/>
          <w:sz w:val="28"/>
        </w:rPr>
        <w:t>30, 41</w:t>
      </w:r>
      <w:r>
        <w:rPr>
          <w:rFonts w:ascii="Times New Roman" w:eastAsia="Times New Roman" w:hAnsi="Times New Roman" w:cs="Times New Roman"/>
          <w:color w:val="000000"/>
          <w:sz w:val="28"/>
        </w:rPr>
        <w:t xml:space="preserve">]. </w:t>
      </w:r>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Артериаграфия и селективная катетеризация вен ОЩЖ – это крайне редкие процедуры, которые применяются при неэффективности вышеизложенных методов диагностики и невозможности визуализировать аденому ОЩЖ. В одном из исследований показали, что при персистенции ПГПТ селективная катетеризация вен ОЩЖ предпочтительней, чем  ОФЭКТ, в связи с большей чувствительностью метода, 75% и 30%, соответственно [</w:t>
      </w:r>
      <w:r w:rsidR="006742F7">
        <w:rPr>
          <w:rFonts w:ascii="Times New Roman" w:eastAsia="Times New Roman" w:hAnsi="Times New Roman" w:cs="Times New Roman"/>
          <w:color w:val="000000"/>
          <w:sz w:val="28"/>
        </w:rPr>
        <w:t>43</w:t>
      </w:r>
      <w:r>
        <w:rPr>
          <w:rFonts w:ascii="Times New Roman" w:eastAsia="Times New Roman" w:hAnsi="Times New Roman" w:cs="Times New Roman"/>
          <w:color w:val="000000"/>
          <w:sz w:val="28"/>
        </w:rPr>
        <w:t>].</w:t>
      </w:r>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Дополнительными методами диагностики ПГПТ являются: рентгеноденситометрия или двухэнергетическая рентгеновская абсорбциометрия (</w:t>
      </w:r>
      <w:proofErr w:type="gramStart"/>
      <w:r>
        <w:rPr>
          <w:rFonts w:ascii="Times New Roman" w:eastAsia="Times New Roman" w:hAnsi="Times New Roman" w:cs="Times New Roman"/>
          <w:color w:val="000000"/>
          <w:sz w:val="28"/>
        </w:rPr>
        <w:t>D</w:t>
      </w:r>
      <w:proofErr w:type="gramEnd"/>
      <w:r>
        <w:rPr>
          <w:rFonts w:ascii="Times New Roman" w:eastAsia="Times New Roman" w:hAnsi="Times New Roman" w:cs="Times New Roman"/>
          <w:color w:val="000000"/>
          <w:sz w:val="28"/>
        </w:rPr>
        <w:t>ЕХА) поясничного отдела позвоночника, проксимального отдела бедренной кости, костей предплечья для выявления осложнений ПГПТ (остеопороз) у пациентов, имеющих низкоэргические переломы, старше 50 лет, принимающих ЛС, снижающие МПК; и УЗИ органов брюшной полости, почек для выявления кальцинатов [</w:t>
      </w:r>
      <w:r w:rsidR="006742F7">
        <w:rPr>
          <w:rFonts w:ascii="Times New Roman" w:eastAsia="Times New Roman" w:hAnsi="Times New Roman" w:cs="Times New Roman"/>
          <w:color w:val="000000"/>
          <w:sz w:val="28"/>
        </w:rPr>
        <w:t>7, 30</w:t>
      </w:r>
      <w:r>
        <w:rPr>
          <w:rFonts w:ascii="Times New Roman" w:eastAsia="Times New Roman" w:hAnsi="Times New Roman" w:cs="Times New Roman"/>
          <w:color w:val="000000"/>
          <w:sz w:val="28"/>
        </w:rPr>
        <w:t>].</w:t>
      </w:r>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Что касается генетического консультирования, то данный диагностический метод показан пациентам младше 40 лет, с мультигландулярным поражением ОЩЖ и семейным анамнезом ПГПТ [</w:t>
      </w:r>
      <w:r w:rsidR="006742F7">
        <w:rPr>
          <w:rFonts w:ascii="Times New Roman" w:eastAsia="Times New Roman" w:hAnsi="Times New Roman" w:cs="Times New Roman"/>
          <w:color w:val="000000"/>
          <w:sz w:val="28"/>
        </w:rPr>
        <w:t>43</w:t>
      </w:r>
      <w:r>
        <w:rPr>
          <w:rFonts w:ascii="Times New Roman" w:eastAsia="Times New Roman" w:hAnsi="Times New Roman" w:cs="Times New Roman"/>
          <w:color w:val="000000"/>
          <w:sz w:val="28"/>
        </w:rPr>
        <w:t>].</w:t>
      </w:r>
    </w:p>
    <w:p w:rsidR="00710802" w:rsidRDefault="00710802" w:rsidP="008C4BD0">
      <w:pPr>
        <w:pStyle w:val="2"/>
        <w:rPr>
          <w:rFonts w:eastAsia="Times New Roman"/>
        </w:rPr>
      </w:pPr>
      <w:bookmarkStart w:id="8" w:name="_Toc482798609"/>
      <w:r>
        <w:rPr>
          <w:rFonts w:eastAsia="Times New Roman"/>
        </w:rPr>
        <w:t>1.6. Лечение ПГПТ</w:t>
      </w:r>
      <w:bookmarkEnd w:id="8"/>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настоящее время существуют как консервативные методы лечение пациентов с ПГПТ, так и хирургические. Показаниями к проведению консервативной терапии являются мягкие формы ПГПТ, манифестные формы ПГПТ при наличии противопоказаний к хирургическому лечению и отказа пациента от оперативного вмешательства. Однако единственным патогенетически обоснованным методом лечения является только хирургическое удаление патологически </w:t>
      </w:r>
      <w:proofErr w:type="gramStart"/>
      <w:r>
        <w:rPr>
          <w:rFonts w:ascii="Times New Roman" w:eastAsia="Times New Roman" w:hAnsi="Times New Roman" w:cs="Times New Roman"/>
          <w:color w:val="000000"/>
          <w:sz w:val="28"/>
        </w:rPr>
        <w:t>изменных</w:t>
      </w:r>
      <w:proofErr w:type="gramEnd"/>
      <w:r>
        <w:rPr>
          <w:rFonts w:ascii="Times New Roman" w:eastAsia="Times New Roman" w:hAnsi="Times New Roman" w:cs="Times New Roman"/>
          <w:color w:val="000000"/>
          <w:sz w:val="28"/>
        </w:rPr>
        <w:t xml:space="preserve"> ОЩЖ.</w:t>
      </w:r>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Основными лекарственными препаратами, применяемыми для медикаментозного лечения ПГПТ, являются антирезорбтивные средства, кальцимиметики и эстрогены [</w:t>
      </w:r>
      <w:r w:rsidR="006742F7">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 xml:space="preserve">, </w:t>
      </w:r>
      <w:r w:rsidR="006742F7">
        <w:rPr>
          <w:rFonts w:ascii="Times New Roman" w:eastAsia="Times New Roman" w:hAnsi="Times New Roman" w:cs="Times New Roman"/>
          <w:color w:val="000000"/>
          <w:sz w:val="28"/>
        </w:rPr>
        <w:t>29, 30</w:t>
      </w:r>
      <w:r>
        <w:rPr>
          <w:rFonts w:ascii="Times New Roman" w:eastAsia="Times New Roman" w:hAnsi="Times New Roman" w:cs="Times New Roman"/>
          <w:color w:val="000000"/>
          <w:sz w:val="28"/>
        </w:rPr>
        <w:t>]</w:t>
      </w:r>
    </w:p>
    <w:p w:rsidR="00710802" w:rsidRDefault="00710802" w:rsidP="00BC1F7A">
      <w:pPr>
        <w:numPr>
          <w:ilvl w:val="0"/>
          <w:numId w:val="4"/>
        </w:numPr>
        <w:spacing w:line="360" w:lineRule="auto"/>
        <w:ind w:left="36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shd w:val="clear" w:color="auto" w:fill="FFFFFF"/>
        </w:rPr>
        <w:t xml:space="preserve">В качестве антирезорбтивной терапии при костной и смешанной формах ПГПТ используются бисфосфонаты (БФ), которые являются синтетическими аналогами </w:t>
      </w:r>
      <w:proofErr w:type="gramStart"/>
      <w:r>
        <w:rPr>
          <w:rFonts w:ascii="Times New Roman" w:eastAsia="Times New Roman" w:hAnsi="Times New Roman" w:cs="Times New Roman"/>
          <w:color w:val="000000"/>
          <w:sz w:val="28"/>
          <w:shd w:val="clear" w:color="auto" w:fill="FFFFFF"/>
        </w:rPr>
        <w:t>эндогенного</w:t>
      </w:r>
      <w:proofErr w:type="gramEnd"/>
      <w:r>
        <w:rPr>
          <w:rFonts w:ascii="Times New Roman" w:eastAsia="Times New Roman" w:hAnsi="Times New Roman" w:cs="Times New Roman"/>
          <w:color w:val="000000"/>
          <w:sz w:val="28"/>
          <w:shd w:val="clear" w:color="auto" w:fill="FFFFFF"/>
        </w:rPr>
        <w:t xml:space="preserve"> пирофосфата. В костной ткани они связываются с кристаллами гидроапатита, угнетая их диссоциацию, и ингибируют активность остеокластов. При попадании в остеокласт путем эндоцитоза БФ воздействуют на мевалонатный путь – блокируют фермент </w:t>
      </w:r>
      <w:r>
        <w:rPr>
          <w:rFonts w:ascii="Times New Roman" w:eastAsia="Times New Roman" w:hAnsi="Times New Roman" w:cs="Times New Roman"/>
          <w:sz w:val="28"/>
        </w:rPr>
        <w:t>фарнезилпирофосфат-синтазу</w:t>
      </w:r>
      <w:r>
        <w:rPr>
          <w:rFonts w:ascii="Times New Roman" w:eastAsia="Times New Roman" w:hAnsi="Times New Roman" w:cs="Times New Roman"/>
          <w:color w:val="000000"/>
          <w:sz w:val="28"/>
          <w:shd w:val="clear" w:color="auto" w:fill="FFFFFF"/>
        </w:rPr>
        <w:t>, что приводит к торможению модификации сигнальных белков, необходимых для нормальной функции остеокласта, и снижению его резорбтивной активности [35].</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Представители БФ: алендроновая кислота («Остеорепар», курс до 10 лет), золедроновая кислота («Резокластин», курс до 6 лет), ибандроновая кислота («Бонвива», курс до 3 лет) [</w:t>
      </w:r>
      <w:r w:rsidR="006742F7">
        <w:rPr>
          <w:rFonts w:ascii="Times New Roman" w:eastAsia="Times New Roman" w:hAnsi="Times New Roman" w:cs="Times New Roman"/>
          <w:color w:val="000000"/>
          <w:sz w:val="28"/>
          <w:shd w:val="clear" w:color="auto" w:fill="FFFFFF"/>
        </w:rPr>
        <w:t>7</w:t>
      </w:r>
      <w:r>
        <w:rPr>
          <w:rFonts w:ascii="Times New Roman" w:eastAsia="Times New Roman" w:hAnsi="Times New Roman" w:cs="Times New Roman"/>
          <w:color w:val="000000"/>
          <w:sz w:val="28"/>
          <w:shd w:val="clear" w:color="auto" w:fill="FFFFFF"/>
        </w:rPr>
        <w:t>]. Однако прием БФ противопоказан пациентам с хронической болезнью почек (СКФ менее 30 мл/мин) [</w:t>
      </w:r>
      <w:r w:rsidR="006742F7">
        <w:rPr>
          <w:rFonts w:ascii="Times New Roman" w:eastAsia="Times New Roman" w:hAnsi="Times New Roman" w:cs="Times New Roman"/>
          <w:color w:val="000000"/>
          <w:sz w:val="28"/>
          <w:shd w:val="clear" w:color="auto" w:fill="FFFFFF"/>
        </w:rPr>
        <w:t>7</w:t>
      </w:r>
      <w:r>
        <w:rPr>
          <w:rFonts w:ascii="Times New Roman" w:eastAsia="Times New Roman" w:hAnsi="Times New Roman" w:cs="Times New Roman"/>
          <w:color w:val="000000"/>
          <w:sz w:val="28"/>
          <w:shd w:val="clear" w:color="auto" w:fill="FFFFFF"/>
        </w:rPr>
        <w:t xml:space="preserve">, </w:t>
      </w:r>
      <w:r w:rsidR="006742F7">
        <w:rPr>
          <w:rFonts w:ascii="Times New Roman" w:eastAsia="Times New Roman" w:hAnsi="Times New Roman" w:cs="Times New Roman"/>
          <w:color w:val="000000"/>
          <w:sz w:val="28"/>
          <w:shd w:val="clear" w:color="auto" w:fill="FFFFFF"/>
        </w:rPr>
        <w:t>16</w:t>
      </w:r>
      <w:r>
        <w:rPr>
          <w:rFonts w:ascii="Times New Roman" w:eastAsia="Times New Roman" w:hAnsi="Times New Roman" w:cs="Times New Roman"/>
          <w:color w:val="000000"/>
          <w:sz w:val="28"/>
          <w:shd w:val="clear" w:color="auto" w:fill="FFFFFF"/>
        </w:rPr>
        <w:t xml:space="preserve">]. </w:t>
      </w:r>
    </w:p>
    <w:p w:rsidR="00710802" w:rsidRDefault="00710802" w:rsidP="00BC1F7A">
      <w:pPr>
        <w:numPr>
          <w:ilvl w:val="0"/>
          <w:numId w:val="4"/>
        </w:numPr>
        <w:spacing w:before="100" w:line="360" w:lineRule="auto"/>
        <w:ind w:left="36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shd w:val="clear" w:color="auto" w:fill="FFFFFF"/>
        </w:rPr>
        <w:t>Деносумаб («Пролиа», п/к 1 раз в 6 мес, курс до 9лет) – это относительно новый представитель антирезорбтивных препаратов, являющийся моноклональным антителом к лиганду рецептора активатора ядерного фактора</w:t>
      </w:r>
      <w:proofErr w:type="gramStart"/>
      <w:r>
        <w:rPr>
          <w:rFonts w:ascii="Times New Roman" w:eastAsia="Times New Roman" w:hAnsi="Times New Roman" w:cs="Times New Roman"/>
          <w:color w:val="000000"/>
          <w:sz w:val="28"/>
          <w:shd w:val="clear" w:color="auto" w:fill="FFFFFF"/>
        </w:rPr>
        <w:t xml:space="preserve"> κВ</w:t>
      </w:r>
      <w:proofErr w:type="gramEnd"/>
      <w:r>
        <w:rPr>
          <w:rFonts w:ascii="Times New Roman" w:eastAsia="Times New Roman" w:hAnsi="Times New Roman" w:cs="Times New Roman"/>
          <w:color w:val="000000"/>
          <w:sz w:val="28"/>
          <w:shd w:val="clear" w:color="auto" w:fill="FFFFFF"/>
        </w:rPr>
        <w:t xml:space="preserve"> (RANKL) и препятствующий активации остеокластов, что в свою очередь уменьшает резорбцию костной ткани [</w:t>
      </w:r>
      <w:r w:rsidR="006742F7">
        <w:rPr>
          <w:rFonts w:ascii="Times New Roman" w:eastAsia="Times New Roman" w:hAnsi="Times New Roman" w:cs="Times New Roman"/>
          <w:color w:val="000000"/>
          <w:sz w:val="28"/>
          <w:shd w:val="clear" w:color="auto" w:fill="FFFFFF"/>
        </w:rPr>
        <w:t>21</w:t>
      </w:r>
      <w:r>
        <w:rPr>
          <w:rFonts w:ascii="Times New Roman" w:eastAsia="Times New Roman" w:hAnsi="Times New Roman" w:cs="Times New Roman"/>
          <w:color w:val="000000"/>
          <w:sz w:val="28"/>
          <w:shd w:val="clear" w:color="auto" w:fill="FFFFFF"/>
        </w:rPr>
        <w:t xml:space="preserve">]. </w:t>
      </w:r>
    </w:p>
    <w:p w:rsidR="00710802" w:rsidRDefault="00710802" w:rsidP="00BC1F7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Кальцимиметики II типа – аллостерические модуляторы кальций чувствительных рецепторов (CaSR) (Цинакалцет «Мимпара») изменяют функцию </w:t>
      </w:r>
      <w:proofErr w:type="gramStart"/>
      <w:r>
        <w:rPr>
          <w:rFonts w:ascii="Times New Roman" w:eastAsia="Times New Roman" w:hAnsi="Times New Roman" w:cs="Times New Roman"/>
          <w:sz w:val="28"/>
          <w:shd w:val="clear" w:color="auto" w:fill="FFFFFF"/>
        </w:rPr>
        <w:t>кальций-чувствительных</w:t>
      </w:r>
      <w:proofErr w:type="gramEnd"/>
      <w:r>
        <w:rPr>
          <w:rFonts w:ascii="Times New Roman" w:eastAsia="Times New Roman" w:hAnsi="Times New Roman" w:cs="Times New Roman"/>
          <w:sz w:val="28"/>
          <w:shd w:val="clear" w:color="auto" w:fill="FFFFFF"/>
        </w:rPr>
        <w:t xml:space="preserve"> рецепторов в клетках ОЩЖ, увеличивая чувствительность клеток ОЩЖ к внеклеточному кальцию, ингибируют синтез и секрецию ПТГ и уменьшают гиперплазию и пролиферацию клеток ОЩЖ [</w:t>
      </w:r>
      <w:r w:rsidR="006742F7">
        <w:rPr>
          <w:rFonts w:ascii="Times New Roman" w:eastAsia="Times New Roman" w:hAnsi="Times New Roman" w:cs="Times New Roman"/>
          <w:sz w:val="28"/>
          <w:shd w:val="clear" w:color="auto" w:fill="FFFFFF"/>
        </w:rPr>
        <w:t>7</w:t>
      </w:r>
      <w:r>
        <w:rPr>
          <w:rFonts w:ascii="Times New Roman" w:eastAsia="Times New Roman" w:hAnsi="Times New Roman" w:cs="Times New Roman"/>
          <w:sz w:val="28"/>
          <w:shd w:val="clear" w:color="auto" w:fill="FFFFFF"/>
        </w:rPr>
        <w:t xml:space="preserve">, </w:t>
      </w:r>
      <w:r w:rsidR="006742F7">
        <w:rPr>
          <w:rFonts w:ascii="Times New Roman" w:eastAsia="Times New Roman" w:hAnsi="Times New Roman" w:cs="Times New Roman"/>
          <w:sz w:val="28"/>
          <w:shd w:val="clear" w:color="auto" w:fill="FFFFFF"/>
        </w:rPr>
        <w:t>32</w:t>
      </w:r>
      <w:r>
        <w:rPr>
          <w:rFonts w:ascii="Times New Roman" w:eastAsia="Times New Roman" w:hAnsi="Times New Roman" w:cs="Times New Roman"/>
          <w:sz w:val="28"/>
          <w:shd w:val="clear" w:color="auto" w:fill="FFFFFF"/>
        </w:rPr>
        <w:t xml:space="preserve">]. Однако препарат не влияет на резорбцию костной ткани и, тем самым, не изменяет МПК. </w:t>
      </w:r>
    </w:p>
    <w:p w:rsidR="00710802" w:rsidRPr="00710802" w:rsidRDefault="00710802" w:rsidP="00BC1F7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left="36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У женщин с ПГПТ в постменопаузальном периоде терапия эстрогенами является альтернативным методом лечения. Прием эстрогенов снижает уровень общего кальция крови на 0,5-1,0 мг/дл, оказывает положительное влияние на минеральную плотность в шейке бедренной кости и поясничного отдела позвоночника. </w:t>
      </w:r>
      <w:r>
        <w:rPr>
          <w:rFonts w:ascii="Times New Roman" w:eastAsia="Times New Roman" w:hAnsi="Times New Roman" w:cs="Times New Roman"/>
          <w:color w:val="000000"/>
          <w:sz w:val="28"/>
          <w:shd w:val="clear" w:color="auto" w:fill="FFFFFF"/>
        </w:rPr>
        <w:t>Однако такие побочные эффекты эстрогенотерапии, как увеличение риска развития рака молочных желез и эндометрия привели к снижению частоты использования данного метода лечения ПГПТ [</w:t>
      </w:r>
      <w:r w:rsidR="006742F7">
        <w:rPr>
          <w:rFonts w:ascii="Times New Roman" w:eastAsia="Times New Roman" w:hAnsi="Times New Roman" w:cs="Times New Roman"/>
          <w:color w:val="000000"/>
          <w:sz w:val="28"/>
          <w:shd w:val="clear" w:color="auto" w:fill="FFFFFF"/>
        </w:rPr>
        <w:t>3, 43</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sz w:val="28"/>
          <w:shd w:val="clear" w:color="auto" w:fill="FFFFFF"/>
        </w:rPr>
        <w:t>Альтернативой является прием селективных модуляторов эстрогеновых рецепторов – ралоксифен («Эвиста»). Однако риск развития тромбоэмболии и тромбоза вен все же у данной группы препаратов остается высоким. Препарат показан женщинам в постменопаузе, страдающим мягкой формой ПГПТ, однако без существенного влияния на концентрацию кальция крови [</w:t>
      </w:r>
      <w:r w:rsidR="006742F7">
        <w:rPr>
          <w:rFonts w:ascii="Times New Roman" w:eastAsia="Times New Roman" w:hAnsi="Times New Roman" w:cs="Times New Roman"/>
          <w:sz w:val="28"/>
          <w:shd w:val="clear" w:color="auto" w:fill="FFFFFF"/>
        </w:rPr>
        <w:t>13, 29</w:t>
      </w:r>
      <w:r>
        <w:rPr>
          <w:rFonts w:ascii="Times New Roman" w:eastAsia="Times New Roman" w:hAnsi="Times New Roman" w:cs="Times New Roman"/>
          <w:sz w:val="28"/>
          <w:shd w:val="clear" w:color="auto" w:fill="FFFFFF"/>
        </w:rPr>
        <w:t>].</w:t>
      </w:r>
    </w:p>
    <w:p w:rsidR="00710802" w:rsidRDefault="00710802" w:rsidP="00710802">
      <w:pPr>
        <w:spacing w:after="24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Как уже было указано ранее, хирургический метод лечения ПГПТ является методом выбора. Консервативное лечение не устраняет причину гиперпаратиреоза, а всего лишь смягчает степень выраженности симптомов, связанных с гиперкальциемией. Однако отмечено, что при синдроме MEN, раке и при атипично распложенных ОЩЖ стандартное оперативное лечение так же малоэффективно, в этих ситуациях необходим другой подход [</w:t>
      </w:r>
      <w:r w:rsidR="006742F7">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 xml:space="preserve">, </w:t>
      </w:r>
      <w:r w:rsidR="006742F7">
        <w:rPr>
          <w:rFonts w:ascii="Times New Roman" w:eastAsia="Times New Roman" w:hAnsi="Times New Roman" w:cs="Times New Roman"/>
          <w:color w:val="000000"/>
          <w:sz w:val="28"/>
        </w:rPr>
        <w:t>43</w:t>
      </w:r>
      <w:r>
        <w:rPr>
          <w:rFonts w:ascii="Times New Roman" w:eastAsia="Times New Roman" w:hAnsi="Times New Roman" w:cs="Times New Roman"/>
          <w:color w:val="000000"/>
          <w:sz w:val="28"/>
        </w:rPr>
        <w:t>].</w:t>
      </w:r>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Абсолютными показаниями к хирургическому вмешательству при ПГПТ [</w:t>
      </w:r>
      <w:r w:rsidR="006742F7">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w:t>
      </w:r>
      <w:r w:rsidR="006742F7">
        <w:rPr>
          <w:rFonts w:ascii="Times New Roman" w:eastAsia="Times New Roman" w:hAnsi="Times New Roman" w:cs="Times New Roman"/>
          <w:color w:val="000000"/>
          <w:sz w:val="28"/>
        </w:rPr>
        <w:t xml:space="preserve"> 2</w:t>
      </w:r>
      <w:r>
        <w:rPr>
          <w:rFonts w:ascii="Times New Roman" w:eastAsia="Times New Roman" w:hAnsi="Times New Roman" w:cs="Times New Roman"/>
          <w:color w:val="000000"/>
          <w:sz w:val="28"/>
        </w:rPr>
        <w:t xml:space="preserve">1] являются: </w:t>
      </w:r>
    </w:p>
    <w:p w:rsidR="00710802" w:rsidRDefault="00710802" w:rsidP="00BC1F7A">
      <w:pPr>
        <w:numPr>
          <w:ilvl w:val="0"/>
          <w:numId w:val="5"/>
        </w:numPr>
        <w:spacing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Манифестная форма ПГПТ;</w:t>
      </w:r>
    </w:p>
    <w:p w:rsidR="00710802" w:rsidRDefault="00710802" w:rsidP="00BC1F7A">
      <w:pPr>
        <w:numPr>
          <w:ilvl w:val="0"/>
          <w:numId w:val="5"/>
        </w:numPr>
        <w:spacing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Мягкая (бессимптомная) форма ПГПТ, сочетающая следующие критерии:</w:t>
      </w:r>
    </w:p>
    <w:p w:rsidR="00710802" w:rsidRDefault="00710802" w:rsidP="00BC1F7A">
      <w:pPr>
        <w:numPr>
          <w:ilvl w:val="0"/>
          <w:numId w:val="5"/>
        </w:numPr>
        <w:spacing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Повышение уровня кальция сыворотки крови более чем на 0,25 ммоль/л от верхнего предела референсных значений;</w:t>
      </w:r>
    </w:p>
    <w:p w:rsidR="00710802" w:rsidRDefault="00710802" w:rsidP="00BC1F7A">
      <w:pPr>
        <w:numPr>
          <w:ilvl w:val="0"/>
          <w:numId w:val="5"/>
        </w:numPr>
        <w:spacing w:before="10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Увеличение суточной экскреции кальция более 10 ммоль/ сут</w:t>
      </w:r>
      <w:r>
        <w:rPr>
          <w:rFonts w:ascii="Times New Roman" w:eastAsia="Times New Roman" w:hAnsi="Times New Roman" w:cs="Times New Roman"/>
          <w:sz w:val="28"/>
        </w:rPr>
        <w:t>;</w:t>
      </w:r>
    </w:p>
    <w:p w:rsidR="00710802" w:rsidRDefault="00710802" w:rsidP="00BC1F7A">
      <w:pPr>
        <w:numPr>
          <w:ilvl w:val="0"/>
          <w:numId w:val="5"/>
        </w:numPr>
        <w:spacing w:before="10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Снижение СКФ менее 60 мл/мин/1,73м</w:t>
      </w:r>
      <w:proofErr w:type="gramStart"/>
      <w:r>
        <w:rPr>
          <w:rFonts w:ascii="Times New Roman" w:eastAsia="Times New Roman" w:hAnsi="Times New Roman" w:cs="Times New Roman"/>
          <w:sz w:val="28"/>
          <w:vertAlign w:val="superscript"/>
        </w:rPr>
        <w:t>2</w:t>
      </w:r>
      <w:proofErr w:type="gramEnd"/>
      <w:r>
        <w:rPr>
          <w:rFonts w:ascii="Times New Roman" w:eastAsia="Times New Roman" w:hAnsi="Times New Roman" w:cs="Times New Roman"/>
          <w:sz w:val="28"/>
        </w:rPr>
        <w:t>;</w:t>
      </w:r>
    </w:p>
    <w:p w:rsidR="00710802" w:rsidRDefault="00710802" w:rsidP="00BC1F7A">
      <w:pPr>
        <w:numPr>
          <w:ilvl w:val="0"/>
          <w:numId w:val="5"/>
        </w:numPr>
        <w:spacing w:before="10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Наличие висцеральных проявлений ПГПТ;</w:t>
      </w:r>
    </w:p>
    <w:p w:rsidR="00710802" w:rsidRDefault="00710802" w:rsidP="00BC1F7A">
      <w:pPr>
        <w:numPr>
          <w:ilvl w:val="0"/>
          <w:numId w:val="5"/>
        </w:numPr>
        <w:spacing w:before="10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 xml:space="preserve">Снижение МПК в лучевой, бедренной </w:t>
      </w:r>
      <w:proofErr w:type="gramStart"/>
      <w:r>
        <w:rPr>
          <w:rFonts w:ascii="Times New Roman" w:eastAsia="Times New Roman" w:hAnsi="Times New Roman" w:cs="Times New Roman"/>
          <w:color w:val="000000"/>
          <w:sz w:val="28"/>
          <w:shd w:val="clear" w:color="auto" w:fill="FFFFFF"/>
        </w:rPr>
        <w:t>костях</w:t>
      </w:r>
      <w:proofErr w:type="gramEnd"/>
      <w:r>
        <w:rPr>
          <w:rFonts w:ascii="Times New Roman" w:eastAsia="Times New Roman" w:hAnsi="Times New Roman" w:cs="Times New Roman"/>
          <w:color w:val="000000"/>
          <w:sz w:val="28"/>
          <w:shd w:val="clear" w:color="auto" w:fill="FFFFFF"/>
        </w:rPr>
        <w:t xml:space="preserve"> или в позвонках более -2,5 SD по Т-критерию у женщин в постменопаузе и мужчин старше 50 лет; </w:t>
      </w:r>
    </w:p>
    <w:p w:rsidR="00710802" w:rsidRDefault="00710802" w:rsidP="00BC1F7A">
      <w:pPr>
        <w:numPr>
          <w:ilvl w:val="0"/>
          <w:numId w:val="5"/>
        </w:numPr>
        <w:spacing w:before="10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 xml:space="preserve">Низкотравматичные переломы в анамнезе; </w:t>
      </w:r>
    </w:p>
    <w:p w:rsidR="00710802" w:rsidRDefault="00710802" w:rsidP="00BC1F7A">
      <w:pPr>
        <w:numPr>
          <w:ilvl w:val="0"/>
          <w:numId w:val="5"/>
        </w:numPr>
        <w:spacing w:before="10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Возраст моложе 50 лет.</w:t>
      </w:r>
    </w:p>
    <w:p w:rsidR="00710802" w:rsidRDefault="00710802" w:rsidP="00710802">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сегодняшний день существует несколько методик оперативного вмешательства при ПГПТ, среди них выделяют традиционную операцию с поперечным доступом и минимально инвазивную (селективную) паратиреоидэктомию с традиционным или видеоассистированным доступом. Выбор оперативного вмешательства зависит от характера поражения ОЩЖ, опыта оперирующего хирурга и оснащенности клиники [</w:t>
      </w:r>
      <w:r w:rsidR="006742F7">
        <w:rPr>
          <w:rFonts w:ascii="Times New Roman" w:eastAsia="Times New Roman" w:hAnsi="Times New Roman" w:cs="Times New Roman"/>
          <w:sz w:val="28"/>
        </w:rPr>
        <w:t>7</w:t>
      </w:r>
      <w:r>
        <w:rPr>
          <w:rFonts w:ascii="Times New Roman" w:eastAsia="Times New Roman" w:hAnsi="Times New Roman" w:cs="Times New Roman"/>
          <w:sz w:val="28"/>
        </w:rPr>
        <w:t>].</w:t>
      </w:r>
    </w:p>
    <w:p w:rsidR="00710802" w:rsidRDefault="00710802" w:rsidP="00710802">
      <w:pPr>
        <w:spacing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 xml:space="preserve">Традиционную операцию с поперечным доступом с двух- или односторонней ревизией щитовидной железы применяют, </w:t>
      </w:r>
      <w:r>
        <w:rPr>
          <w:rFonts w:ascii="Times New Roman" w:eastAsia="Times New Roman" w:hAnsi="Times New Roman" w:cs="Times New Roman"/>
          <w:color w:val="000000"/>
          <w:sz w:val="28"/>
          <w:shd w:val="clear" w:color="auto" w:fill="FFFFFF"/>
        </w:rPr>
        <w:t xml:space="preserve">если в анамнезе у пациента перенесенные операции в области шеи, при планировании выполнения сочетанной операции на ЩЖ и ОЩЖ, при множественном поражении ОЩЖ </w:t>
      </w:r>
      <w:r>
        <w:rPr>
          <w:rFonts w:ascii="Times New Roman" w:eastAsia="Times New Roman" w:hAnsi="Times New Roman" w:cs="Times New Roman"/>
          <w:sz w:val="28"/>
        </w:rPr>
        <w:t>(MEN, гиперплазия), а также при персистенции или рецидиве ПГПТ [</w:t>
      </w:r>
      <w:r w:rsidR="006742F7">
        <w:rPr>
          <w:rFonts w:ascii="Times New Roman" w:eastAsia="Times New Roman" w:hAnsi="Times New Roman" w:cs="Times New Roman"/>
          <w:sz w:val="28"/>
        </w:rPr>
        <w:t>7</w:t>
      </w:r>
      <w:r>
        <w:rPr>
          <w:rFonts w:ascii="Times New Roman" w:eastAsia="Times New Roman" w:hAnsi="Times New Roman" w:cs="Times New Roman"/>
          <w:sz w:val="28"/>
        </w:rPr>
        <w:t xml:space="preserve">, </w:t>
      </w:r>
      <w:r w:rsidR="006742F7">
        <w:rPr>
          <w:rFonts w:ascii="Times New Roman" w:eastAsia="Times New Roman" w:hAnsi="Times New Roman" w:cs="Times New Roman"/>
          <w:sz w:val="28"/>
        </w:rPr>
        <w:t>21</w:t>
      </w:r>
      <w:r>
        <w:rPr>
          <w:rFonts w:ascii="Times New Roman" w:eastAsia="Times New Roman" w:hAnsi="Times New Roman" w:cs="Times New Roman"/>
          <w:sz w:val="28"/>
        </w:rPr>
        <w:t>]</w:t>
      </w:r>
      <w:r>
        <w:rPr>
          <w:rFonts w:ascii="Times New Roman" w:eastAsia="Times New Roman" w:hAnsi="Times New Roman" w:cs="Times New Roman"/>
          <w:color w:val="000000"/>
          <w:sz w:val="28"/>
          <w:shd w:val="clear" w:color="auto" w:fill="FFFFFF"/>
        </w:rPr>
        <w:t xml:space="preserve">. Данная методика характеризуется хорошими результатами, но следует отметить большой риск послеоперационных осложнений и </w:t>
      </w:r>
      <w:proofErr w:type="gramStart"/>
      <w:r>
        <w:rPr>
          <w:rFonts w:ascii="Times New Roman" w:eastAsia="Times New Roman" w:hAnsi="Times New Roman" w:cs="Times New Roman"/>
          <w:color w:val="000000"/>
          <w:sz w:val="28"/>
          <w:shd w:val="clear" w:color="auto" w:fill="FFFFFF"/>
        </w:rPr>
        <w:t>высокую</w:t>
      </w:r>
      <w:proofErr w:type="gramEnd"/>
      <w:r>
        <w:rPr>
          <w:rFonts w:ascii="Times New Roman" w:eastAsia="Times New Roman" w:hAnsi="Times New Roman" w:cs="Times New Roman"/>
          <w:color w:val="000000"/>
          <w:sz w:val="28"/>
          <w:shd w:val="clear" w:color="auto" w:fill="FFFFFF"/>
        </w:rPr>
        <w:t xml:space="preserve"> травматичность тканей [</w:t>
      </w:r>
      <w:r w:rsidR="006742F7">
        <w:rPr>
          <w:rFonts w:ascii="Times New Roman" w:eastAsia="Times New Roman" w:hAnsi="Times New Roman" w:cs="Times New Roman"/>
          <w:color w:val="000000"/>
          <w:sz w:val="28"/>
          <w:shd w:val="clear" w:color="auto" w:fill="FFFFFF"/>
        </w:rPr>
        <w:t>7</w:t>
      </w:r>
      <w:r>
        <w:rPr>
          <w:rFonts w:ascii="Times New Roman" w:eastAsia="Times New Roman" w:hAnsi="Times New Roman" w:cs="Times New Roman"/>
          <w:color w:val="000000"/>
          <w:sz w:val="28"/>
          <w:shd w:val="clear" w:color="auto" w:fill="FFFFFF"/>
        </w:rPr>
        <w:t xml:space="preserve">, </w:t>
      </w:r>
      <w:r w:rsidR="006742F7">
        <w:rPr>
          <w:rFonts w:ascii="Times New Roman" w:eastAsia="Times New Roman" w:hAnsi="Times New Roman" w:cs="Times New Roman"/>
          <w:color w:val="000000"/>
          <w:sz w:val="28"/>
          <w:shd w:val="clear" w:color="auto" w:fill="FFFFFF"/>
        </w:rPr>
        <w:t>11, 36</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rPr>
        <w:t>После паратиреоидэктомии (ПТЭ) рекомендуется контроль кальция в крови через несколько часов после операции и на следующий день; в случае его быстрого снижения рекомендуется прием препаратов кальция (глюконат кальция до 1 г в день). Необходим постоянный контроль ЭКГ. В некоторых случаях (при больших аденомах ОЩЖ) после операции развивается рекальцификационная тетания, имеющая транзиторный характер и связанная с быстрым поглощением кальция костями скелета (“синдром голодных костей”). Стойкое снижение концентрации кальция в крови ниже 1,25 ммоль/л (5 мг/100 мл) является признаком гипопаратиреоза, который требует соответствующего лечения. Для профилактики послеоперационной тетании необходимо назначение молочной диеты с высоким содержанием кальция и витамина D и низким – фосфора [</w:t>
      </w:r>
      <w:r w:rsidR="006742F7">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 xml:space="preserve">, </w:t>
      </w:r>
      <w:r w:rsidR="006742F7">
        <w:rPr>
          <w:rFonts w:ascii="Times New Roman" w:eastAsia="Times New Roman" w:hAnsi="Times New Roman" w:cs="Times New Roman"/>
          <w:color w:val="000000"/>
          <w:sz w:val="28"/>
        </w:rPr>
        <w:t>12</w:t>
      </w:r>
      <w:r>
        <w:rPr>
          <w:rFonts w:ascii="Times New Roman" w:eastAsia="Times New Roman" w:hAnsi="Times New Roman" w:cs="Times New Roman"/>
          <w:color w:val="000000"/>
          <w:sz w:val="28"/>
        </w:rPr>
        <w:t>].</w:t>
      </w:r>
    </w:p>
    <w:p w:rsidR="00710802" w:rsidRDefault="00710802" w:rsidP="00710802">
      <w:pPr>
        <w:spacing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Мини-инфазивные вмешательства или </w:t>
      </w:r>
      <w:proofErr w:type="gramStart"/>
      <w:r>
        <w:rPr>
          <w:rFonts w:ascii="Times New Roman" w:eastAsia="Times New Roman" w:hAnsi="Times New Roman" w:cs="Times New Roman"/>
          <w:color w:val="000000"/>
          <w:sz w:val="28"/>
          <w:shd w:val="clear" w:color="auto" w:fill="FFFFFF"/>
        </w:rPr>
        <w:t>селективная</w:t>
      </w:r>
      <w:proofErr w:type="gramEnd"/>
      <w:r>
        <w:rPr>
          <w:rFonts w:ascii="Times New Roman" w:eastAsia="Times New Roman" w:hAnsi="Times New Roman" w:cs="Times New Roman"/>
          <w:color w:val="000000"/>
          <w:sz w:val="28"/>
          <w:shd w:val="clear" w:color="auto" w:fill="FFFFFF"/>
        </w:rPr>
        <w:t xml:space="preserve"> ПТЭ </w:t>
      </w:r>
      <w:r>
        <w:rPr>
          <w:rFonts w:ascii="Times New Roman" w:eastAsia="Times New Roman" w:hAnsi="Times New Roman" w:cs="Times New Roman"/>
          <w:color w:val="000000"/>
          <w:sz w:val="28"/>
        </w:rPr>
        <w:t>(традиционным и видеоассистированным доступом)</w:t>
      </w:r>
      <w:r>
        <w:rPr>
          <w:rFonts w:ascii="Times New Roman" w:eastAsia="Times New Roman" w:hAnsi="Times New Roman" w:cs="Times New Roman"/>
          <w:color w:val="212121"/>
          <w:sz w:val="28"/>
        </w:rPr>
        <w:t xml:space="preserve"> является предпочтительным методом лечения на сегодняшний день [</w:t>
      </w:r>
      <w:r w:rsidR="006742F7">
        <w:rPr>
          <w:rFonts w:ascii="Times New Roman" w:eastAsia="Times New Roman" w:hAnsi="Times New Roman" w:cs="Times New Roman"/>
          <w:color w:val="212121"/>
          <w:sz w:val="28"/>
        </w:rPr>
        <w:t>43</w:t>
      </w:r>
      <w:r>
        <w:rPr>
          <w:rFonts w:ascii="Times New Roman" w:eastAsia="Times New Roman" w:hAnsi="Times New Roman" w:cs="Times New Roman"/>
          <w:color w:val="212121"/>
          <w:sz w:val="28"/>
        </w:rPr>
        <w:t xml:space="preserve">]. В связи с тем, что данный метод не сопровождается ревизией органов шеи, пациентам выполняется полный комплекс </w:t>
      </w:r>
      <w:r>
        <w:rPr>
          <w:rFonts w:ascii="Times New Roman" w:eastAsia="Times New Roman" w:hAnsi="Times New Roman" w:cs="Times New Roman"/>
          <w:color w:val="000000"/>
          <w:sz w:val="28"/>
          <w:shd w:val="clear" w:color="auto" w:fill="FFFFFF"/>
        </w:rPr>
        <w:t xml:space="preserve">предоперационного обследования (чаще это УЗИ со сцинтиграфией), а также </w:t>
      </w:r>
      <w:r>
        <w:rPr>
          <w:rFonts w:ascii="Times New Roman" w:eastAsia="Times New Roman" w:hAnsi="Times New Roman" w:cs="Times New Roman"/>
          <w:color w:val="212121"/>
          <w:sz w:val="28"/>
        </w:rPr>
        <w:t>для оценки радикальности хирургического вмешательства рекомендуется мониторинг интраоперационного паратгормона (иПТГ). О</w:t>
      </w:r>
      <w:r>
        <w:rPr>
          <w:rFonts w:ascii="Times New Roman" w:eastAsia="Times New Roman" w:hAnsi="Times New Roman" w:cs="Times New Roman"/>
          <w:color w:val="000000"/>
          <w:sz w:val="28"/>
          <w:shd w:val="clear" w:color="auto" w:fill="FFFFFF"/>
        </w:rPr>
        <w:t xml:space="preserve">пределение иПТГ позволяет регистрировать полноту удаления ПТГ-продуцирующего новообразования.  </w:t>
      </w:r>
      <w:r>
        <w:rPr>
          <w:rFonts w:ascii="Times New Roman" w:eastAsia="Times New Roman" w:hAnsi="Times New Roman" w:cs="Times New Roman"/>
          <w:color w:val="212121"/>
          <w:sz w:val="28"/>
        </w:rPr>
        <w:t>Если в течение 10-15 минут после удаления аденомы уровень иПТГ уменьшится более чем на 50% от начальной концентрации ПТГ крови, то операция завершается, в противном случае интраоперационно будет продолжаться поиск источника ПТГ [</w:t>
      </w:r>
      <w:r w:rsidR="006742F7">
        <w:rPr>
          <w:rFonts w:ascii="Times New Roman" w:eastAsia="Times New Roman" w:hAnsi="Times New Roman" w:cs="Times New Roman"/>
          <w:color w:val="212121"/>
          <w:sz w:val="28"/>
        </w:rPr>
        <w:t>11, 15, 17</w:t>
      </w:r>
      <w:r>
        <w:rPr>
          <w:rFonts w:ascii="Times New Roman" w:eastAsia="Times New Roman" w:hAnsi="Times New Roman" w:cs="Times New Roman"/>
          <w:color w:val="212121"/>
          <w:sz w:val="28"/>
        </w:rPr>
        <w:t>].</w:t>
      </w:r>
      <w:r>
        <w:rPr>
          <w:rFonts w:ascii="Times New Roman" w:eastAsia="Times New Roman" w:hAnsi="Times New Roman" w:cs="Times New Roman"/>
          <w:color w:val="000000"/>
          <w:sz w:val="28"/>
          <w:shd w:val="clear" w:color="auto" w:fill="FFFFFF"/>
        </w:rPr>
        <w:t xml:space="preserve"> Достоинствами данного метода является ранняя активизация больных, снижение доз обезболивающих </w:t>
      </w:r>
      <w:r>
        <w:rPr>
          <w:rFonts w:ascii="Times New Roman" w:eastAsia="Times New Roman" w:hAnsi="Times New Roman" w:cs="Times New Roman"/>
          <w:sz w:val="28"/>
          <w:shd w:val="clear" w:color="auto" w:fill="FFFFFF"/>
        </w:rPr>
        <w:t>препаратов, отличный косметический эффект и уменьшение койко-дня и времени операции, уменьшение боли, уменьшение частоты послеоперационных осложнений (травмы возвратного гортанного нерва, снижение частоты послеоперационной гипокальциемии) [</w:t>
      </w:r>
      <w:r w:rsidR="006742F7">
        <w:rPr>
          <w:rFonts w:ascii="Times New Roman" w:eastAsia="Times New Roman" w:hAnsi="Times New Roman" w:cs="Times New Roman"/>
          <w:sz w:val="28"/>
          <w:shd w:val="clear" w:color="auto" w:fill="FFFFFF"/>
        </w:rPr>
        <w:t>4, 10, 11, 35</w:t>
      </w:r>
      <w:r>
        <w:rPr>
          <w:rFonts w:ascii="Times New Roman" w:eastAsia="Times New Roman" w:hAnsi="Times New Roman" w:cs="Times New Roman"/>
          <w:sz w:val="28"/>
          <w:shd w:val="clear" w:color="auto" w:fill="FFFFFF"/>
        </w:rPr>
        <w:t>].</w:t>
      </w:r>
      <w:r>
        <w:rPr>
          <w:rFonts w:ascii="Times New Roman" w:eastAsia="Times New Roman" w:hAnsi="Times New Roman" w:cs="Times New Roman"/>
          <w:color w:val="000000"/>
          <w:sz w:val="28"/>
          <w:shd w:val="clear" w:color="auto" w:fill="FFFFFF"/>
        </w:rPr>
        <w:t xml:space="preserve">  </w:t>
      </w:r>
    </w:p>
    <w:p w:rsidR="00710802" w:rsidRDefault="00710802" w:rsidP="00710802">
      <w:pPr>
        <w:spacing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212121"/>
          <w:sz w:val="28"/>
        </w:rPr>
        <w:t>Стоит также отметить, что существуют экспериментальные методы лечения ПГПТ, которые на сегодняшний день не показали своей эффективности [1]:</w:t>
      </w:r>
    </w:p>
    <w:p w:rsidR="00710802" w:rsidRDefault="00710802" w:rsidP="00BC1F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hanging="360"/>
        <w:jc w:val="both"/>
        <w:rPr>
          <w:rFonts w:ascii="Times New Roman" w:eastAsia="Times New Roman" w:hAnsi="Times New Roman" w:cs="Times New Roman"/>
          <w:color w:val="212121"/>
          <w:sz w:val="28"/>
          <w:shd w:val="clear" w:color="auto" w:fill="FFFFFF"/>
        </w:rPr>
      </w:pPr>
      <w:r>
        <w:rPr>
          <w:rFonts w:ascii="Times New Roman" w:eastAsia="Times New Roman" w:hAnsi="Times New Roman" w:cs="Times New Roman"/>
          <w:color w:val="000000"/>
          <w:sz w:val="28"/>
          <w:shd w:val="clear" w:color="auto" w:fill="FFFFFF"/>
        </w:rPr>
        <w:t xml:space="preserve">инъекции кальцитриола в гиперплазированные ОЩЖ, </w:t>
      </w:r>
    </w:p>
    <w:p w:rsidR="00710802" w:rsidRDefault="00710802" w:rsidP="00BC1F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hanging="360"/>
        <w:jc w:val="both"/>
        <w:rPr>
          <w:rFonts w:ascii="Times New Roman" w:eastAsia="Times New Roman" w:hAnsi="Times New Roman" w:cs="Times New Roman"/>
          <w:color w:val="212121"/>
          <w:sz w:val="28"/>
          <w:shd w:val="clear" w:color="auto" w:fill="FFFFFF"/>
        </w:rPr>
      </w:pPr>
      <w:r>
        <w:rPr>
          <w:rFonts w:ascii="Times New Roman" w:eastAsia="Times New Roman" w:hAnsi="Times New Roman" w:cs="Times New Roman"/>
          <w:color w:val="000000"/>
          <w:sz w:val="28"/>
          <w:shd w:val="clear" w:color="auto" w:fill="FFFFFF"/>
        </w:rPr>
        <w:t xml:space="preserve">чрескожное введение склерозантов в ткань ОЩЖ, </w:t>
      </w:r>
    </w:p>
    <w:p w:rsidR="00710802" w:rsidRDefault="00710802" w:rsidP="00BC1F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hanging="360"/>
        <w:jc w:val="both"/>
        <w:rPr>
          <w:rFonts w:ascii="Times New Roman" w:eastAsia="Times New Roman" w:hAnsi="Times New Roman" w:cs="Times New Roman"/>
          <w:color w:val="212121"/>
          <w:sz w:val="28"/>
          <w:shd w:val="clear" w:color="auto" w:fill="FFFFFF"/>
        </w:rPr>
      </w:pPr>
      <w:r>
        <w:rPr>
          <w:rFonts w:ascii="Times New Roman" w:eastAsia="Times New Roman" w:hAnsi="Times New Roman" w:cs="Times New Roman"/>
          <w:color w:val="000000"/>
          <w:sz w:val="28"/>
          <w:shd w:val="clear" w:color="auto" w:fill="FFFFFF"/>
        </w:rPr>
        <w:t xml:space="preserve">интерстициальная лазерная фотокоагуляция, </w:t>
      </w:r>
    </w:p>
    <w:p w:rsidR="00710802" w:rsidRDefault="00710802" w:rsidP="00BC1F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hanging="360"/>
        <w:jc w:val="both"/>
        <w:rPr>
          <w:rFonts w:ascii="Times New Roman" w:eastAsia="Times New Roman" w:hAnsi="Times New Roman" w:cs="Times New Roman"/>
          <w:color w:val="212121"/>
          <w:sz w:val="28"/>
          <w:shd w:val="clear" w:color="auto" w:fill="FFFFFF"/>
        </w:rPr>
      </w:pPr>
      <w:r>
        <w:rPr>
          <w:rFonts w:ascii="Times New Roman" w:eastAsia="Times New Roman" w:hAnsi="Times New Roman" w:cs="Times New Roman"/>
          <w:color w:val="000000"/>
          <w:sz w:val="28"/>
          <w:shd w:val="clear" w:color="auto" w:fill="FFFFFF"/>
        </w:rPr>
        <w:t>криотерапия,</w:t>
      </w:r>
    </w:p>
    <w:p w:rsidR="00710802" w:rsidRDefault="00710802" w:rsidP="00BC1F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hanging="360"/>
        <w:jc w:val="both"/>
        <w:rPr>
          <w:rFonts w:ascii="Times New Roman" w:eastAsia="Times New Roman" w:hAnsi="Times New Roman" w:cs="Times New Roman"/>
          <w:color w:val="212121"/>
          <w:sz w:val="28"/>
          <w:shd w:val="clear" w:color="auto" w:fill="FFFFFF"/>
        </w:rPr>
      </w:pPr>
      <w:r>
        <w:rPr>
          <w:rFonts w:ascii="Times New Roman" w:eastAsia="Times New Roman" w:hAnsi="Times New Roman" w:cs="Times New Roman"/>
          <w:color w:val="000000"/>
          <w:sz w:val="28"/>
          <w:shd w:val="clear" w:color="auto" w:fill="FFFFFF"/>
        </w:rPr>
        <w:t xml:space="preserve">радиочастотная абляция. </w:t>
      </w:r>
    </w:p>
    <w:p w:rsidR="00710802" w:rsidRDefault="00710802" w:rsidP="008C4BD0">
      <w:pPr>
        <w:pStyle w:val="2"/>
        <w:rPr>
          <w:rFonts w:eastAsia="Times New Roman"/>
        </w:rPr>
      </w:pPr>
      <w:bookmarkStart w:id="9" w:name="_Toc482798610"/>
      <w:r>
        <w:rPr>
          <w:rFonts w:eastAsia="Times New Roman"/>
        </w:rPr>
        <w:t>1.7 Интраоперационное определение ПТГ (иПТГ)</w:t>
      </w:r>
      <w:bookmarkEnd w:id="9"/>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Интраоперационное определение ПТГ – </w:t>
      </w:r>
      <w:r>
        <w:rPr>
          <w:rFonts w:ascii="Times New Roman" w:eastAsia="Times New Roman" w:hAnsi="Times New Roman" w:cs="Times New Roman"/>
          <w:sz w:val="28"/>
        </w:rPr>
        <w:t>это с</w:t>
      </w:r>
      <w:r>
        <w:rPr>
          <w:rFonts w:ascii="Times New Roman" w:eastAsia="Times New Roman" w:hAnsi="Times New Roman" w:cs="Times New Roman"/>
          <w:color w:val="000000"/>
          <w:sz w:val="28"/>
        </w:rPr>
        <w:t>пособ диагностики адекватности удаления ПТГ-продуцирующего источника в момент хирургического вмешательства [</w:t>
      </w:r>
      <w:r w:rsidR="006742F7">
        <w:rPr>
          <w:rFonts w:ascii="Times New Roman" w:eastAsia="Times New Roman" w:hAnsi="Times New Roman" w:cs="Times New Roman"/>
          <w:color w:val="000000"/>
          <w:sz w:val="28"/>
        </w:rPr>
        <w:t>18, 19, 35</w:t>
      </w:r>
      <w:r>
        <w:rPr>
          <w:rFonts w:ascii="Times New Roman" w:eastAsia="Times New Roman" w:hAnsi="Times New Roman" w:cs="Times New Roman"/>
          <w:color w:val="000000"/>
          <w:sz w:val="28"/>
        </w:rPr>
        <w:t xml:space="preserve">]. </w:t>
      </w:r>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Первые работы были направлены на определение интактного 1-84 ПТГ радиоиммуноанализом, однако из-за низкой чувствительности и длительности выполнения </w:t>
      </w:r>
      <w:proofErr w:type="gramStart"/>
      <w:r>
        <w:rPr>
          <w:rFonts w:ascii="Times New Roman" w:eastAsia="Times New Roman" w:hAnsi="Times New Roman" w:cs="Times New Roman"/>
          <w:color w:val="000000"/>
          <w:sz w:val="28"/>
        </w:rPr>
        <w:t>теста</w:t>
      </w:r>
      <w:proofErr w:type="gramEnd"/>
      <w:r>
        <w:rPr>
          <w:rFonts w:ascii="Times New Roman" w:eastAsia="Times New Roman" w:hAnsi="Times New Roman" w:cs="Times New Roman"/>
          <w:color w:val="000000"/>
          <w:sz w:val="28"/>
        </w:rPr>
        <w:t xml:space="preserve"> данные методы первого поколения в настоящее время не используются [</w:t>
      </w:r>
      <w:r w:rsidR="006742F7">
        <w:rPr>
          <w:rFonts w:ascii="Times New Roman" w:eastAsia="Times New Roman" w:hAnsi="Times New Roman" w:cs="Times New Roman"/>
          <w:color w:val="000000"/>
          <w:sz w:val="28"/>
        </w:rPr>
        <w:t>11, 19</w:t>
      </w:r>
      <w:r>
        <w:rPr>
          <w:rFonts w:ascii="Times New Roman" w:eastAsia="Times New Roman" w:hAnsi="Times New Roman" w:cs="Times New Roman"/>
          <w:color w:val="000000"/>
          <w:sz w:val="28"/>
        </w:rPr>
        <w:t>].  В последующем были разработаны методы определения интактного ПТГ иммунорадиометрическим анализом (IRMA) с использованием двух типов меченных радиоактивным изотопом антител [</w:t>
      </w:r>
      <w:r w:rsidR="006742F7">
        <w:rPr>
          <w:rFonts w:ascii="Times New Roman" w:eastAsia="Times New Roman" w:hAnsi="Times New Roman" w:cs="Times New Roman"/>
          <w:color w:val="000000"/>
          <w:sz w:val="28"/>
        </w:rPr>
        <w:t>24, 35</w:t>
      </w:r>
      <w:r>
        <w:rPr>
          <w:rFonts w:ascii="Times New Roman" w:eastAsia="Times New Roman" w:hAnsi="Times New Roman" w:cs="Times New Roman"/>
          <w:color w:val="000000"/>
          <w:sz w:val="28"/>
        </w:rPr>
        <w:t xml:space="preserve">] и иммунохемилюминесцентным анализом (ICMA) с использованием люминисцентной метки на одном из антител к ПТГ [7, 8]. Методы включают забор трех проб крови из периферической вены пациента: перед операцией (прединцизионная проба), перед отсечением сосудов аденомы ОЩЖ (предэксцизионная проба) и через 10 минут после отсечения сосудистой ножки аденомы (постэксцизионная проба). В дальнейшем взятые образцы центрифугируются и культивируются с </w:t>
      </w:r>
      <w:r>
        <w:rPr>
          <w:rFonts w:ascii="Times New Roman" w:eastAsia="Times New Roman" w:hAnsi="Times New Roman" w:cs="Times New Roman"/>
          <w:sz w:val="28"/>
        </w:rPr>
        <w:t xml:space="preserve">двумя типами </w:t>
      </w:r>
      <w:proofErr w:type="gramStart"/>
      <w:r>
        <w:rPr>
          <w:rFonts w:ascii="Times New Roman" w:eastAsia="Times New Roman" w:hAnsi="Times New Roman" w:cs="Times New Roman"/>
          <w:sz w:val="28"/>
        </w:rPr>
        <w:t>меченных</w:t>
      </w:r>
      <w:proofErr w:type="gramEnd"/>
      <w:r>
        <w:rPr>
          <w:rFonts w:ascii="Times New Roman" w:eastAsia="Times New Roman" w:hAnsi="Times New Roman" w:cs="Times New Roman"/>
          <w:sz w:val="28"/>
        </w:rPr>
        <w:t xml:space="preserve"> антител, связывающихся с аминокислотами N-концевого и С-концевого фрагментов. </w:t>
      </w:r>
      <w:r>
        <w:rPr>
          <w:rFonts w:ascii="Times New Roman" w:eastAsia="Times New Roman" w:hAnsi="Times New Roman" w:cs="Times New Roman"/>
          <w:color w:val="000000"/>
          <w:sz w:val="28"/>
          <w:shd w:val="clear" w:color="auto" w:fill="FFFFFF"/>
        </w:rPr>
        <w:t xml:space="preserve">Недостатки данного метода в том, что 1-84 ПТГ циркулирует в чрезвычайно низких концентрациях (10-12 ммоль/л) в присутствии значительно большего числа “промежуточных” фрагментов ПТГ, и их отношение напрямую зависит от СКФ и активности патологически измененных ОЩЖ [43]. </w:t>
      </w:r>
      <w:r>
        <w:rPr>
          <w:rFonts w:ascii="Times New Roman" w:eastAsia="Times New Roman" w:hAnsi="Times New Roman" w:cs="Times New Roman"/>
          <w:sz w:val="28"/>
        </w:rPr>
        <w:t xml:space="preserve">Выявляемый данным методом неактивный С-фрагмент приводит к увеличению </w:t>
      </w:r>
      <w:proofErr w:type="gramStart"/>
      <w:r>
        <w:rPr>
          <w:rFonts w:ascii="Times New Roman" w:eastAsia="Times New Roman" w:hAnsi="Times New Roman" w:cs="Times New Roman"/>
          <w:sz w:val="28"/>
        </w:rPr>
        <w:t>ложно-положительных</w:t>
      </w:r>
      <w:proofErr w:type="gramEnd"/>
      <w:r>
        <w:rPr>
          <w:rFonts w:ascii="Times New Roman" w:eastAsia="Times New Roman" w:hAnsi="Times New Roman" w:cs="Times New Roman"/>
          <w:sz w:val="28"/>
        </w:rPr>
        <w:t xml:space="preserve"> результатов, более того, фрагмент ПТГ 7–84 обладает противоположной активностью, что объясняет выявляемые иногда характерные для гипопаратиреоза гистологические находки при высоких уровнях «интактного» ПТГ [8, 43].</w:t>
      </w:r>
      <w:r>
        <w:rPr>
          <w:rFonts w:ascii="Times New Roman" w:eastAsia="Times New Roman" w:hAnsi="Times New Roman" w:cs="Times New Roman"/>
          <w:color w:val="000000"/>
          <w:sz w:val="28"/>
          <w:shd w:val="clear" w:color="auto" w:fill="FFFFFF"/>
        </w:rPr>
        <w:t xml:space="preserve"> </w:t>
      </w:r>
    </w:p>
    <w:p w:rsidR="00710802" w:rsidRDefault="00710802" w:rsidP="00710802">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 xml:space="preserve">Учитывая все выше указанное, а также данные новых исследований о биэкспотенциальном выведении ПТГ из крови, в хирургии ОЩЖ стали использовать ICMA для определения быстрого иПТГ, </w:t>
      </w:r>
      <w:proofErr w:type="gramStart"/>
      <w:r>
        <w:rPr>
          <w:rFonts w:ascii="Times New Roman" w:eastAsia="Times New Roman" w:hAnsi="Times New Roman" w:cs="Times New Roman"/>
          <w:color w:val="000000"/>
          <w:sz w:val="28"/>
          <w:shd w:val="clear" w:color="auto" w:fill="FFFFFF"/>
        </w:rPr>
        <w:t>который</w:t>
      </w:r>
      <w:proofErr w:type="gramEnd"/>
      <w:r>
        <w:rPr>
          <w:rFonts w:ascii="Times New Roman" w:eastAsia="Times New Roman" w:hAnsi="Times New Roman" w:cs="Times New Roman"/>
          <w:color w:val="000000"/>
          <w:sz w:val="28"/>
          <w:shd w:val="clear" w:color="auto" w:fill="FFFFFF"/>
        </w:rPr>
        <w:t xml:space="preserve"> в настоящее время является наилучшим способом [7, 8]. В данном случае исследуется ПТГ, который выводится в раннюю быструю фазу (период полувыведения 4-5 мин), что позволяет сократить время выполнения теста. Усовершенствованный метод основан на принципе применения «</w:t>
      </w:r>
      <w:proofErr w:type="gramStart"/>
      <w:r>
        <w:rPr>
          <w:rFonts w:ascii="Times New Roman" w:eastAsia="Times New Roman" w:hAnsi="Times New Roman" w:cs="Times New Roman"/>
          <w:color w:val="000000"/>
          <w:sz w:val="28"/>
          <w:shd w:val="clear" w:color="auto" w:fill="FFFFFF"/>
        </w:rPr>
        <w:t>сэндвич-теста</w:t>
      </w:r>
      <w:proofErr w:type="gramEnd"/>
      <w:r>
        <w:rPr>
          <w:rFonts w:ascii="Times New Roman" w:eastAsia="Times New Roman" w:hAnsi="Times New Roman" w:cs="Times New Roman"/>
          <w:color w:val="000000"/>
          <w:sz w:val="28"/>
          <w:shd w:val="clear" w:color="auto" w:fill="FFFFFF"/>
        </w:rPr>
        <w:t xml:space="preserve">», в котором биотинилированные моноклональные антитела связываются с N-концевыми фрагментами (1-34) в ходе фазы 1й инкубации, а моноклональные антитела, меченными рутениевым комплексом, взаимодействуют с С-концевыми фрагментами в ходе фазы 2й инкубации (рис. 4). </w:t>
      </w:r>
      <w:r>
        <w:rPr>
          <w:rFonts w:ascii="Times New Roman" w:eastAsia="Times New Roman" w:hAnsi="Times New Roman" w:cs="Times New Roman"/>
          <w:sz w:val="28"/>
        </w:rPr>
        <w:t xml:space="preserve">Далее в фазе промывки удаляют остатки не связавшихся антител и излишки реагентов. В последующем в лунку вносится хромоген, ферментативное расщепление которого приводит к возникновению флюоресценции, регистрируемой люминометром. Интенсивность флюоресценции коррелирует с количеством паратгормона в сыворотке крови, что дает возможность вычисления его абсолютной концентрации в единице объема [8, 9]. Промывка лунки начинается только после прекращения нарастания количества иммунных комплексов, что дает возможность вычисления точной концентрации уровня ПТГ в крови. </w:t>
      </w:r>
      <w:r>
        <w:rPr>
          <w:rFonts w:ascii="Times New Roman" w:eastAsia="Times New Roman" w:hAnsi="Times New Roman" w:cs="Times New Roman"/>
          <w:color w:val="000000"/>
          <w:sz w:val="28"/>
          <w:shd w:val="clear" w:color="auto" w:fill="FFFFFF"/>
        </w:rPr>
        <w:t>Методика позволяет сократить время, затрачиваемое на стандартную пробу определения интактного ПТГ, с 15 до 9 минут [8, 38, 43-46]. В последующем после расчета концентрации ПТГ в сыворотке крови пациента интерпретируют результаты теста с помощью критерия Ирвина</w:t>
      </w:r>
      <w:r>
        <w:rPr>
          <w:rFonts w:ascii="Times New Roman" w:eastAsia="Times New Roman" w:hAnsi="Times New Roman" w:cs="Times New Roman"/>
          <w:sz w:val="28"/>
        </w:rPr>
        <w:t xml:space="preserve"> (критерия Майами). Критерий (тест) считается положительным, если через 10 минут после удаления аденомы уровень ПТГ крови (постэксцизионный уровень) снижается более чем на 50% по сравнению с максимальным уровнем ПТГ до удаления аденомы (прединцизионным или предэксцизионным уровнями) [8, 43]. </w:t>
      </w:r>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shd w:val="clear" w:color="auto" w:fill="FFFFFF"/>
        </w:rPr>
        <w:t>Метод интраоперационного определения ПТГ имеет целый ряд преимуществ и позволяет: </w:t>
      </w:r>
    </w:p>
    <w:p w:rsidR="00710802" w:rsidRDefault="00710802" w:rsidP="00BC1F7A">
      <w:pPr>
        <w:numPr>
          <w:ilvl w:val="0"/>
          <w:numId w:val="7"/>
        </w:numPr>
        <w:spacing w:line="360" w:lineRule="auto"/>
        <w:ind w:left="36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оценить адекватность оперативного лечения,</w:t>
      </w:r>
    </w:p>
    <w:p w:rsidR="00710802" w:rsidRDefault="00710802" w:rsidP="00BC1F7A">
      <w:pPr>
        <w:numPr>
          <w:ilvl w:val="0"/>
          <w:numId w:val="7"/>
        </w:numPr>
        <w:spacing w:line="360" w:lineRule="auto"/>
        <w:ind w:left="36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профилактировать развитие персистенции,</w:t>
      </w:r>
    </w:p>
    <w:p w:rsidR="00710802" w:rsidRDefault="00710802" w:rsidP="00BC1F7A">
      <w:pPr>
        <w:numPr>
          <w:ilvl w:val="0"/>
          <w:numId w:val="7"/>
        </w:numPr>
        <w:spacing w:line="360" w:lineRule="auto"/>
        <w:ind w:left="36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избежать двусторонней ревизии зон типичного расположения ОЩЖ;</w:t>
      </w:r>
    </w:p>
    <w:p w:rsidR="00710802" w:rsidRDefault="00710802" w:rsidP="00BC1F7A">
      <w:pPr>
        <w:numPr>
          <w:ilvl w:val="0"/>
          <w:numId w:val="7"/>
        </w:numPr>
        <w:spacing w:line="360" w:lineRule="auto"/>
        <w:ind w:left="36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минимизировать </w:t>
      </w:r>
      <w:r>
        <w:rPr>
          <w:rFonts w:ascii="Times New Roman" w:eastAsia="Times New Roman" w:hAnsi="Times New Roman" w:cs="Times New Roman"/>
          <w:sz w:val="28"/>
          <w:shd w:val="clear" w:color="auto" w:fill="FFFFFF"/>
        </w:rPr>
        <w:t>частоту послеоперационных осложнений (травмы возвратного гортанного нерва, снижение частоты послеоперационной гипокальциемии)</w:t>
      </w:r>
      <w:r>
        <w:rPr>
          <w:rFonts w:ascii="Times New Roman" w:eastAsia="Times New Roman" w:hAnsi="Times New Roman" w:cs="Times New Roman"/>
          <w:color w:val="000000"/>
          <w:sz w:val="28"/>
          <w:shd w:val="clear" w:color="auto" w:fill="FFFFFF"/>
        </w:rPr>
        <w:t>;</w:t>
      </w:r>
    </w:p>
    <w:p w:rsidR="00710802" w:rsidRDefault="00710802" w:rsidP="00BC1F7A">
      <w:pPr>
        <w:numPr>
          <w:ilvl w:val="0"/>
          <w:numId w:val="7"/>
        </w:numPr>
        <w:spacing w:line="360" w:lineRule="auto"/>
        <w:ind w:left="36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избежать срочного гистологического исследования, </w:t>
      </w:r>
    </w:p>
    <w:p w:rsidR="00710802" w:rsidRDefault="00710802" w:rsidP="00BC1F7A">
      <w:pPr>
        <w:numPr>
          <w:ilvl w:val="0"/>
          <w:numId w:val="7"/>
        </w:numPr>
        <w:spacing w:line="360" w:lineRule="auto"/>
        <w:ind w:left="36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shd w:val="clear" w:color="auto" w:fill="FFFFFF"/>
        </w:rPr>
        <w:t>применять минимально инвазивные видео-ассистированные и эндоскопические хирургические методы лечения.</w:t>
      </w:r>
    </w:p>
    <w:p w:rsidR="00710802" w:rsidRDefault="00710802" w:rsidP="00710802">
      <w:pPr>
        <w:spacing w:line="360" w:lineRule="auto"/>
        <w:jc w:val="both"/>
        <w:rPr>
          <w:rFonts w:ascii="Times New Roman" w:eastAsia="Times New Roman" w:hAnsi="Times New Roman" w:cs="Times New Roman"/>
          <w:sz w:val="28"/>
        </w:rPr>
      </w:pPr>
      <w:r>
        <w:object w:dxaOrig="9379" w:dyaOrig="3402">
          <v:rect id="rectole0000000003" o:spid="_x0000_i1028" style="width:468.95pt;height:170.3pt" o:ole="" o:preferrelative="t" stroked="f">
            <v:imagedata r:id="rId14" o:title=""/>
          </v:rect>
          <o:OLEObject Type="Embed" ProgID="StaticMetafile" ShapeID="rectole0000000003" DrawAspect="Content" ObjectID="_1556546850" r:id="rId15"/>
        </w:object>
      </w:r>
    </w:p>
    <w:p w:rsidR="00710802" w:rsidRDefault="00710802" w:rsidP="00710802">
      <w:pPr>
        <w:spacing w:after="24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Рис.4 Методика определения иПТГ иммунохемилюминисцентым анализатором (модифицировано из </w:t>
      </w:r>
      <w:r>
        <w:rPr>
          <w:rFonts w:ascii="Times New Roman" w:eastAsia="Times New Roman" w:hAnsi="Times New Roman" w:cs="Times New Roman"/>
          <w:i/>
          <w:sz w:val="28"/>
        </w:rPr>
        <w:t>Carter A.B., Howanitz P.J.</w:t>
      </w:r>
      <w:r>
        <w:rPr>
          <w:rFonts w:ascii="Times New Roman" w:eastAsia="Times New Roman" w:hAnsi="Times New Roman" w:cs="Times New Roman"/>
          <w:sz w:val="28"/>
        </w:rPr>
        <w:t xml:space="preserve"> 2003) [</w:t>
      </w:r>
      <w:r w:rsidR="006742F7">
        <w:rPr>
          <w:rFonts w:ascii="Times New Roman" w:eastAsia="Times New Roman" w:hAnsi="Times New Roman" w:cs="Times New Roman"/>
          <w:sz w:val="28"/>
        </w:rPr>
        <w:t>19</w:t>
      </w:r>
      <w:r>
        <w:rPr>
          <w:rFonts w:ascii="Times New Roman" w:eastAsia="Times New Roman" w:hAnsi="Times New Roman" w:cs="Times New Roman"/>
          <w:sz w:val="28"/>
        </w:rPr>
        <w:t>].</w:t>
      </w:r>
    </w:p>
    <w:p w:rsidR="00710802" w:rsidRDefault="00710802" w:rsidP="00710802">
      <w:pPr>
        <w:spacing w:after="24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Модифицированный метод определения иПТГ </w:t>
      </w:r>
      <w:r>
        <w:rPr>
          <w:rFonts w:ascii="Times New Roman" w:eastAsia="Times New Roman" w:hAnsi="Times New Roman" w:cs="Times New Roman"/>
          <w:color w:val="000000"/>
          <w:sz w:val="28"/>
        </w:rPr>
        <w:t>по своей методике не отличается от стандартного определения быстрого ПТГ, однако, фаза инкубации сыворотки крови пациента с антителами укорочена за счет прерывания иммунной реакции без достижения фазы ее стабилизации преждевременной промывкой лунок [</w:t>
      </w:r>
      <w:r w:rsidR="006742F7">
        <w:rPr>
          <w:rFonts w:ascii="Times New Roman" w:eastAsia="Times New Roman" w:hAnsi="Times New Roman" w:cs="Times New Roman"/>
          <w:color w:val="000000"/>
          <w:sz w:val="28"/>
        </w:rPr>
        <w:t>10</w:t>
      </w:r>
      <w:r>
        <w:rPr>
          <w:rFonts w:ascii="Times New Roman" w:eastAsia="Times New Roman" w:hAnsi="Times New Roman" w:cs="Times New Roman"/>
          <w:color w:val="000000"/>
          <w:sz w:val="28"/>
        </w:rPr>
        <w:t>]. В последующем к раствору добавляется хромоген, и определяется оптическая плотность растворов [</w:t>
      </w:r>
      <w:r w:rsidR="006742F7">
        <w:rPr>
          <w:rFonts w:ascii="Times New Roman" w:eastAsia="Times New Roman" w:hAnsi="Times New Roman" w:cs="Times New Roman"/>
          <w:color w:val="000000"/>
          <w:sz w:val="28"/>
        </w:rPr>
        <w:t>10</w:t>
      </w:r>
      <w:r>
        <w:rPr>
          <w:rFonts w:ascii="Times New Roman" w:eastAsia="Times New Roman" w:hAnsi="Times New Roman" w:cs="Times New Roman"/>
          <w:color w:val="000000"/>
          <w:sz w:val="28"/>
        </w:rPr>
        <w:t>]. Следующей особенностью теста является сравнение не количественных значений иПТГ, а оптической плотности растворо</w:t>
      </w:r>
      <w:r w:rsidRPr="002C1848">
        <w:rPr>
          <w:rFonts w:ascii="Times New Roman" w:hAnsi="Times New Roman" w:cs="Times New Roman"/>
          <w:sz w:val="28"/>
        </w:rPr>
        <w:t>в</w:t>
      </w:r>
      <w:r>
        <w:rPr>
          <w:rFonts w:ascii="Times New Roman" w:eastAsia="Times New Roman" w:hAnsi="Times New Roman" w:cs="Times New Roman"/>
          <w:sz w:val="28"/>
        </w:rPr>
        <w:t xml:space="preserve">, выраженной в относительных световых единицах (RLU, relative light unit) и пропорциональной концентрации ПТГ в исходной пробе крови. </w:t>
      </w:r>
      <w:r>
        <w:rPr>
          <w:rFonts w:ascii="Times New Roman" w:eastAsia="Times New Roman" w:hAnsi="Times New Roman" w:cs="Times New Roman"/>
          <w:color w:val="000000"/>
          <w:sz w:val="28"/>
        </w:rPr>
        <w:t>При наличии разницы между RLU третьей пробы крови, взятой после резекции аденомы ОЩЖ, с максимальным значением RLU одной из первых двух проб в более чем 50% результат теста считается положительным [</w:t>
      </w:r>
      <w:r w:rsidR="006742F7">
        <w:rPr>
          <w:rFonts w:ascii="Times New Roman" w:eastAsia="Times New Roman" w:hAnsi="Times New Roman" w:cs="Times New Roman"/>
          <w:color w:val="000000"/>
          <w:sz w:val="28"/>
        </w:rPr>
        <w:t>10</w:t>
      </w:r>
      <w:r>
        <w:rPr>
          <w:rFonts w:ascii="Times New Roman" w:eastAsia="Times New Roman" w:hAnsi="Times New Roman" w:cs="Times New Roman"/>
          <w:color w:val="000000"/>
          <w:sz w:val="28"/>
        </w:rPr>
        <w:t>].</w:t>
      </w:r>
    </w:p>
    <w:p w:rsidR="00710802" w:rsidRDefault="00710802" w:rsidP="00710802">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Модифицированный метод обеспечивает все те же преимущества стандартного метода при одновременном сохранении высокого уровня эффективности операции и значимом снижении ее продолжительности</w:t>
      </w:r>
      <w:r>
        <w:rPr>
          <w:rFonts w:ascii="Times New Roman" w:eastAsia="Times New Roman" w:hAnsi="Times New Roman" w:cs="Times New Roman"/>
          <w:sz w:val="28"/>
        </w:rPr>
        <w:t xml:space="preserve">. </w:t>
      </w:r>
    </w:p>
    <w:p w:rsidR="00710802" w:rsidRDefault="00710802" w:rsidP="00710802">
      <w:pPr>
        <w:spacing w:line="360" w:lineRule="auto"/>
        <w:ind w:firstLine="709"/>
        <w:jc w:val="both"/>
        <w:rPr>
          <w:rFonts w:ascii="Times New Roman" w:eastAsia="Times New Roman" w:hAnsi="Times New Roman" w:cs="Times New Roman"/>
          <w:b/>
          <w:sz w:val="28"/>
        </w:rPr>
      </w:pPr>
    </w:p>
    <w:p w:rsidR="00710802" w:rsidRDefault="00710802" w:rsidP="00710802">
      <w:pPr>
        <w:spacing w:line="360" w:lineRule="auto"/>
        <w:ind w:firstLine="709"/>
        <w:jc w:val="both"/>
        <w:rPr>
          <w:rFonts w:ascii="Times New Roman" w:eastAsia="Times New Roman" w:hAnsi="Times New Roman" w:cs="Times New Roman"/>
          <w:b/>
          <w:sz w:val="28"/>
        </w:rPr>
      </w:pPr>
    </w:p>
    <w:p w:rsidR="00710802" w:rsidRDefault="00710802" w:rsidP="00710802">
      <w:pPr>
        <w:spacing w:line="360" w:lineRule="auto"/>
        <w:jc w:val="both"/>
        <w:rPr>
          <w:rFonts w:ascii="Times New Roman" w:eastAsia="Times New Roman" w:hAnsi="Times New Roman" w:cs="Times New Roman"/>
          <w:b/>
          <w:sz w:val="28"/>
        </w:rPr>
      </w:pPr>
    </w:p>
    <w:p w:rsidR="00710802" w:rsidRDefault="00710802" w:rsidP="00A812BA">
      <w:pPr>
        <w:pStyle w:val="1"/>
      </w:pPr>
    </w:p>
    <w:p w:rsidR="00710802" w:rsidRDefault="00710802" w:rsidP="00710802"/>
    <w:p w:rsidR="00710802" w:rsidRDefault="00710802" w:rsidP="00710802"/>
    <w:p w:rsidR="00710802" w:rsidRDefault="00710802" w:rsidP="00710802"/>
    <w:p w:rsidR="00710802" w:rsidRDefault="00710802" w:rsidP="00710802"/>
    <w:p w:rsidR="00710802" w:rsidRDefault="00710802" w:rsidP="00710802"/>
    <w:p w:rsidR="00710802" w:rsidRDefault="00710802" w:rsidP="00710802"/>
    <w:p w:rsidR="00710802" w:rsidRDefault="00710802" w:rsidP="00710802"/>
    <w:p w:rsidR="00710802" w:rsidRDefault="00710802" w:rsidP="00710802"/>
    <w:p w:rsidR="00710802" w:rsidRDefault="00710802" w:rsidP="00710802"/>
    <w:p w:rsidR="00710802" w:rsidRDefault="00710802" w:rsidP="00710802"/>
    <w:p w:rsidR="00710802" w:rsidRDefault="00710802" w:rsidP="00710802"/>
    <w:p w:rsidR="00710802" w:rsidRDefault="00710802" w:rsidP="00710802"/>
    <w:p w:rsidR="00710802" w:rsidRDefault="00710802" w:rsidP="00710802"/>
    <w:p w:rsidR="00710802" w:rsidRDefault="00710802" w:rsidP="00710802"/>
    <w:p w:rsidR="00710802" w:rsidRPr="00710802" w:rsidRDefault="00710802" w:rsidP="00710802"/>
    <w:p w:rsidR="00E44ADE" w:rsidRPr="00E23981" w:rsidRDefault="00E44ADE" w:rsidP="00A812BA">
      <w:pPr>
        <w:pStyle w:val="1"/>
      </w:pPr>
      <w:bookmarkStart w:id="10" w:name="_Toc482798611"/>
      <w:r w:rsidRPr="00E23981">
        <w:t>Глава 2. Материалы и методы</w:t>
      </w:r>
      <w:bookmarkEnd w:id="10"/>
    </w:p>
    <w:p w:rsidR="00E44ADE" w:rsidRPr="00E7138F" w:rsidRDefault="00E44ADE" w:rsidP="00A812BA">
      <w:pPr>
        <w:pStyle w:val="2"/>
      </w:pPr>
      <w:bookmarkStart w:id="11" w:name="_Toc482798612"/>
      <w:r w:rsidRPr="00E7138F">
        <w:t>2.1 Материалы исследования</w:t>
      </w:r>
      <w:bookmarkEnd w:id="11"/>
    </w:p>
    <w:p w:rsidR="00E44ADE" w:rsidRPr="00E7138F" w:rsidRDefault="00E44ADE" w:rsidP="00B66185">
      <w:pPr>
        <w:spacing w:before="240" w:line="360" w:lineRule="auto"/>
        <w:ind w:firstLine="709"/>
        <w:jc w:val="both"/>
        <w:rPr>
          <w:rFonts w:ascii="Times New Roman" w:hAnsi="Times New Roman" w:cs="Times New Roman"/>
          <w:sz w:val="28"/>
          <w:szCs w:val="28"/>
        </w:rPr>
      </w:pPr>
      <w:r w:rsidRPr="00E7138F">
        <w:rPr>
          <w:rFonts w:ascii="Times New Roman" w:hAnsi="Times New Roman" w:cs="Times New Roman"/>
          <w:sz w:val="28"/>
          <w:szCs w:val="28"/>
        </w:rPr>
        <w:t>Работа выполнена на основе ретроспективного анализа данных историй болезни, гистологических заключений 403 больных, госпитализированных и прооперированных в Северо-Западном медицинском центре эндокринологии и эндокринной хирургии по поводу первичного гиперпаратиреоза (ПГПТ)</w:t>
      </w:r>
      <w:r>
        <w:rPr>
          <w:rFonts w:ascii="Times New Roman" w:hAnsi="Times New Roman" w:cs="Times New Roman"/>
          <w:sz w:val="28"/>
          <w:szCs w:val="28"/>
        </w:rPr>
        <w:t xml:space="preserve"> </w:t>
      </w:r>
      <w:r w:rsidR="00B61337">
        <w:rPr>
          <w:rFonts w:ascii="Times New Roman" w:hAnsi="Times New Roman" w:cs="Times New Roman"/>
          <w:sz w:val="28"/>
          <w:szCs w:val="28"/>
        </w:rPr>
        <w:t>с 2011 по 2016 год.</w:t>
      </w:r>
      <w:r w:rsidRPr="00E7138F">
        <w:rPr>
          <w:rFonts w:ascii="Times New Roman" w:hAnsi="Times New Roman" w:cs="Times New Roman"/>
          <w:sz w:val="28"/>
          <w:szCs w:val="28"/>
        </w:rPr>
        <w:t xml:space="preserve"> </w:t>
      </w:r>
    </w:p>
    <w:p w:rsidR="00E44ADE" w:rsidRPr="003D7AF5" w:rsidRDefault="00E44ADE" w:rsidP="00B1721F">
      <w:pPr>
        <w:spacing w:line="360" w:lineRule="auto"/>
        <w:ind w:firstLine="709"/>
        <w:jc w:val="both"/>
        <w:rPr>
          <w:rFonts w:ascii="Times New Roman" w:hAnsi="Times New Roman" w:cs="Times New Roman"/>
          <w:sz w:val="28"/>
          <w:szCs w:val="28"/>
        </w:rPr>
      </w:pPr>
      <w:r w:rsidRPr="00E7138F">
        <w:rPr>
          <w:rFonts w:ascii="Times New Roman" w:hAnsi="Times New Roman" w:cs="Times New Roman"/>
          <w:sz w:val="28"/>
          <w:szCs w:val="28"/>
        </w:rPr>
        <w:t xml:space="preserve">В исследование были включены пациенты с аденомами околощитовидных желез. </w:t>
      </w:r>
      <w:r w:rsidR="003D7AF5">
        <w:rPr>
          <w:rFonts w:ascii="Times New Roman" w:hAnsi="Times New Roman" w:cs="Times New Roman"/>
          <w:sz w:val="28"/>
          <w:szCs w:val="28"/>
        </w:rPr>
        <w:t xml:space="preserve">Критерием исключения являлись пациенты с синдромом </w:t>
      </w:r>
      <w:r w:rsidR="003D7AF5">
        <w:rPr>
          <w:rFonts w:ascii="Times New Roman" w:hAnsi="Times New Roman" w:cs="Times New Roman"/>
          <w:sz w:val="28"/>
          <w:szCs w:val="28"/>
          <w:lang w:val="en-US"/>
        </w:rPr>
        <w:t>MEN</w:t>
      </w:r>
      <w:r w:rsidR="003D7AF5" w:rsidRPr="003D7AF5">
        <w:rPr>
          <w:rFonts w:ascii="Times New Roman" w:hAnsi="Times New Roman" w:cs="Times New Roman"/>
          <w:sz w:val="28"/>
          <w:szCs w:val="28"/>
        </w:rPr>
        <w:t xml:space="preserve"> </w:t>
      </w:r>
      <w:r w:rsidR="003D7AF5">
        <w:rPr>
          <w:rFonts w:ascii="Times New Roman" w:hAnsi="Times New Roman" w:cs="Times New Roman"/>
          <w:sz w:val="28"/>
          <w:szCs w:val="28"/>
        </w:rPr>
        <w:t>и раком околощитовидных желез.</w:t>
      </w:r>
    </w:p>
    <w:p w:rsidR="00E44ADE" w:rsidRPr="00E7138F" w:rsidRDefault="00E44ADE" w:rsidP="00B1721F">
      <w:pPr>
        <w:spacing w:line="360" w:lineRule="auto"/>
        <w:ind w:firstLine="709"/>
        <w:jc w:val="both"/>
        <w:rPr>
          <w:rFonts w:ascii="Times New Roman" w:hAnsi="Times New Roman" w:cs="Times New Roman"/>
          <w:sz w:val="28"/>
          <w:szCs w:val="28"/>
        </w:rPr>
      </w:pPr>
      <w:r w:rsidRPr="00E7138F">
        <w:rPr>
          <w:rFonts w:ascii="Times New Roman" w:hAnsi="Times New Roman" w:cs="Times New Roman"/>
          <w:sz w:val="28"/>
          <w:szCs w:val="28"/>
        </w:rPr>
        <w:t>Пациенты были разделены на группы благоприятного и неблагоприятного прогноза ПГПТ. В группу благоприятного прогноза вошли 364 пациента с данными кальция и ПТГ на 1-3 сутки после операции в пр</w:t>
      </w:r>
      <w:r w:rsidR="00B61337">
        <w:rPr>
          <w:rFonts w:ascii="Times New Roman" w:hAnsi="Times New Roman" w:cs="Times New Roman"/>
          <w:sz w:val="28"/>
          <w:szCs w:val="28"/>
        </w:rPr>
        <w:t>еделах нормы или ниже нормы (</w:t>
      </w:r>
      <w:proofErr w:type="gramStart"/>
      <w:r w:rsidR="00B61337">
        <w:rPr>
          <w:rFonts w:ascii="Times New Roman" w:hAnsi="Times New Roman" w:cs="Times New Roman"/>
          <w:sz w:val="28"/>
          <w:szCs w:val="28"/>
        </w:rPr>
        <w:t>средний</w:t>
      </w:r>
      <w:proofErr w:type="gramEnd"/>
      <w:r w:rsidR="00B61337">
        <w:rPr>
          <w:rFonts w:ascii="Times New Roman" w:hAnsi="Times New Roman" w:cs="Times New Roman"/>
          <w:sz w:val="28"/>
          <w:szCs w:val="28"/>
        </w:rPr>
        <w:t xml:space="preserve"> </w:t>
      </w:r>
      <w:r w:rsidRPr="00E7138F">
        <w:rPr>
          <w:rFonts w:ascii="Times New Roman" w:hAnsi="Times New Roman" w:cs="Times New Roman"/>
          <w:sz w:val="28"/>
          <w:szCs w:val="28"/>
        </w:rPr>
        <w:t>ПТГ 1</w:t>
      </w:r>
      <w:r w:rsidR="00B61337">
        <w:rPr>
          <w:rFonts w:ascii="Times New Roman" w:hAnsi="Times New Roman" w:cs="Times New Roman"/>
          <w:sz w:val="28"/>
          <w:szCs w:val="28"/>
        </w:rPr>
        <w:t>-е</w:t>
      </w:r>
      <w:r w:rsidRPr="00E7138F">
        <w:rPr>
          <w:rFonts w:ascii="Times New Roman" w:hAnsi="Times New Roman" w:cs="Times New Roman"/>
          <w:sz w:val="28"/>
          <w:szCs w:val="28"/>
        </w:rPr>
        <w:t xml:space="preserve"> сут</w:t>
      </w:r>
      <w:r w:rsidR="00B61337">
        <w:rPr>
          <w:rFonts w:ascii="Times New Roman" w:hAnsi="Times New Roman" w:cs="Times New Roman"/>
          <w:sz w:val="28"/>
          <w:szCs w:val="28"/>
        </w:rPr>
        <w:t>ки</w:t>
      </w:r>
      <w:r w:rsidRPr="00E7138F">
        <w:rPr>
          <w:rFonts w:ascii="Times New Roman" w:hAnsi="Times New Roman" w:cs="Times New Roman"/>
          <w:sz w:val="28"/>
          <w:szCs w:val="28"/>
        </w:rPr>
        <w:t xml:space="preserve"> 4,1</w:t>
      </w:r>
      <w:r>
        <w:rPr>
          <w:rFonts w:ascii="Times New Roman" w:hAnsi="Times New Roman" w:cs="Times New Roman"/>
          <w:sz w:val="28"/>
          <w:szCs w:val="28"/>
        </w:rPr>
        <w:t>±1,8</w:t>
      </w:r>
      <w:r w:rsidRPr="00E7138F">
        <w:rPr>
          <w:rFonts w:ascii="Times New Roman" w:hAnsi="Times New Roman" w:cs="Times New Roman"/>
          <w:sz w:val="28"/>
          <w:szCs w:val="28"/>
        </w:rPr>
        <w:t xml:space="preserve"> пмоль/л; ср</w:t>
      </w:r>
      <w:proofErr w:type="gramStart"/>
      <w:r w:rsidRPr="00E7138F">
        <w:rPr>
          <w:rFonts w:ascii="Times New Roman" w:hAnsi="Times New Roman" w:cs="Times New Roman"/>
          <w:sz w:val="28"/>
          <w:szCs w:val="28"/>
        </w:rPr>
        <w:t>.П</w:t>
      </w:r>
      <w:proofErr w:type="gramEnd"/>
      <w:r w:rsidRPr="00E7138F">
        <w:rPr>
          <w:rFonts w:ascii="Times New Roman" w:hAnsi="Times New Roman" w:cs="Times New Roman"/>
          <w:sz w:val="28"/>
          <w:szCs w:val="28"/>
        </w:rPr>
        <w:t>ТГ 2</w:t>
      </w:r>
      <w:r w:rsidR="00B61337">
        <w:rPr>
          <w:rFonts w:ascii="Times New Roman" w:hAnsi="Times New Roman" w:cs="Times New Roman"/>
          <w:sz w:val="28"/>
          <w:szCs w:val="28"/>
        </w:rPr>
        <w:t>-е</w:t>
      </w:r>
      <w:r w:rsidRPr="00E7138F">
        <w:rPr>
          <w:rFonts w:ascii="Times New Roman" w:hAnsi="Times New Roman" w:cs="Times New Roman"/>
          <w:sz w:val="28"/>
          <w:szCs w:val="28"/>
        </w:rPr>
        <w:t xml:space="preserve"> сут</w:t>
      </w:r>
      <w:r w:rsidR="00B61337">
        <w:rPr>
          <w:rFonts w:ascii="Times New Roman" w:hAnsi="Times New Roman" w:cs="Times New Roman"/>
          <w:sz w:val="28"/>
          <w:szCs w:val="28"/>
        </w:rPr>
        <w:t>ки</w:t>
      </w:r>
      <w:r w:rsidRPr="00E7138F">
        <w:rPr>
          <w:rFonts w:ascii="Times New Roman" w:hAnsi="Times New Roman" w:cs="Times New Roman"/>
          <w:sz w:val="28"/>
          <w:szCs w:val="28"/>
        </w:rPr>
        <w:t xml:space="preserve"> 6,2</w:t>
      </w:r>
      <w:r>
        <w:rPr>
          <w:rFonts w:ascii="Times New Roman" w:hAnsi="Times New Roman" w:cs="Times New Roman"/>
          <w:sz w:val="28"/>
          <w:szCs w:val="28"/>
        </w:rPr>
        <w:t>±3,1</w:t>
      </w:r>
      <w:r w:rsidRPr="00E7138F">
        <w:rPr>
          <w:rFonts w:ascii="Times New Roman" w:hAnsi="Times New Roman" w:cs="Times New Roman"/>
          <w:sz w:val="28"/>
          <w:szCs w:val="28"/>
        </w:rPr>
        <w:t xml:space="preserve"> пмоль/л), в группу неблагоприятного прогноза – 39 пациентов с данными кальция и ПТГ на 1-3 сутки после операции выше референсных значений (ср.ПТГ 1</w:t>
      </w:r>
      <w:r w:rsidR="00B61337">
        <w:rPr>
          <w:rFonts w:ascii="Times New Roman" w:hAnsi="Times New Roman" w:cs="Times New Roman"/>
          <w:sz w:val="28"/>
          <w:szCs w:val="28"/>
        </w:rPr>
        <w:t>-е</w:t>
      </w:r>
      <w:r w:rsidRPr="00E7138F">
        <w:rPr>
          <w:rFonts w:ascii="Times New Roman" w:hAnsi="Times New Roman" w:cs="Times New Roman"/>
          <w:sz w:val="28"/>
          <w:szCs w:val="28"/>
        </w:rPr>
        <w:t xml:space="preserve"> сут</w:t>
      </w:r>
      <w:r w:rsidR="00B61337">
        <w:rPr>
          <w:rFonts w:ascii="Times New Roman" w:hAnsi="Times New Roman" w:cs="Times New Roman"/>
          <w:sz w:val="28"/>
          <w:szCs w:val="28"/>
        </w:rPr>
        <w:t>ки</w:t>
      </w:r>
      <w:r w:rsidRPr="00E7138F">
        <w:rPr>
          <w:rFonts w:ascii="Times New Roman" w:hAnsi="Times New Roman" w:cs="Times New Roman"/>
          <w:sz w:val="28"/>
          <w:szCs w:val="28"/>
        </w:rPr>
        <w:t xml:space="preserve"> 13,1</w:t>
      </w:r>
      <w:r>
        <w:rPr>
          <w:rFonts w:ascii="Times New Roman" w:hAnsi="Times New Roman" w:cs="Times New Roman"/>
          <w:sz w:val="28"/>
          <w:szCs w:val="28"/>
        </w:rPr>
        <w:t>±9,6</w:t>
      </w:r>
      <w:r w:rsidRPr="00E7138F">
        <w:rPr>
          <w:rFonts w:ascii="Times New Roman" w:hAnsi="Times New Roman" w:cs="Times New Roman"/>
          <w:sz w:val="28"/>
          <w:szCs w:val="28"/>
        </w:rPr>
        <w:t xml:space="preserve"> пмоль/л; ср.ПТГ 2</w:t>
      </w:r>
      <w:r w:rsidR="00B61337">
        <w:rPr>
          <w:rFonts w:ascii="Times New Roman" w:hAnsi="Times New Roman" w:cs="Times New Roman"/>
          <w:sz w:val="28"/>
          <w:szCs w:val="28"/>
        </w:rPr>
        <w:t>-е</w:t>
      </w:r>
      <w:r w:rsidRPr="00E7138F">
        <w:rPr>
          <w:rFonts w:ascii="Times New Roman" w:hAnsi="Times New Roman" w:cs="Times New Roman"/>
          <w:sz w:val="28"/>
          <w:szCs w:val="28"/>
        </w:rPr>
        <w:t xml:space="preserve"> сут</w:t>
      </w:r>
      <w:r w:rsidR="00B61337">
        <w:rPr>
          <w:rFonts w:ascii="Times New Roman" w:hAnsi="Times New Roman" w:cs="Times New Roman"/>
          <w:sz w:val="28"/>
          <w:szCs w:val="28"/>
        </w:rPr>
        <w:t>ки</w:t>
      </w:r>
      <w:r w:rsidRPr="00E7138F">
        <w:rPr>
          <w:rFonts w:ascii="Times New Roman" w:hAnsi="Times New Roman" w:cs="Times New Roman"/>
          <w:sz w:val="28"/>
          <w:szCs w:val="28"/>
        </w:rPr>
        <w:t xml:space="preserve"> </w:t>
      </w:r>
      <w:r>
        <w:rPr>
          <w:rFonts w:ascii="Times New Roman" w:hAnsi="Times New Roman" w:cs="Times New Roman"/>
          <w:sz w:val="28"/>
          <w:szCs w:val="28"/>
        </w:rPr>
        <w:t xml:space="preserve">21,8±14,0 </w:t>
      </w:r>
      <w:r w:rsidRPr="00E7138F">
        <w:rPr>
          <w:rFonts w:ascii="Times New Roman" w:hAnsi="Times New Roman" w:cs="Times New Roman"/>
          <w:sz w:val="28"/>
          <w:szCs w:val="28"/>
        </w:rPr>
        <w:t xml:space="preserve">пмоль/л). </w:t>
      </w:r>
    </w:p>
    <w:p w:rsidR="00E44ADE" w:rsidRPr="00E7138F" w:rsidRDefault="00E44ADE" w:rsidP="00B1721F">
      <w:pPr>
        <w:spacing w:line="360" w:lineRule="auto"/>
        <w:ind w:firstLine="709"/>
        <w:jc w:val="both"/>
        <w:rPr>
          <w:rFonts w:ascii="Times New Roman" w:hAnsi="Times New Roman" w:cs="Times New Roman"/>
          <w:sz w:val="28"/>
          <w:szCs w:val="28"/>
        </w:rPr>
      </w:pPr>
      <w:r w:rsidRPr="00E7138F">
        <w:rPr>
          <w:rFonts w:ascii="Times New Roman" w:hAnsi="Times New Roman" w:cs="Times New Roman"/>
          <w:sz w:val="28"/>
          <w:szCs w:val="28"/>
        </w:rPr>
        <w:t>Возраст пациентов варьировал от 23 до 82 лет. Средни</w:t>
      </w:r>
      <w:r w:rsidR="00B75606">
        <w:rPr>
          <w:rFonts w:ascii="Times New Roman" w:hAnsi="Times New Roman" w:cs="Times New Roman"/>
          <w:sz w:val="28"/>
          <w:szCs w:val="28"/>
        </w:rPr>
        <w:t>й возраст пациентов составил 60</w:t>
      </w:r>
      <w:r w:rsidRPr="00E7138F">
        <w:rPr>
          <w:rFonts w:ascii="Times New Roman" w:hAnsi="Times New Roman" w:cs="Times New Roman"/>
          <w:sz w:val="28"/>
          <w:szCs w:val="28"/>
        </w:rPr>
        <w:t xml:space="preserve">±11 лет. В группе благоприятного прогноза средний возраст составил 59±10 лет, в группе неблагоприятного прогноза - 65±11 лет. </w:t>
      </w:r>
    </w:p>
    <w:p w:rsidR="00E44ADE" w:rsidRPr="00E7138F" w:rsidRDefault="00E44ADE" w:rsidP="00B1721F">
      <w:pPr>
        <w:spacing w:line="360" w:lineRule="auto"/>
        <w:ind w:firstLine="709"/>
        <w:jc w:val="both"/>
        <w:rPr>
          <w:rFonts w:ascii="Times New Roman" w:hAnsi="Times New Roman" w:cs="Times New Roman"/>
          <w:color w:val="auto"/>
          <w:sz w:val="28"/>
          <w:szCs w:val="28"/>
        </w:rPr>
      </w:pPr>
      <w:r w:rsidRPr="00E7138F">
        <w:rPr>
          <w:rFonts w:ascii="Times New Roman" w:hAnsi="Times New Roman" w:cs="Times New Roman"/>
          <w:color w:val="000000" w:themeColor="text1"/>
          <w:sz w:val="28"/>
          <w:szCs w:val="28"/>
        </w:rPr>
        <w:t>В исследование были включены 27 мужчин (ср</w:t>
      </w:r>
      <w:proofErr w:type="gramStart"/>
      <w:r w:rsidRPr="00E7138F">
        <w:rPr>
          <w:rFonts w:ascii="Times New Roman" w:hAnsi="Times New Roman" w:cs="Times New Roman"/>
          <w:color w:val="000000" w:themeColor="text1"/>
          <w:sz w:val="28"/>
          <w:szCs w:val="28"/>
        </w:rPr>
        <w:t>.в</w:t>
      </w:r>
      <w:proofErr w:type="gramEnd"/>
      <w:r w:rsidRPr="00E7138F">
        <w:rPr>
          <w:rFonts w:ascii="Times New Roman" w:hAnsi="Times New Roman" w:cs="Times New Roman"/>
          <w:color w:val="000000" w:themeColor="text1"/>
          <w:sz w:val="28"/>
          <w:szCs w:val="28"/>
        </w:rPr>
        <w:t>озраст 53±14 лет) и 376 женщин (ср.возраст 60±10 лет). В группе неблагоприятного прогноза – 2 мужчин, 37 женщин, в группе благоприятного прогноза – 25 мужчин, 339 женщин.</w:t>
      </w:r>
    </w:p>
    <w:p w:rsidR="00E44ADE" w:rsidRDefault="00E44ADE" w:rsidP="00E44ADE">
      <w:pPr>
        <w:rPr>
          <w:rFonts w:ascii="Times New Roman" w:hAnsi="Times New Roman" w:cs="Times New Roman"/>
          <w:b/>
          <w:sz w:val="28"/>
          <w:szCs w:val="28"/>
        </w:rPr>
      </w:pPr>
    </w:p>
    <w:p w:rsidR="00B1721F" w:rsidRDefault="00B1721F" w:rsidP="00E44ADE">
      <w:pPr>
        <w:rPr>
          <w:rFonts w:ascii="Times New Roman" w:hAnsi="Times New Roman" w:cs="Times New Roman"/>
          <w:b/>
          <w:sz w:val="28"/>
          <w:szCs w:val="28"/>
        </w:rPr>
      </w:pPr>
    </w:p>
    <w:p w:rsidR="00B1721F" w:rsidRDefault="00B1721F" w:rsidP="00E44ADE">
      <w:pPr>
        <w:rPr>
          <w:rFonts w:ascii="Times New Roman" w:hAnsi="Times New Roman" w:cs="Times New Roman"/>
          <w:b/>
          <w:sz w:val="28"/>
          <w:szCs w:val="28"/>
        </w:rPr>
      </w:pPr>
    </w:p>
    <w:p w:rsidR="00B1721F" w:rsidRDefault="00B1721F" w:rsidP="00E44ADE">
      <w:pPr>
        <w:rPr>
          <w:rFonts w:ascii="Times New Roman" w:hAnsi="Times New Roman" w:cs="Times New Roman"/>
          <w:b/>
          <w:sz w:val="28"/>
          <w:szCs w:val="28"/>
        </w:rPr>
      </w:pPr>
    </w:p>
    <w:p w:rsidR="00B1721F" w:rsidRDefault="00B1721F" w:rsidP="00E44ADE">
      <w:pPr>
        <w:rPr>
          <w:rFonts w:ascii="Times New Roman" w:hAnsi="Times New Roman" w:cs="Times New Roman"/>
          <w:b/>
          <w:sz w:val="28"/>
          <w:szCs w:val="28"/>
        </w:rPr>
      </w:pPr>
    </w:p>
    <w:p w:rsidR="00B1721F" w:rsidRDefault="00B1721F" w:rsidP="00E44ADE">
      <w:pPr>
        <w:rPr>
          <w:rFonts w:ascii="Times New Roman" w:hAnsi="Times New Roman" w:cs="Times New Roman"/>
          <w:b/>
          <w:sz w:val="28"/>
          <w:szCs w:val="28"/>
        </w:rPr>
      </w:pPr>
    </w:p>
    <w:p w:rsidR="00B1721F" w:rsidRDefault="00B1721F" w:rsidP="00E44ADE">
      <w:pPr>
        <w:rPr>
          <w:rFonts w:ascii="Times New Roman" w:hAnsi="Times New Roman" w:cs="Times New Roman"/>
          <w:b/>
          <w:sz w:val="28"/>
          <w:szCs w:val="28"/>
        </w:rPr>
      </w:pPr>
    </w:p>
    <w:p w:rsidR="00E44ADE" w:rsidRDefault="00E44ADE" w:rsidP="00E44ADE">
      <w:pPr>
        <w:rPr>
          <w:rFonts w:ascii="Times New Roman" w:hAnsi="Times New Roman" w:cs="Times New Roman"/>
          <w:b/>
          <w:sz w:val="28"/>
          <w:szCs w:val="28"/>
        </w:rPr>
      </w:pPr>
    </w:p>
    <w:p w:rsidR="00E44ADE" w:rsidRDefault="00E44ADE" w:rsidP="003D7AF5">
      <w:pPr>
        <w:spacing w:after="240"/>
        <w:rPr>
          <w:rFonts w:ascii="Times New Roman" w:hAnsi="Times New Roman" w:cs="Times New Roman"/>
          <w:b/>
          <w:sz w:val="28"/>
          <w:szCs w:val="28"/>
        </w:rPr>
      </w:pPr>
      <w:r w:rsidRPr="00E7138F">
        <w:rPr>
          <w:rFonts w:ascii="Times New Roman" w:hAnsi="Times New Roman" w:cs="Times New Roman"/>
          <w:b/>
          <w:sz w:val="28"/>
          <w:szCs w:val="28"/>
        </w:rPr>
        <w:t>Рис.</w:t>
      </w:r>
      <w:r w:rsidR="00E37F10">
        <w:rPr>
          <w:rFonts w:ascii="Times New Roman" w:hAnsi="Times New Roman" w:cs="Times New Roman"/>
          <w:b/>
          <w:sz w:val="28"/>
          <w:szCs w:val="28"/>
        </w:rPr>
        <w:t>5</w:t>
      </w:r>
      <w:r w:rsidRPr="00E7138F">
        <w:rPr>
          <w:rFonts w:ascii="Times New Roman" w:hAnsi="Times New Roman" w:cs="Times New Roman"/>
          <w:b/>
          <w:sz w:val="28"/>
          <w:szCs w:val="28"/>
        </w:rPr>
        <w:t xml:space="preserve"> Распределение пациентов в зависимости от прогноза</w:t>
      </w:r>
    </w:p>
    <w:p w:rsidR="00E44ADE" w:rsidRPr="00E37F10" w:rsidRDefault="003D7AF5" w:rsidP="00E37F10">
      <w:pPr>
        <w:spacing w:after="240"/>
        <w:jc w:val="center"/>
        <w:rPr>
          <w:rFonts w:ascii="Times New Roman" w:hAnsi="Times New Roman" w:cs="Times New Roman"/>
          <w:b/>
          <w:sz w:val="28"/>
          <w:szCs w:val="28"/>
        </w:rPr>
      </w:pPr>
      <w:r w:rsidRPr="007262FF">
        <w:rPr>
          <w:rFonts w:ascii="Times New Roman" w:hAnsi="Times New Roman" w:cs="Times New Roman"/>
          <w:noProof/>
          <w:lang w:eastAsia="ru-RU" w:bidi="ar-SA"/>
        </w:rPr>
        <w:drawing>
          <wp:inline distT="0" distB="0" distL="0" distR="0">
            <wp:extent cx="3596888" cy="2353586"/>
            <wp:effectExtent l="19050" t="0" r="22612" b="8614"/>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28B4" w:rsidRPr="00E37F10" w:rsidRDefault="00E37F10" w:rsidP="00E37F10">
      <w:pPr>
        <w:spacing w:after="240"/>
        <w:rPr>
          <w:rFonts w:ascii="Times New Roman" w:hAnsi="Times New Roman" w:cs="Times New Roman"/>
          <w:b/>
          <w:sz w:val="28"/>
          <w:szCs w:val="28"/>
        </w:rPr>
      </w:pPr>
      <w:r w:rsidRPr="00E7138F">
        <w:rPr>
          <w:rFonts w:ascii="Times New Roman" w:hAnsi="Times New Roman" w:cs="Times New Roman"/>
          <w:b/>
          <w:sz w:val="28"/>
          <w:szCs w:val="28"/>
        </w:rPr>
        <w:t>Рис.</w:t>
      </w:r>
      <w:r>
        <w:rPr>
          <w:rFonts w:ascii="Times New Roman" w:hAnsi="Times New Roman" w:cs="Times New Roman"/>
          <w:b/>
          <w:sz w:val="28"/>
          <w:szCs w:val="28"/>
        </w:rPr>
        <w:t>6</w:t>
      </w:r>
      <w:r w:rsidRPr="00E7138F">
        <w:rPr>
          <w:rFonts w:ascii="Times New Roman" w:hAnsi="Times New Roman" w:cs="Times New Roman"/>
          <w:b/>
          <w:sz w:val="28"/>
          <w:szCs w:val="28"/>
        </w:rPr>
        <w:t xml:space="preserve"> Распределение пациентов</w:t>
      </w:r>
      <w:r>
        <w:rPr>
          <w:rFonts w:ascii="Times New Roman" w:hAnsi="Times New Roman" w:cs="Times New Roman"/>
          <w:b/>
          <w:sz w:val="28"/>
          <w:szCs w:val="28"/>
        </w:rPr>
        <w:t xml:space="preserve"> по полу</w:t>
      </w:r>
      <w:r w:rsidRPr="00E7138F">
        <w:rPr>
          <w:rFonts w:ascii="Times New Roman" w:hAnsi="Times New Roman" w:cs="Times New Roman"/>
          <w:b/>
          <w:sz w:val="28"/>
          <w:szCs w:val="28"/>
        </w:rPr>
        <w:t xml:space="preserve"> в зависимости от прогноза</w:t>
      </w:r>
    </w:p>
    <w:p w:rsidR="00E37F10" w:rsidRDefault="00AF28B4" w:rsidP="00E37F10">
      <w:pPr>
        <w:spacing w:line="360" w:lineRule="auto"/>
        <w:ind w:firstLine="709"/>
        <w:jc w:val="center"/>
        <w:rPr>
          <w:rFonts w:ascii="Times New Roman" w:hAnsi="Times New Roman" w:cs="Times New Roman"/>
          <w:b/>
          <w:color w:val="000000" w:themeColor="text1"/>
          <w:sz w:val="28"/>
          <w:szCs w:val="28"/>
        </w:rPr>
      </w:pPr>
      <w:r w:rsidRPr="00AF28B4">
        <w:rPr>
          <w:rFonts w:ascii="Times New Roman" w:hAnsi="Times New Roman" w:cs="Times New Roman"/>
          <w:b/>
          <w:noProof/>
          <w:color w:val="000000" w:themeColor="text1"/>
          <w:sz w:val="28"/>
          <w:szCs w:val="28"/>
          <w:lang w:eastAsia="ru-RU" w:bidi="ar-SA"/>
        </w:rPr>
        <w:drawing>
          <wp:inline distT="0" distB="0" distL="0" distR="0">
            <wp:extent cx="5125444" cy="2218414"/>
            <wp:effectExtent l="19050" t="0" r="18056"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12BA" w:rsidRPr="00C97B36" w:rsidRDefault="00A812BA" w:rsidP="00A812BA">
      <w:pPr>
        <w:pStyle w:val="2"/>
      </w:pPr>
      <w:bookmarkStart w:id="12" w:name="_Toc482798613"/>
      <w:r>
        <w:t>2.2 Методы исследования</w:t>
      </w:r>
      <w:bookmarkEnd w:id="12"/>
    </w:p>
    <w:p w:rsidR="00E44ADE" w:rsidRDefault="00A812BA" w:rsidP="00A812BA">
      <w:pPr>
        <w:pStyle w:val="3"/>
      </w:pPr>
      <w:bookmarkStart w:id="13" w:name="_Toc482798614"/>
      <w:r>
        <w:t xml:space="preserve">2.2.1 </w:t>
      </w:r>
      <w:r w:rsidR="00710802">
        <w:t xml:space="preserve">Методы </w:t>
      </w:r>
      <w:r w:rsidR="00E44ADE" w:rsidRPr="0052076A">
        <w:t>определения иПТГ</w:t>
      </w:r>
      <w:bookmarkEnd w:id="13"/>
    </w:p>
    <w:p w:rsidR="00B66185" w:rsidRDefault="00433AA0" w:rsidP="00B66185">
      <w:pPr>
        <w:spacing w:before="200" w:line="360" w:lineRule="auto"/>
        <w:ind w:firstLine="709"/>
        <w:jc w:val="both"/>
        <w:rPr>
          <w:rFonts w:ascii="Times New Roman" w:hAnsi="Times New Roman" w:cs="Times New Roman"/>
          <w:sz w:val="28"/>
          <w:szCs w:val="28"/>
        </w:rPr>
      </w:pPr>
      <w:r w:rsidRPr="00433AA0">
        <w:rPr>
          <w:rFonts w:ascii="Times New Roman" w:hAnsi="Times New Roman" w:cs="Times New Roman"/>
          <w:sz w:val="28"/>
          <w:szCs w:val="28"/>
        </w:rPr>
        <w:t xml:space="preserve">В работе использовались данные ПТГ, полученные </w:t>
      </w:r>
      <w:proofErr w:type="gramStart"/>
      <w:r w:rsidRPr="00433AA0">
        <w:rPr>
          <w:rFonts w:ascii="Times New Roman" w:hAnsi="Times New Roman" w:cs="Times New Roman"/>
          <w:sz w:val="28"/>
          <w:szCs w:val="28"/>
        </w:rPr>
        <w:t>традиционным</w:t>
      </w:r>
      <w:proofErr w:type="gramEnd"/>
      <w:r w:rsidRPr="00433AA0">
        <w:rPr>
          <w:rFonts w:ascii="Times New Roman" w:hAnsi="Times New Roman" w:cs="Times New Roman"/>
          <w:color w:val="000000"/>
          <w:sz w:val="28"/>
          <w:szCs w:val="28"/>
          <w:shd w:val="clear" w:color="auto" w:fill="FFFFFF"/>
        </w:rPr>
        <w:t xml:space="preserve"> и модифицированным</w:t>
      </w:r>
      <w:r w:rsidRPr="00433AA0">
        <w:rPr>
          <w:rFonts w:ascii="Times New Roman" w:hAnsi="Times New Roman" w:cs="Times New Roman"/>
          <w:sz w:val="28"/>
          <w:szCs w:val="28"/>
        </w:rPr>
        <w:t xml:space="preserve"> методами интраоперационного определения уровня быстрого ПТГ, необходимого для оценки адекватности удаления пораженных ОЩЖ и быстрого выявления персистенций. Определение ПТГ осуществлялось </w:t>
      </w:r>
      <w:r w:rsidRPr="00433AA0">
        <w:rPr>
          <w:rFonts w:ascii="Times New Roman" w:eastAsia="Times New Roman" w:hAnsi="Times New Roman" w:cs="Times New Roman"/>
          <w:color w:val="000000"/>
          <w:sz w:val="28"/>
          <w:szCs w:val="28"/>
          <w:lang w:eastAsia="ru-RU"/>
        </w:rPr>
        <w:t>иммуно</w:t>
      </w:r>
      <w:r w:rsidR="009276F7">
        <w:rPr>
          <w:rFonts w:ascii="Times New Roman" w:eastAsia="Times New Roman" w:hAnsi="Times New Roman" w:cs="Times New Roman"/>
          <w:color w:val="000000"/>
          <w:sz w:val="28"/>
          <w:szCs w:val="28"/>
          <w:lang w:eastAsia="ru-RU"/>
        </w:rPr>
        <w:t xml:space="preserve">хемилюминесцентным анализатором </w:t>
      </w:r>
      <w:r w:rsidR="009276F7">
        <w:rPr>
          <w:rFonts w:ascii="Times New Roman" w:hAnsi="Times New Roman" w:cs="Times New Roman"/>
          <w:bCs/>
          <w:color w:val="000000"/>
          <w:sz w:val="28"/>
          <w:szCs w:val="15"/>
        </w:rPr>
        <w:t>Liaison</w:t>
      </w:r>
      <w:r w:rsidR="009276F7" w:rsidRPr="00433AA0">
        <w:rPr>
          <w:rFonts w:ascii="Times New Roman" w:eastAsia="Times New Roman" w:hAnsi="Times New Roman" w:cs="Times New Roman"/>
          <w:color w:val="000000"/>
          <w:sz w:val="28"/>
          <w:szCs w:val="28"/>
          <w:lang w:eastAsia="ru-RU"/>
        </w:rPr>
        <w:t xml:space="preserve"> </w:t>
      </w:r>
      <w:r w:rsidRPr="00433AA0">
        <w:rPr>
          <w:rFonts w:ascii="Times New Roman" w:eastAsia="Times New Roman" w:hAnsi="Times New Roman" w:cs="Times New Roman"/>
          <w:color w:val="000000"/>
          <w:sz w:val="28"/>
          <w:szCs w:val="28"/>
          <w:lang w:eastAsia="ru-RU"/>
        </w:rPr>
        <w:t>(</w:t>
      </w:r>
      <w:r w:rsidR="009276F7">
        <w:rPr>
          <w:rFonts w:ascii="Times New Roman" w:hAnsi="Times New Roman" w:cs="Times New Roman"/>
          <w:bCs/>
          <w:color w:val="000000"/>
          <w:sz w:val="28"/>
          <w:szCs w:val="15"/>
        </w:rPr>
        <w:t>DiaSorin, Италия</w:t>
      </w:r>
      <w:r w:rsidRPr="00433AA0">
        <w:rPr>
          <w:rFonts w:ascii="Times New Roman" w:eastAsia="Times New Roman" w:hAnsi="Times New Roman" w:cs="Times New Roman"/>
          <w:color w:val="000000"/>
          <w:sz w:val="28"/>
          <w:szCs w:val="28"/>
          <w:lang w:eastAsia="ru-RU"/>
        </w:rPr>
        <w:t xml:space="preserve">) </w:t>
      </w:r>
      <w:r w:rsidRPr="00433AA0">
        <w:rPr>
          <w:rFonts w:ascii="Times New Roman" w:hAnsi="Times New Roman" w:cs="Times New Roman"/>
          <w:sz w:val="28"/>
          <w:szCs w:val="28"/>
        </w:rPr>
        <w:t xml:space="preserve">в трех порциях крови, а именно: </w:t>
      </w:r>
      <w:r w:rsidRPr="00433AA0">
        <w:rPr>
          <w:rFonts w:ascii="Times New Roman" w:eastAsia="Times New Roman" w:hAnsi="Times New Roman" w:cs="Times New Roman"/>
          <w:color w:val="000000"/>
          <w:sz w:val="28"/>
          <w:szCs w:val="28"/>
          <w:lang w:eastAsia="ru-RU"/>
        </w:rPr>
        <w:t xml:space="preserve">перед операцией (прединцизионная проба), перед отсечением сосудов аденомы ОЩЖ (предэксцизионная проба) и через 10 минут после отсечения сосудистой ножки аденомы (постэксцизионная проба). </w:t>
      </w:r>
      <w:r w:rsidRPr="00433AA0">
        <w:rPr>
          <w:rFonts w:ascii="Times New Roman" w:hAnsi="Times New Roman" w:cs="Times New Roman"/>
          <w:color w:val="000000"/>
          <w:sz w:val="28"/>
          <w:szCs w:val="28"/>
          <w:shd w:val="clear" w:color="auto" w:fill="FFFFFF"/>
        </w:rPr>
        <w:t>В последующем после расчета концентрации ПТГ крови пациента интерпретировали результаты теста с помощью критерия Ирвина</w:t>
      </w:r>
      <w:r w:rsidRPr="00433AA0">
        <w:rPr>
          <w:rFonts w:ascii="Times New Roman" w:hAnsi="Times New Roman" w:cs="Times New Roman"/>
          <w:sz w:val="28"/>
          <w:szCs w:val="28"/>
        </w:rPr>
        <w:t xml:space="preserve"> (критерия Майами). Критерий (тест) считается положительным, если через 10 минут после удал</w:t>
      </w:r>
      <w:r w:rsidR="00B66185">
        <w:rPr>
          <w:rFonts w:ascii="Times New Roman" w:hAnsi="Times New Roman" w:cs="Times New Roman"/>
          <w:sz w:val="28"/>
          <w:szCs w:val="28"/>
        </w:rPr>
        <w:t>ения аденомы уровень ПТГ крови (</w:t>
      </w:r>
      <w:r w:rsidRPr="00433AA0">
        <w:rPr>
          <w:rFonts w:ascii="Times New Roman" w:hAnsi="Times New Roman" w:cs="Times New Roman"/>
          <w:sz w:val="28"/>
          <w:szCs w:val="28"/>
        </w:rPr>
        <w:t xml:space="preserve">постэксцизионный уровень) снижается более чем на 50% по сравнению с максимальным уровнем </w:t>
      </w:r>
      <w:r w:rsidR="00B66185">
        <w:rPr>
          <w:rFonts w:ascii="Times New Roman" w:hAnsi="Times New Roman" w:cs="Times New Roman"/>
          <w:sz w:val="28"/>
          <w:szCs w:val="28"/>
        </w:rPr>
        <w:t xml:space="preserve">ПТГ </w:t>
      </w:r>
      <w:r w:rsidRPr="00433AA0">
        <w:rPr>
          <w:rFonts w:ascii="Times New Roman" w:hAnsi="Times New Roman" w:cs="Times New Roman"/>
          <w:sz w:val="28"/>
          <w:szCs w:val="28"/>
        </w:rPr>
        <w:t xml:space="preserve">до удаления аденомы (прединцизионным или предэксцизионным уровнями). </w:t>
      </w:r>
    </w:p>
    <w:p w:rsidR="00433AA0" w:rsidRDefault="00433AA0" w:rsidP="00433AA0">
      <w:pPr>
        <w:spacing w:line="360" w:lineRule="auto"/>
        <w:ind w:firstLine="709"/>
        <w:jc w:val="both"/>
        <w:rPr>
          <w:rFonts w:ascii="Times New Roman" w:hAnsi="Times New Roman" w:cs="Times New Roman"/>
          <w:sz w:val="28"/>
          <w:szCs w:val="28"/>
        </w:rPr>
      </w:pPr>
      <w:r w:rsidRPr="00433AA0">
        <w:rPr>
          <w:rFonts w:ascii="Times New Roman" w:hAnsi="Times New Roman" w:cs="Times New Roman"/>
          <w:sz w:val="28"/>
          <w:szCs w:val="28"/>
        </w:rPr>
        <w:t xml:space="preserve">Отличия модифицированного метода в том, что сокращаются фазы инкубации сыворотки крови с </w:t>
      </w:r>
      <w:proofErr w:type="gramStart"/>
      <w:r w:rsidRPr="00433AA0">
        <w:rPr>
          <w:rFonts w:ascii="Times New Roman" w:hAnsi="Times New Roman" w:cs="Times New Roman"/>
          <w:sz w:val="28"/>
          <w:szCs w:val="28"/>
        </w:rPr>
        <w:t>меченными</w:t>
      </w:r>
      <w:proofErr w:type="gramEnd"/>
      <w:r w:rsidRPr="00433AA0">
        <w:rPr>
          <w:rFonts w:ascii="Times New Roman" w:hAnsi="Times New Roman" w:cs="Times New Roman"/>
          <w:sz w:val="28"/>
          <w:szCs w:val="28"/>
        </w:rPr>
        <w:t xml:space="preserve"> антителами без достяжения </w:t>
      </w:r>
      <w:r w:rsidRPr="00433AA0">
        <w:rPr>
          <w:rFonts w:ascii="Times New Roman" w:eastAsia="Times New Roman" w:hAnsi="Times New Roman" w:cs="Times New Roman"/>
          <w:color w:val="000000"/>
          <w:sz w:val="28"/>
          <w:szCs w:val="28"/>
          <w:lang w:eastAsia="ru-RU"/>
        </w:rPr>
        <w:t>фазы ее стабилизации преждевременой промывкой лунок и с последующим определением оптической плотности растворов [9]. Оптическая плотность растворов</w:t>
      </w:r>
      <w:r w:rsidRPr="00933108">
        <w:rPr>
          <w:rFonts w:eastAsia="Times New Roman"/>
          <w:noProof/>
          <w:lang w:eastAsia="ru-RU" w:bidi="ar-SA"/>
        </w:rPr>
        <w:drawing>
          <wp:inline distT="0" distB="0" distL="0" distR="0">
            <wp:extent cx="8255" cy="8255"/>
            <wp:effectExtent l="0" t="0" r="0" b="0"/>
            <wp:docPr id="2" name="Рисунок 1"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1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433AA0">
        <w:rPr>
          <w:rFonts w:ascii="Times New Roman" w:eastAsia="Times New Roman" w:hAnsi="Times New Roman" w:cs="Times New Roman"/>
          <w:color w:val="000000"/>
          <w:sz w:val="28"/>
          <w:szCs w:val="28"/>
          <w:lang w:eastAsia="ru-RU"/>
        </w:rPr>
        <w:t xml:space="preserve"> в данном случае</w:t>
      </w:r>
      <w:r w:rsidRPr="00433AA0">
        <w:rPr>
          <w:rFonts w:ascii="Times New Roman" w:hAnsi="Times New Roman" w:cs="Times New Roman"/>
          <w:sz w:val="28"/>
          <w:szCs w:val="28"/>
        </w:rPr>
        <w:t xml:space="preserve"> выражена в относительных световых единицах (RLU, relative light unit) и пропорциональна концентрации ПТГ в исходной пробе крови. </w:t>
      </w:r>
    </w:p>
    <w:p w:rsidR="00433AA0" w:rsidRPr="00E37F10" w:rsidRDefault="00B66185" w:rsidP="00E37F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исследовании </w:t>
      </w:r>
      <w:r>
        <w:rPr>
          <w:rFonts w:ascii="Times New Roman" w:hAnsi="Times New Roman" w:cs="Times New Roman"/>
          <w:color w:val="auto"/>
          <w:sz w:val="28"/>
          <w:szCs w:val="28"/>
          <w:lang w:bidi="ar-SA"/>
        </w:rPr>
        <w:t>в</w:t>
      </w:r>
      <w:r w:rsidRPr="00933108">
        <w:rPr>
          <w:rFonts w:ascii="Times New Roman" w:hAnsi="Times New Roman" w:cs="Times New Roman"/>
          <w:color w:val="auto"/>
          <w:sz w:val="28"/>
          <w:szCs w:val="28"/>
          <w:lang w:bidi="ar-SA"/>
        </w:rPr>
        <w:t>ремя, затрачиваемое на проведение традиционного теста</w:t>
      </w:r>
      <w:r>
        <w:rPr>
          <w:rFonts w:ascii="Times New Roman" w:hAnsi="Times New Roman" w:cs="Times New Roman"/>
          <w:color w:val="auto"/>
          <w:sz w:val="28"/>
          <w:szCs w:val="28"/>
          <w:lang w:bidi="ar-SA"/>
        </w:rPr>
        <w:t>, составило 25±1,7 мин</w:t>
      </w:r>
      <w:r w:rsidRPr="00933108">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 xml:space="preserve">что </w:t>
      </w:r>
      <w:r w:rsidRPr="00933108">
        <w:rPr>
          <w:rFonts w:ascii="Times New Roman" w:hAnsi="Times New Roman" w:cs="Times New Roman"/>
          <w:color w:val="auto"/>
          <w:sz w:val="28"/>
          <w:szCs w:val="28"/>
          <w:lang w:bidi="ar-SA"/>
        </w:rPr>
        <w:t xml:space="preserve">значимо превышало время, необходимое для проведения модифицированного теста </w:t>
      </w:r>
      <w:r>
        <w:rPr>
          <w:rFonts w:ascii="Times New Roman" w:hAnsi="Times New Roman" w:cs="Times New Roman"/>
          <w:color w:val="auto"/>
          <w:sz w:val="28"/>
          <w:szCs w:val="28"/>
          <w:lang w:bidi="ar-SA"/>
        </w:rPr>
        <w:t>- 12±1,5 мин</w:t>
      </w:r>
      <w:r w:rsidRPr="00933108">
        <w:rPr>
          <w:rFonts w:ascii="Times New Roman" w:hAnsi="Times New Roman" w:cs="Times New Roman"/>
          <w:color w:val="auto"/>
          <w:sz w:val="28"/>
          <w:szCs w:val="28"/>
          <w:lang w:bidi="ar-SA"/>
        </w:rPr>
        <w:t>,</w:t>
      </w:r>
      <w:r w:rsidRPr="00933108">
        <w:rPr>
          <w:rFonts w:ascii="Times New Roman" w:hAnsi="Times New Roman" w:cs="Times New Roman"/>
          <w:color w:val="auto"/>
          <w:sz w:val="28"/>
          <w:szCs w:val="28"/>
        </w:rPr>
        <w:t xml:space="preserve"> </w:t>
      </w:r>
      <w:r w:rsidRPr="00933108">
        <w:rPr>
          <w:rFonts w:ascii="Times New Roman" w:hAnsi="Times New Roman" w:cs="Times New Roman"/>
          <w:color w:val="auto"/>
          <w:sz w:val="28"/>
          <w:szCs w:val="28"/>
          <w:lang w:bidi="ar-SA"/>
        </w:rPr>
        <w:t>(</w:t>
      </w:r>
      <w:r w:rsidRPr="00933108">
        <w:rPr>
          <w:rFonts w:ascii="Times New Roman" w:hAnsi="Times New Roman" w:cs="Times New Roman"/>
          <w:color w:val="auto"/>
          <w:sz w:val="28"/>
          <w:szCs w:val="28"/>
          <w:lang w:val="en-US" w:bidi="ar-SA"/>
        </w:rPr>
        <w:t>p</w:t>
      </w:r>
      <w:r w:rsidRPr="00933108">
        <w:rPr>
          <w:rFonts w:ascii="Times New Roman" w:hAnsi="Times New Roman" w:cs="Times New Roman"/>
          <w:color w:val="auto"/>
          <w:sz w:val="28"/>
          <w:szCs w:val="28"/>
          <w:lang w:bidi="ar-SA"/>
        </w:rPr>
        <w:t>&lt;0,001).</w:t>
      </w:r>
    </w:p>
    <w:p w:rsidR="00E44ADE" w:rsidRPr="00A812BA" w:rsidRDefault="00E44ADE" w:rsidP="00A812BA">
      <w:pPr>
        <w:pStyle w:val="3"/>
      </w:pPr>
      <w:bookmarkStart w:id="14" w:name="_Toc451122290"/>
      <w:bookmarkStart w:id="15" w:name="_Toc482798615"/>
      <w:r w:rsidRPr="00A812BA">
        <w:t>2.2.2 Статистическая обработка</w:t>
      </w:r>
      <w:bookmarkEnd w:id="14"/>
      <w:bookmarkEnd w:id="15"/>
    </w:p>
    <w:p w:rsidR="00E44ADE" w:rsidRDefault="00E44ADE" w:rsidP="00B66185">
      <w:pPr>
        <w:spacing w:before="200" w:line="360" w:lineRule="auto"/>
        <w:ind w:firstLine="851"/>
        <w:jc w:val="both"/>
        <w:rPr>
          <w:rFonts w:ascii="Times New Roman" w:hAnsi="Times New Roman" w:cs="Times New Roman"/>
          <w:sz w:val="28"/>
          <w:szCs w:val="28"/>
        </w:rPr>
      </w:pPr>
      <w:r w:rsidRPr="00C97B36">
        <w:rPr>
          <w:rFonts w:ascii="Times New Roman" w:hAnsi="Times New Roman"/>
          <w:sz w:val="28"/>
          <w:szCs w:val="28"/>
        </w:rPr>
        <w:t xml:space="preserve">Статистическая обработка данных проводилась с помощью пакета прикладных программ </w:t>
      </w:r>
      <w:r w:rsidRPr="00C97B36">
        <w:rPr>
          <w:rFonts w:ascii="Times New Roman" w:hAnsi="Times New Roman"/>
          <w:sz w:val="28"/>
          <w:szCs w:val="28"/>
          <w:lang w:val="en-US"/>
        </w:rPr>
        <w:t>SPSS</w:t>
      </w:r>
      <w:r w:rsidRPr="00C97B36">
        <w:rPr>
          <w:rFonts w:ascii="Times New Roman" w:hAnsi="Times New Roman"/>
          <w:sz w:val="28"/>
          <w:szCs w:val="28"/>
        </w:rPr>
        <w:t xml:space="preserve"> </w:t>
      </w:r>
      <w:r w:rsidRPr="00C97B36">
        <w:rPr>
          <w:rFonts w:ascii="Times New Roman" w:hAnsi="Times New Roman"/>
          <w:sz w:val="28"/>
          <w:szCs w:val="28"/>
          <w:lang w:val="en-US"/>
        </w:rPr>
        <w:t>Statistics</w:t>
      </w:r>
      <w:r w:rsidRPr="00C97B36">
        <w:rPr>
          <w:rFonts w:ascii="Times New Roman" w:hAnsi="Times New Roman"/>
          <w:sz w:val="28"/>
          <w:szCs w:val="28"/>
        </w:rPr>
        <w:t xml:space="preserve"> 17.0. </w:t>
      </w:r>
      <w:r w:rsidRPr="00C97B36">
        <w:rPr>
          <w:rFonts w:ascii="Times New Roman" w:hAnsi="Times New Roman" w:cs="Times New Roman"/>
          <w:sz w:val="28"/>
          <w:szCs w:val="28"/>
        </w:rPr>
        <w:t>Методы описательной статистики заключались в оценке среднего арифметического (М), средней ошибки среднего значения (m) – для признаков, имеющих непрерывное распределение</w:t>
      </w:r>
      <w:r>
        <w:rPr>
          <w:rFonts w:ascii="Times New Roman" w:hAnsi="Times New Roman"/>
          <w:sz w:val="28"/>
          <w:szCs w:val="28"/>
        </w:rPr>
        <w:t xml:space="preserve">. </w:t>
      </w:r>
      <w:r w:rsidRPr="00B30458">
        <w:rPr>
          <w:rFonts w:ascii="Times New Roman" w:hAnsi="Times New Roman" w:cs="Times New Roman"/>
          <w:sz w:val="28"/>
          <w:szCs w:val="28"/>
        </w:rPr>
        <w:t xml:space="preserve">Непараметрические данные анализировались с использованием  критерия Манна-Уитни. </w:t>
      </w:r>
    </w:p>
    <w:p w:rsidR="00E44ADE" w:rsidRDefault="00E44ADE" w:rsidP="00E44ADE">
      <w:pPr>
        <w:spacing w:line="360" w:lineRule="auto"/>
        <w:ind w:firstLine="709"/>
        <w:jc w:val="both"/>
        <w:rPr>
          <w:rFonts w:ascii="Times New Roman" w:hAnsi="Times New Roman" w:cs="Times New Roman"/>
          <w:sz w:val="28"/>
          <w:szCs w:val="28"/>
        </w:rPr>
      </w:pPr>
      <w:r w:rsidRPr="00C97B36">
        <w:rPr>
          <w:rFonts w:ascii="Times New Roman" w:hAnsi="Times New Roman" w:cs="Times New Roman"/>
          <w:sz w:val="28"/>
          <w:szCs w:val="28"/>
        </w:rPr>
        <w:t xml:space="preserve">Для оценки и сравнения чувствительности и специфичности тестов использовался анализ </w:t>
      </w:r>
      <w:r w:rsidRPr="00C97B36">
        <w:rPr>
          <w:rFonts w:ascii="Times New Roman" w:hAnsi="Times New Roman" w:cs="Times New Roman"/>
          <w:sz w:val="28"/>
          <w:szCs w:val="28"/>
          <w:lang w:val="en-US"/>
        </w:rPr>
        <w:t>ROC</w:t>
      </w:r>
      <w:r w:rsidRPr="00C97B36">
        <w:rPr>
          <w:rFonts w:ascii="Times New Roman" w:hAnsi="Times New Roman" w:cs="Times New Roman"/>
          <w:sz w:val="28"/>
          <w:szCs w:val="28"/>
        </w:rPr>
        <w:t xml:space="preserve">-кривых. </w:t>
      </w:r>
    </w:p>
    <w:p w:rsidR="00E44ADE" w:rsidRDefault="00E44ADE" w:rsidP="00E44ADE">
      <w:pPr>
        <w:spacing w:line="360" w:lineRule="auto"/>
        <w:ind w:firstLine="709"/>
        <w:jc w:val="both"/>
        <w:rPr>
          <w:rFonts w:ascii="Times New Roman" w:hAnsi="Times New Roman" w:cs="Times New Roman"/>
          <w:sz w:val="28"/>
          <w:szCs w:val="28"/>
        </w:rPr>
      </w:pPr>
      <w:r w:rsidRPr="00C97B36">
        <w:rPr>
          <w:rFonts w:ascii="Times New Roman" w:hAnsi="Times New Roman" w:cs="Times New Roman"/>
          <w:sz w:val="28"/>
          <w:szCs w:val="28"/>
        </w:rPr>
        <w:t xml:space="preserve">Для выявления наличия статистически значимой </w:t>
      </w:r>
      <w:r>
        <w:rPr>
          <w:rFonts w:ascii="Times New Roman" w:hAnsi="Times New Roman" w:cs="Times New Roman"/>
          <w:sz w:val="28"/>
          <w:szCs w:val="28"/>
        </w:rPr>
        <w:t>связи</w:t>
      </w:r>
      <w:r w:rsidRPr="00C97B36">
        <w:rPr>
          <w:rFonts w:ascii="Times New Roman" w:hAnsi="Times New Roman" w:cs="Times New Roman"/>
          <w:sz w:val="28"/>
          <w:szCs w:val="28"/>
        </w:rPr>
        <w:t xml:space="preserve"> между </w:t>
      </w:r>
      <w:r>
        <w:rPr>
          <w:rFonts w:ascii="Times New Roman" w:hAnsi="Times New Roman" w:cs="Times New Roman"/>
          <w:sz w:val="28"/>
          <w:szCs w:val="28"/>
        </w:rPr>
        <w:t>катеригориальными величинами</w:t>
      </w:r>
      <w:r w:rsidRPr="00C97B36">
        <w:rPr>
          <w:rFonts w:ascii="Times New Roman" w:hAnsi="Times New Roman" w:cs="Times New Roman"/>
          <w:sz w:val="28"/>
          <w:szCs w:val="28"/>
        </w:rPr>
        <w:t xml:space="preserve"> использовался статистический метод с применением критерия </w:t>
      </w:r>
      <w:r>
        <w:rPr>
          <w:rFonts w:ascii="Times New Roman" w:hAnsi="Times New Roman" w:cs="Times New Roman"/>
          <w:sz w:val="28"/>
          <w:szCs w:val="28"/>
        </w:rPr>
        <w:t>Хи-квадрат</w:t>
      </w:r>
      <w:r w:rsidRPr="00C97B36">
        <w:rPr>
          <w:rFonts w:ascii="Times New Roman" w:hAnsi="Times New Roman" w:cs="Times New Roman"/>
          <w:sz w:val="28"/>
          <w:szCs w:val="28"/>
        </w:rPr>
        <w:t xml:space="preserve">. </w:t>
      </w:r>
    </w:p>
    <w:p w:rsidR="00E44ADE" w:rsidRDefault="00E44ADE" w:rsidP="00E44ADE">
      <w:pPr>
        <w:spacing w:line="360" w:lineRule="auto"/>
        <w:ind w:firstLine="709"/>
        <w:jc w:val="both"/>
        <w:rPr>
          <w:rFonts w:ascii="Times New Roman" w:hAnsi="Times New Roman" w:cs="Times New Roman"/>
          <w:sz w:val="28"/>
          <w:szCs w:val="28"/>
        </w:rPr>
      </w:pPr>
      <w:r w:rsidRPr="00C97B36">
        <w:rPr>
          <w:rFonts w:ascii="Times New Roman" w:hAnsi="Times New Roman" w:cs="Times New Roman"/>
          <w:sz w:val="28"/>
          <w:szCs w:val="28"/>
        </w:rPr>
        <w:t>Графическая обработка данных проводилась при помощи программы</w:t>
      </w:r>
      <w:r w:rsidR="00710802">
        <w:rPr>
          <w:rFonts w:ascii="Times New Roman" w:hAnsi="Times New Roman" w:cs="Times New Roman"/>
          <w:sz w:val="28"/>
          <w:szCs w:val="28"/>
        </w:rPr>
        <w:t xml:space="preserve"> </w:t>
      </w:r>
      <w:r w:rsidR="00710802">
        <w:rPr>
          <w:rFonts w:ascii="Times New Roman" w:eastAsia="Times New Roman" w:hAnsi="Times New Roman" w:cs="Times New Roman"/>
          <w:sz w:val="28"/>
        </w:rPr>
        <w:t>SPSS Statistics 17.0</w:t>
      </w:r>
      <w:r w:rsidRPr="00C97B36">
        <w:rPr>
          <w:rFonts w:ascii="Times New Roman" w:hAnsi="Times New Roman" w:cs="Times New Roman"/>
          <w:sz w:val="28"/>
          <w:szCs w:val="28"/>
        </w:rPr>
        <w:t xml:space="preserve">. Критический уровень достоверности нулевой статистической гипотезы принимали </w:t>
      </w:r>
      <w:proofErr w:type="gramStart"/>
      <w:r w:rsidRPr="00C97B36">
        <w:rPr>
          <w:rFonts w:ascii="Times New Roman" w:hAnsi="Times New Roman" w:cs="Times New Roman"/>
          <w:sz w:val="28"/>
          <w:szCs w:val="28"/>
        </w:rPr>
        <w:t>равным</w:t>
      </w:r>
      <w:proofErr w:type="gramEnd"/>
      <w:r w:rsidRPr="00C97B36">
        <w:rPr>
          <w:rFonts w:ascii="Times New Roman" w:hAnsi="Times New Roman" w:cs="Times New Roman"/>
          <w:sz w:val="28"/>
          <w:szCs w:val="28"/>
        </w:rPr>
        <w:t xml:space="preserve"> 0,05. </w:t>
      </w:r>
    </w:p>
    <w:p w:rsidR="00E44ADE" w:rsidRDefault="00E44ADE" w:rsidP="00E44ADE">
      <w:pPr>
        <w:spacing w:line="360" w:lineRule="auto"/>
        <w:ind w:firstLine="709"/>
        <w:jc w:val="both"/>
        <w:rPr>
          <w:rFonts w:ascii="Times New Roman" w:hAnsi="Times New Roman" w:cs="Times New Roman"/>
          <w:sz w:val="28"/>
          <w:szCs w:val="28"/>
        </w:rPr>
      </w:pPr>
    </w:p>
    <w:p w:rsidR="00E44ADE" w:rsidRDefault="00E44ADE" w:rsidP="00E44ADE">
      <w:pPr>
        <w:spacing w:line="360" w:lineRule="auto"/>
        <w:ind w:firstLine="709"/>
        <w:jc w:val="both"/>
        <w:rPr>
          <w:rFonts w:ascii="Times New Roman" w:hAnsi="Times New Roman" w:cs="Times New Roman"/>
          <w:sz w:val="28"/>
          <w:szCs w:val="28"/>
        </w:rPr>
      </w:pPr>
    </w:p>
    <w:p w:rsidR="00E44ADE" w:rsidRDefault="00E44ADE" w:rsidP="00E44ADE">
      <w:pPr>
        <w:spacing w:line="360" w:lineRule="auto"/>
        <w:ind w:firstLine="709"/>
        <w:jc w:val="both"/>
        <w:rPr>
          <w:rFonts w:ascii="Times New Roman" w:hAnsi="Times New Roman" w:cs="Times New Roman"/>
          <w:sz w:val="28"/>
          <w:szCs w:val="28"/>
        </w:rPr>
      </w:pPr>
    </w:p>
    <w:p w:rsidR="00E44ADE" w:rsidRDefault="00E44ADE" w:rsidP="00DF073E">
      <w:pPr>
        <w:spacing w:line="360" w:lineRule="auto"/>
        <w:jc w:val="both"/>
        <w:rPr>
          <w:rFonts w:ascii="Times New Roman" w:hAnsi="Times New Roman" w:cs="Times New Roman"/>
          <w:sz w:val="28"/>
          <w:szCs w:val="28"/>
        </w:rPr>
      </w:pPr>
    </w:p>
    <w:p w:rsidR="00B66185" w:rsidRDefault="00B66185" w:rsidP="00DF073E">
      <w:pPr>
        <w:spacing w:line="360" w:lineRule="auto"/>
        <w:jc w:val="both"/>
        <w:rPr>
          <w:rFonts w:ascii="Times New Roman" w:hAnsi="Times New Roman" w:cs="Times New Roman"/>
          <w:sz w:val="28"/>
          <w:szCs w:val="28"/>
        </w:rPr>
      </w:pPr>
    </w:p>
    <w:p w:rsidR="00B66185" w:rsidRDefault="00B66185" w:rsidP="00DF073E">
      <w:pPr>
        <w:spacing w:line="360" w:lineRule="auto"/>
        <w:jc w:val="both"/>
        <w:rPr>
          <w:rFonts w:ascii="Times New Roman" w:hAnsi="Times New Roman" w:cs="Times New Roman"/>
          <w:sz w:val="28"/>
          <w:szCs w:val="28"/>
        </w:rPr>
      </w:pPr>
    </w:p>
    <w:p w:rsidR="00B66185" w:rsidRDefault="00B66185" w:rsidP="00DF073E">
      <w:pPr>
        <w:spacing w:line="360" w:lineRule="auto"/>
        <w:jc w:val="both"/>
        <w:rPr>
          <w:rFonts w:ascii="Times New Roman" w:hAnsi="Times New Roman" w:cs="Times New Roman"/>
          <w:sz w:val="28"/>
          <w:szCs w:val="28"/>
        </w:rPr>
      </w:pPr>
    </w:p>
    <w:p w:rsidR="00B66185" w:rsidRDefault="00B66185" w:rsidP="00DF073E">
      <w:pPr>
        <w:spacing w:line="360" w:lineRule="auto"/>
        <w:jc w:val="both"/>
        <w:rPr>
          <w:rFonts w:ascii="Times New Roman" w:hAnsi="Times New Roman" w:cs="Times New Roman"/>
          <w:sz w:val="28"/>
          <w:szCs w:val="28"/>
        </w:rPr>
      </w:pPr>
    </w:p>
    <w:p w:rsidR="00B66185" w:rsidRDefault="00B66185" w:rsidP="00DF073E">
      <w:pPr>
        <w:spacing w:line="360" w:lineRule="auto"/>
        <w:jc w:val="both"/>
        <w:rPr>
          <w:rFonts w:ascii="Times New Roman" w:hAnsi="Times New Roman" w:cs="Times New Roman"/>
          <w:sz w:val="28"/>
          <w:szCs w:val="28"/>
        </w:rPr>
      </w:pPr>
    </w:p>
    <w:p w:rsidR="00B66185" w:rsidRDefault="00B66185" w:rsidP="00DF073E">
      <w:pPr>
        <w:spacing w:line="360" w:lineRule="auto"/>
        <w:jc w:val="both"/>
        <w:rPr>
          <w:rFonts w:ascii="Times New Roman" w:hAnsi="Times New Roman" w:cs="Times New Roman"/>
          <w:sz w:val="28"/>
          <w:szCs w:val="28"/>
        </w:rPr>
      </w:pPr>
    </w:p>
    <w:p w:rsidR="00B66185" w:rsidRDefault="00B66185" w:rsidP="00DF073E">
      <w:pPr>
        <w:spacing w:line="360" w:lineRule="auto"/>
        <w:jc w:val="both"/>
        <w:rPr>
          <w:rFonts w:ascii="Times New Roman" w:hAnsi="Times New Roman" w:cs="Times New Roman"/>
          <w:sz w:val="28"/>
          <w:szCs w:val="28"/>
        </w:rPr>
      </w:pPr>
    </w:p>
    <w:p w:rsidR="00B66185" w:rsidRDefault="00B66185" w:rsidP="00DF073E">
      <w:pPr>
        <w:spacing w:line="360" w:lineRule="auto"/>
        <w:jc w:val="both"/>
        <w:rPr>
          <w:rFonts w:ascii="Times New Roman" w:hAnsi="Times New Roman" w:cs="Times New Roman"/>
          <w:sz w:val="28"/>
          <w:szCs w:val="28"/>
        </w:rPr>
      </w:pPr>
    </w:p>
    <w:p w:rsidR="00B66185" w:rsidRDefault="00B66185" w:rsidP="00DF073E">
      <w:pPr>
        <w:spacing w:line="360" w:lineRule="auto"/>
        <w:jc w:val="both"/>
        <w:rPr>
          <w:rFonts w:ascii="Times New Roman" w:hAnsi="Times New Roman" w:cs="Times New Roman"/>
          <w:sz w:val="28"/>
          <w:szCs w:val="28"/>
        </w:rPr>
      </w:pPr>
    </w:p>
    <w:p w:rsidR="00E37F10" w:rsidRDefault="00E37F10" w:rsidP="00DF073E">
      <w:pPr>
        <w:spacing w:line="360" w:lineRule="auto"/>
        <w:jc w:val="both"/>
        <w:rPr>
          <w:rFonts w:ascii="Times New Roman" w:hAnsi="Times New Roman" w:cs="Times New Roman"/>
          <w:sz w:val="28"/>
          <w:szCs w:val="28"/>
        </w:rPr>
      </w:pPr>
    </w:p>
    <w:p w:rsidR="00E37F10" w:rsidRDefault="00E37F10" w:rsidP="00DF073E">
      <w:pPr>
        <w:spacing w:line="360" w:lineRule="auto"/>
        <w:jc w:val="both"/>
        <w:rPr>
          <w:rFonts w:ascii="Times New Roman" w:hAnsi="Times New Roman" w:cs="Times New Roman"/>
          <w:sz w:val="28"/>
          <w:szCs w:val="28"/>
        </w:rPr>
      </w:pPr>
    </w:p>
    <w:p w:rsidR="00E37F10" w:rsidRDefault="00E37F10" w:rsidP="00DF073E">
      <w:pPr>
        <w:spacing w:line="360" w:lineRule="auto"/>
        <w:jc w:val="both"/>
        <w:rPr>
          <w:rFonts w:ascii="Times New Roman" w:hAnsi="Times New Roman" w:cs="Times New Roman"/>
          <w:sz w:val="28"/>
          <w:szCs w:val="28"/>
        </w:rPr>
      </w:pPr>
    </w:p>
    <w:p w:rsidR="00E37F10" w:rsidRDefault="00E37F10" w:rsidP="00DF073E">
      <w:pPr>
        <w:spacing w:line="360" w:lineRule="auto"/>
        <w:jc w:val="both"/>
        <w:rPr>
          <w:rFonts w:ascii="Times New Roman" w:hAnsi="Times New Roman" w:cs="Times New Roman"/>
          <w:sz w:val="28"/>
          <w:szCs w:val="28"/>
        </w:rPr>
      </w:pPr>
    </w:p>
    <w:p w:rsidR="00E37F10" w:rsidRDefault="00E37F10" w:rsidP="00DF073E">
      <w:pPr>
        <w:spacing w:line="360" w:lineRule="auto"/>
        <w:jc w:val="both"/>
        <w:rPr>
          <w:rFonts w:ascii="Times New Roman" w:hAnsi="Times New Roman" w:cs="Times New Roman"/>
          <w:sz w:val="28"/>
          <w:szCs w:val="28"/>
        </w:rPr>
      </w:pPr>
    </w:p>
    <w:p w:rsidR="00E37F10" w:rsidRDefault="00E37F10" w:rsidP="00DF073E">
      <w:pPr>
        <w:spacing w:line="360" w:lineRule="auto"/>
        <w:jc w:val="both"/>
        <w:rPr>
          <w:rFonts w:ascii="Times New Roman" w:hAnsi="Times New Roman" w:cs="Times New Roman"/>
          <w:sz w:val="28"/>
          <w:szCs w:val="28"/>
        </w:rPr>
      </w:pPr>
    </w:p>
    <w:p w:rsidR="00E37F10" w:rsidRDefault="00E37F10" w:rsidP="00DF073E">
      <w:pPr>
        <w:spacing w:line="360" w:lineRule="auto"/>
        <w:jc w:val="both"/>
        <w:rPr>
          <w:rFonts w:ascii="Times New Roman" w:hAnsi="Times New Roman" w:cs="Times New Roman"/>
          <w:sz w:val="28"/>
          <w:szCs w:val="28"/>
        </w:rPr>
      </w:pPr>
    </w:p>
    <w:p w:rsidR="00E37F10" w:rsidRDefault="00E37F10" w:rsidP="00DF073E">
      <w:pPr>
        <w:spacing w:line="360" w:lineRule="auto"/>
        <w:jc w:val="both"/>
        <w:rPr>
          <w:rFonts w:ascii="Times New Roman" w:hAnsi="Times New Roman" w:cs="Times New Roman"/>
          <w:sz w:val="28"/>
          <w:szCs w:val="28"/>
        </w:rPr>
      </w:pPr>
    </w:p>
    <w:p w:rsidR="00B66185" w:rsidRDefault="00B66185" w:rsidP="00DF073E">
      <w:pPr>
        <w:spacing w:line="360" w:lineRule="auto"/>
        <w:jc w:val="both"/>
        <w:rPr>
          <w:rFonts w:ascii="Times New Roman" w:hAnsi="Times New Roman" w:cs="Times New Roman"/>
          <w:sz w:val="28"/>
          <w:szCs w:val="28"/>
        </w:rPr>
      </w:pPr>
    </w:p>
    <w:p w:rsidR="00E44ADE" w:rsidRPr="00A812BA" w:rsidRDefault="00E44ADE" w:rsidP="00A812BA">
      <w:pPr>
        <w:pStyle w:val="1"/>
      </w:pPr>
      <w:bookmarkStart w:id="16" w:name="_Toc482798616"/>
      <w:r w:rsidRPr="00A812BA">
        <w:t>Глава 3. Результаты исследования</w:t>
      </w:r>
      <w:bookmarkEnd w:id="16"/>
    </w:p>
    <w:p w:rsidR="00D277A0" w:rsidRPr="00D277A0" w:rsidRDefault="00A812BA" w:rsidP="00A812BA">
      <w:pPr>
        <w:pStyle w:val="2"/>
      </w:pPr>
      <w:bookmarkStart w:id="17" w:name="_Toc482798617"/>
      <w:r>
        <w:t xml:space="preserve">3.1 </w:t>
      </w:r>
      <w:r w:rsidR="00D277A0" w:rsidRPr="00D277A0">
        <w:t>Определение чувствительности и специфичности традиционного метода интраоперационного определения ПТГ</w:t>
      </w:r>
      <w:bookmarkEnd w:id="17"/>
    </w:p>
    <w:p w:rsidR="00D277A0" w:rsidRPr="00963955" w:rsidRDefault="00D277A0" w:rsidP="00D277A0">
      <w:pPr>
        <w:pStyle w:val="a7"/>
        <w:spacing w:before="240" w:line="360" w:lineRule="auto"/>
        <w:ind w:firstLine="709"/>
        <w:jc w:val="both"/>
        <w:rPr>
          <w:rFonts w:ascii="Times New Roman" w:hAnsi="Times New Roman" w:cs="Times New Roman"/>
          <w:sz w:val="28"/>
          <w:szCs w:val="28"/>
        </w:rPr>
      </w:pPr>
      <w:r w:rsidRPr="00963955">
        <w:rPr>
          <w:rFonts w:ascii="Times New Roman" w:hAnsi="Times New Roman" w:cs="Times New Roman"/>
          <w:sz w:val="28"/>
          <w:szCs w:val="28"/>
          <w:lang w:val="en-US"/>
        </w:rPr>
        <w:t>ROC</w:t>
      </w:r>
      <w:r w:rsidRPr="00963955">
        <w:rPr>
          <w:rFonts w:ascii="Times New Roman" w:hAnsi="Times New Roman" w:cs="Times New Roman"/>
          <w:sz w:val="28"/>
          <w:szCs w:val="28"/>
        </w:rPr>
        <w:t>-анализ по определению чувствительности и специфичности традиционного метода  выявлять риск персистенции ПГПТ показал, что вероятность правильности положительного результата теста (</w:t>
      </w:r>
      <w:r w:rsidR="00E37F10">
        <w:rPr>
          <w:rFonts w:ascii="Times New Roman" w:hAnsi="Times New Roman" w:cs="Times New Roman"/>
          <w:sz w:val="28"/>
          <w:szCs w:val="28"/>
        </w:rPr>
        <w:t>чувствительность</w:t>
      </w:r>
      <w:r w:rsidRPr="00963955">
        <w:rPr>
          <w:rFonts w:ascii="Times New Roman" w:hAnsi="Times New Roman" w:cs="Times New Roman"/>
          <w:sz w:val="28"/>
          <w:szCs w:val="28"/>
        </w:rPr>
        <w:t>) равна 51% при высокой его специфичности 83%, используя точку отсечения ПТГ &gt;67% (</w:t>
      </w:r>
      <w:r w:rsidRPr="00963955">
        <w:rPr>
          <w:rFonts w:ascii="Times New Roman" w:hAnsi="Times New Roman" w:cs="Times New Roman"/>
          <w:sz w:val="28"/>
          <w:szCs w:val="28"/>
          <w:lang w:val="en-US"/>
        </w:rPr>
        <w:t>AUC</w:t>
      </w:r>
      <w:r w:rsidRPr="00963955">
        <w:rPr>
          <w:rFonts w:ascii="Times New Roman" w:hAnsi="Times New Roman" w:cs="Times New Roman"/>
          <w:sz w:val="28"/>
          <w:szCs w:val="28"/>
        </w:rPr>
        <w:t xml:space="preserve"> 0,678, 95% ДИ </w:t>
      </w:r>
      <w:r w:rsidRPr="00963955">
        <w:rPr>
          <w:rStyle w:val="result"/>
          <w:rFonts w:ascii="Times New Roman" w:hAnsi="Times New Roman" w:cs="Times New Roman"/>
          <w:color w:val="auto"/>
          <w:sz w:val="28"/>
          <w:szCs w:val="28"/>
        </w:rPr>
        <w:t>0,630 - 0,724</w:t>
      </w:r>
      <w:r w:rsidRPr="00963955">
        <w:rPr>
          <w:rFonts w:ascii="Times New Roman" w:hAnsi="Times New Roman" w:cs="Times New Roman"/>
          <w:sz w:val="28"/>
          <w:szCs w:val="28"/>
        </w:rPr>
        <w:t>, р&lt;0,001)</w:t>
      </w:r>
      <w:r>
        <w:rPr>
          <w:rFonts w:ascii="Times New Roman" w:hAnsi="Times New Roman" w:cs="Times New Roman"/>
          <w:sz w:val="28"/>
          <w:szCs w:val="28"/>
        </w:rPr>
        <w:t>.</w:t>
      </w:r>
    </w:p>
    <w:p w:rsidR="00D277A0" w:rsidRPr="00963955" w:rsidRDefault="00D277A0" w:rsidP="00D277A0">
      <w:pPr>
        <w:spacing w:line="360" w:lineRule="auto"/>
        <w:jc w:val="center"/>
        <w:rPr>
          <w:rFonts w:ascii="Times New Roman" w:hAnsi="Times New Roman" w:cs="Times New Roman"/>
          <w:sz w:val="28"/>
          <w:szCs w:val="28"/>
        </w:rPr>
      </w:pPr>
      <w:r w:rsidRPr="00963955">
        <w:rPr>
          <w:rFonts w:ascii="Times New Roman" w:hAnsi="Times New Roman" w:cs="Times New Roman"/>
          <w:noProof/>
          <w:sz w:val="28"/>
          <w:szCs w:val="28"/>
          <w:lang w:eastAsia="ru-RU" w:bidi="ar-SA"/>
        </w:rPr>
        <w:drawing>
          <wp:inline distT="0" distB="0" distL="0" distR="0">
            <wp:extent cx="3750479" cy="2772000"/>
            <wp:effectExtent l="19050" t="0" r="2371"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750479" cy="2772000"/>
                    </a:xfrm>
                    <a:prstGeom prst="rect">
                      <a:avLst/>
                    </a:prstGeom>
                    <a:noFill/>
                    <a:ln>
                      <a:noFill/>
                    </a:ln>
                  </pic:spPr>
                </pic:pic>
              </a:graphicData>
            </a:graphic>
          </wp:inline>
        </w:drawing>
      </w:r>
    </w:p>
    <w:p w:rsidR="00D277A0" w:rsidRPr="00E37F10" w:rsidRDefault="00D277A0" w:rsidP="00D277A0">
      <w:pPr>
        <w:spacing w:line="360" w:lineRule="auto"/>
        <w:jc w:val="both"/>
        <w:rPr>
          <w:rFonts w:ascii="Times New Roman" w:eastAsiaTheme="minorHAnsi" w:hAnsi="Times New Roman" w:cs="Times New Roman"/>
          <w:sz w:val="28"/>
          <w:szCs w:val="28"/>
          <w:lang w:eastAsia="en-US"/>
        </w:rPr>
      </w:pPr>
      <w:r w:rsidRPr="00963955">
        <w:rPr>
          <w:rFonts w:ascii="Times New Roman" w:eastAsiaTheme="minorHAnsi" w:hAnsi="Times New Roman" w:cs="Times New Roman"/>
          <w:sz w:val="28"/>
          <w:szCs w:val="28"/>
          <w:lang w:eastAsia="en-US"/>
        </w:rPr>
        <w:t xml:space="preserve">Рис. </w:t>
      </w:r>
      <w:r w:rsidR="00E37F10">
        <w:rPr>
          <w:rFonts w:ascii="Times New Roman" w:eastAsiaTheme="minorHAnsi" w:hAnsi="Times New Roman" w:cs="Times New Roman"/>
          <w:sz w:val="28"/>
          <w:szCs w:val="28"/>
          <w:lang w:eastAsia="en-US"/>
        </w:rPr>
        <w:t>7</w:t>
      </w:r>
      <w:r w:rsidRPr="00963955">
        <w:rPr>
          <w:rFonts w:ascii="Times New Roman" w:eastAsiaTheme="minorHAnsi" w:hAnsi="Times New Roman" w:cs="Times New Roman"/>
          <w:sz w:val="28"/>
          <w:szCs w:val="28"/>
          <w:lang w:eastAsia="en-US"/>
        </w:rPr>
        <w:t xml:space="preserve"> </w:t>
      </w:r>
      <w:r w:rsidRPr="00963955">
        <w:rPr>
          <w:rFonts w:ascii="Times New Roman" w:eastAsiaTheme="minorHAnsi" w:hAnsi="Times New Roman" w:cs="Times New Roman"/>
          <w:sz w:val="28"/>
          <w:szCs w:val="28"/>
          <w:lang w:val="en-US" w:eastAsia="en-US"/>
        </w:rPr>
        <w:t>ROC</w:t>
      </w:r>
      <w:r w:rsidRPr="00963955">
        <w:rPr>
          <w:rFonts w:ascii="Times New Roman" w:eastAsiaTheme="minorHAnsi" w:hAnsi="Times New Roman" w:cs="Times New Roman"/>
          <w:sz w:val="28"/>
          <w:szCs w:val="28"/>
          <w:lang w:eastAsia="en-US"/>
        </w:rPr>
        <w:t xml:space="preserve"> – кривая, отражающая зависимость чувствительности и специфичности традиционного метода от значений ПТГ </w:t>
      </w:r>
      <w:r w:rsidRPr="00963955">
        <w:rPr>
          <w:rFonts w:ascii="Times New Roman" w:hAnsi="Times New Roman" w:cs="Times New Roman"/>
          <w:sz w:val="28"/>
          <w:szCs w:val="28"/>
        </w:rPr>
        <w:t>крови</w:t>
      </w:r>
      <w:r w:rsidRPr="00963955">
        <w:rPr>
          <w:rFonts w:ascii="Times New Roman" w:eastAsiaTheme="minorHAnsi" w:hAnsi="Times New Roman" w:cs="Times New Roman"/>
          <w:sz w:val="28"/>
          <w:szCs w:val="28"/>
          <w:lang w:eastAsia="en-US"/>
        </w:rPr>
        <w:t xml:space="preserve">. </w:t>
      </w:r>
    </w:p>
    <w:p w:rsidR="00D277A0" w:rsidRPr="00D277A0" w:rsidRDefault="00A812BA" w:rsidP="00A812BA">
      <w:pPr>
        <w:pStyle w:val="2"/>
      </w:pPr>
      <w:bookmarkStart w:id="18" w:name="_Toc482798618"/>
      <w:r>
        <w:t xml:space="preserve">3.2 </w:t>
      </w:r>
      <w:r w:rsidR="00D277A0" w:rsidRPr="00D277A0">
        <w:t>Определение чувствительности и специфичности модифицированного метода интраоперационного определения ПТГ</w:t>
      </w:r>
      <w:bookmarkEnd w:id="18"/>
    </w:p>
    <w:p w:rsidR="00D277A0" w:rsidRPr="00963955" w:rsidRDefault="003D7AF5" w:rsidP="00D277A0">
      <w:pPr>
        <w:pStyle w:val="a7"/>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Pr>
          <w:rFonts w:ascii="Times New Roman" w:hAnsi="Times New Roman" w:cs="Times New Roman"/>
          <w:sz w:val="28"/>
          <w:szCs w:val="28"/>
          <w:lang w:val="en-US"/>
        </w:rPr>
        <w:t>ROC</w:t>
      </w:r>
      <w:r>
        <w:rPr>
          <w:rFonts w:ascii="Times New Roman" w:hAnsi="Times New Roman" w:cs="Times New Roman"/>
          <w:sz w:val="28"/>
          <w:szCs w:val="28"/>
        </w:rPr>
        <w:t xml:space="preserve">-анализе прогностической значимости уровня интраоперационного ПТГ, полученного </w:t>
      </w:r>
      <w:r w:rsidR="00D277A0" w:rsidRPr="00963955">
        <w:rPr>
          <w:rFonts w:ascii="Times New Roman" w:hAnsi="Times New Roman" w:cs="Times New Roman"/>
          <w:sz w:val="28"/>
          <w:szCs w:val="28"/>
        </w:rPr>
        <w:t>модифицированн</w:t>
      </w:r>
      <w:r>
        <w:rPr>
          <w:rFonts w:ascii="Times New Roman" w:hAnsi="Times New Roman" w:cs="Times New Roman"/>
          <w:sz w:val="28"/>
          <w:szCs w:val="28"/>
        </w:rPr>
        <w:t>ым</w:t>
      </w:r>
      <w:r w:rsidR="00D277A0" w:rsidRPr="00963955">
        <w:rPr>
          <w:rFonts w:ascii="Times New Roman" w:hAnsi="Times New Roman" w:cs="Times New Roman"/>
          <w:sz w:val="28"/>
          <w:szCs w:val="28"/>
        </w:rPr>
        <w:t xml:space="preserve"> метод</w:t>
      </w:r>
      <w:r>
        <w:rPr>
          <w:rFonts w:ascii="Times New Roman" w:hAnsi="Times New Roman" w:cs="Times New Roman"/>
          <w:sz w:val="28"/>
          <w:szCs w:val="28"/>
        </w:rPr>
        <w:t>ом, при пороговом значении</w:t>
      </w:r>
      <w:r w:rsidR="00D277A0" w:rsidRPr="00963955">
        <w:rPr>
          <w:rFonts w:ascii="Times New Roman" w:hAnsi="Times New Roman" w:cs="Times New Roman"/>
          <w:sz w:val="28"/>
          <w:szCs w:val="28"/>
        </w:rPr>
        <w:t xml:space="preserve">  </w:t>
      </w:r>
      <w:r w:rsidRPr="00963955">
        <w:rPr>
          <w:rFonts w:ascii="Times New Roman" w:hAnsi="Times New Roman" w:cs="Times New Roman"/>
          <w:sz w:val="28"/>
          <w:szCs w:val="28"/>
          <w:lang w:val="en-US"/>
        </w:rPr>
        <w:t>RLU</w:t>
      </w:r>
      <w:r w:rsidRPr="00963955">
        <w:rPr>
          <w:rFonts w:ascii="Times New Roman" w:hAnsi="Times New Roman" w:cs="Times New Roman"/>
          <w:sz w:val="28"/>
          <w:szCs w:val="28"/>
        </w:rPr>
        <w:t xml:space="preserve"> &gt;6</w:t>
      </w:r>
      <w:r>
        <w:rPr>
          <w:rFonts w:ascii="Times New Roman" w:hAnsi="Times New Roman" w:cs="Times New Roman"/>
          <w:sz w:val="28"/>
          <w:szCs w:val="28"/>
        </w:rPr>
        <w:t>6</w:t>
      </w:r>
      <w:r w:rsidRPr="00963955">
        <w:rPr>
          <w:rFonts w:ascii="Times New Roman" w:hAnsi="Times New Roman" w:cs="Times New Roman"/>
          <w:sz w:val="28"/>
          <w:szCs w:val="28"/>
        </w:rPr>
        <w:t>%</w:t>
      </w:r>
      <w:r>
        <w:rPr>
          <w:rFonts w:ascii="Times New Roman" w:hAnsi="Times New Roman" w:cs="Times New Roman"/>
          <w:sz w:val="28"/>
          <w:szCs w:val="28"/>
        </w:rPr>
        <w:t xml:space="preserve"> чувствительность метода составила</w:t>
      </w:r>
      <w:r w:rsidRPr="00963955">
        <w:rPr>
          <w:rFonts w:ascii="Times New Roman" w:hAnsi="Times New Roman" w:cs="Times New Roman"/>
          <w:sz w:val="28"/>
          <w:szCs w:val="28"/>
        </w:rPr>
        <w:t xml:space="preserve"> </w:t>
      </w:r>
      <w:r w:rsidR="00D277A0">
        <w:rPr>
          <w:rFonts w:ascii="Times New Roman" w:hAnsi="Times New Roman" w:cs="Times New Roman"/>
          <w:sz w:val="28"/>
          <w:szCs w:val="28"/>
        </w:rPr>
        <w:t>53</w:t>
      </w:r>
      <w:r w:rsidR="00D277A0" w:rsidRPr="00963955">
        <w:rPr>
          <w:rFonts w:ascii="Times New Roman" w:hAnsi="Times New Roman" w:cs="Times New Roman"/>
          <w:sz w:val="28"/>
          <w:szCs w:val="28"/>
        </w:rPr>
        <w:t>%</w:t>
      </w:r>
      <w:r>
        <w:rPr>
          <w:rFonts w:ascii="Times New Roman" w:hAnsi="Times New Roman" w:cs="Times New Roman"/>
          <w:sz w:val="28"/>
          <w:szCs w:val="28"/>
        </w:rPr>
        <w:t>,</w:t>
      </w:r>
      <w:r w:rsidR="00D277A0" w:rsidRPr="00963955">
        <w:rPr>
          <w:rFonts w:ascii="Times New Roman" w:hAnsi="Times New Roman" w:cs="Times New Roman"/>
          <w:sz w:val="28"/>
          <w:szCs w:val="28"/>
        </w:rPr>
        <w:t xml:space="preserve"> специфичности </w:t>
      </w:r>
      <w:r>
        <w:rPr>
          <w:rFonts w:ascii="Times New Roman" w:hAnsi="Times New Roman" w:cs="Times New Roman"/>
          <w:sz w:val="28"/>
          <w:szCs w:val="28"/>
        </w:rPr>
        <w:t xml:space="preserve"> - </w:t>
      </w:r>
      <w:r w:rsidR="00D277A0">
        <w:rPr>
          <w:rFonts w:ascii="Times New Roman" w:hAnsi="Times New Roman" w:cs="Times New Roman"/>
          <w:sz w:val="28"/>
          <w:szCs w:val="28"/>
        </w:rPr>
        <w:t>75</w:t>
      </w:r>
      <w:r w:rsidR="00D277A0" w:rsidRPr="00963955">
        <w:rPr>
          <w:rFonts w:ascii="Times New Roman" w:hAnsi="Times New Roman" w:cs="Times New Roman"/>
          <w:sz w:val="28"/>
          <w:szCs w:val="28"/>
        </w:rPr>
        <w:t>% (</w:t>
      </w:r>
      <w:r w:rsidR="00D277A0" w:rsidRPr="00963955">
        <w:rPr>
          <w:rFonts w:ascii="Times New Roman" w:hAnsi="Times New Roman" w:cs="Times New Roman"/>
          <w:sz w:val="28"/>
          <w:szCs w:val="28"/>
          <w:lang w:val="en-US"/>
        </w:rPr>
        <w:t>AUC</w:t>
      </w:r>
      <w:r w:rsidR="00D277A0" w:rsidRPr="00963955">
        <w:rPr>
          <w:rFonts w:ascii="Times New Roman" w:hAnsi="Times New Roman" w:cs="Times New Roman"/>
          <w:sz w:val="28"/>
          <w:szCs w:val="28"/>
        </w:rPr>
        <w:t xml:space="preserve"> 0,6</w:t>
      </w:r>
      <w:r w:rsidR="00D277A0">
        <w:rPr>
          <w:rFonts w:ascii="Times New Roman" w:hAnsi="Times New Roman" w:cs="Times New Roman"/>
          <w:sz w:val="28"/>
          <w:szCs w:val="28"/>
        </w:rPr>
        <w:t>60</w:t>
      </w:r>
      <w:r w:rsidR="00D277A0" w:rsidRPr="00963955">
        <w:rPr>
          <w:rFonts w:ascii="Times New Roman" w:hAnsi="Times New Roman" w:cs="Times New Roman"/>
          <w:sz w:val="28"/>
          <w:szCs w:val="28"/>
        </w:rPr>
        <w:t xml:space="preserve">, 95% ДИ </w:t>
      </w:r>
      <w:r w:rsidR="00D277A0" w:rsidRPr="00963955">
        <w:rPr>
          <w:rStyle w:val="result"/>
          <w:rFonts w:ascii="Times New Roman" w:hAnsi="Times New Roman" w:cs="Times New Roman"/>
          <w:color w:val="auto"/>
          <w:sz w:val="28"/>
          <w:szCs w:val="28"/>
        </w:rPr>
        <w:t>0,6</w:t>
      </w:r>
      <w:r w:rsidR="00D277A0">
        <w:rPr>
          <w:rStyle w:val="result"/>
          <w:rFonts w:ascii="Times New Roman" w:hAnsi="Times New Roman" w:cs="Times New Roman"/>
          <w:color w:val="auto"/>
          <w:sz w:val="28"/>
          <w:szCs w:val="28"/>
        </w:rPr>
        <w:t>1</w:t>
      </w:r>
      <w:r w:rsidR="00D277A0" w:rsidRPr="00963955">
        <w:rPr>
          <w:rStyle w:val="result"/>
          <w:rFonts w:ascii="Times New Roman" w:hAnsi="Times New Roman" w:cs="Times New Roman"/>
          <w:color w:val="auto"/>
          <w:sz w:val="28"/>
          <w:szCs w:val="28"/>
        </w:rPr>
        <w:t>2 - 0,</w:t>
      </w:r>
      <w:r w:rsidR="00D277A0">
        <w:rPr>
          <w:rStyle w:val="result"/>
          <w:rFonts w:ascii="Times New Roman" w:hAnsi="Times New Roman" w:cs="Times New Roman"/>
          <w:color w:val="auto"/>
          <w:sz w:val="28"/>
          <w:szCs w:val="28"/>
        </w:rPr>
        <w:t>706</w:t>
      </w:r>
      <w:r w:rsidR="00D277A0" w:rsidRPr="00963955">
        <w:rPr>
          <w:rFonts w:ascii="Times New Roman" w:hAnsi="Times New Roman" w:cs="Times New Roman"/>
          <w:sz w:val="28"/>
          <w:szCs w:val="28"/>
        </w:rPr>
        <w:t xml:space="preserve">, </w:t>
      </w:r>
      <w:proofErr w:type="gramStart"/>
      <w:r w:rsidR="00D277A0" w:rsidRPr="00963955">
        <w:rPr>
          <w:rFonts w:ascii="Times New Roman" w:hAnsi="Times New Roman" w:cs="Times New Roman"/>
          <w:sz w:val="28"/>
          <w:szCs w:val="28"/>
        </w:rPr>
        <w:t>р</w:t>
      </w:r>
      <w:proofErr w:type="gramEnd"/>
      <w:r w:rsidR="00D277A0" w:rsidRPr="00963955">
        <w:rPr>
          <w:rFonts w:ascii="Times New Roman" w:hAnsi="Times New Roman" w:cs="Times New Roman"/>
          <w:sz w:val="28"/>
          <w:szCs w:val="28"/>
        </w:rPr>
        <w:t xml:space="preserve">&lt;0,001). </w:t>
      </w:r>
    </w:p>
    <w:p w:rsidR="00D277A0" w:rsidRPr="00B9760A" w:rsidRDefault="00D277A0" w:rsidP="00D277A0">
      <w:pPr>
        <w:pStyle w:val="a7"/>
        <w:jc w:val="center"/>
        <w:rPr>
          <w:rFonts w:ascii="Times New Roman" w:hAnsi="Times New Roman" w:cs="Times New Roman"/>
          <w:sz w:val="24"/>
          <w:szCs w:val="24"/>
        </w:rPr>
      </w:pPr>
      <w:r w:rsidRPr="00963955">
        <w:rPr>
          <w:rFonts w:ascii="Times New Roman" w:hAnsi="Times New Roman" w:cs="Times New Roman"/>
          <w:noProof/>
          <w:sz w:val="24"/>
          <w:szCs w:val="24"/>
        </w:rPr>
        <w:drawing>
          <wp:inline distT="0" distB="0" distL="0" distR="0">
            <wp:extent cx="3684522" cy="2772000"/>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84522" cy="2772000"/>
                    </a:xfrm>
                    <a:prstGeom prst="rect">
                      <a:avLst/>
                    </a:prstGeom>
                    <a:noFill/>
                    <a:ln>
                      <a:noFill/>
                    </a:ln>
                  </pic:spPr>
                </pic:pic>
              </a:graphicData>
            </a:graphic>
          </wp:inline>
        </w:drawing>
      </w:r>
    </w:p>
    <w:p w:rsidR="00D277A0" w:rsidRPr="00255458" w:rsidRDefault="00D277A0" w:rsidP="00D277A0">
      <w:pPr>
        <w:pStyle w:val="a7"/>
        <w:jc w:val="both"/>
        <w:rPr>
          <w:rFonts w:ascii="Times New Roman" w:hAnsi="Times New Roman" w:cs="Times New Roman"/>
          <w:sz w:val="24"/>
          <w:szCs w:val="24"/>
        </w:rPr>
      </w:pPr>
    </w:p>
    <w:p w:rsidR="00D277A0" w:rsidRPr="00FA66B7" w:rsidRDefault="00D277A0" w:rsidP="00D277A0">
      <w:pPr>
        <w:spacing w:line="360" w:lineRule="auto"/>
        <w:jc w:val="both"/>
        <w:rPr>
          <w:rFonts w:ascii="Times New Roman" w:eastAsiaTheme="minorHAnsi" w:hAnsi="Times New Roman" w:cs="Times New Roman"/>
          <w:sz w:val="28"/>
          <w:lang w:eastAsia="en-US"/>
        </w:rPr>
      </w:pPr>
      <w:r w:rsidRPr="00AA469B">
        <w:rPr>
          <w:rFonts w:ascii="Times New Roman" w:eastAsiaTheme="minorHAnsi" w:hAnsi="Times New Roman" w:cs="Times New Roman"/>
          <w:sz w:val="28"/>
          <w:lang w:eastAsia="en-US"/>
        </w:rPr>
        <w:t xml:space="preserve">Рис. </w:t>
      </w:r>
      <w:r w:rsidR="00E37F10">
        <w:rPr>
          <w:rFonts w:ascii="Times New Roman" w:eastAsiaTheme="minorHAnsi" w:hAnsi="Times New Roman" w:cs="Times New Roman"/>
          <w:sz w:val="28"/>
          <w:lang w:eastAsia="en-US"/>
        </w:rPr>
        <w:t>8</w:t>
      </w:r>
      <w:r w:rsidRPr="00AA469B">
        <w:rPr>
          <w:rFonts w:ascii="Times New Roman" w:eastAsiaTheme="minorHAnsi" w:hAnsi="Times New Roman" w:cs="Times New Roman"/>
          <w:sz w:val="28"/>
          <w:lang w:eastAsia="en-US"/>
        </w:rPr>
        <w:t xml:space="preserve"> </w:t>
      </w:r>
      <w:r w:rsidRPr="00AA469B">
        <w:rPr>
          <w:rFonts w:ascii="Times New Roman" w:eastAsiaTheme="minorHAnsi" w:hAnsi="Times New Roman" w:cs="Times New Roman"/>
          <w:sz w:val="28"/>
          <w:lang w:val="en-US" w:eastAsia="en-US"/>
        </w:rPr>
        <w:t>ROC</w:t>
      </w:r>
      <w:r w:rsidRPr="00AA469B">
        <w:rPr>
          <w:rFonts w:ascii="Times New Roman" w:eastAsiaTheme="minorHAnsi" w:hAnsi="Times New Roman" w:cs="Times New Roman"/>
          <w:sz w:val="28"/>
          <w:lang w:eastAsia="en-US"/>
        </w:rPr>
        <w:t xml:space="preserve"> – кривая, отражающая зависимость чувствительности и специфичности модифицированного метода от значений ПТГ </w:t>
      </w:r>
      <w:r w:rsidRPr="00AA469B">
        <w:rPr>
          <w:rFonts w:ascii="Times New Roman" w:hAnsi="Times New Roman" w:cs="Times New Roman"/>
          <w:sz w:val="28"/>
        </w:rPr>
        <w:t>крови</w:t>
      </w:r>
      <w:r w:rsidRPr="00AA469B">
        <w:rPr>
          <w:rFonts w:ascii="Times New Roman" w:eastAsiaTheme="minorHAnsi" w:hAnsi="Times New Roman" w:cs="Times New Roman"/>
          <w:sz w:val="28"/>
          <w:lang w:eastAsia="en-US"/>
        </w:rPr>
        <w:t xml:space="preserve">. </w:t>
      </w:r>
    </w:p>
    <w:p w:rsidR="00D277A0" w:rsidRPr="00AA469B" w:rsidRDefault="00A812BA" w:rsidP="00A812BA">
      <w:pPr>
        <w:pStyle w:val="2"/>
      </w:pPr>
      <w:bookmarkStart w:id="19" w:name="_Toc482798619"/>
      <w:r>
        <w:t xml:space="preserve">3.3 </w:t>
      </w:r>
      <w:r w:rsidR="00D277A0" w:rsidRPr="00AA469B">
        <w:t xml:space="preserve">Сравнительный анализ </w:t>
      </w:r>
      <w:r w:rsidR="00D277A0" w:rsidRPr="00AA469B">
        <w:rPr>
          <w:lang w:val="en-US"/>
        </w:rPr>
        <w:t>ROC</w:t>
      </w:r>
      <w:r w:rsidR="00D277A0" w:rsidRPr="00AA469B">
        <w:t xml:space="preserve"> кривых</w:t>
      </w:r>
      <w:bookmarkEnd w:id="19"/>
      <w:r w:rsidR="00D277A0" w:rsidRPr="00AA469B">
        <w:t xml:space="preserve"> </w:t>
      </w:r>
    </w:p>
    <w:p w:rsidR="00D277A0" w:rsidRPr="001F0706" w:rsidRDefault="00E37F10" w:rsidP="00E37F10">
      <w:pPr>
        <w:spacing w:after="240" w:line="360" w:lineRule="auto"/>
        <w:ind w:firstLine="709"/>
        <w:jc w:val="both"/>
        <w:rPr>
          <w:rFonts w:ascii="Times New Roman" w:hAnsi="Times New Roman" w:cs="Times New Roman"/>
          <w:sz w:val="28"/>
        </w:rPr>
      </w:pPr>
      <w:r>
        <w:rPr>
          <w:rFonts w:ascii="Times New Roman" w:hAnsi="Times New Roman" w:cs="Times New Roman"/>
          <w:sz w:val="28"/>
        </w:rPr>
        <w:t>С</w:t>
      </w:r>
      <w:r w:rsidR="00D277A0" w:rsidRPr="00AA469B">
        <w:rPr>
          <w:rFonts w:ascii="Times New Roman" w:hAnsi="Times New Roman" w:cs="Times New Roman"/>
          <w:sz w:val="28"/>
        </w:rPr>
        <w:t xml:space="preserve">равнительный анализ </w:t>
      </w:r>
      <w:r w:rsidR="00D277A0" w:rsidRPr="00AA469B">
        <w:rPr>
          <w:rFonts w:ascii="Times New Roman" w:hAnsi="Times New Roman" w:cs="Times New Roman"/>
          <w:sz w:val="28"/>
          <w:lang w:val="en-US"/>
        </w:rPr>
        <w:t>ROC</w:t>
      </w:r>
      <w:r w:rsidR="00D277A0" w:rsidRPr="00AA469B">
        <w:rPr>
          <w:rFonts w:ascii="Times New Roman" w:hAnsi="Times New Roman" w:cs="Times New Roman"/>
          <w:sz w:val="28"/>
        </w:rPr>
        <w:t xml:space="preserve">-кривых, построенных по данным </w:t>
      </w:r>
      <w:r w:rsidR="003D7AF5">
        <w:rPr>
          <w:rFonts w:ascii="Times New Roman" w:hAnsi="Times New Roman" w:cs="Times New Roman"/>
          <w:sz w:val="28"/>
        </w:rPr>
        <w:t>и</w:t>
      </w:r>
      <w:r w:rsidR="00D277A0" w:rsidRPr="00AA469B">
        <w:rPr>
          <w:rFonts w:ascii="Times New Roman" w:hAnsi="Times New Roman" w:cs="Times New Roman"/>
          <w:sz w:val="28"/>
        </w:rPr>
        <w:t>ПТГ традиционного и моди</w:t>
      </w:r>
      <w:r>
        <w:rPr>
          <w:rFonts w:ascii="Times New Roman" w:hAnsi="Times New Roman" w:cs="Times New Roman"/>
          <w:sz w:val="28"/>
        </w:rPr>
        <w:t xml:space="preserve">фицированного методов, показал отсутствие значимых различий по чувствительности и специфичности между исследуемыми методами. Таким образом, </w:t>
      </w:r>
      <w:r w:rsidR="00D277A0" w:rsidRPr="00AA469B">
        <w:rPr>
          <w:rFonts w:ascii="Times New Roman" w:hAnsi="Times New Roman" w:cs="Times New Roman"/>
          <w:sz w:val="28"/>
        </w:rPr>
        <w:t>по эффективности методы</w:t>
      </w:r>
      <w:r w:rsidR="002B29D5">
        <w:rPr>
          <w:rFonts w:ascii="Times New Roman" w:hAnsi="Times New Roman" w:cs="Times New Roman"/>
          <w:sz w:val="28"/>
        </w:rPr>
        <w:t>,</w:t>
      </w:r>
      <w:r>
        <w:rPr>
          <w:rFonts w:ascii="Times New Roman" w:hAnsi="Times New Roman" w:cs="Times New Roman"/>
          <w:sz w:val="28"/>
        </w:rPr>
        <w:t xml:space="preserve"> определ</w:t>
      </w:r>
      <w:r w:rsidR="002B29D5">
        <w:rPr>
          <w:rFonts w:ascii="Times New Roman" w:hAnsi="Times New Roman" w:cs="Times New Roman"/>
          <w:sz w:val="28"/>
        </w:rPr>
        <w:t>яющие</w:t>
      </w:r>
      <w:r>
        <w:rPr>
          <w:rFonts w:ascii="Times New Roman" w:hAnsi="Times New Roman" w:cs="Times New Roman"/>
          <w:sz w:val="28"/>
        </w:rPr>
        <w:t xml:space="preserve"> иПТГ</w:t>
      </w:r>
      <w:r w:rsidR="002B29D5">
        <w:rPr>
          <w:rFonts w:ascii="Times New Roman" w:hAnsi="Times New Roman" w:cs="Times New Roman"/>
          <w:sz w:val="28"/>
        </w:rPr>
        <w:t>,</w:t>
      </w:r>
      <w:r w:rsidR="00D277A0" w:rsidRPr="00AA469B">
        <w:rPr>
          <w:rFonts w:ascii="Times New Roman" w:hAnsi="Times New Roman" w:cs="Times New Roman"/>
          <w:sz w:val="28"/>
        </w:rPr>
        <w:t xml:space="preserve"> друг другу не уступают (разница между </w:t>
      </w:r>
      <w:r w:rsidR="00D277A0" w:rsidRPr="00AA469B">
        <w:rPr>
          <w:rFonts w:ascii="Times New Roman" w:hAnsi="Times New Roman" w:cs="Times New Roman"/>
          <w:sz w:val="28"/>
          <w:lang w:val="en-US"/>
        </w:rPr>
        <w:t>AUC</w:t>
      </w:r>
      <w:r w:rsidR="00D277A0" w:rsidRPr="00AA469B">
        <w:rPr>
          <w:rFonts w:ascii="Times New Roman" w:hAnsi="Times New Roman" w:cs="Times New Roman"/>
          <w:sz w:val="28"/>
        </w:rPr>
        <w:t xml:space="preserve"> 0,0114, </w:t>
      </w:r>
      <w:r w:rsidR="00D277A0" w:rsidRPr="00AA469B">
        <w:rPr>
          <w:rFonts w:ascii="Times New Roman" w:hAnsi="Times New Roman" w:cs="Times New Roman"/>
          <w:sz w:val="28"/>
          <w:lang w:val="en-US"/>
        </w:rPr>
        <w:t>p</w:t>
      </w:r>
      <w:r w:rsidR="00D277A0" w:rsidRPr="00AA469B">
        <w:rPr>
          <w:rFonts w:ascii="Times New Roman" w:hAnsi="Times New Roman" w:cs="Times New Roman"/>
          <w:sz w:val="28"/>
        </w:rPr>
        <w:t xml:space="preserve"> = 0,504).</w:t>
      </w:r>
    </w:p>
    <w:p w:rsidR="00D277A0" w:rsidRDefault="00D277A0" w:rsidP="00D277A0">
      <w:pPr>
        <w:pStyle w:val="a7"/>
        <w:jc w:val="center"/>
        <w:rPr>
          <w:rFonts w:ascii="Times New Roman" w:hAnsi="Times New Roman" w:cs="Times New Roman"/>
          <w:sz w:val="24"/>
          <w:szCs w:val="24"/>
        </w:rPr>
      </w:pPr>
      <w:r w:rsidRPr="00AA469B">
        <w:rPr>
          <w:rFonts w:ascii="Times New Roman" w:hAnsi="Times New Roman" w:cs="Times New Roman"/>
          <w:noProof/>
          <w:sz w:val="24"/>
          <w:szCs w:val="24"/>
        </w:rPr>
        <w:drawing>
          <wp:inline distT="0" distB="0" distL="0" distR="0">
            <wp:extent cx="3694210" cy="2770659"/>
            <wp:effectExtent l="19050" t="0" r="149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704023" cy="2778019"/>
                    </a:xfrm>
                    <a:prstGeom prst="rect">
                      <a:avLst/>
                    </a:prstGeom>
                    <a:noFill/>
                    <a:ln>
                      <a:noFill/>
                    </a:ln>
                  </pic:spPr>
                </pic:pic>
              </a:graphicData>
            </a:graphic>
          </wp:inline>
        </w:drawing>
      </w:r>
    </w:p>
    <w:p w:rsidR="00D277A0" w:rsidRPr="00523957" w:rsidRDefault="00D277A0" w:rsidP="00D277A0">
      <w:pPr>
        <w:pStyle w:val="a7"/>
        <w:spacing w:line="360" w:lineRule="auto"/>
        <w:jc w:val="both"/>
        <w:rPr>
          <w:rFonts w:ascii="Times New Roman" w:hAnsi="Times New Roman" w:cs="Times New Roman"/>
          <w:sz w:val="28"/>
          <w:szCs w:val="24"/>
        </w:rPr>
      </w:pPr>
      <w:r w:rsidRPr="00523957">
        <w:rPr>
          <w:rFonts w:ascii="Times New Roman" w:hAnsi="Times New Roman" w:cs="Times New Roman"/>
          <w:sz w:val="28"/>
          <w:szCs w:val="24"/>
        </w:rPr>
        <w:t xml:space="preserve">Рис. </w:t>
      </w:r>
      <w:r w:rsidR="00E37F10">
        <w:rPr>
          <w:rFonts w:ascii="Times New Roman" w:hAnsi="Times New Roman" w:cs="Times New Roman"/>
          <w:sz w:val="28"/>
          <w:szCs w:val="24"/>
        </w:rPr>
        <w:t>9</w:t>
      </w:r>
      <w:r w:rsidRPr="00523957">
        <w:rPr>
          <w:rFonts w:ascii="Times New Roman" w:hAnsi="Times New Roman" w:cs="Times New Roman"/>
          <w:sz w:val="28"/>
          <w:szCs w:val="24"/>
        </w:rPr>
        <w:t xml:space="preserve"> Сравнение </w:t>
      </w:r>
      <w:r w:rsidRPr="00523957">
        <w:rPr>
          <w:rFonts w:ascii="Times New Roman" w:hAnsi="Times New Roman" w:cs="Times New Roman"/>
          <w:sz w:val="28"/>
          <w:szCs w:val="24"/>
          <w:lang w:val="en-US"/>
        </w:rPr>
        <w:t>ROC</w:t>
      </w:r>
      <w:r w:rsidRPr="00523957">
        <w:rPr>
          <w:rFonts w:ascii="Times New Roman" w:hAnsi="Times New Roman" w:cs="Times New Roman"/>
          <w:sz w:val="28"/>
          <w:szCs w:val="24"/>
        </w:rPr>
        <w:t xml:space="preserve">-кривых, построенных по ПТГ и </w:t>
      </w:r>
      <w:r w:rsidRPr="00523957">
        <w:rPr>
          <w:rFonts w:ascii="Times New Roman" w:hAnsi="Times New Roman" w:cs="Times New Roman"/>
          <w:sz w:val="28"/>
          <w:szCs w:val="24"/>
          <w:lang w:val="en-US"/>
        </w:rPr>
        <w:t>RLU</w:t>
      </w:r>
      <w:r w:rsidRPr="00523957">
        <w:rPr>
          <w:rFonts w:ascii="Times New Roman" w:hAnsi="Times New Roman" w:cs="Times New Roman"/>
          <w:sz w:val="28"/>
          <w:szCs w:val="24"/>
        </w:rPr>
        <w:t>.</w:t>
      </w:r>
    </w:p>
    <w:p w:rsidR="00E44ADE" w:rsidRPr="00CB38DD" w:rsidRDefault="00D277A0" w:rsidP="00A812BA">
      <w:pPr>
        <w:pStyle w:val="2"/>
      </w:pPr>
      <w:bookmarkStart w:id="20" w:name="_Toc482798620"/>
      <w:r>
        <w:t>3.4</w:t>
      </w:r>
      <w:r w:rsidR="00E44ADE" w:rsidRPr="00CB38DD">
        <w:t xml:space="preserve"> Распределение пациентов </w:t>
      </w:r>
      <w:r w:rsidR="00A06EEC">
        <w:t>по исходным данным</w:t>
      </w:r>
      <w:r w:rsidR="00E44ADE" w:rsidRPr="00CB38DD">
        <w:t xml:space="preserve"> и прогнозу</w:t>
      </w:r>
      <w:bookmarkEnd w:id="20"/>
    </w:p>
    <w:p w:rsidR="00E44ADE" w:rsidRPr="00BB7538" w:rsidRDefault="00E44ADE" w:rsidP="00B66185">
      <w:pPr>
        <w:spacing w:before="240" w:line="360" w:lineRule="auto"/>
        <w:ind w:firstLine="709"/>
        <w:jc w:val="both"/>
        <w:rPr>
          <w:rFonts w:ascii="Times New Roman" w:hAnsi="Times New Roman" w:cs="Times New Roman"/>
          <w:sz w:val="28"/>
          <w:szCs w:val="28"/>
        </w:rPr>
      </w:pPr>
      <w:r w:rsidRPr="00E7138F">
        <w:rPr>
          <w:rFonts w:ascii="Times New Roman" w:hAnsi="Times New Roman" w:cs="Times New Roman"/>
          <w:color w:val="000000" w:themeColor="text1"/>
          <w:sz w:val="28"/>
          <w:szCs w:val="28"/>
        </w:rPr>
        <w:t>В исследование были включены 27 мужчин (ср</w:t>
      </w:r>
      <w:r w:rsidR="002A74A0">
        <w:rPr>
          <w:rFonts w:ascii="Times New Roman" w:hAnsi="Times New Roman" w:cs="Times New Roman"/>
          <w:color w:val="000000" w:themeColor="text1"/>
          <w:sz w:val="28"/>
          <w:szCs w:val="28"/>
        </w:rPr>
        <w:t xml:space="preserve">едний </w:t>
      </w:r>
      <w:r w:rsidRPr="00E7138F">
        <w:rPr>
          <w:rFonts w:ascii="Times New Roman" w:hAnsi="Times New Roman" w:cs="Times New Roman"/>
          <w:color w:val="000000" w:themeColor="text1"/>
          <w:sz w:val="28"/>
          <w:szCs w:val="28"/>
        </w:rPr>
        <w:t>возраст 53±14 лет) и 376 женщин (ср</w:t>
      </w:r>
      <w:r w:rsidR="002A74A0">
        <w:rPr>
          <w:rFonts w:ascii="Times New Roman" w:hAnsi="Times New Roman" w:cs="Times New Roman"/>
          <w:color w:val="000000" w:themeColor="text1"/>
          <w:sz w:val="28"/>
          <w:szCs w:val="28"/>
        </w:rPr>
        <w:t xml:space="preserve">едний </w:t>
      </w:r>
      <w:r w:rsidRPr="00E7138F">
        <w:rPr>
          <w:rFonts w:ascii="Times New Roman" w:hAnsi="Times New Roman" w:cs="Times New Roman"/>
          <w:color w:val="000000" w:themeColor="text1"/>
          <w:sz w:val="28"/>
          <w:szCs w:val="28"/>
        </w:rPr>
        <w:t>возраст 60±10 лет). В группе неблагоприятного прогноза – 2 мужчин, 37 женщин, в группе благоприятного прогноза – 25 мужчин, 339 женщин.</w:t>
      </w:r>
    </w:p>
    <w:p w:rsidR="00E44ADE" w:rsidRPr="00BB7538" w:rsidRDefault="00E44ADE" w:rsidP="00B66185">
      <w:pPr>
        <w:spacing w:before="240" w:after="240"/>
        <w:rPr>
          <w:rFonts w:ascii="Times New Roman" w:hAnsi="Times New Roman" w:cs="Times New Roman"/>
          <w:b/>
          <w:sz w:val="28"/>
        </w:rPr>
      </w:pPr>
      <w:r w:rsidRPr="00BB7538">
        <w:rPr>
          <w:rFonts w:ascii="Times New Roman" w:hAnsi="Times New Roman" w:cs="Times New Roman"/>
          <w:b/>
          <w:sz w:val="28"/>
        </w:rPr>
        <w:t>Рис.</w:t>
      </w:r>
      <w:r w:rsidR="002B29D5">
        <w:rPr>
          <w:rFonts w:ascii="Times New Roman" w:hAnsi="Times New Roman" w:cs="Times New Roman"/>
          <w:b/>
          <w:sz w:val="28"/>
        </w:rPr>
        <w:t>10</w:t>
      </w:r>
      <w:r w:rsidRPr="00BB7538">
        <w:rPr>
          <w:rFonts w:ascii="Times New Roman" w:hAnsi="Times New Roman" w:cs="Times New Roman"/>
          <w:b/>
          <w:sz w:val="28"/>
        </w:rPr>
        <w:t xml:space="preserve"> Распределение пациентов по прогнозу и возрасту в зависимости от пола</w:t>
      </w:r>
    </w:p>
    <w:p w:rsidR="00E44ADE" w:rsidRPr="00E23981" w:rsidRDefault="00E44ADE" w:rsidP="00DF073E">
      <w:pPr>
        <w:spacing w:after="240"/>
      </w:pPr>
      <w:r>
        <w:object w:dxaOrig="444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1.65pt;height:165.9pt" o:ole="">
            <v:imagedata r:id="rId22" o:title=""/>
          </v:shape>
          <o:OLEObject Type="Embed" ProgID="STATISTICA.Graph" ShapeID="_x0000_i1029" DrawAspect="Content" ObjectID="_1556546851" r:id="rId23">
            <o:FieldCodes>\s</o:FieldCodes>
          </o:OLEObject>
        </w:object>
      </w:r>
      <w:r>
        <w:object w:dxaOrig="4433" w:dyaOrig="3325">
          <v:shape id="_x0000_i1030" type="#_x0000_t75" style="width:221.65pt;height:166.55pt" o:ole="">
            <v:imagedata r:id="rId24" o:title=""/>
          </v:shape>
          <o:OLEObject Type="Embed" ProgID="STATISTICA.Graph" ShapeID="_x0000_i1030" DrawAspect="Content" ObjectID="_1556546852" r:id="rId25">
            <o:FieldCodes>\s</o:FieldCodes>
          </o:OLEObject>
        </w:object>
      </w:r>
    </w:p>
    <w:p w:rsidR="00E44ADE" w:rsidRPr="00A84CE4" w:rsidRDefault="00E44ADE" w:rsidP="00DF073E">
      <w:pPr>
        <w:spacing w:before="240" w:line="360" w:lineRule="auto"/>
        <w:ind w:firstLine="709"/>
        <w:jc w:val="both"/>
        <w:rPr>
          <w:rFonts w:ascii="Times New Roman" w:hAnsi="Times New Roman" w:cs="Times New Roman"/>
          <w:sz w:val="28"/>
        </w:rPr>
      </w:pPr>
      <w:r w:rsidRPr="00A84CE4">
        <w:rPr>
          <w:rFonts w:ascii="Times New Roman" w:hAnsi="Times New Roman" w:cs="Times New Roman"/>
          <w:sz w:val="28"/>
        </w:rPr>
        <w:t>Среди пациентов женского пола была выявлена существенная разница в возрасте между группами благоприятного и неблагоприятного прогнозов (</w:t>
      </w:r>
      <w:r w:rsidRPr="00A84CE4">
        <w:rPr>
          <w:rFonts w:ascii="Times New Roman" w:hAnsi="Times New Roman" w:cs="Times New Roman"/>
          <w:sz w:val="28"/>
          <w:lang w:val="en-US"/>
        </w:rPr>
        <w:t>U</w:t>
      </w:r>
      <w:r w:rsidRPr="00A84CE4">
        <w:rPr>
          <w:rFonts w:ascii="Times New Roman" w:hAnsi="Times New Roman" w:cs="Times New Roman"/>
          <w:sz w:val="28"/>
        </w:rPr>
        <w:t xml:space="preserve"> тест=4176,5, </w:t>
      </w:r>
      <w:proofErr w:type="gramStart"/>
      <w:r w:rsidRPr="002B29D5">
        <w:rPr>
          <w:rFonts w:ascii="Times New Roman" w:hAnsi="Times New Roman" w:cs="Times New Roman"/>
          <w:sz w:val="28"/>
        </w:rPr>
        <w:t>р</w:t>
      </w:r>
      <w:proofErr w:type="gramEnd"/>
      <w:r w:rsidRPr="002B29D5">
        <w:rPr>
          <w:rFonts w:ascii="Times New Roman" w:hAnsi="Times New Roman" w:cs="Times New Roman"/>
          <w:sz w:val="28"/>
        </w:rPr>
        <w:t>=0,0008).</w:t>
      </w:r>
      <w:r w:rsidRPr="00A84CE4">
        <w:rPr>
          <w:rFonts w:ascii="Times New Roman" w:hAnsi="Times New Roman" w:cs="Times New Roman"/>
          <w:sz w:val="28"/>
        </w:rPr>
        <w:t xml:space="preserve"> По рис.</w:t>
      </w:r>
      <w:r w:rsidR="002B29D5">
        <w:rPr>
          <w:rFonts w:ascii="Times New Roman" w:hAnsi="Times New Roman" w:cs="Times New Roman"/>
          <w:sz w:val="28"/>
        </w:rPr>
        <w:t>10</w:t>
      </w:r>
      <w:r w:rsidRPr="00A84CE4">
        <w:rPr>
          <w:rFonts w:ascii="Times New Roman" w:hAnsi="Times New Roman" w:cs="Times New Roman"/>
          <w:sz w:val="28"/>
        </w:rPr>
        <w:t xml:space="preserve"> видно, что женщины в группе неблагоприятного прогноза старше </w:t>
      </w:r>
      <w:r w:rsidRPr="00A84CE4">
        <w:rPr>
          <w:rFonts w:ascii="Times New Roman" w:hAnsi="Times New Roman" w:cs="Times New Roman"/>
          <w:color w:val="000000" w:themeColor="text1"/>
          <w:sz w:val="28"/>
        </w:rPr>
        <w:t>(</w:t>
      </w:r>
      <w:r w:rsidR="00EA6889">
        <w:rPr>
          <w:rFonts w:ascii="Times New Roman" w:hAnsi="Times New Roman" w:cs="Times New Roman"/>
          <w:color w:val="000000" w:themeColor="text1"/>
          <w:sz w:val="28"/>
        </w:rPr>
        <w:t>ср</w:t>
      </w:r>
      <w:r w:rsidR="002A74A0">
        <w:rPr>
          <w:rFonts w:ascii="Times New Roman" w:hAnsi="Times New Roman" w:cs="Times New Roman"/>
          <w:color w:val="000000" w:themeColor="text1"/>
          <w:sz w:val="28"/>
        </w:rPr>
        <w:t xml:space="preserve">едний </w:t>
      </w:r>
      <w:r w:rsidR="00EA6889">
        <w:rPr>
          <w:rFonts w:ascii="Times New Roman" w:hAnsi="Times New Roman" w:cs="Times New Roman"/>
          <w:color w:val="000000" w:themeColor="text1"/>
          <w:sz w:val="28"/>
        </w:rPr>
        <w:t xml:space="preserve">возраст </w:t>
      </w:r>
      <w:r w:rsidRPr="00A84CE4">
        <w:rPr>
          <w:rFonts w:ascii="Times New Roman" w:hAnsi="Times New Roman" w:cs="Times New Roman"/>
          <w:color w:val="000000" w:themeColor="text1"/>
          <w:sz w:val="28"/>
        </w:rPr>
        <w:t>65 лет, 95% ДИ 63-69 лет</w:t>
      </w:r>
      <w:r w:rsidR="00CB38DD">
        <w:rPr>
          <w:rFonts w:ascii="Times New Roman" w:hAnsi="Times New Roman" w:cs="Times New Roman"/>
          <w:color w:val="000000" w:themeColor="text1"/>
          <w:sz w:val="28"/>
        </w:rPr>
        <w:t>)</w:t>
      </w:r>
      <w:r w:rsidR="00CB38DD">
        <w:rPr>
          <w:rFonts w:ascii="Times New Roman" w:hAnsi="Times New Roman" w:cs="Times New Roman"/>
          <w:sz w:val="28"/>
        </w:rPr>
        <w:t xml:space="preserve"> женщин г</w:t>
      </w:r>
      <w:r w:rsidRPr="00A84CE4">
        <w:rPr>
          <w:rFonts w:ascii="Times New Roman" w:hAnsi="Times New Roman" w:cs="Times New Roman"/>
          <w:sz w:val="28"/>
        </w:rPr>
        <w:t>рупп</w:t>
      </w:r>
      <w:r w:rsidR="00CB38DD">
        <w:rPr>
          <w:rFonts w:ascii="Times New Roman" w:hAnsi="Times New Roman" w:cs="Times New Roman"/>
          <w:sz w:val="28"/>
        </w:rPr>
        <w:t>ы</w:t>
      </w:r>
      <w:r w:rsidRPr="00A84CE4">
        <w:rPr>
          <w:rFonts w:ascii="Times New Roman" w:hAnsi="Times New Roman" w:cs="Times New Roman"/>
          <w:sz w:val="28"/>
        </w:rPr>
        <w:t xml:space="preserve"> благоприятного прогноза </w:t>
      </w:r>
      <w:r w:rsidRPr="00A84CE4">
        <w:rPr>
          <w:rFonts w:ascii="Times New Roman" w:hAnsi="Times New Roman" w:cs="Times New Roman"/>
          <w:color w:val="000000" w:themeColor="text1"/>
          <w:sz w:val="28"/>
        </w:rPr>
        <w:t>(</w:t>
      </w:r>
      <w:r w:rsidR="00EA6889">
        <w:rPr>
          <w:rFonts w:ascii="Times New Roman" w:hAnsi="Times New Roman" w:cs="Times New Roman"/>
          <w:color w:val="000000" w:themeColor="text1"/>
          <w:sz w:val="28"/>
        </w:rPr>
        <w:t>ср</w:t>
      </w:r>
      <w:r w:rsidR="002A74A0">
        <w:rPr>
          <w:rFonts w:ascii="Times New Roman" w:hAnsi="Times New Roman" w:cs="Times New Roman"/>
          <w:color w:val="000000" w:themeColor="text1"/>
          <w:sz w:val="28"/>
        </w:rPr>
        <w:t xml:space="preserve">едний </w:t>
      </w:r>
      <w:r w:rsidR="00EA6889">
        <w:rPr>
          <w:rFonts w:ascii="Times New Roman" w:hAnsi="Times New Roman" w:cs="Times New Roman"/>
          <w:color w:val="000000" w:themeColor="text1"/>
          <w:sz w:val="28"/>
        </w:rPr>
        <w:t xml:space="preserve">возраст </w:t>
      </w:r>
      <w:r w:rsidRPr="00A84CE4">
        <w:rPr>
          <w:rFonts w:ascii="Times New Roman" w:hAnsi="Times New Roman" w:cs="Times New Roman"/>
          <w:color w:val="000000" w:themeColor="text1"/>
          <w:sz w:val="28"/>
        </w:rPr>
        <w:t>60лет, 95% ДИ 58-61 лет)</w:t>
      </w:r>
      <w:r w:rsidRPr="00A84CE4">
        <w:rPr>
          <w:rFonts w:ascii="Times New Roman" w:hAnsi="Times New Roman" w:cs="Times New Roman"/>
          <w:sz w:val="28"/>
        </w:rPr>
        <w:t xml:space="preserve">. </w:t>
      </w:r>
    </w:p>
    <w:p w:rsidR="00E44ADE" w:rsidRPr="00A84CE4" w:rsidRDefault="00E44ADE" w:rsidP="00E44ADE">
      <w:pPr>
        <w:spacing w:line="360" w:lineRule="auto"/>
        <w:ind w:firstLine="709"/>
        <w:jc w:val="both"/>
        <w:rPr>
          <w:rFonts w:ascii="Times New Roman" w:hAnsi="Times New Roman" w:cs="Times New Roman"/>
          <w:sz w:val="28"/>
        </w:rPr>
      </w:pPr>
      <w:r w:rsidRPr="00A84CE4">
        <w:rPr>
          <w:rFonts w:ascii="Times New Roman" w:hAnsi="Times New Roman" w:cs="Times New Roman"/>
          <w:sz w:val="28"/>
        </w:rPr>
        <w:t>Проанализировав данные, дополнительно было выявлено, что риск персистенции у женщин старше 60 лет в 2,4 раза выше, чем у женщин младшего возраста (</w:t>
      </w:r>
      <w:r w:rsidRPr="00A84CE4">
        <w:rPr>
          <w:rFonts w:ascii="Times New Roman" w:hAnsi="Times New Roman" w:cs="Times New Roman"/>
          <w:sz w:val="28"/>
          <w:lang w:val="en-US"/>
        </w:rPr>
        <w:t>OR</w:t>
      </w:r>
      <w:r w:rsidRPr="00A84CE4">
        <w:rPr>
          <w:rFonts w:ascii="Times New Roman" w:hAnsi="Times New Roman" w:cs="Times New Roman"/>
          <w:sz w:val="28"/>
        </w:rPr>
        <w:t xml:space="preserve"> 2,4, 95% ДИ 1,5-5,0); а у женщин старше 70 лет риск персистенции выше в 3,4 раза (</w:t>
      </w:r>
      <w:r w:rsidRPr="00A84CE4">
        <w:rPr>
          <w:rFonts w:ascii="Times New Roman" w:hAnsi="Times New Roman" w:cs="Times New Roman"/>
          <w:sz w:val="28"/>
          <w:lang w:val="en-US"/>
        </w:rPr>
        <w:t>OR</w:t>
      </w:r>
      <w:r w:rsidRPr="00A84CE4">
        <w:rPr>
          <w:rFonts w:ascii="Times New Roman" w:hAnsi="Times New Roman" w:cs="Times New Roman"/>
          <w:sz w:val="28"/>
        </w:rPr>
        <w:t xml:space="preserve"> 3,4, 95% ДИ 1,6-7,1).</w:t>
      </w:r>
    </w:p>
    <w:p w:rsidR="00B66185" w:rsidRDefault="00E44ADE" w:rsidP="00B66185">
      <w:pPr>
        <w:spacing w:line="360" w:lineRule="auto"/>
        <w:ind w:firstLine="709"/>
        <w:jc w:val="both"/>
        <w:rPr>
          <w:rFonts w:ascii="Times New Roman" w:hAnsi="Times New Roman" w:cs="Times New Roman"/>
          <w:sz w:val="28"/>
        </w:rPr>
      </w:pPr>
      <w:r w:rsidRPr="00A84CE4">
        <w:rPr>
          <w:rFonts w:ascii="Times New Roman" w:hAnsi="Times New Roman" w:cs="Times New Roman"/>
          <w:sz w:val="28"/>
        </w:rPr>
        <w:t>Среди пациентов мужского пола разницы в возрасте между исследуемыми группами  выявлено не было (</w:t>
      </w:r>
      <w:r w:rsidRPr="00A84CE4">
        <w:rPr>
          <w:rFonts w:ascii="Times New Roman" w:hAnsi="Times New Roman" w:cs="Times New Roman"/>
          <w:sz w:val="28"/>
          <w:lang w:val="en-US"/>
        </w:rPr>
        <w:t>U</w:t>
      </w:r>
      <w:r w:rsidRPr="00A84CE4">
        <w:rPr>
          <w:rFonts w:ascii="Times New Roman" w:hAnsi="Times New Roman" w:cs="Times New Roman"/>
          <w:sz w:val="28"/>
        </w:rPr>
        <w:t xml:space="preserve"> тест=10, </w:t>
      </w:r>
      <w:r w:rsidRPr="00A84CE4">
        <w:rPr>
          <w:rFonts w:ascii="Times New Roman" w:hAnsi="Times New Roman" w:cs="Times New Roman"/>
          <w:sz w:val="28"/>
          <w:lang w:val="en-US"/>
        </w:rPr>
        <w:t>p</w:t>
      </w:r>
      <w:r w:rsidRPr="00A84CE4">
        <w:rPr>
          <w:rFonts w:ascii="Times New Roman" w:hAnsi="Times New Roman" w:cs="Times New Roman"/>
          <w:sz w:val="28"/>
        </w:rPr>
        <w:t>=0,17). Однако среди мужчин выявлена другая тенденция по сравнению с женщинами, а именно: пациенты групп</w:t>
      </w:r>
      <w:r w:rsidR="00EA6889">
        <w:rPr>
          <w:rFonts w:ascii="Times New Roman" w:hAnsi="Times New Roman" w:cs="Times New Roman"/>
          <w:sz w:val="28"/>
        </w:rPr>
        <w:t>ы</w:t>
      </w:r>
      <w:r w:rsidRPr="00A84CE4">
        <w:rPr>
          <w:rFonts w:ascii="Times New Roman" w:hAnsi="Times New Roman" w:cs="Times New Roman"/>
          <w:sz w:val="28"/>
        </w:rPr>
        <w:t xml:space="preserve"> неблагоприятного прогноза младше </w:t>
      </w:r>
      <w:r w:rsidRPr="00A84CE4">
        <w:rPr>
          <w:rFonts w:ascii="Times New Roman" w:hAnsi="Times New Roman" w:cs="Times New Roman"/>
          <w:color w:val="000000" w:themeColor="text1"/>
          <w:sz w:val="28"/>
        </w:rPr>
        <w:t>(</w:t>
      </w:r>
      <w:r w:rsidR="00EA6889">
        <w:rPr>
          <w:rFonts w:ascii="Times New Roman" w:hAnsi="Times New Roman" w:cs="Times New Roman"/>
          <w:color w:val="000000" w:themeColor="text1"/>
          <w:sz w:val="28"/>
        </w:rPr>
        <w:t>ср</w:t>
      </w:r>
      <w:r w:rsidR="002A74A0">
        <w:rPr>
          <w:rFonts w:ascii="Times New Roman" w:hAnsi="Times New Roman" w:cs="Times New Roman"/>
          <w:color w:val="000000" w:themeColor="text1"/>
          <w:sz w:val="28"/>
        </w:rPr>
        <w:t>едний</w:t>
      </w:r>
      <w:r w:rsidR="00EA6889">
        <w:rPr>
          <w:rFonts w:ascii="Times New Roman" w:hAnsi="Times New Roman" w:cs="Times New Roman"/>
          <w:color w:val="000000" w:themeColor="text1"/>
          <w:sz w:val="28"/>
        </w:rPr>
        <w:t xml:space="preserve"> возраст </w:t>
      </w:r>
      <w:r w:rsidRPr="00A84CE4">
        <w:rPr>
          <w:rFonts w:ascii="Times New Roman" w:hAnsi="Times New Roman" w:cs="Times New Roman"/>
          <w:color w:val="000000" w:themeColor="text1"/>
          <w:sz w:val="28"/>
        </w:rPr>
        <w:t>40 лет)</w:t>
      </w:r>
      <w:r w:rsidRPr="00A84CE4">
        <w:rPr>
          <w:rFonts w:ascii="Times New Roman" w:hAnsi="Times New Roman" w:cs="Times New Roman"/>
          <w:sz w:val="28"/>
        </w:rPr>
        <w:t xml:space="preserve">, </w:t>
      </w:r>
      <w:r w:rsidR="00EA6889">
        <w:rPr>
          <w:rFonts w:ascii="Times New Roman" w:hAnsi="Times New Roman" w:cs="Times New Roman"/>
          <w:sz w:val="28"/>
        </w:rPr>
        <w:t>пациентов</w:t>
      </w:r>
      <w:r w:rsidRPr="00A84CE4">
        <w:rPr>
          <w:rFonts w:ascii="Times New Roman" w:hAnsi="Times New Roman" w:cs="Times New Roman"/>
          <w:sz w:val="28"/>
        </w:rPr>
        <w:t xml:space="preserve"> другой группы </w:t>
      </w:r>
      <w:r w:rsidRPr="00A84CE4">
        <w:rPr>
          <w:rFonts w:ascii="Times New Roman" w:hAnsi="Times New Roman" w:cs="Times New Roman"/>
          <w:color w:val="000000" w:themeColor="text1"/>
          <w:sz w:val="28"/>
        </w:rPr>
        <w:t>(</w:t>
      </w:r>
      <w:r w:rsidR="00EA6889">
        <w:rPr>
          <w:rFonts w:ascii="Times New Roman" w:hAnsi="Times New Roman" w:cs="Times New Roman"/>
          <w:color w:val="000000" w:themeColor="text1"/>
          <w:sz w:val="28"/>
        </w:rPr>
        <w:t>ср</w:t>
      </w:r>
      <w:r w:rsidR="002A74A0">
        <w:rPr>
          <w:rFonts w:ascii="Times New Roman" w:hAnsi="Times New Roman" w:cs="Times New Roman"/>
          <w:color w:val="000000" w:themeColor="text1"/>
          <w:sz w:val="28"/>
        </w:rPr>
        <w:t xml:space="preserve">едний </w:t>
      </w:r>
      <w:r w:rsidR="00EA6889">
        <w:rPr>
          <w:rFonts w:ascii="Times New Roman" w:hAnsi="Times New Roman" w:cs="Times New Roman"/>
          <w:color w:val="000000" w:themeColor="text1"/>
          <w:sz w:val="28"/>
        </w:rPr>
        <w:t xml:space="preserve">возраст </w:t>
      </w:r>
      <w:r w:rsidRPr="00A84CE4">
        <w:rPr>
          <w:rFonts w:ascii="Times New Roman" w:hAnsi="Times New Roman" w:cs="Times New Roman"/>
          <w:color w:val="000000" w:themeColor="text1"/>
          <w:sz w:val="28"/>
        </w:rPr>
        <w:t>58 лет, 95 ДИ 48-60 лет).</w:t>
      </w:r>
      <w:r w:rsidRPr="00A84CE4">
        <w:rPr>
          <w:rFonts w:ascii="Times New Roman" w:hAnsi="Times New Roman" w:cs="Times New Roman"/>
          <w:sz w:val="28"/>
        </w:rPr>
        <w:t xml:space="preserve"> </w:t>
      </w:r>
    </w:p>
    <w:p w:rsidR="00CB38DD" w:rsidRPr="00CB38DD" w:rsidRDefault="00E44ADE" w:rsidP="00B66185">
      <w:pPr>
        <w:spacing w:line="360" w:lineRule="auto"/>
        <w:ind w:firstLine="709"/>
        <w:jc w:val="both"/>
        <w:rPr>
          <w:rFonts w:ascii="Times New Roman" w:hAnsi="Times New Roman" w:cs="Times New Roman"/>
          <w:sz w:val="28"/>
        </w:rPr>
      </w:pPr>
      <w:r w:rsidRPr="00A84CE4">
        <w:rPr>
          <w:rFonts w:ascii="Times New Roman" w:hAnsi="Times New Roman" w:cs="Times New Roman"/>
          <w:sz w:val="28"/>
        </w:rPr>
        <w:t>Так же было выявлено, что в группе пациентов благоприятного прогноза не было значимой разницы между возрастом и полом (</w:t>
      </w:r>
      <w:proofErr w:type="gramStart"/>
      <w:r w:rsidRPr="00A84CE4">
        <w:rPr>
          <w:rFonts w:ascii="Times New Roman" w:hAnsi="Times New Roman" w:cs="Times New Roman"/>
          <w:sz w:val="28"/>
        </w:rPr>
        <w:t>р</w:t>
      </w:r>
      <w:proofErr w:type="gramEnd"/>
      <w:r w:rsidRPr="00A84CE4">
        <w:rPr>
          <w:rFonts w:ascii="Times New Roman" w:hAnsi="Times New Roman" w:cs="Times New Roman"/>
          <w:sz w:val="28"/>
        </w:rPr>
        <w:t xml:space="preserve">=0,11), однако в группе неблагоприятного прогноза разница была значима </w:t>
      </w:r>
      <w:r w:rsidRPr="002B29D5">
        <w:rPr>
          <w:rFonts w:ascii="Times New Roman" w:hAnsi="Times New Roman" w:cs="Times New Roman"/>
          <w:sz w:val="28"/>
        </w:rPr>
        <w:t>(р=0,02)</w:t>
      </w:r>
      <w:r w:rsidRPr="00A84CE4">
        <w:rPr>
          <w:rFonts w:ascii="Times New Roman" w:hAnsi="Times New Roman" w:cs="Times New Roman"/>
          <w:sz w:val="28"/>
        </w:rPr>
        <w:t xml:space="preserve"> – мужчины младше, женщины старше. </w:t>
      </w:r>
    </w:p>
    <w:p w:rsidR="000C10A2" w:rsidRPr="00E44ADE" w:rsidRDefault="000C10A2" w:rsidP="00B66185">
      <w:pPr>
        <w:spacing w:before="240" w:line="360" w:lineRule="auto"/>
        <w:jc w:val="both"/>
        <w:rPr>
          <w:rFonts w:ascii="Times New Roman" w:hAnsi="Times New Roman" w:cs="Times New Roman"/>
          <w:b/>
          <w:sz w:val="28"/>
        </w:rPr>
      </w:pPr>
      <w:r w:rsidRPr="00E44ADE">
        <w:rPr>
          <w:rFonts w:ascii="Times New Roman" w:hAnsi="Times New Roman" w:cs="Times New Roman"/>
          <w:b/>
          <w:sz w:val="28"/>
        </w:rPr>
        <w:t>Рис.</w:t>
      </w:r>
      <w:r w:rsidR="002B29D5">
        <w:rPr>
          <w:rFonts w:ascii="Times New Roman" w:hAnsi="Times New Roman" w:cs="Times New Roman"/>
          <w:b/>
          <w:sz w:val="28"/>
        </w:rPr>
        <w:t>11</w:t>
      </w:r>
      <w:r w:rsidRPr="00E44ADE">
        <w:rPr>
          <w:rFonts w:ascii="Times New Roman" w:hAnsi="Times New Roman" w:cs="Times New Roman"/>
          <w:b/>
          <w:sz w:val="28"/>
        </w:rPr>
        <w:t xml:space="preserve"> Распределение пациентов по прогнозу и исходному ПТГ в зависимости от пола</w:t>
      </w:r>
    </w:p>
    <w:p w:rsidR="000C10A2" w:rsidRPr="00255458" w:rsidRDefault="000C10A2" w:rsidP="000C10A2">
      <w:pPr>
        <w:tabs>
          <w:tab w:val="left" w:pos="1230"/>
        </w:tabs>
        <w:rPr>
          <w:rFonts w:ascii="Times New Roman" w:hAnsi="Times New Roman" w:cs="Times New Roman"/>
          <w:b/>
        </w:rPr>
      </w:pPr>
      <w:r w:rsidRPr="00255458">
        <w:rPr>
          <w:rFonts w:ascii="Times New Roman" w:hAnsi="Times New Roman" w:cs="Times New Roman"/>
          <w:b/>
        </w:rPr>
        <w:tab/>
      </w:r>
    </w:p>
    <w:p w:rsidR="00ED7058" w:rsidRPr="00DF073E" w:rsidRDefault="007A7487" w:rsidP="00943D08">
      <w:r w:rsidRPr="00255458">
        <w:rPr>
          <w:rFonts w:ascii="Times New Roman" w:hAnsi="Times New Roman" w:cs="Times New Roman"/>
        </w:rPr>
        <w:object w:dxaOrig="4572" w:dyaOrig="3429">
          <v:shape id="_x0000_i1031" type="#_x0000_t75" style="width:229.15pt;height:171.55pt" o:ole="">
            <v:imagedata r:id="rId26" o:title=""/>
          </v:shape>
          <o:OLEObject Type="Embed" ProgID="STATISTICA.Graph" ShapeID="_x0000_i1031" DrawAspect="Content" ObjectID="_1556546853" r:id="rId27">
            <o:FieldCodes>\s</o:FieldCodes>
          </o:OLEObject>
        </w:object>
      </w:r>
      <w:r w:rsidR="00943D08">
        <w:object w:dxaOrig="4596" w:dyaOrig="3446">
          <v:shape id="_x0000_i1032" type="#_x0000_t75" style="width:229.75pt;height:171.55pt" o:ole="">
            <v:imagedata r:id="rId28" o:title=""/>
          </v:shape>
          <o:OLEObject Type="Embed" ProgID="STATISTICA.Graph" ShapeID="_x0000_i1032" DrawAspect="Content" ObjectID="_1556546854" r:id="rId29">
            <o:FieldCodes>\s</o:FieldCodes>
          </o:OLEObject>
        </w:object>
      </w:r>
    </w:p>
    <w:p w:rsidR="00E44ADE" w:rsidRPr="00E44ADE" w:rsidRDefault="00E44ADE" w:rsidP="00DF073E">
      <w:pPr>
        <w:spacing w:before="240" w:line="360" w:lineRule="auto"/>
        <w:ind w:firstLine="709"/>
        <w:jc w:val="both"/>
        <w:rPr>
          <w:rFonts w:ascii="Times New Roman" w:hAnsi="Times New Roman" w:cs="Times New Roman"/>
          <w:sz w:val="28"/>
        </w:rPr>
      </w:pPr>
      <w:r w:rsidRPr="00E44ADE">
        <w:rPr>
          <w:rFonts w:ascii="Times New Roman" w:hAnsi="Times New Roman" w:cs="Times New Roman"/>
          <w:sz w:val="28"/>
        </w:rPr>
        <w:t>Среди пациентов женского пола существенной разницы в исходных значениях ПТГ между группами благоприятного и неблагоприятного прогнозов выявлено не было (</w:t>
      </w:r>
      <w:r w:rsidRPr="00E44ADE">
        <w:rPr>
          <w:rFonts w:ascii="Times New Roman" w:hAnsi="Times New Roman" w:cs="Times New Roman"/>
          <w:sz w:val="28"/>
          <w:lang w:val="en-US"/>
        </w:rPr>
        <w:t>U</w:t>
      </w:r>
      <w:r w:rsidRPr="00E44ADE">
        <w:rPr>
          <w:rFonts w:ascii="Times New Roman" w:hAnsi="Times New Roman" w:cs="Times New Roman"/>
          <w:sz w:val="28"/>
        </w:rPr>
        <w:t xml:space="preserve"> тест = 5150, </w:t>
      </w:r>
      <w:proofErr w:type="gramStart"/>
      <w:r w:rsidRPr="00E44ADE">
        <w:rPr>
          <w:rFonts w:ascii="Times New Roman" w:hAnsi="Times New Roman" w:cs="Times New Roman"/>
          <w:sz w:val="28"/>
        </w:rPr>
        <w:t>р</w:t>
      </w:r>
      <w:proofErr w:type="gramEnd"/>
      <w:r w:rsidRPr="00E44ADE">
        <w:rPr>
          <w:rFonts w:ascii="Times New Roman" w:hAnsi="Times New Roman" w:cs="Times New Roman"/>
          <w:sz w:val="28"/>
        </w:rPr>
        <w:t>= 0,096), как и среди пациентов мужского пола (</w:t>
      </w:r>
      <w:r w:rsidRPr="00E44ADE">
        <w:rPr>
          <w:rFonts w:ascii="Times New Roman" w:hAnsi="Times New Roman" w:cs="Times New Roman"/>
          <w:sz w:val="28"/>
          <w:lang w:val="en-US"/>
        </w:rPr>
        <w:t>U</w:t>
      </w:r>
      <w:r w:rsidRPr="00E44ADE">
        <w:rPr>
          <w:rFonts w:ascii="Times New Roman" w:hAnsi="Times New Roman" w:cs="Times New Roman"/>
          <w:sz w:val="28"/>
        </w:rPr>
        <w:t xml:space="preserve"> тест = 19, р=</w:t>
      </w:r>
      <w:r w:rsidR="00EA6889">
        <w:rPr>
          <w:rFonts w:ascii="Times New Roman" w:hAnsi="Times New Roman" w:cs="Times New Roman"/>
          <w:sz w:val="28"/>
        </w:rPr>
        <w:t xml:space="preserve"> </w:t>
      </w:r>
      <w:r w:rsidRPr="00E44ADE">
        <w:rPr>
          <w:rFonts w:ascii="Times New Roman" w:hAnsi="Times New Roman" w:cs="Times New Roman"/>
          <w:sz w:val="28"/>
        </w:rPr>
        <w:t xml:space="preserve">0,61). </w:t>
      </w:r>
    </w:p>
    <w:p w:rsidR="00EA6889" w:rsidRDefault="00E44ADE" w:rsidP="00B100A9">
      <w:pPr>
        <w:spacing w:line="360" w:lineRule="auto"/>
        <w:ind w:firstLine="709"/>
        <w:jc w:val="both"/>
        <w:rPr>
          <w:rFonts w:ascii="Times New Roman" w:hAnsi="Times New Roman" w:cs="Times New Roman"/>
          <w:sz w:val="28"/>
        </w:rPr>
      </w:pPr>
      <w:r w:rsidRPr="00E44ADE">
        <w:rPr>
          <w:rFonts w:ascii="Times New Roman" w:hAnsi="Times New Roman" w:cs="Times New Roman"/>
          <w:sz w:val="28"/>
        </w:rPr>
        <w:t xml:space="preserve">Было замечено, что в интервалах </w:t>
      </w:r>
      <w:r w:rsidRPr="00D762ED">
        <w:rPr>
          <w:rFonts w:ascii="Times New Roman" w:hAnsi="Times New Roman" w:cs="Times New Roman"/>
          <w:sz w:val="28"/>
        </w:rPr>
        <w:t>1,31-15 пмоль/л ПТГ (47 пациентов из 403) и больше 95 пмоль/л ПТГ (21 пац</w:t>
      </w:r>
      <w:r w:rsidRPr="00E44ADE">
        <w:rPr>
          <w:rFonts w:ascii="Times New Roman" w:hAnsi="Times New Roman" w:cs="Times New Roman"/>
          <w:sz w:val="28"/>
        </w:rPr>
        <w:t>иентов из 403) персистенци</w:t>
      </w:r>
      <w:r w:rsidR="00CB38DD">
        <w:rPr>
          <w:rFonts w:ascii="Times New Roman" w:hAnsi="Times New Roman" w:cs="Times New Roman"/>
          <w:sz w:val="28"/>
        </w:rPr>
        <w:t>я</w:t>
      </w:r>
      <w:r w:rsidRPr="00E44ADE">
        <w:rPr>
          <w:rFonts w:ascii="Times New Roman" w:hAnsi="Times New Roman" w:cs="Times New Roman"/>
          <w:sz w:val="28"/>
        </w:rPr>
        <w:t xml:space="preserve"> </w:t>
      </w:r>
      <w:r w:rsidR="00CB38DD">
        <w:rPr>
          <w:rFonts w:ascii="Times New Roman" w:hAnsi="Times New Roman" w:cs="Times New Roman"/>
          <w:sz w:val="28"/>
        </w:rPr>
        <w:t>у пациентов с ПГПТ не развивалась</w:t>
      </w:r>
      <w:r w:rsidRPr="00E44ADE">
        <w:rPr>
          <w:rFonts w:ascii="Times New Roman" w:hAnsi="Times New Roman" w:cs="Times New Roman"/>
          <w:sz w:val="28"/>
        </w:rPr>
        <w:t xml:space="preserve">. </w:t>
      </w:r>
    </w:p>
    <w:p w:rsidR="00A06EEC" w:rsidRDefault="00A06EEC" w:rsidP="00B100A9">
      <w:pPr>
        <w:spacing w:line="360" w:lineRule="auto"/>
        <w:ind w:firstLine="709"/>
        <w:jc w:val="both"/>
        <w:rPr>
          <w:rFonts w:ascii="Times New Roman" w:hAnsi="Times New Roman" w:cs="Times New Roman"/>
          <w:sz w:val="28"/>
        </w:rPr>
      </w:pPr>
    </w:p>
    <w:p w:rsidR="00A06EEC" w:rsidRDefault="00A06EEC" w:rsidP="00B100A9">
      <w:pPr>
        <w:spacing w:line="360" w:lineRule="auto"/>
        <w:ind w:firstLine="709"/>
        <w:jc w:val="both"/>
        <w:rPr>
          <w:rFonts w:ascii="Times New Roman" w:hAnsi="Times New Roman" w:cs="Times New Roman"/>
          <w:sz w:val="28"/>
        </w:rPr>
      </w:pPr>
    </w:p>
    <w:p w:rsidR="00A06EEC" w:rsidRDefault="00A06EEC" w:rsidP="00B100A9">
      <w:pPr>
        <w:spacing w:line="360" w:lineRule="auto"/>
        <w:ind w:firstLine="709"/>
        <w:jc w:val="both"/>
        <w:rPr>
          <w:rFonts w:ascii="Times New Roman" w:hAnsi="Times New Roman" w:cs="Times New Roman"/>
          <w:sz w:val="28"/>
        </w:rPr>
      </w:pPr>
    </w:p>
    <w:p w:rsidR="00A06EEC" w:rsidRDefault="00A06EEC" w:rsidP="00B100A9">
      <w:pPr>
        <w:spacing w:line="360" w:lineRule="auto"/>
        <w:ind w:firstLine="709"/>
        <w:jc w:val="both"/>
        <w:rPr>
          <w:rFonts w:ascii="Times New Roman" w:hAnsi="Times New Roman" w:cs="Times New Roman"/>
          <w:sz w:val="28"/>
        </w:rPr>
      </w:pPr>
    </w:p>
    <w:p w:rsidR="00A06EEC" w:rsidRDefault="00A06EEC" w:rsidP="00B100A9">
      <w:pPr>
        <w:spacing w:line="360" w:lineRule="auto"/>
        <w:ind w:firstLine="709"/>
        <w:jc w:val="both"/>
        <w:rPr>
          <w:rFonts w:ascii="Times New Roman" w:hAnsi="Times New Roman" w:cs="Times New Roman"/>
          <w:sz w:val="28"/>
        </w:rPr>
      </w:pPr>
    </w:p>
    <w:p w:rsidR="00A06EEC" w:rsidRDefault="00A06EEC" w:rsidP="00B100A9">
      <w:pPr>
        <w:spacing w:line="360" w:lineRule="auto"/>
        <w:ind w:firstLine="709"/>
        <w:jc w:val="both"/>
        <w:rPr>
          <w:rFonts w:ascii="Times New Roman" w:hAnsi="Times New Roman" w:cs="Times New Roman"/>
          <w:sz w:val="28"/>
        </w:rPr>
      </w:pPr>
    </w:p>
    <w:p w:rsidR="00A06EEC" w:rsidRPr="00B100A9" w:rsidRDefault="00A06EEC" w:rsidP="00B100A9">
      <w:pPr>
        <w:spacing w:line="360" w:lineRule="auto"/>
        <w:ind w:firstLine="709"/>
        <w:jc w:val="both"/>
        <w:rPr>
          <w:rFonts w:ascii="Times New Roman" w:hAnsi="Times New Roman" w:cs="Times New Roman"/>
          <w:sz w:val="28"/>
        </w:rPr>
      </w:pPr>
    </w:p>
    <w:p w:rsidR="007A7487" w:rsidRPr="00D762ED" w:rsidRDefault="00255458" w:rsidP="00B66185">
      <w:pPr>
        <w:spacing w:before="240" w:line="360" w:lineRule="auto"/>
        <w:jc w:val="both"/>
        <w:rPr>
          <w:rFonts w:ascii="Times New Roman" w:hAnsi="Times New Roman" w:cs="Times New Roman"/>
          <w:b/>
          <w:sz w:val="28"/>
        </w:rPr>
      </w:pPr>
      <w:r w:rsidRPr="00D762ED">
        <w:rPr>
          <w:rFonts w:ascii="Times New Roman" w:hAnsi="Times New Roman" w:cs="Times New Roman"/>
          <w:b/>
          <w:sz w:val="28"/>
        </w:rPr>
        <w:t>Рис.</w:t>
      </w:r>
      <w:r w:rsidR="00B100A9">
        <w:rPr>
          <w:rFonts w:ascii="Times New Roman" w:hAnsi="Times New Roman" w:cs="Times New Roman"/>
          <w:b/>
          <w:sz w:val="28"/>
        </w:rPr>
        <w:t>1</w:t>
      </w:r>
      <w:r w:rsidR="002B29D5">
        <w:rPr>
          <w:rFonts w:ascii="Times New Roman" w:hAnsi="Times New Roman" w:cs="Times New Roman"/>
          <w:b/>
          <w:sz w:val="28"/>
        </w:rPr>
        <w:t>2</w:t>
      </w:r>
      <w:r w:rsidRPr="00D762ED">
        <w:rPr>
          <w:rFonts w:ascii="Times New Roman" w:hAnsi="Times New Roman" w:cs="Times New Roman"/>
          <w:b/>
          <w:sz w:val="28"/>
        </w:rPr>
        <w:t xml:space="preserve"> Распределение пациентов по прогнозу и исходному </w:t>
      </w:r>
      <w:r w:rsidR="00E57F6F">
        <w:rPr>
          <w:rFonts w:ascii="Times New Roman" w:hAnsi="Times New Roman" w:cs="Times New Roman"/>
          <w:b/>
          <w:sz w:val="28"/>
        </w:rPr>
        <w:t>кальцию</w:t>
      </w:r>
      <w:r w:rsidRPr="00D762ED">
        <w:rPr>
          <w:rFonts w:ascii="Times New Roman" w:hAnsi="Times New Roman" w:cs="Times New Roman"/>
          <w:b/>
          <w:sz w:val="28"/>
        </w:rPr>
        <w:t xml:space="preserve"> в зависимости от пола</w:t>
      </w:r>
    </w:p>
    <w:p w:rsidR="000C10A2" w:rsidRPr="00255458" w:rsidRDefault="003E42F4" w:rsidP="00B66185">
      <w:pPr>
        <w:spacing w:before="240" w:after="240"/>
        <w:jc w:val="both"/>
        <w:rPr>
          <w:rFonts w:ascii="Times New Roman" w:hAnsi="Times New Roman" w:cs="Times New Roman"/>
        </w:rPr>
      </w:pPr>
      <w:r w:rsidRPr="00255458">
        <w:rPr>
          <w:rFonts w:ascii="Times New Roman" w:hAnsi="Times New Roman" w:cs="Times New Roman"/>
        </w:rPr>
        <w:object w:dxaOrig="4620" w:dyaOrig="3459">
          <v:shape id="_x0000_i1033" type="#_x0000_t75" style="width:231.05pt;height:172.15pt" o:ole="">
            <v:imagedata r:id="rId30" o:title=""/>
          </v:shape>
          <o:OLEObject Type="Embed" ProgID="STATISTICA.Graph" ShapeID="_x0000_i1033" DrawAspect="Content" ObjectID="_1556546855" r:id="rId31">
            <o:FieldCodes>\s</o:FieldCodes>
          </o:OLEObject>
        </w:object>
      </w:r>
      <w:r>
        <w:object w:dxaOrig="4670" w:dyaOrig="3497">
          <v:shape id="_x0000_i1034" type="#_x0000_t75" style="width:233.55pt;height:174.7pt" o:ole="">
            <v:imagedata r:id="rId32" o:title=""/>
          </v:shape>
          <o:OLEObject Type="Embed" ProgID="STATISTICA.Graph" ShapeID="_x0000_i1034" DrawAspect="Content" ObjectID="_1556546856" r:id="rId33">
            <o:FieldCodes>\s</o:FieldCodes>
          </o:OLEObject>
        </w:object>
      </w:r>
    </w:p>
    <w:p w:rsidR="002B29D5" w:rsidRDefault="00CB38DD" w:rsidP="002B29D5">
      <w:pPr>
        <w:spacing w:line="360" w:lineRule="auto"/>
        <w:ind w:firstLine="709"/>
        <w:jc w:val="both"/>
        <w:rPr>
          <w:rFonts w:ascii="Times New Roman" w:hAnsi="Times New Roman" w:cs="Times New Roman"/>
          <w:sz w:val="28"/>
        </w:rPr>
      </w:pPr>
      <w:r w:rsidRPr="00CB38DD">
        <w:rPr>
          <w:rFonts w:ascii="Times New Roman" w:hAnsi="Times New Roman" w:cs="Times New Roman"/>
          <w:sz w:val="28"/>
        </w:rPr>
        <w:t>По рис.</w:t>
      </w:r>
      <w:r w:rsidR="002B29D5">
        <w:rPr>
          <w:rFonts w:ascii="Times New Roman" w:hAnsi="Times New Roman" w:cs="Times New Roman"/>
          <w:sz w:val="28"/>
        </w:rPr>
        <w:t>12</w:t>
      </w:r>
      <w:r w:rsidRPr="00CB38DD">
        <w:rPr>
          <w:rFonts w:ascii="Times New Roman" w:hAnsi="Times New Roman" w:cs="Times New Roman"/>
          <w:sz w:val="28"/>
        </w:rPr>
        <w:t xml:space="preserve"> заметно, что</w:t>
      </w:r>
      <w:r w:rsidR="00D762ED" w:rsidRPr="00CB38DD">
        <w:rPr>
          <w:rFonts w:ascii="Times New Roman" w:hAnsi="Times New Roman" w:cs="Times New Roman"/>
          <w:sz w:val="28"/>
        </w:rPr>
        <w:t xml:space="preserve"> с</w:t>
      </w:r>
      <w:r w:rsidR="00255458" w:rsidRPr="00CB38DD">
        <w:rPr>
          <w:rFonts w:ascii="Times New Roman" w:hAnsi="Times New Roman" w:cs="Times New Roman"/>
          <w:sz w:val="28"/>
        </w:rPr>
        <w:t>реди пациентов женского пола существенной разницы в исх</w:t>
      </w:r>
      <w:r w:rsidR="00D762ED" w:rsidRPr="00CB38DD">
        <w:rPr>
          <w:rFonts w:ascii="Times New Roman" w:hAnsi="Times New Roman" w:cs="Times New Roman"/>
          <w:sz w:val="28"/>
        </w:rPr>
        <w:t xml:space="preserve">одных значениях </w:t>
      </w:r>
      <w:r w:rsidR="00255458" w:rsidRPr="00CB38DD">
        <w:rPr>
          <w:rFonts w:ascii="Times New Roman" w:hAnsi="Times New Roman" w:cs="Times New Roman"/>
          <w:sz w:val="28"/>
        </w:rPr>
        <w:t>Са</w:t>
      </w:r>
      <w:r w:rsidR="00255458" w:rsidRPr="00CB38DD">
        <w:rPr>
          <w:rFonts w:ascii="Times New Roman" w:hAnsi="Times New Roman" w:cs="Times New Roman"/>
          <w:sz w:val="28"/>
          <w:vertAlign w:val="superscript"/>
        </w:rPr>
        <w:t>2+</w:t>
      </w:r>
      <w:r w:rsidR="00255458" w:rsidRPr="00CB38DD">
        <w:rPr>
          <w:rFonts w:ascii="Times New Roman" w:hAnsi="Times New Roman" w:cs="Times New Roman"/>
          <w:sz w:val="28"/>
        </w:rPr>
        <w:t xml:space="preserve"> между группами благоприятного и неблагоприятного прогноза </w:t>
      </w:r>
      <w:r w:rsidR="00D762ED" w:rsidRPr="00CB38DD">
        <w:rPr>
          <w:rFonts w:ascii="Times New Roman" w:hAnsi="Times New Roman" w:cs="Times New Roman"/>
          <w:sz w:val="28"/>
        </w:rPr>
        <w:t>нет (</w:t>
      </w:r>
      <w:proofErr w:type="gramStart"/>
      <w:r w:rsidR="00D762ED" w:rsidRPr="00CB38DD">
        <w:rPr>
          <w:rFonts w:ascii="Times New Roman" w:hAnsi="Times New Roman" w:cs="Times New Roman"/>
          <w:sz w:val="28"/>
        </w:rPr>
        <w:t>р</w:t>
      </w:r>
      <w:proofErr w:type="gramEnd"/>
      <w:r w:rsidR="00E57F6F">
        <w:rPr>
          <w:rFonts w:ascii="Times New Roman" w:hAnsi="Times New Roman" w:cs="Times New Roman"/>
          <w:sz w:val="28"/>
        </w:rPr>
        <w:t xml:space="preserve"> </w:t>
      </w:r>
      <w:r w:rsidR="00D762ED" w:rsidRPr="00CB38DD">
        <w:rPr>
          <w:rFonts w:ascii="Times New Roman" w:hAnsi="Times New Roman" w:cs="Times New Roman"/>
          <w:sz w:val="28"/>
        </w:rPr>
        <w:t>=</w:t>
      </w:r>
      <w:r w:rsidR="00EA6889">
        <w:rPr>
          <w:rFonts w:ascii="Times New Roman" w:hAnsi="Times New Roman" w:cs="Times New Roman"/>
          <w:sz w:val="28"/>
        </w:rPr>
        <w:t xml:space="preserve"> </w:t>
      </w:r>
      <w:r w:rsidR="00D762ED" w:rsidRPr="00CB38DD">
        <w:rPr>
          <w:rFonts w:ascii="Times New Roman" w:hAnsi="Times New Roman" w:cs="Times New Roman"/>
          <w:sz w:val="28"/>
        </w:rPr>
        <w:t>0,16), как и в</w:t>
      </w:r>
      <w:r w:rsidR="00255458" w:rsidRPr="00CB38DD">
        <w:rPr>
          <w:rFonts w:ascii="Times New Roman" w:hAnsi="Times New Roman" w:cs="Times New Roman"/>
          <w:sz w:val="28"/>
        </w:rPr>
        <w:t xml:space="preserve"> группе пациентов мужского пола (</w:t>
      </w:r>
      <w:r w:rsidR="00255458" w:rsidRPr="00CB38DD">
        <w:rPr>
          <w:rFonts w:ascii="Times New Roman" w:hAnsi="Times New Roman" w:cs="Times New Roman"/>
          <w:sz w:val="28"/>
          <w:lang w:val="en-US"/>
        </w:rPr>
        <w:t>p</w:t>
      </w:r>
      <w:r w:rsidR="00255458" w:rsidRPr="00CB38DD">
        <w:rPr>
          <w:rFonts w:ascii="Times New Roman" w:hAnsi="Times New Roman" w:cs="Times New Roman"/>
          <w:sz w:val="28"/>
        </w:rPr>
        <w:t>=</w:t>
      </w:r>
      <w:r w:rsidR="00EA6889">
        <w:rPr>
          <w:rFonts w:ascii="Times New Roman" w:hAnsi="Times New Roman" w:cs="Times New Roman"/>
          <w:sz w:val="28"/>
        </w:rPr>
        <w:t xml:space="preserve"> </w:t>
      </w:r>
      <w:r w:rsidR="00255458" w:rsidRPr="00CB38DD">
        <w:rPr>
          <w:rFonts w:ascii="Times New Roman" w:hAnsi="Times New Roman" w:cs="Times New Roman"/>
          <w:sz w:val="28"/>
        </w:rPr>
        <w:t>0,</w:t>
      </w:r>
      <w:r w:rsidR="003E42F4" w:rsidRPr="00CB38DD">
        <w:rPr>
          <w:rFonts w:ascii="Times New Roman" w:hAnsi="Times New Roman" w:cs="Times New Roman"/>
          <w:sz w:val="28"/>
        </w:rPr>
        <w:t>48</w:t>
      </w:r>
      <w:r w:rsidR="00255458" w:rsidRPr="00CB38DD">
        <w:rPr>
          <w:rFonts w:ascii="Times New Roman" w:hAnsi="Times New Roman" w:cs="Times New Roman"/>
          <w:sz w:val="28"/>
        </w:rPr>
        <w:t xml:space="preserve">). </w:t>
      </w:r>
    </w:p>
    <w:p w:rsidR="00655D77" w:rsidRDefault="0017747B" w:rsidP="002B29D5">
      <w:pPr>
        <w:spacing w:line="360" w:lineRule="auto"/>
        <w:ind w:firstLine="709"/>
        <w:jc w:val="both"/>
        <w:rPr>
          <w:rFonts w:ascii="Times New Roman" w:hAnsi="Times New Roman" w:cs="Times New Roman"/>
          <w:sz w:val="28"/>
        </w:rPr>
      </w:pPr>
      <w:r w:rsidRPr="00CB38DD">
        <w:rPr>
          <w:rFonts w:ascii="Times New Roman" w:hAnsi="Times New Roman" w:cs="Times New Roman"/>
          <w:sz w:val="28"/>
        </w:rPr>
        <w:t xml:space="preserve">Проанализировав данные, </w:t>
      </w:r>
      <w:r w:rsidR="00B66185">
        <w:rPr>
          <w:rFonts w:ascii="Times New Roman" w:hAnsi="Times New Roman" w:cs="Times New Roman"/>
          <w:sz w:val="28"/>
        </w:rPr>
        <w:t xml:space="preserve">так же </w:t>
      </w:r>
      <w:r w:rsidRPr="00CB38DD">
        <w:rPr>
          <w:rFonts w:ascii="Times New Roman" w:hAnsi="Times New Roman" w:cs="Times New Roman"/>
          <w:sz w:val="28"/>
        </w:rPr>
        <w:t>было выявлено, что риск развития</w:t>
      </w:r>
      <w:r w:rsidR="00CB38DD" w:rsidRPr="00CB38DD">
        <w:rPr>
          <w:rFonts w:ascii="Times New Roman" w:hAnsi="Times New Roman" w:cs="Times New Roman"/>
          <w:sz w:val="28"/>
        </w:rPr>
        <w:t xml:space="preserve"> персистенции в 2,5 раза выше у пациентов с исходными значениями </w:t>
      </w:r>
      <w:r w:rsidR="009D41AD" w:rsidRPr="00CB38DD">
        <w:rPr>
          <w:rFonts w:ascii="Times New Roman" w:hAnsi="Times New Roman" w:cs="Times New Roman"/>
          <w:sz w:val="28"/>
        </w:rPr>
        <w:t>Са</w:t>
      </w:r>
      <w:proofErr w:type="gramStart"/>
      <w:r w:rsidR="009D41AD" w:rsidRPr="00CB38DD">
        <w:rPr>
          <w:rFonts w:ascii="Times New Roman" w:hAnsi="Times New Roman" w:cs="Times New Roman"/>
          <w:sz w:val="28"/>
          <w:vertAlign w:val="superscript"/>
        </w:rPr>
        <w:t>2</w:t>
      </w:r>
      <w:proofErr w:type="gramEnd"/>
      <w:r w:rsidR="009D41AD" w:rsidRPr="00CB38DD">
        <w:rPr>
          <w:rFonts w:ascii="Times New Roman" w:hAnsi="Times New Roman" w:cs="Times New Roman"/>
          <w:sz w:val="28"/>
          <w:vertAlign w:val="superscript"/>
        </w:rPr>
        <w:t>+</w:t>
      </w:r>
      <w:r w:rsidR="009D41AD" w:rsidRPr="00CB38DD">
        <w:rPr>
          <w:rFonts w:ascii="Times New Roman" w:hAnsi="Times New Roman" w:cs="Times New Roman"/>
          <w:sz w:val="28"/>
        </w:rPr>
        <w:t xml:space="preserve"> меньше 1,6 ммоль/л</w:t>
      </w:r>
      <w:r w:rsidR="00CB38DD" w:rsidRPr="00CB38DD">
        <w:rPr>
          <w:rFonts w:ascii="Times New Roman" w:hAnsi="Times New Roman" w:cs="Times New Roman"/>
          <w:sz w:val="28"/>
        </w:rPr>
        <w:t xml:space="preserve"> </w:t>
      </w:r>
      <w:r w:rsidR="009D41AD" w:rsidRPr="00CB38DD">
        <w:rPr>
          <w:rFonts w:ascii="Times New Roman" w:hAnsi="Times New Roman" w:cs="Times New Roman"/>
          <w:sz w:val="28"/>
        </w:rPr>
        <w:t>(</w:t>
      </w:r>
      <w:r w:rsidR="009D41AD" w:rsidRPr="00CB38DD">
        <w:rPr>
          <w:rFonts w:ascii="Times New Roman" w:hAnsi="Times New Roman" w:cs="Times New Roman"/>
          <w:sz w:val="28"/>
          <w:lang w:val="en-US"/>
        </w:rPr>
        <w:t>OR</w:t>
      </w:r>
      <w:r w:rsidR="009D41AD" w:rsidRPr="00CB38DD">
        <w:rPr>
          <w:rFonts w:ascii="Times New Roman" w:hAnsi="Times New Roman" w:cs="Times New Roman"/>
          <w:sz w:val="28"/>
        </w:rPr>
        <w:t xml:space="preserve"> 2,5, 95% ДИ 1,03-6,20)</w:t>
      </w:r>
      <w:r w:rsidR="002B29D5">
        <w:rPr>
          <w:rFonts w:ascii="Times New Roman" w:hAnsi="Times New Roman" w:cs="Times New Roman"/>
          <w:sz w:val="28"/>
        </w:rPr>
        <w:t>, чем у пациентов с иходно высокими значениями ионизированного кальция крови</w:t>
      </w:r>
      <w:r w:rsidR="009D41AD" w:rsidRPr="00CB38DD">
        <w:rPr>
          <w:rFonts w:ascii="Times New Roman" w:hAnsi="Times New Roman" w:cs="Times New Roman"/>
          <w:sz w:val="28"/>
        </w:rPr>
        <w:t>.</w:t>
      </w:r>
    </w:p>
    <w:p w:rsidR="00F21A85" w:rsidRPr="00F21A85" w:rsidRDefault="00F21A85" w:rsidP="00B66185">
      <w:pPr>
        <w:spacing w:before="240" w:after="240" w:line="360" w:lineRule="auto"/>
        <w:jc w:val="both"/>
        <w:rPr>
          <w:sz w:val="26"/>
        </w:rPr>
      </w:pPr>
      <w:r w:rsidRPr="00F21A85">
        <w:rPr>
          <w:rFonts w:ascii="Times New Roman" w:hAnsi="Times New Roman" w:cs="Times New Roman"/>
          <w:b/>
          <w:sz w:val="28"/>
        </w:rPr>
        <w:t>Рис.</w:t>
      </w:r>
      <w:r w:rsidR="00B100A9">
        <w:rPr>
          <w:rFonts w:ascii="Times New Roman" w:hAnsi="Times New Roman" w:cs="Times New Roman"/>
          <w:b/>
          <w:sz w:val="28"/>
        </w:rPr>
        <w:t>1</w:t>
      </w:r>
      <w:r w:rsidR="002B29D5">
        <w:rPr>
          <w:rFonts w:ascii="Times New Roman" w:hAnsi="Times New Roman" w:cs="Times New Roman"/>
          <w:b/>
          <w:sz w:val="28"/>
        </w:rPr>
        <w:t>3</w:t>
      </w:r>
      <w:r w:rsidRPr="00F21A85">
        <w:rPr>
          <w:rFonts w:ascii="Times New Roman" w:hAnsi="Times New Roman" w:cs="Times New Roman"/>
          <w:b/>
          <w:sz w:val="28"/>
        </w:rPr>
        <w:t xml:space="preserve"> Распределение пациентов по клиническим формам ПГПТ </w:t>
      </w:r>
      <w:r w:rsidR="00B2778E">
        <w:rPr>
          <w:rFonts w:ascii="Times New Roman" w:hAnsi="Times New Roman" w:cs="Times New Roman"/>
          <w:b/>
          <w:sz w:val="28"/>
        </w:rPr>
        <w:t>и прогнозу</w:t>
      </w:r>
    </w:p>
    <w:p w:rsidR="00F21A85" w:rsidRDefault="00F21A85" w:rsidP="00B66185">
      <w:pPr>
        <w:spacing w:after="240"/>
      </w:pPr>
      <w:r>
        <w:object w:dxaOrig="4520" w:dyaOrig="3393">
          <v:shape id="_x0000_i1035" type="#_x0000_t75" style="width:226.65pt;height:169.65pt" o:ole="">
            <v:imagedata r:id="rId34" o:title=""/>
          </v:shape>
          <o:OLEObject Type="Embed" ProgID="STATISTICA.Graph" ShapeID="_x0000_i1035" DrawAspect="Content" ObjectID="_1556546857" r:id="rId35">
            <o:FieldCodes>\s</o:FieldCodes>
          </o:OLEObject>
        </w:object>
      </w:r>
      <w:r>
        <w:object w:dxaOrig="4546" w:dyaOrig="3400">
          <v:shape id="_x0000_i1036" type="#_x0000_t75" style="width:227.9pt;height:170.9pt" o:ole="">
            <v:imagedata r:id="rId36" o:title=""/>
          </v:shape>
          <o:OLEObject Type="Embed" ProgID="STATISTICA.Graph" ShapeID="_x0000_i1036" DrawAspect="Content" ObjectID="_1556546858" r:id="rId37">
            <o:FieldCodes>\s</o:FieldCodes>
          </o:OLEObject>
        </w:object>
      </w:r>
    </w:p>
    <w:p w:rsidR="00F21A85" w:rsidRDefault="00F21A85" w:rsidP="00B66185">
      <w:pPr>
        <w:spacing w:after="240" w:line="360" w:lineRule="auto"/>
        <w:ind w:firstLine="709"/>
        <w:jc w:val="both"/>
        <w:rPr>
          <w:rFonts w:ascii="Times New Roman" w:hAnsi="Times New Roman" w:cs="Times New Roman"/>
          <w:sz w:val="28"/>
        </w:rPr>
      </w:pPr>
      <w:r w:rsidRPr="00F21A85">
        <w:rPr>
          <w:rFonts w:ascii="Times New Roman" w:hAnsi="Times New Roman" w:cs="Times New Roman"/>
          <w:sz w:val="28"/>
        </w:rPr>
        <w:t>В группе неблагоприятного прогноза существенная доля пациентов имела смешанную (47%) и костную (36%) формы ПГПТ</w:t>
      </w:r>
      <w:r w:rsidR="00E57F6F">
        <w:rPr>
          <w:rFonts w:ascii="Times New Roman" w:hAnsi="Times New Roman" w:cs="Times New Roman"/>
          <w:sz w:val="28"/>
        </w:rPr>
        <w:t>,</w:t>
      </w:r>
      <w:r w:rsidRPr="00F21A85">
        <w:rPr>
          <w:rFonts w:ascii="Times New Roman" w:hAnsi="Times New Roman" w:cs="Times New Roman"/>
          <w:sz w:val="28"/>
        </w:rPr>
        <w:t xml:space="preserve"> и не было отмечено метаболической формы, в отличие от благоприяного прогноза, где в основном </w:t>
      </w:r>
      <w:r w:rsidR="00B66185">
        <w:rPr>
          <w:rFonts w:ascii="Times New Roman" w:hAnsi="Times New Roman" w:cs="Times New Roman"/>
          <w:sz w:val="28"/>
        </w:rPr>
        <w:t xml:space="preserve">была отмечена </w:t>
      </w:r>
      <w:r w:rsidRPr="00F21A85">
        <w:rPr>
          <w:rFonts w:ascii="Times New Roman" w:hAnsi="Times New Roman" w:cs="Times New Roman"/>
          <w:sz w:val="28"/>
        </w:rPr>
        <w:t xml:space="preserve">смешанная форма (52%) и, практически, равное распределение всех остальных форм ПГПТ (4-16%). </w:t>
      </w:r>
      <w:r>
        <w:rPr>
          <w:rFonts w:ascii="Times New Roman" w:hAnsi="Times New Roman" w:cs="Times New Roman"/>
          <w:sz w:val="28"/>
        </w:rPr>
        <w:t>Однако существенной разницы между исследуемыми группами по наличию определенных клинических форм ПГПТ выявлено не было (</w:t>
      </w:r>
      <w:r>
        <w:rPr>
          <w:rFonts w:ascii="Times New Roman" w:hAnsi="Times New Roman" w:cs="Times New Roman"/>
          <w:sz w:val="28"/>
          <w:lang w:val="en-US"/>
        </w:rPr>
        <w:t>p</w:t>
      </w:r>
      <w:r w:rsidRPr="00F21A85">
        <w:rPr>
          <w:rFonts w:ascii="Times New Roman" w:hAnsi="Times New Roman" w:cs="Times New Roman"/>
          <w:sz w:val="28"/>
        </w:rPr>
        <w:t>&gt;0,05)</w:t>
      </w:r>
      <w:r>
        <w:rPr>
          <w:rFonts w:ascii="Times New Roman" w:hAnsi="Times New Roman" w:cs="Times New Roman"/>
          <w:sz w:val="28"/>
        </w:rPr>
        <w:t>.</w:t>
      </w:r>
    </w:p>
    <w:p w:rsidR="00B2778E" w:rsidRPr="00D277A0" w:rsidRDefault="00B2778E" w:rsidP="00D277A0">
      <w:pPr>
        <w:spacing w:before="240" w:after="240" w:line="360" w:lineRule="auto"/>
        <w:jc w:val="both"/>
        <w:rPr>
          <w:sz w:val="26"/>
        </w:rPr>
      </w:pPr>
      <w:r w:rsidRPr="00F21A85">
        <w:rPr>
          <w:rFonts w:ascii="Times New Roman" w:hAnsi="Times New Roman" w:cs="Times New Roman"/>
          <w:b/>
          <w:sz w:val="28"/>
        </w:rPr>
        <w:t>Рис.</w:t>
      </w:r>
      <w:r w:rsidR="00B100A9">
        <w:rPr>
          <w:rFonts w:ascii="Times New Roman" w:hAnsi="Times New Roman" w:cs="Times New Roman"/>
          <w:b/>
          <w:sz w:val="28"/>
        </w:rPr>
        <w:t>1</w:t>
      </w:r>
      <w:r w:rsidR="002B29D5">
        <w:rPr>
          <w:rFonts w:ascii="Times New Roman" w:hAnsi="Times New Roman" w:cs="Times New Roman"/>
          <w:b/>
          <w:sz w:val="28"/>
        </w:rPr>
        <w:t>4</w:t>
      </w:r>
      <w:r w:rsidRPr="00F21A85">
        <w:rPr>
          <w:rFonts w:ascii="Times New Roman" w:hAnsi="Times New Roman" w:cs="Times New Roman"/>
          <w:b/>
          <w:sz w:val="28"/>
        </w:rPr>
        <w:t xml:space="preserve"> Распределение пациентов по клиническим формам ПГПТ </w:t>
      </w:r>
      <w:r>
        <w:rPr>
          <w:rFonts w:ascii="Times New Roman" w:hAnsi="Times New Roman" w:cs="Times New Roman"/>
          <w:b/>
          <w:sz w:val="28"/>
        </w:rPr>
        <w:t>и возрасту</w:t>
      </w:r>
    </w:p>
    <w:p w:rsidR="00B2778E" w:rsidRDefault="00B2778E" w:rsidP="00B66185">
      <w:pPr>
        <w:spacing w:after="240" w:line="360" w:lineRule="auto"/>
        <w:ind w:firstLine="709"/>
        <w:jc w:val="both"/>
        <w:rPr>
          <w:rFonts w:ascii="Times New Roman" w:hAnsi="Times New Roman" w:cs="Times New Roman"/>
          <w:sz w:val="28"/>
        </w:rPr>
      </w:pPr>
      <w:r w:rsidRPr="00B2778E">
        <w:rPr>
          <w:rFonts w:ascii="Times New Roman" w:hAnsi="Times New Roman" w:cs="Times New Roman"/>
          <w:noProof/>
          <w:sz w:val="28"/>
          <w:lang w:eastAsia="ru-RU" w:bidi="ar-SA"/>
        </w:rPr>
        <w:drawing>
          <wp:inline distT="0" distB="0" distL="0" distR="0">
            <wp:extent cx="5486400" cy="32004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277A0" w:rsidRPr="00F15664" w:rsidRDefault="00D277A0" w:rsidP="00B66185">
      <w:pPr>
        <w:spacing w:after="240" w:line="360" w:lineRule="auto"/>
        <w:ind w:firstLine="709"/>
        <w:jc w:val="both"/>
        <w:rPr>
          <w:rFonts w:ascii="Times New Roman" w:hAnsi="Times New Roman" w:cs="Times New Roman"/>
          <w:sz w:val="28"/>
        </w:rPr>
      </w:pPr>
      <w:r>
        <w:rPr>
          <w:rFonts w:ascii="Times New Roman" w:hAnsi="Times New Roman" w:cs="Times New Roman"/>
          <w:sz w:val="28"/>
        </w:rPr>
        <w:t xml:space="preserve">Было замечено, что среди пациентов младшего возраста превалировали смешанные и висцеральные формы ПГПТ, а у пациентов старшей возрастной грыппы – костная и смешанная формы ПГПТ, однако статистической значимой разницы </w:t>
      </w:r>
      <w:r w:rsidR="00D50355">
        <w:rPr>
          <w:rFonts w:ascii="Times New Roman" w:hAnsi="Times New Roman" w:cs="Times New Roman"/>
          <w:sz w:val="28"/>
        </w:rPr>
        <w:t xml:space="preserve">между группами </w:t>
      </w:r>
      <w:r>
        <w:rPr>
          <w:rFonts w:ascii="Times New Roman" w:hAnsi="Times New Roman" w:cs="Times New Roman"/>
          <w:sz w:val="28"/>
        </w:rPr>
        <w:t>выявлено не было (</w:t>
      </w:r>
      <w:proofErr w:type="gramStart"/>
      <w:r>
        <w:rPr>
          <w:rFonts w:ascii="Times New Roman" w:hAnsi="Times New Roman" w:cs="Times New Roman"/>
          <w:sz w:val="28"/>
        </w:rPr>
        <w:t>р</w:t>
      </w:r>
      <w:proofErr w:type="gramEnd"/>
      <w:r>
        <w:rPr>
          <w:rFonts w:ascii="Times New Roman" w:hAnsi="Times New Roman" w:cs="Times New Roman"/>
          <w:sz w:val="28"/>
        </w:rPr>
        <w:t xml:space="preserve">&gt;0,05). </w:t>
      </w:r>
    </w:p>
    <w:p w:rsidR="00D277A0" w:rsidRPr="00CB38DD" w:rsidRDefault="007262FF" w:rsidP="00A812BA">
      <w:pPr>
        <w:pStyle w:val="2"/>
      </w:pPr>
      <w:bookmarkStart w:id="21" w:name="_Toc482798621"/>
      <w:r w:rsidRPr="00CB38DD">
        <w:t>3.</w:t>
      </w:r>
      <w:r w:rsidR="00B100A9">
        <w:t>5</w:t>
      </w:r>
      <w:r w:rsidRPr="00CB38DD">
        <w:t>. Определ</w:t>
      </w:r>
      <w:r w:rsidR="00EA6889">
        <w:t>ение</w:t>
      </w:r>
      <w:r w:rsidRPr="00CB38DD">
        <w:t xml:space="preserve"> наличие связи между дополнительны</w:t>
      </w:r>
      <w:r w:rsidR="00601B5C" w:rsidRPr="00CB38DD">
        <w:t>ми факторами риска персистенци</w:t>
      </w:r>
      <w:r w:rsidRPr="00CB38DD">
        <w:t>и и прогнозом</w:t>
      </w:r>
      <w:bookmarkEnd w:id="21"/>
      <w:r w:rsidRPr="00CB38DD">
        <w:t xml:space="preserve"> </w:t>
      </w:r>
    </w:p>
    <w:p w:rsidR="00601B5C" w:rsidRDefault="00601B5C" w:rsidP="007262FF">
      <w:pPr>
        <w:jc w:val="both"/>
        <w:rPr>
          <w:rFonts w:ascii="Times New Roman" w:hAnsi="Times New Roman" w:cs="Times New Roman"/>
          <w:b/>
        </w:rPr>
      </w:pPr>
    </w:p>
    <w:p w:rsidR="00710802" w:rsidRDefault="00710802" w:rsidP="007262FF">
      <w:pPr>
        <w:jc w:val="both"/>
        <w:rPr>
          <w:rFonts w:ascii="Times New Roman" w:hAnsi="Times New Roman" w:cs="Times New Roman"/>
          <w:b/>
        </w:rPr>
      </w:pPr>
    </w:p>
    <w:p w:rsidR="00710802" w:rsidRDefault="00710802" w:rsidP="007262FF">
      <w:pPr>
        <w:jc w:val="both"/>
        <w:rPr>
          <w:rFonts w:ascii="Times New Roman" w:hAnsi="Times New Roman" w:cs="Times New Roman"/>
          <w:b/>
        </w:rPr>
      </w:pPr>
    </w:p>
    <w:p w:rsidR="00710802" w:rsidRPr="00170DA5" w:rsidRDefault="00710802" w:rsidP="007262FF">
      <w:pPr>
        <w:jc w:val="both"/>
        <w:rPr>
          <w:rFonts w:ascii="Times New Roman" w:hAnsi="Times New Roman" w:cs="Times New Roman"/>
          <w:b/>
        </w:rPr>
      </w:pPr>
    </w:p>
    <w:p w:rsidR="007262FF" w:rsidRPr="00B1721F" w:rsidRDefault="007262FF" w:rsidP="00B1721F">
      <w:pPr>
        <w:spacing w:line="360" w:lineRule="auto"/>
        <w:jc w:val="both"/>
        <w:rPr>
          <w:rFonts w:ascii="Times New Roman" w:hAnsi="Times New Roman" w:cs="Times New Roman"/>
          <w:b/>
          <w:sz w:val="28"/>
          <w:szCs w:val="28"/>
        </w:rPr>
      </w:pPr>
      <w:r w:rsidRPr="00B1721F">
        <w:rPr>
          <w:rFonts w:ascii="Times New Roman" w:hAnsi="Times New Roman" w:cs="Times New Roman"/>
          <w:b/>
          <w:sz w:val="28"/>
          <w:szCs w:val="28"/>
        </w:rPr>
        <w:t>Таб.</w:t>
      </w:r>
      <w:r w:rsidR="002B29D5">
        <w:rPr>
          <w:rFonts w:ascii="Times New Roman" w:hAnsi="Times New Roman" w:cs="Times New Roman"/>
          <w:b/>
          <w:sz w:val="28"/>
          <w:szCs w:val="28"/>
        </w:rPr>
        <w:t>1</w:t>
      </w:r>
      <w:r w:rsidRPr="00B1721F">
        <w:rPr>
          <w:rFonts w:ascii="Times New Roman" w:hAnsi="Times New Roman" w:cs="Times New Roman"/>
          <w:b/>
          <w:sz w:val="28"/>
          <w:szCs w:val="28"/>
        </w:rPr>
        <w:t xml:space="preserve"> Распределение пациентов по наличию предыд</w:t>
      </w:r>
      <w:r w:rsidR="00170DA5" w:rsidRPr="00B1721F">
        <w:rPr>
          <w:rFonts w:ascii="Times New Roman" w:hAnsi="Times New Roman" w:cs="Times New Roman"/>
          <w:b/>
          <w:sz w:val="28"/>
          <w:szCs w:val="28"/>
        </w:rPr>
        <w:t>ущих вмешательств в области шеи</w:t>
      </w:r>
    </w:p>
    <w:tbl>
      <w:tblPr>
        <w:tblStyle w:val="13"/>
        <w:tblW w:w="0" w:type="auto"/>
        <w:tblLook w:val="04A0"/>
      </w:tblPr>
      <w:tblGrid>
        <w:gridCol w:w="2440"/>
        <w:gridCol w:w="2386"/>
        <w:gridCol w:w="2376"/>
        <w:gridCol w:w="2369"/>
      </w:tblGrid>
      <w:tr w:rsidR="007262FF" w:rsidRPr="00255458" w:rsidTr="00EA6889">
        <w:trPr>
          <w:cnfStyle w:val="100000000000"/>
        </w:trPr>
        <w:tc>
          <w:tcPr>
            <w:cnfStyle w:val="001000000000"/>
            <w:tcW w:w="2440" w:type="dxa"/>
            <w:vMerge w:val="restart"/>
          </w:tcPr>
          <w:p w:rsidR="007262FF" w:rsidRPr="00255458" w:rsidRDefault="007262FF" w:rsidP="008D40A6">
            <w:pPr>
              <w:spacing w:line="360" w:lineRule="auto"/>
              <w:jc w:val="both"/>
              <w:rPr>
                <w:rFonts w:ascii="Times New Roman" w:hAnsi="Times New Roman" w:cs="Times New Roman"/>
              </w:rPr>
            </w:pPr>
            <w:r w:rsidRPr="00255458">
              <w:rPr>
                <w:rFonts w:ascii="Times New Roman" w:hAnsi="Times New Roman" w:cs="Times New Roman"/>
              </w:rPr>
              <w:t xml:space="preserve">Группы </w:t>
            </w:r>
          </w:p>
        </w:tc>
        <w:tc>
          <w:tcPr>
            <w:tcW w:w="2386" w:type="dxa"/>
          </w:tcPr>
          <w:p w:rsidR="007262FF" w:rsidRPr="00255458" w:rsidRDefault="007262FF" w:rsidP="008D40A6">
            <w:pPr>
              <w:spacing w:line="360" w:lineRule="auto"/>
              <w:jc w:val="both"/>
              <w:cnfStyle w:val="100000000000"/>
              <w:rPr>
                <w:rFonts w:ascii="Times New Roman" w:hAnsi="Times New Roman" w:cs="Times New Roman"/>
              </w:rPr>
            </w:pPr>
            <w:r w:rsidRPr="00255458">
              <w:rPr>
                <w:rFonts w:ascii="Times New Roman" w:hAnsi="Times New Roman" w:cs="Times New Roman"/>
              </w:rPr>
              <w:t>Мужчины, человек</w:t>
            </w:r>
          </w:p>
        </w:tc>
        <w:tc>
          <w:tcPr>
            <w:tcW w:w="2376" w:type="dxa"/>
          </w:tcPr>
          <w:p w:rsidR="007262FF" w:rsidRPr="00255458" w:rsidRDefault="007262FF" w:rsidP="008D40A6">
            <w:pPr>
              <w:spacing w:line="360" w:lineRule="auto"/>
              <w:jc w:val="both"/>
              <w:cnfStyle w:val="100000000000"/>
              <w:rPr>
                <w:rFonts w:ascii="Times New Roman" w:hAnsi="Times New Roman" w:cs="Times New Roman"/>
              </w:rPr>
            </w:pPr>
            <w:r w:rsidRPr="00255458">
              <w:rPr>
                <w:rFonts w:ascii="Times New Roman" w:hAnsi="Times New Roman" w:cs="Times New Roman"/>
              </w:rPr>
              <w:t>Женщин, человек</w:t>
            </w:r>
          </w:p>
        </w:tc>
        <w:tc>
          <w:tcPr>
            <w:tcW w:w="2369" w:type="dxa"/>
          </w:tcPr>
          <w:p w:rsidR="007262FF" w:rsidRPr="00255458" w:rsidRDefault="007262FF" w:rsidP="008D40A6">
            <w:pPr>
              <w:spacing w:line="360" w:lineRule="auto"/>
              <w:jc w:val="both"/>
              <w:cnfStyle w:val="100000000000"/>
              <w:rPr>
                <w:rFonts w:ascii="Times New Roman" w:hAnsi="Times New Roman" w:cs="Times New Roman"/>
              </w:rPr>
            </w:pPr>
            <w:r w:rsidRPr="00255458">
              <w:rPr>
                <w:rFonts w:ascii="Times New Roman" w:hAnsi="Times New Roman" w:cs="Times New Roman"/>
              </w:rPr>
              <w:t>Всего, человек</w:t>
            </w:r>
          </w:p>
        </w:tc>
      </w:tr>
      <w:tr w:rsidR="007262FF" w:rsidRPr="00255458" w:rsidTr="00EA6889">
        <w:trPr>
          <w:cnfStyle w:val="000000100000"/>
        </w:trPr>
        <w:tc>
          <w:tcPr>
            <w:cnfStyle w:val="001000000000"/>
            <w:tcW w:w="2440" w:type="dxa"/>
            <w:vMerge/>
          </w:tcPr>
          <w:p w:rsidR="007262FF" w:rsidRPr="00255458" w:rsidRDefault="007262FF" w:rsidP="008D40A6">
            <w:pPr>
              <w:spacing w:line="360" w:lineRule="auto"/>
              <w:jc w:val="both"/>
              <w:rPr>
                <w:rFonts w:ascii="Times New Roman" w:hAnsi="Times New Roman" w:cs="Times New Roman"/>
              </w:rPr>
            </w:pPr>
          </w:p>
        </w:tc>
        <w:tc>
          <w:tcPr>
            <w:tcW w:w="2386" w:type="dxa"/>
          </w:tcPr>
          <w:p w:rsidR="007262FF" w:rsidRPr="00255458" w:rsidRDefault="007262FF" w:rsidP="008D40A6">
            <w:pPr>
              <w:spacing w:line="360" w:lineRule="auto"/>
              <w:jc w:val="both"/>
              <w:cnfStyle w:val="000000100000"/>
              <w:rPr>
                <w:rFonts w:ascii="Times New Roman" w:hAnsi="Times New Roman" w:cs="Times New Roman"/>
              </w:rPr>
            </w:pPr>
            <w:r w:rsidRPr="00255458">
              <w:rPr>
                <w:rFonts w:ascii="Times New Roman" w:hAnsi="Times New Roman" w:cs="Times New Roman"/>
              </w:rPr>
              <w:t>Абс. значение</w:t>
            </w:r>
          </w:p>
        </w:tc>
        <w:tc>
          <w:tcPr>
            <w:tcW w:w="2376" w:type="dxa"/>
          </w:tcPr>
          <w:p w:rsidR="007262FF" w:rsidRPr="00255458" w:rsidRDefault="007262FF" w:rsidP="008D40A6">
            <w:pPr>
              <w:spacing w:line="360" w:lineRule="auto"/>
              <w:jc w:val="both"/>
              <w:cnfStyle w:val="000000100000"/>
              <w:rPr>
                <w:rFonts w:ascii="Times New Roman" w:hAnsi="Times New Roman" w:cs="Times New Roman"/>
              </w:rPr>
            </w:pPr>
            <w:r w:rsidRPr="00255458">
              <w:rPr>
                <w:rFonts w:ascii="Times New Roman" w:hAnsi="Times New Roman" w:cs="Times New Roman"/>
              </w:rPr>
              <w:t>Абс. значение</w:t>
            </w:r>
          </w:p>
        </w:tc>
        <w:tc>
          <w:tcPr>
            <w:tcW w:w="2369" w:type="dxa"/>
          </w:tcPr>
          <w:p w:rsidR="007262FF" w:rsidRPr="00255458" w:rsidRDefault="007262FF" w:rsidP="008D40A6">
            <w:pPr>
              <w:spacing w:line="360" w:lineRule="auto"/>
              <w:jc w:val="both"/>
              <w:cnfStyle w:val="000000100000"/>
              <w:rPr>
                <w:rFonts w:ascii="Times New Roman" w:hAnsi="Times New Roman" w:cs="Times New Roman"/>
              </w:rPr>
            </w:pPr>
            <w:r w:rsidRPr="00255458">
              <w:rPr>
                <w:rFonts w:ascii="Times New Roman" w:hAnsi="Times New Roman" w:cs="Times New Roman"/>
              </w:rPr>
              <w:t>Абс. значение</w:t>
            </w:r>
          </w:p>
        </w:tc>
      </w:tr>
      <w:tr w:rsidR="007262FF" w:rsidRPr="00255458" w:rsidTr="00EA6889">
        <w:tc>
          <w:tcPr>
            <w:cnfStyle w:val="001000000000"/>
            <w:tcW w:w="2440" w:type="dxa"/>
          </w:tcPr>
          <w:p w:rsidR="007262FF" w:rsidRPr="00255458" w:rsidRDefault="007262FF" w:rsidP="008D40A6">
            <w:pPr>
              <w:spacing w:line="360" w:lineRule="auto"/>
              <w:jc w:val="both"/>
              <w:rPr>
                <w:rFonts w:ascii="Times New Roman" w:hAnsi="Times New Roman" w:cs="Times New Roman"/>
              </w:rPr>
            </w:pPr>
            <w:r w:rsidRPr="00255458">
              <w:rPr>
                <w:rFonts w:ascii="Times New Roman" w:hAnsi="Times New Roman" w:cs="Times New Roman"/>
              </w:rPr>
              <w:t>Благоприятного прогноза</w:t>
            </w:r>
          </w:p>
        </w:tc>
        <w:tc>
          <w:tcPr>
            <w:tcW w:w="2386" w:type="dxa"/>
          </w:tcPr>
          <w:p w:rsidR="007262FF" w:rsidRPr="00255458" w:rsidRDefault="007262FF" w:rsidP="008D40A6">
            <w:pPr>
              <w:spacing w:line="360" w:lineRule="auto"/>
              <w:jc w:val="both"/>
              <w:cnfStyle w:val="000000000000"/>
              <w:rPr>
                <w:rFonts w:ascii="Times New Roman" w:hAnsi="Times New Roman" w:cs="Times New Roman"/>
              </w:rPr>
            </w:pPr>
            <w:r w:rsidRPr="00255458">
              <w:rPr>
                <w:rFonts w:ascii="Times New Roman" w:hAnsi="Times New Roman" w:cs="Times New Roman"/>
              </w:rPr>
              <w:t>0</w:t>
            </w:r>
          </w:p>
        </w:tc>
        <w:tc>
          <w:tcPr>
            <w:tcW w:w="2376" w:type="dxa"/>
          </w:tcPr>
          <w:p w:rsidR="007262FF" w:rsidRPr="00255458" w:rsidRDefault="007262FF" w:rsidP="008D40A6">
            <w:pPr>
              <w:spacing w:line="360" w:lineRule="auto"/>
              <w:jc w:val="both"/>
              <w:cnfStyle w:val="000000000000"/>
              <w:rPr>
                <w:rFonts w:ascii="Times New Roman" w:hAnsi="Times New Roman" w:cs="Times New Roman"/>
              </w:rPr>
            </w:pPr>
            <w:r w:rsidRPr="00255458">
              <w:rPr>
                <w:rFonts w:ascii="Times New Roman" w:hAnsi="Times New Roman" w:cs="Times New Roman"/>
              </w:rPr>
              <w:t>27</w:t>
            </w:r>
          </w:p>
        </w:tc>
        <w:tc>
          <w:tcPr>
            <w:tcW w:w="2369" w:type="dxa"/>
          </w:tcPr>
          <w:p w:rsidR="007262FF" w:rsidRPr="00255458" w:rsidRDefault="007262FF" w:rsidP="008D40A6">
            <w:pPr>
              <w:spacing w:line="360" w:lineRule="auto"/>
              <w:jc w:val="both"/>
              <w:cnfStyle w:val="000000000000"/>
              <w:rPr>
                <w:rFonts w:ascii="Times New Roman" w:hAnsi="Times New Roman" w:cs="Times New Roman"/>
              </w:rPr>
            </w:pPr>
            <w:r w:rsidRPr="00255458">
              <w:rPr>
                <w:rFonts w:ascii="Times New Roman" w:hAnsi="Times New Roman" w:cs="Times New Roman"/>
              </w:rPr>
              <w:t>27</w:t>
            </w:r>
          </w:p>
        </w:tc>
      </w:tr>
      <w:tr w:rsidR="007262FF" w:rsidRPr="00255458" w:rsidTr="00EA6889">
        <w:trPr>
          <w:cnfStyle w:val="000000100000"/>
        </w:trPr>
        <w:tc>
          <w:tcPr>
            <w:cnfStyle w:val="001000000000"/>
            <w:tcW w:w="2440" w:type="dxa"/>
          </w:tcPr>
          <w:p w:rsidR="007262FF" w:rsidRPr="00255458" w:rsidRDefault="007262FF" w:rsidP="008D40A6">
            <w:pPr>
              <w:spacing w:line="360" w:lineRule="auto"/>
              <w:jc w:val="both"/>
              <w:rPr>
                <w:rFonts w:ascii="Times New Roman" w:hAnsi="Times New Roman" w:cs="Times New Roman"/>
              </w:rPr>
            </w:pPr>
            <w:r w:rsidRPr="00255458">
              <w:rPr>
                <w:rFonts w:ascii="Times New Roman" w:hAnsi="Times New Roman" w:cs="Times New Roman"/>
              </w:rPr>
              <w:t>Неблагоприятного прогноза</w:t>
            </w:r>
          </w:p>
        </w:tc>
        <w:tc>
          <w:tcPr>
            <w:tcW w:w="2386" w:type="dxa"/>
          </w:tcPr>
          <w:p w:rsidR="007262FF" w:rsidRPr="00255458" w:rsidRDefault="007262FF" w:rsidP="008D40A6">
            <w:pPr>
              <w:spacing w:line="360" w:lineRule="auto"/>
              <w:jc w:val="both"/>
              <w:cnfStyle w:val="000000100000"/>
              <w:rPr>
                <w:rFonts w:ascii="Times New Roman" w:hAnsi="Times New Roman" w:cs="Times New Roman"/>
              </w:rPr>
            </w:pPr>
            <w:r w:rsidRPr="00255458">
              <w:rPr>
                <w:rFonts w:ascii="Times New Roman" w:hAnsi="Times New Roman" w:cs="Times New Roman"/>
              </w:rPr>
              <w:t>0</w:t>
            </w:r>
          </w:p>
        </w:tc>
        <w:tc>
          <w:tcPr>
            <w:tcW w:w="2376" w:type="dxa"/>
          </w:tcPr>
          <w:p w:rsidR="007262FF" w:rsidRPr="00255458" w:rsidRDefault="007262FF" w:rsidP="008D40A6">
            <w:pPr>
              <w:spacing w:line="360" w:lineRule="auto"/>
              <w:jc w:val="both"/>
              <w:cnfStyle w:val="000000100000"/>
              <w:rPr>
                <w:rFonts w:ascii="Times New Roman" w:hAnsi="Times New Roman" w:cs="Times New Roman"/>
              </w:rPr>
            </w:pPr>
            <w:r w:rsidRPr="00255458">
              <w:rPr>
                <w:rFonts w:ascii="Times New Roman" w:hAnsi="Times New Roman" w:cs="Times New Roman"/>
              </w:rPr>
              <w:t>5</w:t>
            </w:r>
          </w:p>
        </w:tc>
        <w:tc>
          <w:tcPr>
            <w:tcW w:w="2369" w:type="dxa"/>
          </w:tcPr>
          <w:p w:rsidR="007262FF" w:rsidRPr="00255458" w:rsidRDefault="007262FF" w:rsidP="008D40A6">
            <w:pPr>
              <w:spacing w:line="360" w:lineRule="auto"/>
              <w:jc w:val="both"/>
              <w:cnfStyle w:val="000000100000"/>
              <w:rPr>
                <w:rFonts w:ascii="Times New Roman" w:hAnsi="Times New Roman" w:cs="Times New Roman"/>
              </w:rPr>
            </w:pPr>
            <w:r w:rsidRPr="00255458">
              <w:rPr>
                <w:rFonts w:ascii="Times New Roman" w:hAnsi="Times New Roman" w:cs="Times New Roman"/>
              </w:rPr>
              <w:t>5</w:t>
            </w:r>
          </w:p>
        </w:tc>
      </w:tr>
      <w:tr w:rsidR="007262FF" w:rsidRPr="00255458" w:rsidTr="00EA6889">
        <w:tc>
          <w:tcPr>
            <w:cnfStyle w:val="001000000000"/>
            <w:tcW w:w="2440" w:type="dxa"/>
          </w:tcPr>
          <w:p w:rsidR="007262FF" w:rsidRPr="00255458" w:rsidRDefault="007262FF" w:rsidP="00B66185">
            <w:pPr>
              <w:spacing w:before="240" w:after="240" w:line="360" w:lineRule="auto"/>
              <w:jc w:val="both"/>
              <w:rPr>
                <w:rFonts w:ascii="Times New Roman" w:hAnsi="Times New Roman" w:cs="Times New Roman"/>
              </w:rPr>
            </w:pPr>
            <w:r w:rsidRPr="00255458">
              <w:rPr>
                <w:rFonts w:ascii="Times New Roman" w:hAnsi="Times New Roman" w:cs="Times New Roman"/>
              </w:rPr>
              <w:t>Итого</w:t>
            </w:r>
          </w:p>
        </w:tc>
        <w:tc>
          <w:tcPr>
            <w:tcW w:w="2386" w:type="dxa"/>
          </w:tcPr>
          <w:p w:rsidR="007262FF" w:rsidRPr="00255458" w:rsidRDefault="007262FF" w:rsidP="00B66185">
            <w:pPr>
              <w:spacing w:before="240" w:after="240" w:line="360" w:lineRule="auto"/>
              <w:jc w:val="both"/>
              <w:cnfStyle w:val="000000000000"/>
              <w:rPr>
                <w:rFonts w:ascii="Times New Roman" w:hAnsi="Times New Roman" w:cs="Times New Roman"/>
              </w:rPr>
            </w:pPr>
            <w:r w:rsidRPr="00255458">
              <w:rPr>
                <w:rFonts w:ascii="Times New Roman" w:hAnsi="Times New Roman" w:cs="Times New Roman"/>
              </w:rPr>
              <w:t>0</w:t>
            </w:r>
          </w:p>
        </w:tc>
        <w:tc>
          <w:tcPr>
            <w:tcW w:w="2376" w:type="dxa"/>
          </w:tcPr>
          <w:p w:rsidR="007262FF" w:rsidRPr="00255458" w:rsidRDefault="007262FF" w:rsidP="00B66185">
            <w:pPr>
              <w:spacing w:before="240" w:after="240" w:line="360" w:lineRule="auto"/>
              <w:jc w:val="both"/>
              <w:cnfStyle w:val="000000000000"/>
              <w:rPr>
                <w:rFonts w:ascii="Times New Roman" w:hAnsi="Times New Roman" w:cs="Times New Roman"/>
              </w:rPr>
            </w:pPr>
            <w:r w:rsidRPr="00255458">
              <w:rPr>
                <w:rFonts w:ascii="Times New Roman" w:hAnsi="Times New Roman" w:cs="Times New Roman"/>
              </w:rPr>
              <w:t>32</w:t>
            </w:r>
          </w:p>
        </w:tc>
        <w:tc>
          <w:tcPr>
            <w:tcW w:w="2369" w:type="dxa"/>
          </w:tcPr>
          <w:p w:rsidR="007262FF" w:rsidRPr="00255458" w:rsidRDefault="007262FF" w:rsidP="00B66185">
            <w:pPr>
              <w:spacing w:before="240" w:after="240" w:line="360" w:lineRule="auto"/>
              <w:jc w:val="both"/>
              <w:cnfStyle w:val="000000000000"/>
              <w:rPr>
                <w:rFonts w:ascii="Times New Roman" w:hAnsi="Times New Roman" w:cs="Times New Roman"/>
              </w:rPr>
            </w:pPr>
            <w:r w:rsidRPr="00255458">
              <w:rPr>
                <w:rFonts w:ascii="Times New Roman" w:hAnsi="Times New Roman" w:cs="Times New Roman"/>
              </w:rPr>
              <w:t>32</w:t>
            </w:r>
          </w:p>
        </w:tc>
      </w:tr>
    </w:tbl>
    <w:p w:rsidR="00A03A3A" w:rsidRPr="00A03A3A" w:rsidRDefault="00710802" w:rsidP="00B66185">
      <w:pPr>
        <w:spacing w:before="240" w:after="240"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Проанализировав данные, з</w:t>
      </w:r>
      <w:r w:rsidR="007262FF" w:rsidRPr="00B1721F">
        <w:rPr>
          <w:rFonts w:ascii="Times New Roman" w:hAnsi="Times New Roman" w:cs="Times New Roman"/>
          <w:sz w:val="28"/>
          <w:szCs w:val="28"/>
        </w:rPr>
        <w:t>начимой связи между наличием предыдущих вмешательств в области шеи и неблагоприятным прогнозом найдено не было (</w:t>
      </w:r>
      <w:r w:rsidR="00410F65" w:rsidRPr="00B1721F">
        <w:rPr>
          <w:rFonts w:ascii="Times New Roman" w:hAnsi="Times New Roman" w:cs="Times New Roman"/>
          <w:sz w:val="28"/>
          <w:szCs w:val="28"/>
          <w:lang w:val="en-US"/>
        </w:rPr>
        <w:t>X</w:t>
      </w:r>
      <w:r w:rsidR="00410F65" w:rsidRPr="00B1721F">
        <w:rPr>
          <w:rFonts w:ascii="Times New Roman" w:hAnsi="Times New Roman" w:cs="Times New Roman"/>
          <w:sz w:val="28"/>
          <w:szCs w:val="28"/>
          <w:vertAlign w:val="superscript"/>
        </w:rPr>
        <w:t>2</w:t>
      </w:r>
      <w:r w:rsidR="00410F65" w:rsidRPr="00B1721F">
        <w:rPr>
          <w:rFonts w:ascii="Times New Roman" w:hAnsi="Times New Roman" w:cs="Times New Roman"/>
          <w:sz w:val="28"/>
          <w:szCs w:val="28"/>
          <w:vertAlign w:val="subscript"/>
        </w:rPr>
        <w:t>1</w:t>
      </w:r>
      <w:proofErr w:type="spellStart"/>
      <w:r w:rsidR="00410F65" w:rsidRPr="00B1721F">
        <w:rPr>
          <w:rFonts w:ascii="Times New Roman" w:hAnsi="Times New Roman" w:cs="Times New Roman"/>
          <w:sz w:val="28"/>
          <w:szCs w:val="28"/>
          <w:vertAlign w:val="subscript"/>
          <w:lang w:val="en-US"/>
        </w:rPr>
        <w:t>df</w:t>
      </w:r>
      <w:proofErr w:type="spellEnd"/>
      <w:r w:rsidR="00410F65" w:rsidRPr="00B1721F">
        <w:rPr>
          <w:rFonts w:ascii="Times New Roman" w:hAnsi="Times New Roman" w:cs="Times New Roman"/>
          <w:sz w:val="28"/>
          <w:szCs w:val="28"/>
        </w:rPr>
        <w:t xml:space="preserve"> =</w:t>
      </w:r>
      <w:r w:rsidR="00B1721F">
        <w:rPr>
          <w:rFonts w:ascii="Times New Roman" w:hAnsi="Times New Roman" w:cs="Times New Roman"/>
          <w:sz w:val="28"/>
          <w:szCs w:val="28"/>
        </w:rPr>
        <w:t xml:space="preserve"> </w:t>
      </w:r>
      <w:r w:rsidR="00410F65" w:rsidRPr="00B1721F">
        <w:rPr>
          <w:rFonts w:ascii="Times New Roman" w:hAnsi="Times New Roman" w:cs="Times New Roman"/>
          <w:sz w:val="28"/>
          <w:szCs w:val="28"/>
        </w:rPr>
        <w:t xml:space="preserve">0,58; </w:t>
      </w:r>
      <w:proofErr w:type="gramStart"/>
      <w:r w:rsidR="007262FF" w:rsidRPr="00B1721F">
        <w:rPr>
          <w:rFonts w:ascii="Times New Roman" w:hAnsi="Times New Roman" w:cs="Times New Roman"/>
          <w:sz w:val="28"/>
          <w:szCs w:val="28"/>
        </w:rPr>
        <w:t>р</w:t>
      </w:r>
      <w:proofErr w:type="gramEnd"/>
      <w:r w:rsidR="00B1721F">
        <w:rPr>
          <w:rFonts w:ascii="Times New Roman" w:hAnsi="Times New Roman" w:cs="Times New Roman"/>
          <w:sz w:val="28"/>
          <w:szCs w:val="28"/>
        </w:rPr>
        <w:t xml:space="preserve"> </w:t>
      </w:r>
      <w:r w:rsidR="007262FF" w:rsidRPr="00B1721F">
        <w:rPr>
          <w:rFonts w:ascii="Times New Roman" w:hAnsi="Times New Roman" w:cs="Times New Roman"/>
          <w:sz w:val="28"/>
          <w:szCs w:val="28"/>
        </w:rPr>
        <w:t>=</w:t>
      </w:r>
      <w:r w:rsidR="00B1721F">
        <w:rPr>
          <w:rFonts w:ascii="Times New Roman" w:hAnsi="Times New Roman" w:cs="Times New Roman"/>
          <w:sz w:val="28"/>
          <w:szCs w:val="28"/>
        </w:rPr>
        <w:t xml:space="preserve"> </w:t>
      </w:r>
      <w:r w:rsidR="007262FF" w:rsidRPr="00B1721F">
        <w:rPr>
          <w:rFonts w:ascii="Times New Roman" w:hAnsi="Times New Roman" w:cs="Times New Roman"/>
          <w:sz w:val="28"/>
          <w:szCs w:val="28"/>
        </w:rPr>
        <w:t>0,</w:t>
      </w:r>
      <w:r w:rsidR="00410F65" w:rsidRPr="00B1721F">
        <w:rPr>
          <w:rFonts w:ascii="Times New Roman" w:hAnsi="Times New Roman" w:cs="Times New Roman"/>
          <w:sz w:val="28"/>
          <w:szCs w:val="28"/>
        </w:rPr>
        <w:t>44</w:t>
      </w:r>
      <w:r w:rsidR="007262FF" w:rsidRPr="00B1721F">
        <w:rPr>
          <w:rFonts w:ascii="Times New Roman" w:hAnsi="Times New Roman" w:cs="Times New Roman"/>
          <w:sz w:val="28"/>
          <w:szCs w:val="28"/>
        </w:rPr>
        <w:t>).</w:t>
      </w:r>
    </w:p>
    <w:p w:rsidR="007262FF" w:rsidRPr="00B1721F" w:rsidRDefault="007262FF" w:rsidP="00B66185">
      <w:pPr>
        <w:spacing w:before="240" w:line="360" w:lineRule="auto"/>
        <w:jc w:val="both"/>
        <w:rPr>
          <w:rFonts w:ascii="Times New Roman" w:hAnsi="Times New Roman" w:cs="Times New Roman"/>
          <w:b/>
          <w:sz w:val="28"/>
        </w:rPr>
      </w:pPr>
      <w:r w:rsidRPr="00B1721F">
        <w:rPr>
          <w:rFonts w:ascii="Times New Roman" w:hAnsi="Times New Roman" w:cs="Times New Roman"/>
          <w:b/>
          <w:sz w:val="28"/>
        </w:rPr>
        <w:t>Таб.</w:t>
      </w:r>
      <w:r w:rsidR="002B29D5">
        <w:rPr>
          <w:rFonts w:ascii="Times New Roman" w:hAnsi="Times New Roman" w:cs="Times New Roman"/>
          <w:b/>
          <w:sz w:val="28"/>
        </w:rPr>
        <w:t>2</w:t>
      </w:r>
      <w:r w:rsidRPr="00B1721F">
        <w:rPr>
          <w:rFonts w:ascii="Times New Roman" w:hAnsi="Times New Roman" w:cs="Times New Roman"/>
          <w:b/>
          <w:sz w:val="28"/>
        </w:rPr>
        <w:t xml:space="preserve"> Распределение пациентов по на</w:t>
      </w:r>
      <w:r w:rsidR="00EA6889">
        <w:rPr>
          <w:rFonts w:ascii="Times New Roman" w:hAnsi="Times New Roman" w:cs="Times New Roman"/>
          <w:b/>
          <w:sz w:val="28"/>
        </w:rPr>
        <w:t>личию узлов в щитовидной железе</w:t>
      </w:r>
    </w:p>
    <w:tbl>
      <w:tblPr>
        <w:tblStyle w:val="13"/>
        <w:tblW w:w="0" w:type="auto"/>
        <w:tblLook w:val="04A0"/>
      </w:tblPr>
      <w:tblGrid>
        <w:gridCol w:w="2440"/>
        <w:gridCol w:w="2386"/>
        <w:gridCol w:w="2376"/>
        <w:gridCol w:w="2369"/>
      </w:tblGrid>
      <w:tr w:rsidR="007262FF" w:rsidRPr="00255458" w:rsidTr="00EA6889">
        <w:trPr>
          <w:cnfStyle w:val="100000000000"/>
        </w:trPr>
        <w:tc>
          <w:tcPr>
            <w:cnfStyle w:val="001000000000"/>
            <w:tcW w:w="2440" w:type="dxa"/>
            <w:vMerge w:val="restart"/>
          </w:tcPr>
          <w:p w:rsidR="007262FF" w:rsidRPr="00255458" w:rsidRDefault="007262FF" w:rsidP="00B66185">
            <w:pPr>
              <w:spacing w:before="240" w:line="360" w:lineRule="auto"/>
              <w:jc w:val="both"/>
              <w:rPr>
                <w:rFonts w:ascii="Times New Roman" w:hAnsi="Times New Roman" w:cs="Times New Roman"/>
              </w:rPr>
            </w:pPr>
            <w:r w:rsidRPr="00255458">
              <w:rPr>
                <w:rFonts w:ascii="Times New Roman" w:hAnsi="Times New Roman" w:cs="Times New Roman"/>
              </w:rPr>
              <w:t xml:space="preserve">Группы </w:t>
            </w:r>
          </w:p>
        </w:tc>
        <w:tc>
          <w:tcPr>
            <w:tcW w:w="2386" w:type="dxa"/>
          </w:tcPr>
          <w:p w:rsidR="007262FF" w:rsidRPr="00255458" w:rsidRDefault="007262FF" w:rsidP="00B66185">
            <w:pPr>
              <w:spacing w:before="240" w:line="360" w:lineRule="auto"/>
              <w:jc w:val="both"/>
              <w:cnfStyle w:val="100000000000"/>
              <w:rPr>
                <w:rFonts w:ascii="Times New Roman" w:hAnsi="Times New Roman" w:cs="Times New Roman"/>
              </w:rPr>
            </w:pPr>
            <w:r w:rsidRPr="00255458">
              <w:rPr>
                <w:rFonts w:ascii="Times New Roman" w:hAnsi="Times New Roman" w:cs="Times New Roman"/>
              </w:rPr>
              <w:t>Мужчины, человек</w:t>
            </w:r>
          </w:p>
        </w:tc>
        <w:tc>
          <w:tcPr>
            <w:tcW w:w="2376" w:type="dxa"/>
          </w:tcPr>
          <w:p w:rsidR="007262FF" w:rsidRPr="00255458" w:rsidRDefault="007262FF" w:rsidP="00B66185">
            <w:pPr>
              <w:spacing w:before="240" w:line="360" w:lineRule="auto"/>
              <w:jc w:val="both"/>
              <w:cnfStyle w:val="100000000000"/>
              <w:rPr>
                <w:rFonts w:ascii="Times New Roman" w:hAnsi="Times New Roman" w:cs="Times New Roman"/>
              </w:rPr>
            </w:pPr>
            <w:r w:rsidRPr="00255458">
              <w:rPr>
                <w:rFonts w:ascii="Times New Roman" w:hAnsi="Times New Roman" w:cs="Times New Roman"/>
              </w:rPr>
              <w:t>Женщин, человек</w:t>
            </w:r>
          </w:p>
        </w:tc>
        <w:tc>
          <w:tcPr>
            <w:tcW w:w="2369" w:type="dxa"/>
          </w:tcPr>
          <w:p w:rsidR="007262FF" w:rsidRPr="00255458" w:rsidRDefault="007262FF" w:rsidP="00B66185">
            <w:pPr>
              <w:spacing w:before="240" w:line="360" w:lineRule="auto"/>
              <w:jc w:val="both"/>
              <w:cnfStyle w:val="100000000000"/>
              <w:rPr>
                <w:rFonts w:ascii="Times New Roman" w:hAnsi="Times New Roman" w:cs="Times New Roman"/>
              </w:rPr>
            </w:pPr>
            <w:r w:rsidRPr="00255458">
              <w:rPr>
                <w:rFonts w:ascii="Times New Roman" w:hAnsi="Times New Roman" w:cs="Times New Roman"/>
              </w:rPr>
              <w:t>Всего, человек</w:t>
            </w:r>
          </w:p>
        </w:tc>
      </w:tr>
      <w:tr w:rsidR="007262FF" w:rsidRPr="00255458" w:rsidTr="00EA6889">
        <w:trPr>
          <w:cnfStyle w:val="000000100000"/>
        </w:trPr>
        <w:tc>
          <w:tcPr>
            <w:cnfStyle w:val="001000000000"/>
            <w:tcW w:w="2440" w:type="dxa"/>
            <w:vMerge/>
          </w:tcPr>
          <w:p w:rsidR="007262FF" w:rsidRPr="00255458" w:rsidRDefault="007262FF" w:rsidP="00B66185">
            <w:pPr>
              <w:spacing w:before="240" w:line="360" w:lineRule="auto"/>
              <w:jc w:val="both"/>
              <w:rPr>
                <w:rFonts w:ascii="Times New Roman" w:hAnsi="Times New Roman" w:cs="Times New Roman"/>
              </w:rPr>
            </w:pPr>
          </w:p>
        </w:tc>
        <w:tc>
          <w:tcPr>
            <w:tcW w:w="2386" w:type="dxa"/>
          </w:tcPr>
          <w:p w:rsidR="007262FF" w:rsidRPr="00255458" w:rsidRDefault="007262FF" w:rsidP="008D40A6">
            <w:pPr>
              <w:spacing w:line="360" w:lineRule="auto"/>
              <w:jc w:val="both"/>
              <w:cnfStyle w:val="000000100000"/>
              <w:rPr>
                <w:rFonts w:ascii="Times New Roman" w:hAnsi="Times New Roman" w:cs="Times New Roman"/>
              </w:rPr>
            </w:pPr>
            <w:r w:rsidRPr="00255458">
              <w:rPr>
                <w:rFonts w:ascii="Times New Roman" w:hAnsi="Times New Roman" w:cs="Times New Roman"/>
              </w:rPr>
              <w:t>Абс. значение</w:t>
            </w:r>
          </w:p>
        </w:tc>
        <w:tc>
          <w:tcPr>
            <w:tcW w:w="2376" w:type="dxa"/>
          </w:tcPr>
          <w:p w:rsidR="007262FF" w:rsidRPr="00255458" w:rsidRDefault="007262FF" w:rsidP="008D40A6">
            <w:pPr>
              <w:spacing w:line="360" w:lineRule="auto"/>
              <w:jc w:val="both"/>
              <w:cnfStyle w:val="000000100000"/>
              <w:rPr>
                <w:rFonts w:ascii="Times New Roman" w:hAnsi="Times New Roman" w:cs="Times New Roman"/>
              </w:rPr>
            </w:pPr>
            <w:r w:rsidRPr="00255458">
              <w:rPr>
                <w:rFonts w:ascii="Times New Roman" w:hAnsi="Times New Roman" w:cs="Times New Roman"/>
              </w:rPr>
              <w:t>Абс. значение</w:t>
            </w:r>
          </w:p>
        </w:tc>
        <w:tc>
          <w:tcPr>
            <w:tcW w:w="2369" w:type="dxa"/>
          </w:tcPr>
          <w:p w:rsidR="007262FF" w:rsidRPr="00255458" w:rsidRDefault="007262FF" w:rsidP="008D40A6">
            <w:pPr>
              <w:spacing w:line="360" w:lineRule="auto"/>
              <w:jc w:val="both"/>
              <w:cnfStyle w:val="000000100000"/>
              <w:rPr>
                <w:rFonts w:ascii="Times New Roman" w:hAnsi="Times New Roman" w:cs="Times New Roman"/>
              </w:rPr>
            </w:pPr>
            <w:r w:rsidRPr="00255458">
              <w:rPr>
                <w:rFonts w:ascii="Times New Roman" w:hAnsi="Times New Roman" w:cs="Times New Roman"/>
              </w:rPr>
              <w:t>Абс. значение</w:t>
            </w:r>
          </w:p>
        </w:tc>
      </w:tr>
      <w:tr w:rsidR="007262FF" w:rsidRPr="00255458" w:rsidTr="00EA6889">
        <w:tc>
          <w:tcPr>
            <w:cnfStyle w:val="001000000000"/>
            <w:tcW w:w="2440" w:type="dxa"/>
          </w:tcPr>
          <w:p w:rsidR="007262FF" w:rsidRPr="00255458" w:rsidRDefault="007262FF" w:rsidP="008D40A6">
            <w:pPr>
              <w:spacing w:line="360" w:lineRule="auto"/>
              <w:jc w:val="both"/>
              <w:rPr>
                <w:rFonts w:ascii="Times New Roman" w:hAnsi="Times New Roman" w:cs="Times New Roman"/>
              </w:rPr>
            </w:pPr>
            <w:r w:rsidRPr="00255458">
              <w:rPr>
                <w:rFonts w:ascii="Times New Roman" w:hAnsi="Times New Roman" w:cs="Times New Roman"/>
              </w:rPr>
              <w:t>Благоприятного прогноза</w:t>
            </w:r>
          </w:p>
        </w:tc>
        <w:tc>
          <w:tcPr>
            <w:tcW w:w="2386" w:type="dxa"/>
          </w:tcPr>
          <w:p w:rsidR="007262FF" w:rsidRPr="00255458" w:rsidRDefault="007262FF" w:rsidP="008D40A6">
            <w:pPr>
              <w:spacing w:line="360" w:lineRule="auto"/>
              <w:jc w:val="both"/>
              <w:cnfStyle w:val="000000000000"/>
              <w:rPr>
                <w:rFonts w:ascii="Times New Roman" w:hAnsi="Times New Roman" w:cs="Times New Roman"/>
              </w:rPr>
            </w:pPr>
            <w:r w:rsidRPr="00255458">
              <w:rPr>
                <w:rFonts w:ascii="Times New Roman" w:hAnsi="Times New Roman" w:cs="Times New Roman"/>
              </w:rPr>
              <w:t>2</w:t>
            </w:r>
          </w:p>
        </w:tc>
        <w:tc>
          <w:tcPr>
            <w:tcW w:w="2376" w:type="dxa"/>
          </w:tcPr>
          <w:p w:rsidR="007262FF" w:rsidRPr="00255458" w:rsidRDefault="007262FF" w:rsidP="008D40A6">
            <w:pPr>
              <w:spacing w:line="360" w:lineRule="auto"/>
              <w:jc w:val="both"/>
              <w:cnfStyle w:val="000000000000"/>
              <w:rPr>
                <w:rFonts w:ascii="Times New Roman" w:hAnsi="Times New Roman" w:cs="Times New Roman"/>
              </w:rPr>
            </w:pPr>
            <w:r w:rsidRPr="00255458">
              <w:rPr>
                <w:rFonts w:ascii="Times New Roman" w:hAnsi="Times New Roman" w:cs="Times New Roman"/>
              </w:rPr>
              <w:t>65</w:t>
            </w:r>
          </w:p>
        </w:tc>
        <w:tc>
          <w:tcPr>
            <w:tcW w:w="2369" w:type="dxa"/>
          </w:tcPr>
          <w:p w:rsidR="007262FF" w:rsidRPr="00255458" w:rsidRDefault="007262FF" w:rsidP="008D40A6">
            <w:pPr>
              <w:spacing w:line="360" w:lineRule="auto"/>
              <w:jc w:val="both"/>
              <w:cnfStyle w:val="000000000000"/>
              <w:rPr>
                <w:rFonts w:ascii="Times New Roman" w:hAnsi="Times New Roman" w:cs="Times New Roman"/>
              </w:rPr>
            </w:pPr>
            <w:r w:rsidRPr="00255458">
              <w:rPr>
                <w:rFonts w:ascii="Times New Roman" w:hAnsi="Times New Roman" w:cs="Times New Roman"/>
              </w:rPr>
              <w:t>67</w:t>
            </w:r>
          </w:p>
        </w:tc>
      </w:tr>
      <w:tr w:rsidR="007262FF" w:rsidRPr="00255458" w:rsidTr="00EA6889">
        <w:trPr>
          <w:cnfStyle w:val="000000100000"/>
        </w:trPr>
        <w:tc>
          <w:tcPr>
            <w:cnfStyle w:val="001000000000"/>
            <w:tcW w:w="2440" w:type="dxa"/>
          </w:tcPr>
          <w:p w:rsidR="007262FF" w:rsidRPr="00255458" w:rsidRDefault="007262FF" w:rsidP="008D40A6">
            <w:pPr>
              <w:spacing w:line="360" w:lineRule="auto"/>
              <w:jc w:val="both"/>
              <w:rPr>
                <w:rFonts w:ascii="Times New Roman" w:hAnsi="Times New Roman" w:cs="Times New Roman"/>
              </w:rPr>
            </w:pPr>
            <w:r w:rsidRPr="00255458">
              <w:rPr>
                <w:rFonts w:ascii="Times New Roman" w:hAnsi="Times New Roman" w:cs="Times New Roman"/>
              </w:rPr>
              <w:t>Неблагоприятного прогноза</w:t>
            </w:r>
          </w:p>
        </w:tc>
        <w:tc>
          <w:tcPr>
            <w:tcW w:w="2386" w:type="dxa"/>
          </w:tcPr>
          <w:p w:rsidR="007262FF" w:rsidRPr="00255458" w:rsidRDefault="007262FF" w:rsidP="008D40A6">
            <w:pPr>
              <w:spacing w:line="360" w:lineRule="auto"/>
              <w:jc w:val="both"/>
              <w:cnfStyle w:val="000000100000"/>
              <w:rPr>
                <w:rFonts w:ascii="Times New Roman" w:hAnsi="Times New Roman" w:cs="Times New Roman"/>
              </w:rPr>
            </w:pPr>
            <w:r w:rsidRPr="00255458">
              <w:rPr>
                <w:rFonts w:ascii="Times New Roman" w:hAnsi="Times New Roman" w:cs="Times New Roman"/>
              </w:rPr>
              <w:t>1</w:t>
            </w:r>
          </w:p>
        </w:tc>
        <w:tc>
          <w:tcPr>
            <w:tcW w:w="2376" w:type="dxa"/>
          </w:tcPr>
          <w:p w:rsidR="007262FF" w:rsidRPr="00255458" w:rsidRDefault="007262FF" w:rsidP="008D40A6">
            <w:pPr>
              <w:spacing w:line="360" w:lineRule="auto"/>
              <w:jc w:val="both"/>
              <w:cnfStyle w:val="000000100000"/>
              <w:rPr>
                <w:rFonts w:ascii="Times New Roman" w:hAnsi="Times New Roman" w:cs="Times New Roman"/>
              </w:rPr>
            </w:pPr>
            <w:r w:rsidRPr="00255458">
              <w:rPr>
                <w:rFonts w:ascii="Times New Roman" w:hAnsi="Times New Roman" w:cs="Times New Roman"/>
              </w:rPr>
              <w:t>7</w:t>
            </w:r>
          </w:p>
        </w:tc>
        <w:tc>
          <w:tcPr>
            <w:tcW w:w="2369" w:type="dxa"/>
          </w:tcPr>
          <w:p w:rsidR="007262FF" w:rsidRPr="00255458" w:rsidRDefault="007262FF" w:rsidP="008D40A6">
            <w:pPr>
              <w:spacing w:line="360" w:lineRule="auto"/>
              <w:jc w:val="both"/>
              <w:cnfStyle w:val="000000100000"/>
              <w:rPr>
                <w:rFonts w:ascii="Times New Roman" w:hAnsi="Times New Roman" w:cs="Times New Roman"/>
              </w:rPr>
            </w:pPr>
            <w:r w:rsidRPr="00255458">
              <w:rPr>
                <w:rFonts w:ascii="Times New Roman" w:hAnsi="Times New Roman" w:cs="Times New Roman"/>
              </w:rPr>
              <w:t>8</w:t>
            </w:r>
          </w:p>
        </w:tc>
      </w:tr>
      <w:tr w:rsidR="007262FF" w:rsidRPr="00255458" w:rsidTr="00EA6889">
        <w:tc>
          <w:tcPr>
            <w:cnfStyle w:val="001000000000"/>
            <w:tcW w:w="2440" w:type="dxa"/>
          </w:tcPr>
          <w:p w:rsidR="007262FF" w:rsidRPr="00255458" w:rsidRDefault="007262FF" w:rsidP="00B66185">
            <w:pPr>
              <w:spacing w:before="240" w:after="240" w:line="360" w:lineRule="auto"/>
              <w:jc w:val="both"/>
              <w:rPr>
                <w:rFonts w:ascii="Times New Roman" w:hAnsi="Times New Roman" w:cs="Times New Roman"/>
              </w:rPr>
            </w:pPr>
            <w:r w:rsidRPr="00255458">
              <w:rPr>
                <w:rFonts w:ascii="Times New Roman" w:hAnsi="Times New Roman" w:cs="Times New Roman"/>
              </w:rPr>
              <w:t>Итого</w:t>
            </w:r>
          </w:p>
        </w:tc>
        <w:tc>
          <w:tcPr>
            <w:tcW w:w="2386" w:type="dxa"/>
          </w:tcPr>
          <w:p w:rsidR="007262FF" w:rsidRPr="00255458" w:rsidRDefault="007262FF" w:rsidP="00B66185">
            <w:pPr>
              <w:spacing w:before="240" w:after="240" w:line="360" w:lineRule="auto"/>
              <w:jc w:val="both"/>
              <w:cnfStyle w:val="000000000000"/>
              <w:rPr>
                <w:rFonts w:ascii="Times New Roman" w:hAnsi="Times New Roman" w:cs="Times New Roman"/>
              </w:rPr>
            </w:pPr>
            <w:r w:rsidRPr="00255458">
              <w:rPr>
                <w:rFonts w:ascii="Times New Roman" w:hAnsi="Times New Roman" w:cs="Times New Roman"/>
              </w:rPr>
              <w:t>3</w:t>
            </w:r>
          </w:p>
        </w:tc>
        <w:tc>
          <w:tcPr>
            <w:tcW w:w="2376" w:type="dxa"/>
          </w:tcPr>
          <w:p w:rsidR="007262FF" w:rsidRPr="00255458" w:rsidRDefault="007262FF" w:rsidP="00B66185">
            <w:pPr>
              <w:spacing w:before="240" w:after="240" w:line="360" w:lineRule="auto"/>
              <w:jc w:val="both"/>
              <w:cnfStyle w:val="000000000000"/>
              <w:rPr>
                <w:rFonts w:ascii="Times New Roman" w:hAnsi="Times New Roman" w:cs="Times New Roman"/>
              </w:rPr>
            </w:pPr>
            <w:r w:rsidRPr="00255458">
              <w:rPr>
                <w:rFonts w:ascii="Times New Roman" w:hAnsi="Times New Roman" w:cs="Times New Roman"/>
              </w:rPr>
              <w:t>72</w:t>
            </w:r>
          </w:p>
        </w:tc>
        <w:tc>
          <w:tcPr>
            <w:tcW w:w="2369" w:type="dxa"/>
          </w:tcPr>
          <w:p w:rsidR="007262FF" w:rsidRPr="00255458" w:rsidRDefault="007262FF" w:rsidP="00B66185">
            <w:pPr>
              <w:spacing w:before="240" w:after="240" w:line="360" w:lineRule="auto"/>
              <w:jc w:val="both"/>
              <w:cnfStyle w:val="000000000000"/>
              <w:rPr>
                <w:rFonts w:ascii="Times New Roman" w:hAnsi="Times New Roman" w:cs="Times New Roman"/>
              </w:rPr>
            </w:pPr>
            <w:r w:rsidRPr="00255458">
              <w:rPr>
                <w:rFonts w:ascii="Times New Roman" w:hAnsi="Times New Roman" w:cs="Times New Roman"/>
              </w:rPr>
              <w:t>75</w:t>
            </w:r>
          </w:p>
        </w:tc>
      </w:tr>
    </w:tbl>
    <w:p w:rsidR="00A03A3A" w:rsidRPr="00B66185" w:rsidRDefault="003D7AF5" w:rsidP="00B66185">
      <w:pPr>
        <w:spacing w:before="240" w:after="240" w:line="360" w:lineRule="auto"/>
        <w:jc w:val="both"/>
        <w:rPr>
          <w:rFonts w:ascii="Times New Roman" w:hAnsi="Times New Roman" w:cs="Times New Roman"/>
          <w:sz w:val="28"/>
        </w:rPr>
      </w:pPr>
      <w:r>
        <w:rPr>
          <w:rFonts w:ascii="Times New Roman" w:hAnsi="Times New Roman" w:cs="Times New Roman"/>
          <w:sz w:val="28"/>
        </w:rPr>
        <w:t>При анализе данных н</w:t>
      </w:r>
      <w:r w:rsidR="007262FF" w:rsidRPr="00B1721F">
        <w:rPr>
          <w:rFonts w:ascii="Times New Roman" w:hAnsi="Times New Roman" w:cs="Times New Roman"/>
          <w:sz w:val="28"/>
        </w:rPr>
        <w:t xml:space="preserve">аличие </w:t>
      </w:r>
      <w:r w:rsidR="00EA6889">
        <w:rPr>
          <w:rFonts w:ascii="Times New Roman" w:hAnsi="Times New Roman" w:cs="Times New Roman"/>
          <w:sz w:val="28"/>
        </w:rPr>
        <w:t xml:space="preserve">значимой </w:t>
      </w:r>
      <w:r w:rsidR="007262FF" w:rsidRPr="00B1721F">
        <w:rPr>
          <w:rFonts w:ascii="Times New Roman" w:hAnsi="Times New Roman" w:cs="Times New Roman"/>
          <w:sz w:val="28"/>
        </w:rPr>
        <w:t xml:space="preserve">связи между </w:t>
      </w:r>
      <w:r w:rsidR="00EA6889">
        <w:rPr>
          <w:rFonts w:ascii="Times New Roman" w:hAnsi="Times New Roman" w:cs="Times New Roman"/>
          <w:sz w:val="28"/>
        </w:rPr>
        <w:t>н</w:t>
      </w:r>
      <w:r w:rsidR="007262FF" w:rsidRPr="00B1721F">
        <w:rPr>
          <w:rFonts w:ascii="Times New Roman" w:hAnsi="Times New Roman" w:cs="Times New Roman"/>
          <w:sz w:val="28"/>
        </w:rPr>
        <w:t xml:space="preserve">еблагоприятным прогнозом и наличием узлов в </w:t>
      </w:r>
      <w:r w:rsidR="00B1721F">
        <w:rPr>
          <w:rFonts w:ascii="Times New Roman" w:hAnsi="Times New Roman" w:cs="Times New Roman"/>
          <w:sz w:val="28"/>
        </w:rPr>
        <w:t>щитовидной железе</w:t>
      </w:r>
      <w:r w:rsidR="007262FF" w:rsidRPr="00B1721F">
        <w:rPr>
          <w:rFonts w:ascii="Times New Roman" w:hAnsi="Times New Roman" w:cs="Times New Roman"/>
          <w:sz w:val="28"/>
        </w:rPr>
        <w:t xml:space="preserve"> не выявлено (</w:t>
      </w:r>
      <w:r w:rsidR="00410F65" w:rsidRPr="00B1721F">
        <w:rPr>
          <w:rFonts w:ascii="Times New Roman" w:hAnsi="Times New Roman" w:cs="Times New Roman"/>
          <w:sz w:val="28"/>
          <w:lang w:val="en-US"/>
        </w:rPr>
        <w:t>X</w:t>
      </w:r>
      <w:r w:rsidR="00410F65" w:rsidRPr="00B1721F">
        <w:rPr>
          <w:rFonts w:ascii="Times New Roman" w:hAnsi="Times New Roman" w:cs="Times New Roman"/>
          <w:sz w:val="28"/>
          <w:vertAlign w:val="superscript"/>
        </w:rPr>
        <w:t>2</w:t>
      </w:r>
      <w:r w:rsidR="00410F65" w:rsidRPr="00B1721F">
        <w:rPr>
          <w:rFonts w:ascii="Times New Roman" w:hAnsi="Times New Roman" w:cs="Times New Roman"/>
          <w:sz w:val="28"/>
          <w:vertAlign w:val="subscript"/>
        </w:rPr>
        <w:t>1</w:t>
      </w:r>
      <w:proofErr w:type="spellStart"/>
      <w:r w:rsidR="00410F65" w:rsidRPr="00B1721F">
        <w:rPr>
          <w:rFonts w:ascii="Times New Roman" w:hAnsi="Times New Roman" w:cs="Times New Roman"/>
          <w:sz w:val="28"/>
          <w:vertAlign w:val="subscript"/>
          <w:lang w:val="en-US"/>
        </w:rPr>
        <w:t>df</w:t>
      </w:r>
      <w:proofErr w:type="spellEnd"/>
      <w:r w:rsidR="00410F65" w:rsidRPr="00B1721F">
        <w:rPr>
          <w:rFonts w:ascii="Times New Roman" w:hAnsi="Times New Roman" w:cs="Times New Roman"/>
          <w:sz w:val="28"/>
        </w:rPr>
        <w:t xml:space="preserve"> =</w:t>
      </w:r>
      <w:r w:rsidR="00B1721F">
        <w:rPr>
          <w:rFonts w:ascii="Times New Roman" w:hAnsi="Times New Roman" w:cs="Times New Roman"/>
          <w:sz w:val="28"/>
        </w:rPr>
        <w:t xml:space="preserve"> </w:t>
      </w:r>
      <w:r w:rsidR="00410F65" w:rsidRPr="00B1721F">
        <w:rPr>
          <w:rFonts w:ascii="Times New Roman" w:hAnsi="Times New Roman" w:cs="Times New Roman"/>
          <w:sz w:val="28"/>
        </w:rPr>
        <w:t xml:space="preserve">0,098; </w:t>
      </w:r>
      <w:r w:rsidR="007262FF" w:rsidRPr="00B1721F">
        <w:rPr>
          <w:rFonts w:ascii="Times New Roman" w:hAnsi="Times New Roman" w:cs="Times New Roman"/>
          <w:sz w:val="28"/>
          <w:lang w:val="en-US"/>
        </w:rPr>
        <w:t>p</w:t>
      </w:r>
      <w:r w:rsidR="00B1721F">
        <w:rPr>
          <w:rFonts w:ascii="Times New Roman" w:hAnsi="Times New Roman" w:cs="Times New Roman"/>
          <w:sz w:val="28"/>
        </w:rPr>
        <w:t xml:space="preserve"> </w:t>
      </w:r>
      <w:r w:rsidR="007262FF" w:rsidRPr="00B1721F">
        <w:rPr>
          <w:rFonts w:ascii="Times New Roman" w:hAnsi="Times New Roman" w:cs="Times New Roman"/>
          <w:sz w:val="28"/>
        </w:rPr>
        <w:t>=</w:t>
      </w:r>
      <w:r w:rsidR="00B1721F">
        <w:rPr>
          <w:rFonts w:ascii="Times New Roman" w:hAnsi="Times New Roman" w:cs="Times New Roman"/>
          <w:sz w:val="28"/>
        </w:rPr>
        <w:t xml:space="preserve"> </w:t>
      </w:r>
      <w:r w:rsidR="007262FF" w:rsidRPr="00B1721F">
        <w:rPr>
          <w:rFonts w:ascii="Times New Roman" w:hAnsi="Times New Roman" w:cs="Times New Roman"/>
          <w:sz w:val="28"/>
        </w:rPr>
        <w:t>0,</w:t>
      </w:r>
      <w:r w:rsidR="00410F65" w:rsidRPr="00B1721F">
        <w:rPr>
          <w:rFonts w:ascii="Times New Roman" w:hAnsi="Times New Roman" w:cs="Times New Roman"/>
          <w:sz w:val="28"/>
        </w:rPr>
        <w:t>75</w:t>
      </w:r>
      <w:r w:rsidR="007262FF" w:rsidRPr="00B1721F">
        <w:rPr>
          <w:rFonts w:ascii="Times New Roman" w:hAnsi="Times New Roman" w:cs="Times New Roman"/>
          <w:sz w:val="28"/>
        </w:rPr>
        <w:t>).</w:t>
      </w:r>
    </w:p>
    <w:p w:rsidR="00710802" w:rsidRDefault="00710802" w:rsidP="00B66185">
      <w:pPr>
        <w:spacing w:before="240" w:line="360" w:lineRule="auto"/>
        <w:jc w:val="both"/>
        <w:rPr>
          <w:rFonts w:ascii="Times New Roman" w:hAnsi="Times New Roman" w:cs="Times New Roman"/>
          <w:b/>
          <w:sz w:val="28"/>
        </w:rPr>
      </w:pPr>
    </w:p>
    <w:p w:rsidR="00710802" w:rsidRDefault="00710802" w:rsidP="00B66185">
      <w:pPr>
        <w:spacing w:before="240" w:line="360" w:lineRule="auto"/>
        <w:jc w:val="both"/>
        <w:rPr>
          <w:rFonts w:ascii="Times New Roman" w:hAnsi="Times New Roman" w:cs="Times New Roman"/>
          <w:b/>
          <w:sz w:val="28"/>
        </w:rPr>
      </w:pPr>
    </w:p>
    <w:p w:rsidR="00710802" w:rsidRDefault="00710802" w:rsidP="00B66185">
      <w:pPr>
        <w:spacing w:before="240" w:line="360" w:lineRule="auto"/>
        <w:jc w:val="both"/>
        <w:rPr>
          <w:rFonts w:ascii="Times New Roman" w:hAnsi="Times New Roman" w:cs="Times New Roman"/>
          <w:b/>
          <w:sz w:val="28"/>
        </w:rPr>
      </w:pPr>
    </w:p>
    <w:p w:rsidR="00710802" w:rsidRDefault="00710802" w:rsidP="00B66185">
      <w:pPr>
        <w:spacing w:before="240" w:line="360" w:lineRule="auto"/>
        <w:jc w:val="both"/>
        <w:rPr>
          <w:rFonts w:ascii="Times New Roman" w:hAnsi="Times New Roman" w:cs="Times New Roman"/>
          <w:b/>
          <w:sz w:val="28"/>
        </w:rPr>
      </w:pPr>
    </w:p>
    <w:p w:rsidR="007262FF" w:rsidRPr="00B1721F" w:rsidRDefault="007262FF" w:rsidP="00B66185">
      <w:pPr>
        <w:spacing w:before="240" w:line="360" w:lineRule="auto"/>
        <w:jc w:val="both"/>
        <w:rPr>
          <w:rFonts w:ascii="Times New Roman" w:hAnsi="Times New Roman" w:cs="Times New Roman"/>
          <w:b/>
          <w:sz w:val="28"/>
        </w:rPr>
      </w:pPr>
      <w:r w:rsidRPr="00B1721F">
        <w:rPr>
          <w:rFonts w:ascii="Times New Roman" w:hAnsi="Times New Roman" w:cs="Times New Roman"/>
          <w:b/>
          <w:sz w:val="28"/>
        </w:rPr>
        <w:t>Таб.</w:t>
      </w:r>
      <w:r w:rsidR="002B29D5">
        <w:rPr>
          <w:rFonts w:ascii="Times New Roman" w:hAnsi="Times New Roman" w:cs="Times New Roman"/>
          <w:b/>
          <w:sz w:val="28"/>
        </w:rPr>
        <w:t>3</w:t>
      </w:r>
      <w:r w:rsidRPr="00B1721F">
        <w:rPr>
          <w:rFonts w:ascii="Times New Roman" w:hAnsi="Times New Roman" w:cs="Times New Roman"/>
          <w:b/>
          <w:sz w:val="28"/>
        </w:rPr>
        <w:t xml:space="preserve"> Распред</w:t>
      </w:r>
      <w:r w:rsidR="00B1721F">
        <w:rPr>
          <w:rFonts w:ascii="Times New Roman" w:hAnsi="Times New Roman" w:cs="Times New Roman"/>
          <w:b/>
          <w:sz w:val="28"/>
        </w:rPr>
        <w:t xml:space="preserve">еление пациентов по наличию </w:t>
      </w:r>
      <w:proofErr w:type="gramStart"/>
      <w:r w:rsidR="00710802">
        <w:rPr>
          <w:rFonts w:ascii="Times New Roman" w:hAnsi="Times New Roman" w:cs="Times New Roman"/>
          <w:b/>
          <w:sz w:val="28"/>
        </w:rPr>
        <w:t>аутоиммунного</w:t>
      </w:r>
      <w:proofErr w:type="gramEnd"/>
      <w:r w:rsidR="00710802">
        <w:rPr>
          <w:rFonts w:ascii="Times New Roman" w:hAnsi="Times New Roman" w:cs="Times New Roman"/>
          <w:b/>
          <w:sz w:val="28"/>
        </w:rPr>
        <w:t xml:space="preserve"> тиреоидита</w:t>
      </w:r>
    </w:p>
    <w:tbl>
      <w:tblPr>
        <w:tblStyle w:val="13"/>
        <w:tblW w:w="0" w:type="auto"/>
        <w:tblLook w:val="04A0"/>
      </w:tblPr>
      <w:tblGrid>
        <w:gridCol w:w="2440"/>
        <w:gridCol w:w="2386"/>
        <w:gridCol w:w="2376"/>
        <w:gridCol w:w="2369"/>
      </w:tblGrid>
      <w:tr w:rsidR="007262FF" w:rsidRPr="00255458" w:rsidTr="00EA6889">
        <w:trPr>
          <w:cnfStyle w:val="100000000000"/>
        </w:trPr>
        <w:tc>
          <w:tcPr>
            <w:cnfStyle w:val="001000000000"/>
            <w:tcW w:w="2440" w:type="dxa"/>
            <w:vMerge w:val="restart"/>
          </w:tcPr>
          <w:p w:rsidR="007262FF" w:rsidRPr="00255458" w:rsidRDefault="007262FF" w:rsidP="00B66185">
            <w:pPr>
              <w:spacing w:before="240" w:line="360" w:lineRule="auto"/>
              <w:jc w:val="both"/>
              <w:rPr>
                <w:rFonts w:ascii="Times New Roman" w:hAnsi="Times New Roman" w:cs="Times New Roman"/>
              </w:rPr>
            </w:pPr>
            <w:r w:rsidRPr="00255458">
              <w:rPr>
                <w:rFonts w:ascii="Times New Roman" w:hAnsi="Times New Roman" w:cs="Times New Roman"/>
              </w:rPr>
              <w:t xml:space="preserve">Группы </w:t>
            </w:r>
          </w:p>
        </w:tc>
        <w:tc>
          <w:tcPr>
            <w:tcW w:w="2386" w:type="dxa"/>
          </w:tcPr>
          <w:p w:rsidR="007262FF" w:rsidRPr="00255458" w:rsidRDefault="007262FF" w:rsidP="00B66185">
            <w:pPr>
              <w:spacing w:before="240" w:line="360" w:lineRule="auto"/>
              <w:jc w:val="both"/>
              <w:cnfStyle w:val="100000000000"/>
              <w:rPr>
                <w:rFonts w:ascii="Times New Roman" w:hAnsi="Times New Roman" w:cs="Times New Roman"/>
              </w:rPr>
            </w:pPr>
            <w:r w:rsidRPr="00255458">
              <w:rPr>
                <w:rFonts w:ascii="Times New Roman" w:hAnsi="Times New Roman" w:cs="Times New Roman"/>
              </w:rPr>
              <w:t>Мужчины, человек</w:t>
            </w:r>
          </w:p>
        </w:tc>
        <w:tc>
          <w:tcPr>
            <w:tcW w:w="2376" w:type="dxa"/>
          </w:tcPr>
          <w:p w:rsidR="007262FF" w:rsidRPr="00255458" w:rsidRDefault="007262FF" w:rsidP="00B66185">
            <w:pPr>
              <w:spacing w:before="240" w:line="360" w:lineRule="auto"/>
              <w:jc w:val="both"/>
              <w:cnfStyle w:val="100000000000"/>
              <w:rPr>
                <w:rFonts w:ascii="Times New Roman" w:hAnsi="Times New Roman" w:cs="Times New Roman"/>
              </w:rPr>
            </w:pPr>
            <w:r w:rsidRPr="00255458">
              <w:rPr>
                <w:rFonts w:ascii="Times New Roman" w:hAnsi="Times New Roman" w:cs="Times New Roman"/>
              </w:rPr>
              <w:t>Женщин, человек</w:t>
            </w:r>
          </w:p>
        </w:tc>
        <w:tc>
          <w:tcPr>
            <w:tcW w:w="2369" w:type="dxa"/>
          </w:tcPr>
          <w:p w:rsidR="007262FF" w:rsidRPr="00255458" w:rsidRDefault="007262FF" w:rsidP="00B66185">
            <w:pPr>
              <w:spacing w:before="240" w:line="360" w:lineRule="auto"/>
              <w:jc w:val="both"/>
              <w:cnfStyle w:val="100000000000"/>
              <w:rPr>
                <w:rFonts w:ascii="Times New Roman" w:hAnsi="Times New Roman" w:cs="Times New Roman"/>
              </w:rPr>
            </w:pPr>
            <w:r w:rsidRPr="00255458">
              <w:rPr>
                <w:rFonts w:ascii="Times New Roman" w:hAnsi="Times New Roman" w:cs="Times New Roman"/>
              </w:rPr>
              <w:t>Всего, человек</w:t>
            </w:r>
          </w:p>
        </w:tc>
      </w:tr>
      <w:tr w:rsidR="007262FF" w:rsidRPr="00255458" w:rsidTr="00EA6889">
        <w:trPr>
          <w:cnfStyle w:val="000000100000"/>
        </w:trPr>
        <w:tc>
          <w:tcPr>
            <w:cnfStyle w:val="001000000000"/>
            <w:tcW w:w="2440" w:type="dxa"/>
            <w:vMerge/>
          </w:tcPr>
          <w:p w:rsidR="007262FF" w:rsidRPr="00255458" w:rsidRDefault="007262FF" w:rsidP="00B66185">
            <w:pPr>
              <w:spacing w:before="240" w:line="360" w:lineRule="auto"/>
              <w:jc w:val="both"/>
              <w:rPr>
                <w:rFonts w:ascii="Times New Roman" w:hAnsi="Times New Roman" w:cs="Times New Roman"/>
              </w:rPr>
            </w:pPr>
          </w:p>
        </w:tc>
        <w:tc>
          <w:tcPr>
            <w:tcW w:w="2386" w:type="dxa"/>
          </w:tcPr>
          <w:p w:rsidR="007262FF" w:rsidRPr="00255458" w:rsidRDefault="007262FF" w:rsidP="008D40A6">
            <w:pPr>
              <w:spacing w:line="360" w:lineRule="auto"/>
              <w:jc w:val="both"/>
              <w:cnfStyle w:val="000000100000"/>
              <w:rPr>
                <w:rFonts w:ascii="Times New Roman" w:hAnsi="Times New Roman" w:cs="Times New Roman"/>
              </w:rPr>
            </w:pPr>
            <w:r w:rsidRPr="00255458">
              <w:rPr>
                <w:rFonts w:ascii="Times New Roman" w:hAnsi="Times New Roman" w:cs="Times New Roman"/>
              </w:rPr>
              <w:t>Абс. значение</w:t>
            </w:r>
          </w:p>
        </w:tc>
        <w:tc>
          <w:tcPr>
            <w:tcW w:w="2376" w:type="dxa"/>
          </w:tcPr>
          <w:p w:rsidR="007262FF" w:rsidRPr="00255458" w:rsidRDefault="007262FF" w:rsidP="008D40A6">
            <w:pPr>
              <w:spacing w:line="360" w:lineRule="auto"/>
              <w:jc w:val="both"/>
              <w:cnfStyle w:val="000000100000"/>
              <w:rPr>
                <w:rFonts w:ascii="Times New Roman" w:hAnsi="Times New Roman" w:cs="Times New Roman"/>
              </w:rPr>
            </w:pPr>
            <w:r w:rsidRPr="00255458">
              <w:rPr>
                <w:rFonts w:ascii="Times New Roman" w:hAnsi="Times New Roman" w:cs="Times New Roman"/>
              </w:rPr>
              <w:t>Абс. значение</w:t>
            </w:r>
          </w:p>
        </w:tc>
        <w:tc>
          <w:tcPr>
            <w:tcW w:w="2369" w:type="dxa"/>
          </w:tcPr>
          <w:p w:rsidR="007262FF" w:rsidRPr="00255458" w:rsidRDefault="007262FF" w:rsidP="008D40A6">
            <w:pPr>
              <w:spacing w:line="360" w:lineRule="auto"/>
              <w:jc w:val="both"/>
              <w:cnfStyle w:val="000000100000"/>
              <w:rPr>
                <w:rFonts w:ascii="Times New Roman" w:hAnsi="Times New Roman" w:cs="Times New Roman"/>
              </w:rPr>
            </w:pPr>
            <w:r w:rsidRPr="00255458">
              <w:rPr>
                <w:rFonts w:ascii="Times New Roman" w:hAnsi="Times New Roman" w:cs="Times New Roman"/>
              </w:rPr>
              <w:t>Абс. значение</w:t>
            </w:r>
          </w:p>
        </w:tc>
      </w:tr>
      <w:tr w:rsidR="007262FF" w:rsidRPr="00255458" w:rsidTr="00EA6889">
        <w:tc>
          <w:tcPr>
            <w:cnfStyle w:val="001000000000"/>
            <w:tcW w:w="2440" w:type="dxa"/>
          </w:tcPr>
          <w:p w:rsidR="007262FF" w:rsidRPr="00255458" w:rsidRDefault="007262FF" w:rsidP="008D40A6">
            <w:pPr>
              <w:spacing w:line="360" w:lineRule="auto"/>
              <w:jc w:val="both"/>
              <w:rPr>
                <w:rFonts w:ascii="Times New Roman" w:hAnsi="Times New Roman" w:cs="Times New Roman"/>
              </w:rPr>
            </w:pPr>
            <w:r w:rsidRPr="00255458">
              <w:rPr>
                <w:rFonts w:ascii="Times New Roman" w:hAnsi="Times New Roman" w:cs="Times New Roman"/>
              </w:rPr>
              <w:t>Благоприятного прогноза</w:t>
            </w:r>
          </w:p>
        </w:tc>
        <w:tc>
          <w:tcPr>
            <w:tcW w:w="2386" w:type="dxa"/>
          </w:tcPr>
          <w:p w:rsidR="007262FF" w:rsidRPr="00255458" w:rsidRDefault="007262FF" w:rsidP="008D40A6">
            <w:pPr>
              <w:spacing w:line="360" w:lineRule="auto"/>
              <w:jc w:val="both"/>
              <w:cnfStyle w:val="000000000000"/>
              <w:rPr>
                <w:rFonts w:ascii="Times New Roman" w:hAnsi="Times New Roman" w:cs="Times New Roman"/>
              </w:rPr>
            </w:pPr>
            <w:r w:rsidRPr="00255458">
              <w:rPr>
                <w:rFonts w:ascii="Times New Roman" w:hAnsi="Times New Roman" w:cs="Times New Roman"/>
              </w:rPr>
              <w:t>0</w:t>
            </w:r>
          </w:p>
        </w:tc>
        <w:tc>
          <w:tcPr>
            <w:tcW w:w="2376" w:type="dxa"/>
          </w:tcPr>
          <w:p w:rsidR="007262FF" w:rsidRPr="00255458" w:rsidRDefault="00374B8E" w:rsidP="008D40A6">
            <w:pPr>
              <w:spacing w:line="360" w:lineRule="auto"/>
              <w:jc w:val="both"/>
              <w:cnfStyle w:val="000000000000"/>
              <w:rPr>
                <w:rFonts w:ascii="Times New Roman" w:hAnsi="Times New Roman" w:cs="Times New Roman"/>
              </w:rPr>
            </w:pPr>
            <w:r>
              <w:rPr>
                <w:rFonts w:ascii="Times New Roman" w:hAnsi="Times New Roman" w:cs="Times New Roman"/>
              </w:rPr>
              <w:t>37</w:t>
            </w:r>
          </w:p>
        </w:tc>
        <w:tc>
          <w:tcPr>
            <w:tcW w:w="2369" w:type="dxa"/>
          </w:tcPr>
          <w:p w:rsidR="007262FF" w:rsidRPr="00255458" w:rsidRDefault="00374B8E" w:rsidP="008D40A6">
            <w:pPr>
              <w:spacing w:line="360" w:lineRule="auto"/>
              <w:jc w:val="both"/>
              <w:cnfStyle w:val="000000000000"/>
              <w:rPr>
                <w:rFonts w:ascii="Times New Roman" w:hAnsi="Times New Roman" w:cs="Times New Roman"/>
              </w:rPr>
            </w:pPr>
            <w:r>
              <w:rPr>
                <w:rFonts w:ascii="Times New Roman" w:hAnsi="Times New Roman" w:cs="Times New Roman"/>
              </w:rPr>
              <w:t>37</w:t>
            </w:r>
          </w:p>
        </w:tc>
      </w:tr>
      <w:tr w:rsidR="007262FF" w:rsidRPr="00255458" w:rsidTr="00EA6889">
        <w:trPr>
          <w:cnfStyle w:val="000000100000"/>
        </w:trPr>
        <w:tc>
          <w:tcPr>
            <w:cnfStyle w:val="001000000000"/>
            <w:tcW w:w="2440" w:type="dxa"/>
          </w:tcPr>
          <w:p w:rsidR="007262FF" w:rsidRPr="00255458" w:rsidRDefault="007262FF" w:rsidP="008D40A6">
            <w:pPr>
              <w:spacing w:line="360" w:lineRule="auto"/>
              <w:jc w:val="both"/>
              <w:rPr>
                <w:rFonts w:ascii="Times New Roman" w:hAnsi="Times New Roman" w:cs="Times New Roman"/>
              </w:rPr>
            </w:pPr>
            <w:r w:rsidRPr="00255458">
              <w:rPr>
                <w:rFonts w:ascii="Times New Roman" w:hAnsi="Times New Roman" w:cs="Times New Roman"/>
              </w:rPr>
              <w:t>Неблагоприятного прогноза</w:t>
            </w:r>
          </w:p>
        </w:tc>
        <w:tc>
          <w:tcPr>
            <w:tcW w:w="2386" w:type="dxa"/>
          </w:tcPr>
          <w:p w:rsidR="007262FF" w:rsidRPr="00255458" w:rsidRDefault="007262FF" w:rsidP="008D40A6">
            <w:pPr>
              <w:spacing w:line="360" w:lineRule="auto"/>
              <w:jc w:val="both"/>
              <w:cnfStyle w:val="000000100000"/>
              <w:rPr>
                <w:rFonts w:ascii="Times New Roman" w:hAnsi="Times New Roman" w:cs="Times New Roman"/>
              </w:rPr>
            </w:pPr>
            <w:r w:rsidRPr="00255458">
              <w:rPr>
                <w:rFonts w:ascii="Times New Roman" w:hAnsi="Times New Roman" w:cs="Times New Roman"/>
              </w:rPr>
              <w:t>0</w:t>
            </w:r>
          </w:p>
        </w:tc>
        <w:tc>
          <w:tcPr>
            <w:tcW w:w="2376" w:type="dxa"/>
          </w:tcPr>
          <w:p w:rsidR="007262FF" w:rsidRPr="00255458" w:rsidRDefault="00374B8E" w:rsidP="008D40A6">
            <w:pPr>
              <w:spacing w:line="360" w:lineRule="auto"/>
              <w:jc w:val="both"/>
              <w:cnfStyle w:val="000000100000"/>
              <w:rPr>
                <w:rFonts w:ascii="Times New Roman" w:hAnsi="Times New Roman" w:cs="Times New Roman"/>
              </w:rPr>
            </w:pPr>
            <w:r>
              <w:rPr>
                <w:rFonts w:ascii="Times New Roman" w:hAnsi="Times New Roman" w:cs="Times New Roman"/>
              </w:rPr>
              <w:t>4</w:t>
            </w:r>
          </w:p>
        </w:tc>
        <w:tc>
          <w:tcPr>
            <w:tcW w:w="2369" w:type="dxa"/>
          </w:tcPr>
          <w:p w:rsidR="007262FF" w:rsidRPr="00255458" w:rsidRDefault="00374B8E" w:rsidP="008D40A6">
            <w:pPr>
              <w:spacing w:line="360" w:lineRule="auto"/>
              <w:jc w:val="both"/>
              <w:cnfStyle w:val="000000100000"/>
              <w:rPr>
                <w:rFonts w:ascii="Times New Roman" w:hAnsi="Times New Roman" w:cs="Times New Roman"/>
              </w:rPr>
            </w:pPr>
            <w:r>
              <w:rPr>
                <w:rFonts w:ascii="Times New Roman" w:hAnsi="Times New Roman" w:cs="Times New Roman"/>
              </w:rPr>
              <w:t>4</w:t>
            </w:r>
          </w:p>
        </w:tc>
      </w:tr>
      <w:tr w:rsidR="007262FF" w:rsidRPr="00255458" w:rsidTr="00EA6889">
        <w:tc>
          <w:tcPr>
            <w:cnfStyle w:val="001000000000"/>
            <w:tcW w:w="2440" w:type="dxa"/>
          </w:tcPr>
          <w:p w:rsidR="007262FF" w:rsidRPr="00255458" w:rsidRDefault="007262FF" w:rsidP="00B66185">
            <w:pPr>
              <w:spacing w:before="240" w:after="240" w:line="360" w:lineRule="auto"/>
              <w:jc w:val="both"/>
              <w:rPr>
                <w:rFonts w:ascii="Times New Roman" w:hAnsi="Times New Roman" w:cs="Times New Roman"/>
              </w:rPr>
            </w:pPr>
            <w:r w:rsidRPr="00255458">
              <w:rPr>
                <w:rFonts w:ascii="Times New Roman" w:hAnsi="Times New Roman" w:cs="Times New Roman"/>
              </w:rPr>
              <w:t>Итого</w:t>
            </w:r>
          </w:p>
        </w:tc>
        <w:tc>
          <w:tcPr>
            <w:tcW w:w="2386" w:type="dxa"/>
          </w:tcPr>
          <w:p w:rsidR="007262FF" w:rsidRPr="00255458" w:rsidRDefault="007262FF" w:rsidP="00B66185">
            <w:pPr>
              <w:spacing w:before="240" w:after="240" w:line="360" w:lineRule="auto"/>
              <w:jc w:val="both"/>
              <w:cnfStyle w:val="000000000000"/>
              <w:rPr>
                <w:rFonts w:ascii="Times New Roman" w:hAnsi="Times New Roman" w:cs="Times New Roman"/>
              </w:rPr>
            </w:pPr>
            <w:r w:rsidRPr="00255458">
              <w:rPr>
                <w:rFonts w:ascii="Times New Roman" w:hAnsi="Times New Roman" w:cs="Times New Roman"/>
              </w:rPr>
              <w:t>0</w:t>
            </w:r>
          </w:p>
        </w:tc>
        <w:tc>
          <w:tcPr>
            <w:tcW w:w="2376" w:type="dxa"/>
          </w:tcPr>
          <w:p w:rsidR="007262FF" w:rsidRPr="00255458" w:rsidRDefault="00374B8E" w:rsidP="00B66185">
            <w:pPr>
              <w:spacing w:before="240" w:after="240" w:line="360" w:lineRule="auto"/>
              <w:jc w:val="both"/>
              <w:cnfStyle w:val="000000000000"/>
              <w:rPr>
                <w:rFonts w:ascii="Times New Roman" w:hAnsi="Times New Roman" w:cs="Times New Roman"/>
              </w:rPr>
            </w:pPr>
            <w:r>
              <w:rPr>
                <w:rFonts w:ascii="Times New Roman" w:hAnsi="Times New Roman" w:cs="Times New Roman"/>
              </w:rPr>
              <w:t>41</w:t>
            </w:r>
          </w:p>
        </w:tc>
        <w:tc>
          <w:tcPr>
            <w:tcW w:w="2369" w:type="dxa"/>
          </w:tcPr>
          <w:p w:rsidR="007262FF" w:rsidRPr="00255458" w:rsidRDefault="00374B8E" w:rsidP="00B66185">
            <w:pPr>
              <w:spacing w:before="240" w:after="240" w:line="360" w:lineRule="auto"/>
              <w:jc w:val="both"/>
              <w:cnfStyle w:val="000000000000"/>
              <w:rPr>
                <w:rFonts w:ascii="Times New Roman" w:hAnsi="Times New Roman" w:cs="Times New Roman"/>
              </w:rPr>
            </w:pPr>
            <w:r>
              <w:rPr>
                <w:rFonts w:ascii="Times New Roman" w:hAnsi="Times New Roman" w:cs="Times New Roman"/>
              </w:rPr>
              <w:t>41</w:t>
            </w:r>
          </w:p>
        </w:tc>
      </w:tr>
    </w:tbl>
    <w:p w:rsidR="00B100A9" w:rsidRPr="00B66185" w:rsidRDefault="00EA6889" w:rsidP="00B66185">
      <w:pPr>
        <w:spacing w:before="240" w:after="240" w:line="360" w:lineRule="auto"/>
        <w:jc w:val="both"/>
        <w:rPr>
          <w:rFonts w:ascii="Times New Roman" w:hAnsi="Times New Roman" w:cs="Times New Roman"/>
          <w:sz w:val="28"/>
        </w:rPr>
      </w:pPr>
      <w:r w:rsidRPr="00B1721F">
        <w:rPr>
          <w:rFonts w:ascii="Times New Roman" w:hAnsi="Times New Roman" w:cs="Times New Roman"/>
          <w:sz w:val="28"/>
          <w:szCs w:val="28"/>
        </w:rPr>
        <w:t xml:space="preserve">Значимой связи </w:t>
      </w:r>
      <w:r>
        <w:rPr>
          <w:rFonts w:ascii="Times New Roman" w:hAnsi="Times New Roman" w:cs="Times New Roman"/>
          <w:sz w:val="28"/>
          <w:szCs w:val="28"/>
        </w:rPr>
        <w:t>м</w:t>
      </w:r>
      <w:r w:rsidR="007262FF" w:rsidRPr="00B1721F">
        <w:rPr>
          <w:rFonts w:ascii="Times New Roman" w:hAnsi="Times New Roman" w:cs="Times New Roman"/>
          <w:sz w:val="28"/>
        </w:rPr>
        <w:t xml:space="preserve">ежду неблагоприятным прогнозом и наличием АИТ </w:t>
      </w:r>
      <w:r w:rsidR="00F15664">
        <w:rPr>
          <w:rFonts w:ascii="Times New Roman" w:hAnsi="Times New Roman" w:cs="Times New Roman"/>
          <w:sz w:val="28"/>
        </w:rPr>
        <w:t xml:space="preserve">найдено </w:t>
      </w:r>
      <w:r w:rsidR="007262FF" w:rsidRPr="00B1721F">
        <w:rPr>
          <w:rFonts w:ascii="Times New Roman" w:hAnsi="Times New Roman" w:cs="Times New Roman"/>
          <w:sz w:val="28"/>
        </w:rPr>
        <w:t xml:space="preserve">не </w:t>
      </w:r>
      <w:r w:rsidR="00F15664">
        <w:rPr>
          <w:rFonts w:ascii="Times New Roman" w:hAnsi="Times New Roman" w:cs="Times New Roman"/>
          <w:sz w:val="28"/>
        </w:rPr>
        <w:t>было</w:t>
      </w:r>
      <w:r w:rsidR="007262FF" w:rsidRPr="00B1721F">
        <w:rPr>
          <w:rFonts w:ascii="Times New Roman" w:hAnsi="Times New Roman" w:cs="Times New Roman"/>
          <w:sz w:val="28"/>
        </w:rPr>
        <w:t xml:space="preserve"> (</w:t>
      </w:r>
      <w:r w:rsidR="00410F65" w:rsidRPr="00B1721F">
        <w:rPr>
          <w:rFonts w:ascii="Times New Roman" w:hAnsi="Times New Roman" w:cs="Times New Roman"/>
          <w:sz w:val="28"/>
          <w:lang w:val="en-US"/>
        </w:rPr>
        <w:t>X</w:t>
      </w:r>
      <w:r w:rsidR="00410F65" w:rsidRPr="00B1721F">
        <w:rPr>
          <w:rFonts w:ascii="Times New Roman" w:hAnsi="Times New Roman" w:cs="Times New Roman"/>
          <w:sz w:val="28"/>
          <w:vertAlign w:val="superscript"/>
        </w:rPr>
        <w:t>2</w:t>
      </w:r>
      <w:r w:rsidR="00410F65" w:rsidRPr="00B1721F">
        <w:rPr>
          <w:rFonts w:ascii="Times New Roman" w:hAnsi="Times New Roman" w:cs="Times New Roman"/>
          <w:sz w:val="28"/>
          <w:vertAlign w:val="subscript"/>
        </w:rPr>
        <w:t>1</w:t>
      </w:r>
      <w:proofErr w:type="spellStart"/>
      <w:r w:rsidR="00410F65" w:rsidRPr="00B1721F">
        <w:rPr>
          <w:rFonts w:ascii="Times New Roman" w:hAnsi="Times New Roman" w:cs="Times New Roman"/>
          <w:sz w:val="28"/>
          <w:vertAlign w:val="subscript"/>
          <w:lang w:val="en-US"/>
        </w:rPr>
        <w:t>df</w:t>
      </w:r>
      <w:proofErr w:type="spellEnd"/>
      <w:r w:rsidR="00410F65" w:rsidRPr="00B1721F">
        <w:rPr>
          <w:rFonts w:ascii="Times New Roman" w:hAnsi="Times New Roman" w:cs="Times New Roman"/>
          <w:sz w:val="28"/>
        </w:rPr>
        <w:t xml:space="preserve"> = 0,00015; </w:t>
      </w:r>
      <w:proofErr w:type="gramStart"/>
      <w:r w:rsidR="007262FF" w:rsidRPr="00B1721F">
        <w:rPr>
          <w:rFonts w:ascii="Times New Roman" w:hAnsi="Times New Roman" w:cs="Times New Roman"/>
          <w:sz w:val="28"/>
        </w:rPr>
        <w:t>р</w:t>
      </w:r>
      <w:proofErr w:type="gramEnd"/>
      <w:r w:rsidR="003E3ADA">
        <w:rPr>
          <w:rFonts w:ascii="Times New Roman" w:hAnsi="Times New Roman" w:cs="Times New Roman"/>
          <w:sz w:val="28"/>
        </w:rPr>
        <w:t xml:space="preserve"> </w:t>
      </w:r>
      <w:r w:rsidR="007262FF" w:rsidRPr="00B1721F">
        <w:rPr>
          <w:rFonts w:ascii="Times New Roman" w:hAnsi="Times New Roman" w:cs="Times New Roman"/>
          <w:sz w:val="28"/>
        </w:rPr>
        <w:t>=</w:t>
      </w:r>
      <w:r w:rsidR="003E3ADA">
        <w:rPr>
          <w:rFonts w:ascii="Times New Roman" w:hAnsi="Times New Roman" w:cs="Times New Roman"/>
          <w:sz w:val="28"/>
        </w:rPr>
        <w:t xml:space="preserve"> </w:t>
      </w:r>
      <w:r w:rsidR="007262FF" w:rsidRPr="00B1721F">
        <w:rPr>
          <w:rFonts w:ascii="Times New Roman" w:hAnsi="Times New Roman" w:cs="Times New Roman"/>
          <w:sz w:val="28"/>
        </w:rPr>
        <w:t>0,</w:t>
      </w:r>
      <w:r w:rsidR="00410F65" w:rsidRPr="00B1721F">
        <w:rPr>
          <w:rFonts w:ascii="Times New Roman" w:hAnsi="Times New Roman" w:cs="Times New Roman"/>
          <w:sz w:val="28"/>
        </w:rPr>
        <w:t>97</w:t>
      </w:r>
      <w:r w:rsidR="007262FF" w:rsidRPr="00B1721F">
        <w:rPr>
          <w:rFonts w:ascii="Times New Roman" w:hAnsi="Times New Roman" w:cs="Times New Roman"/>
          <w:sz w:val="28"/>
        </w:rPr>
        <w:t>)</w:t>
      </w:r>
    </w:p>
    <w:p w:rsidR="007262FF" w:rsidRPr="00B1721F" w:rsidRDefault="007262FF" w:rsidP="00B1721F">
      <w:pPr>
        <w:spacing w:line="360" w:lineRule="auto"/>
        <w:jc w:val="both"/>
        <w:rPr>
          <w:rFonts w:ascii="Times New Roman" w:hAnsi="Times New Roman" w:cs="Times New Roman"/>
          <w:b/>
          <w:sz w:val="28"/>
        </w:rPr>
      </w:pPr>
      <w:r w:rsidRPr="00B1721F">
        <w:rPr>
          <w:rFonts w:ascii="Times New Roman" w:hAnsi="Times New Roman" w:cs="Times New Roman"/>
          <w:b/>
          <w:sz w:val="28"/>
        </w:rPr>
        <w:t>Таб.</w:t>
      </w:r>
      <w:r w:rsidR="002B29D5">
        <w:rPr>
          <w:rFonts w:ascii="Times New Roman" w:hAnsi="Times New Roman" w:cs="Times New Roman"/>
          <w:b/>
          <w:sz w:val="28"/>
        </w:rPr>
        <w:t>4</w:t>
      </w:r>
      <w:r w:rsidRPr="00B1721F">
        <w:rPr>
          <w:rFonts w:ascii="Times New Roman" w:hAnsi="Times New Roman" w:cs="Times New Roman"/>
          <w:b/>
          <w:sz w:val="28"/>
        </w:rPr>
        <w:t xml:space="preserve"> Распределение пац</w:t>
      </w:r>
      <w:r w:rsidR="00F15664">
        <w:rPr>
          <w:rFonts w:ascii="Times New Roman" w:hAnsi="Times New Roman" w:cs="Times New Roman"/>
          <w:b/>
          <w:sz w:val="28"/>
        </w:rPr>
        <w:t>иентов по количеству аденом ОЩЖ</w:t>
      </w:r>
    </w:p>
    <w:tbl>
      <w:tblPr>
        <w:tblStyle w:val="13"/>
        <w:tblW w:w="9226" w:type="dxa"/>
        <w:tblLayout w:type="fixed"/>
        <w:tblLook w:val="04A0"/>
      </w:tblPr>
      <w:tblGrid>
        <w:gridCol w:w="2043"/>
        <w:gridCol w:w="1618"/>
        <w:gridCol w:w="1914"/>
        <w:gridCol w:w="1915"/>
        <w:gridCol w:w="1736"/>
      </w:tblGrid>
      <w:tr w:rsidR="007262FF" w:rsidRPr="00255458" w:rsidTr="00B66185">
        <w:trPr>
          <w:cnfStyle w:val="100000000000"/>
          <w:trHeight w:val="296"/>
        </w:trPr>
        <w:tc>
          <w:tcPr>
            <w:cnfStyle w:val="001000000000"/>
            <w:tcW w:w="2043" w:type="dxa"/>
            <w:vMerge w:val="restart"/>
          </w:tcPr>
          <w:p w:rsidR="007262FF" w:rsidRPr="00255458" w:rsidRDefault="007262FF" w:rsidP="008D40A6">
            <w:pPr>
              <w:spacing w:line="360" w:lineRule="auto"/>
              <w:jc w:val="both"/>
              <w:rPr>
                <w:rFonts w:ascii="Times New Roman" w:hAnsi="Times New Roman" w:cs="Times New Roman"/>
              </w:rPr>
            </w:pPr>
            <w:r w:rsidRPr="00255458">
              <w:rPr>
                <w:rFonts w:ascii="Times New Roman" w:hAnsi="Times New Roman" w:cs="Times New Roman"/>
              </w:rPr>
              <w:t xml:space="preserve">Группы </w:t>
            </w:r>
          </w:p>
        </w:tc>
        <w:tc>
          <w:tcPr>
            <w:tcW w:w="3532" w:type="dxa"/>
            <w:gridSpan w:val="2"/>
          </w:tcPr>
          <w:p w:rsidR="007262FF" w:rsidRPr="00255458" w:rsidRDefault="007262FF" w:rsidP="008D40A6">
            <w:pPr>
              <w:spacing w:line="360" w:lineRule="auto"/>
              <w:jc w:val="center"/>
              <w:cnfStyle w:val="100000000000"/>
              <w:rPr>
                <w:rFonts w:ascii="Times New Roman" w:hAnsi="Times New Roman" w:cs="Times New Roman"/>
              </w:rPr>
            </w:pPr>
            <w:r w:rsidRPr="00255458">
              <w:rPr>
                <w:rFonts w:ascii="Times New Roman" w:hAnsi="Times New Roman" w:cs="Times New Roman"/>
              </w:rPr>
              <w:t>Мужчины</w:t>
            </w:r>
          </w:p>
        </w:tc>
        <w:tc>
          <w:tcPr>
            <w:tcW w:w="3651" w:type="dxa"/>
            <w:gridSpan w:val="2"/>
          </w:tcPr>
          <w:p w:rsidR="007262FF" w:rsidRPr="00255458" w:rsidRDefault="007262FF" w:rsidP="008D40A6">
            <w:pPr>
              <w:spacing w:line="360" w:lineRule="auto"/>
              <w:jc w:val="center"/>
              <w:cnfStyle w:val="100000000000"/>
              <w:rPr>
                <w:rFonts w:ascii="Times New Roman" w:hAnsi="Times New Roman" w:cs="Times New Roman"/>
              </w:rPr>
            </w:pPr>
            <w:r w:rsidRPr="00255458">
              <w:rPr>
                <w:rFonts w:ascii="Times New Roman" w:hAnsi="Times New Roman" w:cs="Times New Roman"/>
              </w:rPr>
              <w:t>Женщины</w:t>
            </w:r>
          </w:p>
        </w:tc>
      </w:tr>
      <w:tr w:rsidR="007262FF" w:rsidRPr="00255458" w:rsidTr="00B66185">
        <w:trPr>
          <w:cnfStyle w:val="000000100000"/>
          <w:trHeight w:val="91"/>
        </w:trPr>
        <w:tc>
          <w:tcPr>
            <w:cnfStyle w:val="001000000000"/>
            <w:tcW w:w="2043" w:type="dxa"/>
            <w:vMerge/>
          </w:tcPr>
          <w:p w:rsidR="007262FF" w:rsidRPr="00255458" w:rsidRDefault="007262FF" w:rsidP="008D40A6">
            <w:pPr>
              <w:spacing w:line="360" w:lineRule="auto"/>
              <w:jc w:val="both"/>
              <w:rPr>
                <w:rFonts w:ascii="Times New Roman" w:hAnsi="Times New Roman" w:cs="Times New Roman"/>
              </w:rPr>
            </w:pPr>
          </w:p>
        </w:tc>
        <w:tc>
          <w:tcPr>
            <w:tcW w:w="1618" w:type="dxa"/>
          </w:tcPr>
          <w:p w:rsidR="007262FF" w:rsidRPr="00255458" w:rsidRDefault="007262FF" w:rsidP="00F15664">
            <w:pPr>
              <w:spacing w:line="360" w:lineRule="auto"/>
              <w:jc w:val="center"/>
              <w:cnfStyle w:val="000000100000"/>
              <w:rPr>
                <w:rFonts w:ascii="Times New Roman" w:hAnsi="Times New Roman" w:cs="Times New Roman"/>
              </w:rPr>
            </w:pPr>
            <w:r w:rsidRPr="00255458">
              <w:rPr>
                <w:rFonts w:ascii="Times New Roman" w:hAnsi="Times New Roman" w:cs="Times New Roman"/>
              </w:rPr>
              <w:t>1 аденома</w:t>
            </w:r>
          </w:p>
        </w:tc>
        <w:tc>
          <w:tcPr>
            <w:tcW w:w="1914" w:type="dxa"/>
          </w:tcPr>
          <w:p w:rsidR="007262FF" w:rsidRPr="00255458" w:rsidRDefault="007262FF" w:rsidP="00F15664">
            <w:pPr>
              <w:spacing w:line="360" w:lineRule="auto"/>
              <w:jc w:val="center"/>
              <w:cnfStyle w:val="000000100000"/>
              <w:rPr>
                <w:rFonts w:ascii="Times New Roman" w:hAnsi="Times New Roman" w:cs="Times New Roman"/>
              </w:rPr>
            </w:pPr>
            <w:r w:rsidRPr="00255458">
              <w:rPr>
                <w:rFonts w:ascii="Times New Roman" w:hAnsi="Times New Roman" w:cs="Times New Roman"/>
              </w:rPr>
              <w:t>2 аденомы</w:t>
            </w:r>
          </w:p>
        </w:tc>
        <w:tc>
          <w:tcPr>
            <w:tcW w:w="1915" w:type="dxa"/>
          </w:tcPr>
          <w:p w:rsidR="007262FF" w:rsidRPr="00255458" w:rsidRDefault="007262FF" w:rsidP="00F15664">
            <w:pPr>
              <w:spacing w:line="360" w:lineRule="auto"/>
              <w:jc w:val="center"/>
              <w:cnfStyle w:val="000000100000"/>
              <w:rPr>
                <w:rFonts w:ascii="Times New Roman" w:hAnsi="Times New Roman" w:cs="Times New Roman"/>
              </w:rPr>
            </w:pPr>
            <w:r w:rsidRPr="00255458">
              <w:rPr>
                <w:rFonts w:ascii="Times New Roman" w:hAnsi="Times New Roman" w:cs="Times New Roman"/>
              </w:rPr>
              <w:t>1 аденома</w:t>
            </w:r>
          </w:p>
        </w:tc>
        <w:tc>
          <w:tcPr>
            <w:tcW w:w="1736" w:type="dxa"/>
          </w:tcPr>
          <w:p w:rsidR="007262FF" w:rsidRPr="00255458" w:rsidRDefault="007262FF" w:rsidP="00F15664">
            <w:pPr>
              <w:spacing w:line="360" w:lineRule="auto"/>
              <w:jc w:val="center"/>
              <w:cnfStyle w:val="000000100000"/>
              <w:rPr>
                <w:rFonts w:ascii="Times New Roman" w:hAnsi="Times New Roman" w:cs="Times New Roman"/>
              </w:rPr>
            </w:pPr>
            <w:r w:rsidRPr="00255458">
              <w:rPr>
                <w:rFonts w:ascii="Times New Roman" w:hAnsi="Times New Roman" w:cs="Times New Roman"/>
              </w:rPr>
              <w:t>2 аденомы</w:t>
            </w:r>
          </w:p>
        </w:tc>
      </w:tr>
      <w:tr w:rsidR="007262FF" w:rsidRPr="00255458" w:rsidTr="00B66185">
        <w:trPr>
          <w:trHeight w:val="1006"/>
        </w:trPr>
        <w:tc>
          <w:tcPr>
            <w:cnfStyle w:val="001000000000"/>
            <w:tcW w:w="2043" w:type="dxa"/>
          </w:tcPr>
          <w:p w:rsidR="007262FF" w:rsidRPr="00255458" w:rsidRDefault="007262FF" w:rsidP="008D40A6">
            <w:pPr>
              <w:spacing w:line="360" w:lineRule="auto"/>
              <w:jc w:val="both"/>
              <w:rPr>
                <w:rFonts w:ascii="Times New Roman" w:hAnsi="Times New Roman" w:cs="Times New Roman"/>
              </w:rPr>
            </w:pPr>
            <w:r w:rsidRPr="00255458">
              <w:rPr>
                <w:rFonts w:ascii="Times New Roman" w:hAnsi="Times New Roman" w:cs="Times New Roman"/>
              </w:rPr>
              <w:t>Благоприятн</w:t>
            </w:r>
            <w:r w:rsidR="00F15664">
              <w:rPr>
                <w:rFonts w:ascii="Times New Roman" w:hAnsi="Times New Roman" w:cs="Times New Roman"/>
              </w:rPr>
              <w:t>ого</w:t>
            </w:r>
            <w:r w:rsidR="00601B5C">
              <w:rPr>
                <w:rFonts w:ascii="Times New Roman" w:hAnsi="Times New Roman" w:cs="Times New Roman"/>
              </w:rPr>
              <w:t xml:space="preserve"> прогноз</w:t>
            </w:r>
            <w:r w:rsidR="00F15664">
              <w:rPr>
                <w:rFonts w:ascii="Times New Roman" w:hAnsi="Times New Roman" w:cs="Times New Roman"/>
              </w:rPr>
              <w:t>а</w:t>
            </w:r>
          </w:p>
          <w:p w:rsidR="007262FF" w:rsidRPr="00255458" w:rsidRDefault="007262FF" w:rsidP="008D40A6">
            <w:pPr>
              <w:spacing w:line="360" w:lineRule="auto"/>
              <w:jc w:val="both"/>
              <w:rPr>
                <w:rFonts w:ascii="Times New Roman" w:hAnsi="Times New Roman" w:cs="Times New Roman"/>
              </w:rPr>
            </w:pPr>
          </w:p>
        </w:tc>
        <w:tc>
          <w:tcPr>
            <w:tcW w:w="1618" w:type="dxa"/>
          </w:tcPr>
          <w:p w:rsidR="007262FF" w:rsidRPr="00255458" w:rsidRDefault="007262FF" w:rsidP="00F15664">
            <w:pPr>
              <w:spacing w:line="360" w:lineRule="auto"/>
              <w:jc w:val="center"/>
              <w:cnfStyle w:val="000000000000"/>
              <w:rPr>
                <w:rFonts w:ascii="Times New Roman" w:hAnsi="Times New Roman" w:cs="Times New Roman"/>
              </w:rPr>
            </w:pPr>
            <w:r w:rsidRPr="00255458">
              <w:rPr>
                <w:rFonts w:ascii="Times New Roman" w:hAnsi="Times New Roman" w:cs="Times New Roman"/>
              </w:rPr>
              <w:t>2</w:t>
            </w:r>
            <w:r w:rsidR="00601B5C">
              <w:rPr>
                <w:rFonts w:ascii="Times New Roman" w:hAnsi="Times New Roman" w:cs="Times New Roman"/>
              </w:rPr>
              <w:t>5</w:t>
            </w:r>
          </w:p>
        </w:tc>
        <w:tc>
          <w:tcPr>
            <w:tcW w:w="1914" w:type="dxa"/>
          </w:tcPr>
          <w:p w:rsidR="007262FF" w:rsidRPr="00255458" w:rsidRDefault="00F15664" w:rsidP="00F15664">
            <w:pPr>
              <w:spacing w:line="360" w:lineRule="auto"/>
              <w:ind w:firstLine="708"/>
              <w:cnfStyle w:val="000000000000"/>
              <w:rPr>
                <w:rFonts w:ascii="Times New Roman" w:hAnsi="Times New Roman" w:cs="Times New Roman"/>
              </w:rPr>
            </w:pPr>
            <w:r>
              <w:rPr>
                <w:rFonts w:ascii="Times New Roman" w:hAnsi="Times New Roman" w:cs="Times New Roman"/>
              </w:rPr>
              <w:t xml:space="preserve">  </w:t>
            </w:r>
            <w:r w:rsidR="00601B5C">
              <w:rPr>
                <w:rFonts w:ascii="Times New Roman" w:hAnsi="Times New Roman" w:cs="Times New Roman"/>
              </w:rPr>
              <w:t>0</w:t>
            </w:r>
          </w:p>
        </w:tc>
        <w:tc>
          <w:tcPr>
            <w:tcW w:w="1915" w:type="dxa"/>
          </w:tcPr>
          <w:p w:rsidR="007262FF" w:rsidRPr="00255458" w:rsidRDefault="007262FF" w:rsidP="00F15664">
            <w:pPr>
              <w:spacing w:line="360" w:lineRule="auto"/>
              <w:jc w:val="center"/>
              <w:cnfStyle w:val="000000000000"/>
              <w:rPr>
                <w:rFonts w:ascii="Times New Roman" w:hAnsi="Times New Roman" w:cs="Times New Roman"/>
              </w:rPr>
            </w:pPr>
            <w:r w:rsidRPr="00255458">
              <w:rPr>
                <w:rFonts w:ascii="Times New Roman" w:hAnsi="Times New Roman" w:cs="Times New Roman"/>
              </w:rPr>
              <w:t>3</w:t>
            </w:r>
            <w:r w:rsidR="00374B8E">
              <w:rPr>
                <w:rFonts w:ascii="Times New Roman" w:hAnsi="Times New Roman" w:cs="Times New Roman"/>
              </w:rPr>
              <w:t>20</w:t>
            </w:r>
          </w:p>
        </w:tc>
        <w:tc>
          <w:tcPr>
            <w:tcW w:w="1736" w:type="dxa"/>
          </w:tcPr>
          <w:p w:rsidR="007262FF" w:rsidRPr="00255458" w:rsidRDefault="007262FF" w:rsidP="00F15664">
            <w:pPr>
              <w:spacing w:line="360" w:lineRule="auto"/>
              <w:jc w:val="center"/>
              <w:cnfStyle w:val="000000000000"/>
              <w:rPr>
                <w:rFonts w:ascii="Times New Roman" w:hAnsi="Times New Roman" w:cs="Times New Roman"/>
              </w:rPr>
            </w:pPr>
            <w:r w:rsidRPr="00255458">
              <w:rPr>
                <w:rFonts w:ascii="Times New Roman" w:hAnsi="Times New Roman" w:cs="Times New Roman"/>
              </w:rPr>
              <w:t>1</w:t>
            </w:r>
            <w:r w:rsidR="00601B5C">
              <w:rPr>
                <w:rFonts w:ascii="Times New Roman" w:hAnsi="Times New Roman" w:cs="Times New Roman"/>
              </w:rPr>
              <w:t>9</w:t>
            </w:r>
          </w:p>
        </w:tc>
      </w:tr>
      <w:tr w:rsidR="007262FF" w:rsidRPr="00255458" w:rsidTr="00B66185">
        <w:trPr>
          <w:cnfStyle w:val="000000100000"/>
          <w:trHeight w:val="917"/>
        </w:trPr>
        <w:tc>
          <w:tcPr>
            <w:cnfStyle w:val="001000000000"/>
            <w:tcW w:w="2043" w:type="dxa"/>
          </w:tcPr>
          <w:p w:rsidR="007262FF" w:rsidRPr="00255458" w:rsidRDefault="00601B5C" w:rsidP="00F15664">
            <w:pPr>
              <w:spacing w:line="360" w:lineRule="auto"/>
              <w:jc w:val="both"/>
              <w:rPr>
                <w:rFonts w:ascii="Times New Roman" w:hAnsi="Times New Roman" w:cs="Times New Roman"/>
              </w:rPr>
            </w:pPr>
            <w:r>
              <w:rPr>
                <w:rFonts w:ascii="Times New Roman" w:hAnsi="Times New Roman" w:cs="Times New Roman"/>
              </w:rPr>
              <w:t>Неблагоприятн</w:t>
            </w:r>
            <w:r w:rsidR="00F15664">
              <w:rPr>
                <w:rFonts w:ascii="Times New Roman" w:hAnsi="Times New Roman" w:cs="Times New Roman"/>
              </w:rPr>
              <w:t>ого</w:t>
            </w:r>
            <w:r>
              <w:rPr>
                <w:rFonts w:ascii="Times New Roman" w:hAnsi="Times New Roman" w:cs="Times New Roman"/>
              </w:rPr>
              <w:t xml:space="preserve"> </w:t>
            </w:r>
            <w:r w:rsidR="007262FF" w:rsidRPr="00255458">
              <w:rPr>
                <w:rFonts w:ascii="Times New Roman" w:hAnsi="Times New Roman" w:cs="Times New Roman"/>
              </w:rPr>
              <w:t>прогноз</w:t>
            </w:r>
            <w:r w:rsidR="00F15664">
              <w:rPr>
                <w:rFonts w:ascii="Times New Roman" w:hAnsi="Times New Roman" w:cs="Times New Roman"/>
              </w:rPr>
              <w:t>а</w:t>
            </w:r>
          </w:p>
        </w:tc>
        <w:tc>
          <w:tcPr>
            <w:tcW w:w="1618" w:type="dxa"/>
          </w:tcPr>
          <w:p w:rsidR="007262FF" w:rsidRPr="00255458" w:rsidRDefault="007262FF" w:rsidP="00F15664">
            <w:pPr>
              <w:spacing w:line="360" w:lineRule="auto"/>
              <w:jc w:val="center"/>
              <w:cnfStyle w:val="000000100000"/>
              <w:rPr>
                <w:rFonts w:ascii="Times New Roman" w:hAnsi="Times New Roman" w:cs="Times New Roman"/>
              </w:rPr>
            </w:pPr>
            <w:r w:rsidRPr="00255458">
              <w:rPr>
                <w:rFonts w:ascii="Times New Roman" w:hAnsi="Times New Roman" w:cs="Times New Roman"/>
              </w:rPr>
              <w:t>2</w:t>
            </w:r>
          </w:p>
        </w:tc>
        <w:tc>
          <w:tcPr>
            <w:tcW w:w="1914" w:type="dxa"/>
          </w:tcPr>
          <w:p w:rsidR="007262FF" w:rsidRPr="00255458" w:rsidRDefault="007262FF" w:rsidP="00F15664">
            <w:pPr>
              <w:spacing w:line="360" w:lineRule="auto"/>
              <w:jc w:val="center"/>
              <w:cnfStyle w:val="000000100000"/>
              <w:rPr>
                <w:rFonts w:ascii="Times New Roman" w:hAnsi="Times New Roman" w:cs="Times New Roman"/>
              </w:rPr>
            </w:pPr>
            <w:r w:rsidRPr="00255458">
              <w:rPr>
                <w:rFonts w:ascii="Times New Roman" w:hAnsi="Times New Roman" w:cs="Times New Roman"/>
              </w:rPr>
              <w:t>0</w:t>
            </w:r>
          </w:p>
        </w:tc>
        <w:tc>
          <w:tcPr>
            <w:tcW w:w="1915" w:type="dxa"/>
          </w:tcPr>
          <w:p w:rsidR="007262FF" w:rsidRPr="00255458" w:rsidRDefault="00374B8E" w:rsidP="00F15664">
            <w:pPr>
              <w:spacing w:line="360" w:lineRule="auto"/>
              <w:jc w:val="center"/>
              <w:cnfStyle w:val="000000100000"/>
              <w:rPr>
                <w:rFonts w:ascii="Times New Roman" w:hAnsi="Times New Roman" w:cs="Times New Roman"/>
              </w:rPr>
            </w:pPr>
            <w:r>
              <w:rPr>
                <w:rFonts w:ascii="Times New Roman" w:hAnsi="Times New Roman" w:cs="Times New Roman"/>
              </w:rPr>
              <w:t>37</w:t>
            </w:r>
          </w:p>
        </w:tc>
        <w:tc>
          <w:tcPr>
            <w:tcW w:w="1736" w:type="dxa"/>
          </w:tcPr>
          <w:p w:rsidR="007262FF" w:rsidRPr="00255458" w:rsidRDefault="00601B5C" w:rsidP="00F15664">
            <w:pPr>
              <w:spacing w:line="360" w:lineRule="auto"/>
              <w:jc w:val="center"/>
              <w:cnfStyle w:val="000000100000"/>
              <w:rPr>
                <w:rFonts w:ascii="Times New Roman" w:hAnsi="Times New Roman" w:cs="Times New Roman"/>
              </w:rPr>
            </w:pPr>
            <w:r>
              <w:rPr>
                <w:rFonts w:ascii="Times New Roman" w:hAnsi="Times New Roman" w:cs="Times New Roman"/>
              </w:rPr>
              <w:t>0</w:t>
            </w:r>
          </w:p>
        </w:tc>
      </w:tr>
      <w:tr w:rsidR="007262FF" w:rsidRPr="00255458" w:rsidTr="00B66185">
        <w:trPr>
          <w:trHeight w:val="315"/>
        </w:trPr>
        <w:tc>
          <w:tcPr>
            <w:cnfStyle w:val="001000000000"/>
            <w:tcW w:w="2043" w:type="dxa"/>
          </w:tcPr>
          <w:p w:rsidR="007262FF" w:rsidRPr="00255458" w:rsidRDefault="007262FF" w:rsidP="00B66185">
            <w:pPr>
              <w:spacing w:before="240" w:after="240" w:line="360" w:lineRule="auto"/>
              <w:jc w:val="both"/>
              <w:rPr>
                <w:rFonts w:ascii="Times New Roman" w:hAnsi="Times New Roman" w:cs="Times New Roman"/>
              </w:rPr>
            </w:pPr>
            <w:r w:rsidRPr="00255458">
              <w:rPr>
                <w:rFonts w:ascii="Times New Roman" w:hAnsi="Times New Roman" w:cs="Times New Roman"/>
              </w:rPr>
              <w:t>Итого</w:t>
            </w:r>
          </w:p>
        </w:tc>
        <w:tc>
          <w:tcPr>
            <w:tcW w:w="1618" w:type="dxa"/>
          </w:tcPr>
          <w:p w:rsidR="007262FF" w:rsidRPr="00255458" w:rsidRDefault="007262FF" w:rsidP="00B66185">
            <w:pPr>
              <w:spacing w:before="240" w:after="240" w:line="360" w:lineRule="auto"/>
              <w:jc w:val="center"/>
              <w:cnfStyle w:val="000000000000"/>
              <w:rPr>
                <w:rFonts w:ascii="Times New Roman" w:hAnsi="Times New Roman" w:cs="Times New Roman"/>
              </w:rPr>
            </w:pPr>
            <w:r w:rsidRPr="00255458">
              <w:rPr>
                <w:rFonts w:ascii="Times New Roman" w:hAnsi="Times New Roman" w:cs="Times New Roman"/>
              </w:rPr>
              <w:t>2</w:t>
            </w:r>
            <w:r w:rsidR="00601B5C">
              <w:rPr>
                <w:rFonts w:ascii="Times New Roman" w:hAnsi="Times New Roman" w:cs="Times New Roman"/>
              </w:rPr>
              <w:t>7</w:t>
            </w:r>
          </w:p>
        </w:tc>
        <w:tc>
          <w:tcPr>
            <w:tcW w:w="1914" w:type="dxa"/>
          </w:tcPr>
          <w:p w:rsidR="007262FF" w:rsidRPr="00255458" w:rsidRDefault="00601B5C" w:rsidP="00B66185">
            <w:pPr>
              <w:spacing w:before="240" w:after="240" w:line="360" w:lineRule="auto"/>
              <w:jc w:val="center"/>
              <w:cnfStyle w:val="000000000000"/>
              <w:rPr>
                <w:rFonts w:ascii="Times New Roman" w:hAnsi="Times New Roman" w:cs="Times New Roman"/>
              </w:rPr>
            </w:pPr>
            <w:r>
              <w:rPr>
                <w:rFonts w:ascii="Times New Roman" w:hAnsi="Times New Roman" w:cs="Times New Roman"/>
              </w:rPr>
              <w:t>0</w:t>
            </w:r>
          </w:p>
        </w:tc>
        <w:tc>
          <w:tcPr>
            <w:tcW w:w="1915" w:type="dxa"/>
          </w:tcPr>
          <w:p w:rsidR="007262FF" w:rsidRPr="00255458" w:rsidRDefault="007262FF" w:rsidP="00B66185">
            <w:pPr>
              <w:spacing w:before="240" w:after="240" w:line="360" w:lineRule="auto"/>
              <w:jc w:val="center"/>
              <w:cnfStyle w:val="000000000000"/>
              <w:rPr>
                <w:rFonts w:ascii="Times New Roman" w:hAnsi="Times New Roman" w:cs="Times New Roman"/>
              </w:rPr>
            </w:pPr>
            <w:r w:rsidRPr="00255458">
              <w:rPr>
                <w:rFonts w:ascii="Times New Roman" w:hAnsi="Times New Roman" w:cs="Times New Roman"/>
              </w:rPr>
              <w:t>35</w:t>
            </w:r>
            <w:r w:rsidR="00374B8E">
              <w:rPr>
                <w:rFonts w:ascii="Times New Roman" w:hAnsi="Times New Roman" w:cs="Times New Roman"/>
              </w:rPr>
              <w:t>7</w:t>
            </w:r>
          </w:p>
        </w:tc>
        <w:tc>
          <w:tcPr>
            <w:tcW w:w="1736" w:type="dxa"/>
          </w:tcPr>
          <w:p w:rsidR="007262FF" w:rsidRPr="00255458" w:rsidRDefault="007262FF" w:rsidP="00B66185">
            <w:pPr>
              <w:spacing w:before="240" w:after="240" w:line="360" w:lineRule="auto"/>
              <w:jc w:val="center"/>
              <w:cnfStyle w:val="000000000000"/>
              <w:rPr>
                <w:rFonts w:ascii="Times New Roman" w:hAnsi="Times New Roman" w:cs="Times New Roman"/>
              </w:rPr>
            </w:pPr>
            <w:r w:rsidRPr="00255458">
              <w:rPr>
                <w:rFonts w:ascii="Times New Roman" w:hAnsi="Times New Roman" w:cs="Times New Roman"/>
              </w:rPr>
              <w:t>1</w:t>
            </w:r>
            <w:r w:rsidR="00601B5C">
              <w:rPr>
                <w:rFonts w:ascii="Times New Roman" w:hAnsi="Times New Roman" w:cs="Times New Roman"/>
              </w:rPr>
              <w:t>9</w:t>
            </w:r>
          </w:p>
        </w:tc>
      </w:tr>
    </w:tbl>
    <w:p w:rsidR="00A03A3A" w:rsidRDefault="00B1721F" w:rsidP="001F0706">
      <w:pPr>
        <w:spacing w:before="240" w:after="240" w:line="360" w:lineRule="auto"/>
        <w:jc w:val="both"/>
        <w:rPr>
          <w:rFonts w:ascii="Times New Roman" w:hAnsi="Times New Roman" w:cs="Times New Roman"/>
          <w:sz w:val="28"/>
        </w:rPr>
      </w:pPr>
      <w:r w:rsidRPr="003E3ADA">
        <w:rPr>
          <w:rFonts w:ascii="Times New Roman" w:hAnsi="Times New Roman" w:cs="Times New Roman"/>
          <w:sz w:val="28"/>
        </w:rPr>
        <w:t>Было замечено, что пациенты с дву</w:t>
      </w:r>
      <w:r w:rsidR="00601B5C" w:rsidRPr="003E3ADA">
        <w:rPr>
          <w:rFonts w:ascii="Times New Roman" w:hAnsi="Times New Roman" w:cs="Times New Roman"/>
          <w:sz w:val="28"/>
        </w:rPr>
        <w:t>мя аденомами</w:t>
      </w:r>
      <w:r w:rsidR="00374B8E" w:rsidRPr="003E3ADA">
        <w:rPr>
          <w:rFonts w:ascii="Times New Roman" w:hAnsi="Times New Roman" w:cs="Times New Roman"/>
          <w:sz w:val="28"/>
        </w:rPr>
        <w:t xml:space="preserve"> ОЩЖ</w:t>
      </w:r>
      <w:r w:rsidR="00601B5C" w:rsidRPr="003E3ADA">
        <w:rPr>
          <w:rFonts w:ascii="Times New Roman" w:hAnsi="Times New Roman" w:cs="Times New Roman"/>
          <w:sz w:val="28"/>
        </w:rPr>
        <w:t xml:space="preserve"> не относились к группе неблагоприятного прогноза.</w:t>
      </w:r>
      <w:r w:rsidR="003E3ADA" w:rsidRPr="003E3ADA">
        <w:rPr>
          <w:rFonts w:ascii="Times New Roman" w:hAnsi="Times New Roman" w:cs="Times New Roman"/>
          <w:sz w:val="28"/>
        </w:rPr>
        <w:t xml:space="preserve"> </w:t>
      </w:r>
      <w:r w:rsidR="002B29D5">
        <w:rPr>
          <w:rFonts w:ascii="Times New Roman" w:hAnsi="Times New Roman" w:cs="Times New Roman"/>
          <w:sz w:val="28"/>
        </w:rPr>
        <w:t>Однако н</w:t>
      </w:r>
      <w:r w:rsidR="007262FF" w:rsidRPr="003E3ADA">
        <w:rPr>
          <w:rFonts w:ascii="Times New Roman" w:hAnsi="Times New Roman" w:cs="Times New Roman"/>
          <w:sz w:val="28"/>
        </w:rPr>
        <w:t>аличие связи между неблагоприятным прогнозом и количеством аденом ОЩЖ не выявлено (</w:t>
      </w:r>
      <w:r w:rsidR="00410F65" w:rsidRPr="003E3ADA">
        <w:rPr>
          <w:rFonts w:ascii="Times New Roman" w:hAnsi="Times New Roman" w:cs="Times New Roman"/>
          <w:sz w:val="28"/>
          <w:lang w:val="en-US"/>
        </w:rPr>
        <w:t>X</w:t>
      </w:r>
      <w:r w:rsidR="00410F65" w:rsidRPr="003E3ADA">
        <w:rPr>
          <w:rFonts w:ascii="Times New Roman" w:hAnsi="Times New Roman" w:cs="Times New Roman"/>
          <w:sz w:val="28"/>
          <w:vertAlign w:val="superscript"/>
        </w:rPr>
        <w:t>2</w:t>
      </w:r>
      <w:r w:rsidR="00410F65" w:rsidRPr="003E3ADA">
        <w:rPr>
          <w:rFonts w:ascii="Times New Roman" w:hAnsi="Times New Roman" w:cs="Times New Roman"/>
          <w:sz w:val="28"/>
          <w:vertAlign w:val="subscript"/>
        </w:rPr>
        <w:t>1</w:t>
      </w:r>
      <w:proofErr w:type="spellStart"/>
      <w:r w:rsidR="00410F65" w:rsidRPr="003E3ADA">
        <w:rPr>
          <w:rFonts w:ascii="Times New Roman" w:hAnsi="Times New Roman" w:cs="Times New Roman"/>
          <w:sz w:val="28"/>
          <w:vertAlign w:val="subscript"/>
          <w:lang w:val="en-US"/>
        </w:rPr>
        <w:t>df</w:t>
      </w:r>
      <w:proofErr w:type="spellEnd"/>
      <w:r w:rsidR="003E3ADA" w:rsidRPr="003E3ADA">
        <w:rPr>
          <w:rFonts w:ascii="Times New Roman" w:hAnsi="Times New Roman" w:cs="Times New Roman"/>
          <w:sz w:val="28"/>
          <w:vertAlign w:val="subscript"/>
        </w:rPr>
        <w:t xml:space="preserve"> </w:t>
      </w:r>
      <w:r w:rsidR="00410F65" w:rsidRPr="003E3ADA">
        <w:rPr>
          <w:rFonts w:ascii="Times New Roman" w:hAnsi="Times New Roman" w:cs="Times New Roman"/>
          <w:sz w:val="28"/>
        </w:rPr>
        <w:t xml:space="preserve"> =</w:t>
      </w:r>
      <w:r w:rsidR="003E3ADA" w:rsidRPr="003E3ADA">
        <w:rPr>
          <w:rFonts w:ascii="Times New Roman" w:hAnsi="Times New Roman" w:cs="Times New Roman"/>
          <w:sz w:val="28"/>
        </w:rPr>
        <w:t xml:space="preserve"> </w:t>
      </w:r>
      <w:r w:rsidR="00410F65" w:rsidRPr="003E3ADA">
        <w:rPr>
          <w:rFonts w:ascii="Times New Roman" w:hAnsi="Times New Roman" w:cs="Times New Roman"/>
          <w:sz w:val="28"/>
        </w:rPr>
        <w:t xml:space="preserve">2,38; </w:t>
      </w:r>
      <w:proofErr w:type="gramStart"/>
      <w:r w:rsidR="007262FF" w:rsidRPr="003E3ADA">
        <w:rPr>
          <w:rFonts w:ascii="Times New Roman" w:hAnsi="Times New Roman" w:cs="Times New Roman"/>
          <w:sz w:val="28"/>
        </w:rPr>
        <w:t>р</w:t>
      </w:r>
      <w:proofErr w:type="gramEnd"/>
      <w:r w:rsidR="003E3ADA" w:rsidRPr="003E3ADA">
        <w:rPr>
          <w:rFonts w:ascii="Times New Roman" w:hAnsi="Times New Roman" w:cs="Times New Roman"/>
          <w:sz w:val="28"/>
        </w:rPr>
        <w:t xml:space="preserve"> </w:t>
      </w:r>
      <w:r w:rsidR="007262FF" w:rsidRPr="003E3ADA">
        <w:rPr>
          <w:rFonts w:ascii="Times New Roman" w:hAnsi="Times New Roman" w:cs="Times New Roman"/>
          <w:sz w:val="28"/>
        </w:rPr>
        <w:t>= 0,</w:t>
      </w:r>
      <w:r w:rsidR="00410F65" w:rsidRPr="003E3ADA">
        <w:rPr>
          <w:rFonts w:ascii="Times New Roman" w:hAnsi="Times New Roman" w:cs="Times New Roman"/>
          <w:sz w:val="28"/>
        </w:rPr>
        <w:t>12</w:t>
      </w:r>
      <w:r w:rsidR="007262FF" w:rsidRPr="003E3ADA">
        <w:rPr>
          <w:rFonts w:ascii="Times New Roman" w:hAnsi="Times New Roman" w:cs="Times New Roman"/>
          <w:sz w:val="28"/>
        </w:rPr>
        <w:t>)</w:t>
      </w:r>
      <w:r w:rsidR="00F15664">
        <w:rPr>
          <w:rFonts w:ascii="Times New Roman" w:hAnsi="Times New Roman" w:cs="Times New Roman"/>
          <w:sz w:val="28"/>
        </w:rPr>
        <w:t>.</w:t>
      </w:r>
    </w:p>
    <w:p w:rsidR="00710802" w:rsidRDefault="00710802" w:rsidP="00A812BA">
      <w:pPr>
        <w:spacing w:line="360" w:lineRule="auto"/>
        <w:rPr>
          <w:rFonts w:ascii="Times New Roman" w:hAnsi="Times New Roman" w:cs="Times New Roman"/>
          <w:b/>
          <w:sz w:val="28"/>
          <w:szCs w:val="28"/>
        </w:rPr>
      </w:pPr>
      <w:bookmarkStart w:id="22" w:name="_Toc451122298"/>
      <w:bookmarkStart w:id="23" w:name="_Toc451122299"/>
    </w:p>
    <w:p w:rsidR="00710802" w:rsidRDefault="00710802" w:rsidP="00A812BA">
      <w:pPr>
        <w:spacing w:line="360" w:lineRule="auto"/>
        <w:rPr>
          <w:rFonts w:ascii="Times New Roman" w:hAnsi="Times New Roman" w:cs="Times New Roman"/>
          <w:b/>
          <w:sz w:val="28"/>
          <w:szCs w:val="28"/>
        </w:rPr>
      </w:pPr>
    </w:p>
    <w:p w:rsidR="00710802" w:rsidRDefault="00710802" w:rsidP="00A812BA">
      <w:pPr>
        <w:spacing w:line="360" w:lineRule="auto"/>
        <w:rPr>
          <w:rFonts w:ascii="Times New Roman" w:hAnsi="Times New Roman" w:cs="Times New Roman"/>
          <w:b/>
          <w:sz w:val="28"/>
          <w:szCs w:val="28"/>
        </w:rPr>
      </w:pPr>
    </w:p>
    <w:p w:rsidR="00710802" w:rsidRDefault="00710802" w:rsidP="00A812BA">
      <w:pPr>
        <w:spacing w:line="360" w:lineRule="auto"/>
        <w:rPr>
          <w:rFonts w:ascii="Times New Roman" w:hAnsi="Times New Roman" w:cs="Times New Roman"/>
          <w:b/>
          <w:sz w:val="28"/>
          <w:szCs w:val="28"/>
        </w:rPr>
      </w:pPr>
    </w:p>
    <w:p w:rsidR="00710802" w:rsidRDefault="00710802" w:rsidP="00A812BA">
      <w:pPr>
        <w:spacing w:line="360" w:lineRule="auto"/>
        <w:rPr>
          <w:rFonts w:ascii="Times New Roman" w:hAnsi="Times New Roman" w:cs="Times New Roman"/>
          <w:b/>
          <w:sz w:val="28"/>
          <w:szCs w:val="28"/>
        </w:rPr>
      </w:pPr>
    </w:p>
    <w:p w:rsidR="00B100A9" w:rsidRPr="00A812BA" w:rsidRDefault="004056C7" w:rsidP="00A812BA">
      <w:pPr>
        <w:spacing w:line="360" w:lineRule="auto"/>
        <w:rPr>
          <w:rFonts w:ascii="Times New Roman" w:hAnsi="Times New Roman" w:cs="Times New Roman"/>
          <w:b/>
          <w:sz w:val="28"/>
          <w:szCs w:val="28"/>
        </w:rPr>
      </w:pPr>
      <w:r w:rsidRPr="00A812BA">
        <w:rPr>
          <w:rFonts w:ascii="Times New Roman" w:hAnsi="Times New Roman" w:cs="Times New Roman"/>
          <w:b/>
          <w:sz w:val="28"/>
          <w:szCs w:val="28"/>
        </w:rPr>
        <w:t>Таб.6 Итоговая таблица по факторам риска персистенции</w:t>
      </w:r>
    </w:p>
    <w:tbl>
      <w:tblPr>
        <w:tblStyle w:val="13"/>
        <w:tblW w:w="9266" w:type="dxa"/>
        <w:tblLook w:val="04A0"/>
      </w:tblPr>
      <w:tblGrid>
        <w:gridCol w:w="2041"/>
        <w:gridCol w:w="2309"/>
        <w:gridCol w:w="2592"/>
        <w:gridCol w:w="2324"/>
      </w:tblGrid>
      <w:tr w:rsidR="004056C7" w:rsidRPr="004056C7" w:rsidTr="004056C7">
        <w:trPr>
          <w:cnfStyle w:val="100000000000"/>
          <w:trHeight w:val="582"/>
        </w:trPr>
        <w:tc>
          <w:tcPr>
            <w:cnfStyle w:val="001000000000"/>
            <w:tcW w:w="2041" w:type="dxa"/>
            <w:hideMark/>
          </w:tcPr>
          <w:p w:rsidR="00592F69" w:rsidRPr="004056C7" w:rsidRDefault="004056C7" w:rsidP="004056C7">
            <w:r w:rsidRPr="004056C7">
              <w:t xml:space="preserve">Фактор риска </w:t>
            </w:r>
          </w:p>
        </w:tc>
        <w:tc>
          <w:tcPr>
            <w:tcW w:w="2309" w:type="dxa"/>
            <w:hideMark/>
          </w:tcPr>
          <w:p w:rsidR="00592F69" w:rsidRPr="004056C7" w:rsidRDefault="004056C7" w:rsidP="004056C7">
            <w:pPr>
              <w:cnfStyle w:val="100000000000"/>
            </w:pPr>
            <w:r w:rsidRPr="004056C7">
              <w:t>Благоприятный прогноз (</w:t>
            </w:r>
            <w:r w:rsidRPr="004056C7">
              <w:rPr>
                <w:lang w:val="en-US"/>
              </w:rPr>
              <w:t>n=364)</w:t>
            </w:r>
          </w:p>
        </w:tc>
        <w:tc>
          <w:tcPr>
            <w:tcW w:w="2592" w:type="dxa"/>
            <w:hideMark/>
          </w:tcPr>
          <w:p w:rsidR="00592F69" w:rsidRPr="004056C7" w:rsidRDefault="004056C7" w:rsidP="004056C7">
            <w:pPr>
              <w:cnfStyle w:val="100000000000"/>
            </w:pPr>
            <w:r w:rsidRPr="004056C7">
              <w:t>Неблагоприятный прогноз</w:t>
            </w:r>
            <w:r w:rsidRPr="004056C7">
              <w:rPr>
                <w:lang w:val="en-US"/>
              </w:rPr>
              <w:t xml:space="preserve"> (n=</w:t>
            </w:r>
            <w:r w:rsidRPr="004056C7">
              <w:t xml:space="preserve">39) </w:t>
            </w:r>
          </w:p>
        </w:tc>
        <w:tc>
          <w:tcPr>
            <w:tcW w:w="2324" w:type="dxa"/>
            <w:hideMark/>
          </w:tcPr>
          <w:p w:rsidR="00592F69" w:rsidRPr="004056C7" w:rsidRDefault="004056C7" w:rsidP="004056C7">
            <w:pPr>
              <w:cnfStyle w:val="100000000000"/>
            </w:pPr>
            <w:r w:rsidRPr="004056C7">
              <w:t>Достоверность (</w:t>
            </w:r>
            <w:r w:rsidRPr="004056C7">
              <w:rPr>
                <w:lang w:val="en-US"/>
              </w:rPr>
              <w:t>p</w:t>
            </w:r>
            <w:r w:rsidRPr="004056C7">
              <w:t xml:space="preserve">) </w:t>
            </w:r>
          </w:p>
        </w:tc>
      </w:tr>
      <w:tr w:rsidR="004056C7" w:rsidRPr="004056C7" w:rsidTr="004056C7">
        <w:trPr>
          <w:cnfStyle w:val="000000100000"/>
          <w:trHeight w:val="582"/>
        </w:trPr>
        <w:tc>
          <w:tcPr>
            <w:cnfStyle w:val="001000000000"/>
            <w:tcW w:w="2041" w:type="dxa"/>
            <w:hideMark/>
          </w:tcPr>
          <w:p w:rsidR="00592F69" w:rsidRPr="004056C7" w:rsidRDefault="004056C7" w:rsidP="004056C7">
            <w:pPr>
              <w:rPr>
                <w:b w:val="0"/>
              </w:rPr>
            </w:pPr>
            <w:r w:rsidRPr="004056C7">
              <w:rPr>
                <w:b w:val="0"/>
              </w:rPr>
              <w:t xml:space="preserve">1. Наличие предыдущих вмешательств в области шеи </w:t>
            </w:r>
          </w:p>
        </w:tc>
        <w:tc>
          <w:tcPr>
            <w:tcW w:w="2309" w:type="dxa"/>
            <w:hideMark/>
          </w:tcPr>
          <w:p w:rsidR="00592F69" w:rsidRPr="004056C7" w:rsidRDefault="004056C7" w:rsidP="004056C7">
            <w:pPr>
              <w:cnfStyle w:val="000000100000"/>
            </w:pPr>
            <w:r w:rsidRPr="004056C7">
              <w:t xml:space="preserve">27 (7,4%) </w:t>
            </w:r>
          </w:p>
        </w:tc>
        <w:tc>
          <w:tcPr>
            <w:tcW w:w="2592" w:type="dxa"/>
            <w:hideMark/>
          </w:tcPr>
          <w:p w:rsidR="00592F69" w:rsidRPr="004056C7" w:rsidRDefault="004056C7" w:rsidP="004056C7">
            <w:pPr>
              <w:cnfStyle w:val="000000100000"/>
            </w:pPr>
            <w:r w:rsidRPr="004056C7">
              <w:t xml:space="preserve">5 (12,8%) </w:t>
            </w:r>
          </w:p>
        </w:tc>
        <w:tc>
          <w:tcPr>
            <w:tcW w:w="2324" w:type="dxa"/>
            <w:hideMark/>
          </w:tcPr>
          <w:p w:rsidR="00592F69" w:rsidRPr="004056C7" w:rsidRDefault="004056C7" w:rsidP="004056C7">
            <w:pPr>
              <w:cnfStyle w:val="000000100000"/>
            </w:pPr>
            <w:proofErr w:type="gramStart"/>
            <w:r w:rsidRPr="004056C7">
              <w:t>р</w:t>
            </w:r>
            <w:proofErr w:type="gramEnd"/>
            <w:r w:rsidRPr="004056C7">
              <w:t xml:space="preserve"> = 0,44 </w:t>
            </w:r>
          </w:p>
        </w:tc>
      </w:tr>
      <w:tr w:rsidR="004056C7" w:rsidRPr="004056C7" w:rsidTr="004056C7">
        <w:trPr>
          <w:trHeight w:val="582"/>
        </w:trPr>
        <w:tc>
          <w:tcPr>
            <w:cnfStyle w:val="001000000000"/>
            <w:tcW w:w="2041" w:type="dxa"/>
            <w:hideMark/>
          </w:tcPr>
          <w:p w:rsidR="00592F69" w:rsidRPr="004056C7" w:rsidRDefault="004056C7" w:rsidP="004056C7">
            <w:pPr>
              <w:rPr>
                <w:b w:val="0"/>
              </w:rPr>
            </w:pPr>
            <w:r w:rsidRPr="004056C7">
              <w:rPr>
                <w:b w:val="0"/>
              </w:rPr>
              <w:t xml:space="preserve">2. Наличие узлов в щитовидной железе </w:t>
            </w:r>
          </w:p>
        </w:tc>
        <w:tc>
          <w:tcPr>
            <w:tcW w:w="2309" w:type="dxa"/>
            <w:hideMark/>
          </w:tcPr>
          <w:p w:rsidR="00592F69" w:rsidRPr="004056C7" w:rsidRDefault="004056C7" w:rsidP="004056C7">
            <w:pPr>
              <w:cnfStyle w:val="000000000000"/>
            </w:pPr>
            <w:r w:rsidRPr="004056C7">
              <w:t xml:space="preserve">67 (18,3%) </w:t>
            </w:r>
          </w:p>
        </w:tc>
        <w:tc>
          <w:tcPr>
            <w:tcW w:w="2592" w:type="dxa"/>
            <w:hideMark/>
          </w:tcPr>
          <w:p w:rsidR="00592F69" w:rsidRPr="004056C7" w:rsidRDefault="004056C7" w:rsidP="004056C7">
            <w:pPr>
              <w:cnfStyle w:val="000000000000"/>
            </w:pPr>
            <w:r w:rsidRPr="004056C7">
              <w:t xml:space="preserve">8 (20,4%) </w:t>
            </w:r>
          </w:p>
        </w:tc>
        <w:tc>
          <w:tcPr>
            <w:tcW w:w="2324" w:type="dxa"/>
            <w:hideMark/>
          </w:tcPr>
          <w:p w:rsidR="00592F69" w:rsidRPr="004056C7" w:rsidRDefault="004056C7" w:rsidP="004056C7">
            <w:pPr>
              <w:cnfStyle w:val="000000000000"/>
            </w:pPr>
            <w:proofErr w:type="gramStart"/>
            <w:r w:rsidRPr="004056C7">
              <w:t>р</w:t>
            </w:r>
            <w:proofErr w:type="gramEnd"/>
            <w:r w:rsidRPr="004056C7">
              <w:t xml:space="preserve"> = 0,75 </w:t>
            </w:r>
          </w:p>
        </w:tc>
      </w:tr>
      <w:tr w:rsidR="004056C7" w:rsidRPr="004056C7" w:rsidTr="004056C7">
        <w:trPr>
          <w:cnfStyle w:val="000000100000"/>
          <w:trHeight w:val="582"/>
        </w:trPr>
        <w:tc>
          <w:tcPr>
            <w:cnfStyle w:val="001000000000"/>
            <w:tcW w:w="2041" w:type="dxa"/>
            <w:hideMark/>
          </w:tcPr>
          <w:p w:rsidR="00592F69" w:rsidRPr="004056C7" w:rsidRDefault="004056C7" w:rsidP="004056C7">
            <w:pPr>
              <w:rPr>
                <w:b w:val="0"/>
              </w:rPr>
            </w:pPr>
            <w:r w:rsidRPr="004056C7">
              <w:rPr>
                <w:b w:val="0"/>
              </w:rPr>
              <w:t xml:space="preserve">3. Наличие АИТ </w:t>
            </w:r>
          </w:p>
        </w:tc>
        <w:tc>
          <w:tcPr>
            <w:tcW w:w="2309" w:type="dxa"/>
            <w:hideMark/>
          </w:tcPr>
          <w:p w:rsidR="00592F69" w:rsidRPr="004056C7" w:rsidRDefault="004056C7" w:rsidP="004056C7">
            <w:pPr>
              <w:cnfStyle w:val="000000100000"/>
            </w:pPr>
            <w:r w:rsidRPr="004056C7">
              <w:t xml:space="preserve">37 (10,1%) </w:t>
            </w:r>
          </w:p>
        </w:tc>
        <w:tc>
          <w:tcPr>
            <w:tcW w:w="2592" w:type="dxa"/>
            <w:hideMark/>
          </w:tcPr>
          <w:p w:rsidR="00592F69" w:rsidRPr="004056C7" w:rsidRDefault="004056C7" w:rsidP="004056C7">
            <w:pPr>
              <w:cnfStyle w:val="000000100000"/>
            </w:pPr>
            <w:r w:rsidRPr="004056C7">
              <w:t xml:space="preserve">4 (10,2%) </w:t>
            </w:r>
          </w:p>
        </w:tc>
        <w:tc>
          <w:tcPr>
            <w:tcW w:w="2324" w:type="dxa"/>
            <w:hideMark/>
          </w:tcPr>
          <w:p w:rsidR="00592F69" w:rsidRPr="004056C7" w:rsidRDefault="004056C7" w:rsidP="004056C7">
            <w:pPr>
              <w:cnfStyle w:val="000000100000"/>
            </w:pPr>
            <w:proofErr w:type="gramStart"/>
            <w:r w:rsidRPr="004056C7">
              <w:t>р</w:t>
            </w:r>
            <w:proofErr w:type="gramEnd"/>
            <w:r w:rsidRPr="004056C7">
              <w:t xml:space="preserve"> = 0,97 </w:t>
            </w:r>
          </w:p>
        </w:tc>
      </w:tr>
      <w:tr w:rsidR="004056C7" w:rsidRPr="004056C7" w:rsidTr="004056C7">
        <w:trPr>
          <w:trHeight w:val="582"/>
        </w:trPr>
        <w:tc>
          <w:tcPr>
            <w:cnfStyle w:val="001000000000"/>
            <w:tcW w:w="2041" w:type="dxa"/>
            <w:hideMark/>
          </w:tcPr>
          <w:p w:rsidR="00592F69" w:rsidRPr="004056C7" w:rsidRDefault="004056C7" w:rsidP="004056C7">
            <w:pPr>
              <w:rPr>
                <w:b w:val="0"/>
              </w:rPr>
            </w:pPr>
            <w:r w:rsidRPr="004056C7">
              <w:rPr>
                <w:b w:val="0"/>
              </w:rPr>
              <w:t xml:space="preserve">4. Количество аденом ОЩЖ </w:t>
            </w:r>
          </w:p>
        </w:tc>
        <w:tc>
          <w:tcPr>
            <w:tcW w:w="2309" w:type="dxa"/>
            <w:hideMark/>
          </w:tcPr>
          <w:p w:rsidR="004056C7" w:rsidRPr="004056C7" w:rsidRDefault="004056C7" w:rsidP="004056C7">
            <w:pPr>
              <w:cnfStyle w:val="000000000000"/>
            </w:pPr>
            <w:r w:rsidRPr="004056C7">
              <w:t>1 аденома – 345 (94%)</w:t>
            </w:r>
          </w:p>
          <w:p w:rsidR="00592F69" w:rsidRPr="004056C7" w:rsidRDefault="004056C7" w:rsidP="004056C7">
            <w:pPr>
              <w:cnfStyle w:val="000000000000"/>
            </w:pPr>
            <w:r w:rsidRPr="004056C7">
              <w:t xml:space="preserve">2 аденомы – 19 (6%) </w:t>
            </w:r>
          </w:p>
        </w:tc>
        <w:tc>
          <w:tcPr>
            <w:tcW w:w="2592" w:type="dxa"/>
            <w:hideMark/>
          </w:tcPr>
          <w:p w:rsidR="004056C7" w:rsidRPr="004056C7" w:rsidRDefault="004056C7" w:rsidP="004056C7">
            <w:pPr>
              <w:cnfStyle w:val="000000000000"/>
            </w:pPr>
            <w:r w:rsidRPr="004056C7">
              <w:t>1 аденома – 39 (100%)</w:t>
            </w:r>
          </w:p>
          <w:p w:rsidR="00592F69" w:rsidRPr="004056C7" w:rsidRDefault="004056C7" w:rsidP="004056C7">
            <w:pPr>
              <w:cnfStyle w:val="000000000000"/>
            </w:pPr>
            <w:r w:rsidRPr="004056C7">
              <w:t xml:space="preserve">2 аденома - 0 </w:t>
            </w:r>
          </w:p>
        </w:tc>
        <w:tc>
          <w:tcPr>
            <w:tcW w:w="2324" w:type="dxa"/>
            <w:hideMark/>
          </w:tcPr>
          <w:p w:rsidR="00592F69" w:rsidRPr="004056C7" w:rsidRDefault="004056C7" w:rsidP="004056C7">
            <w:pPr>
              <w:cnfStyle w:val="000000000000"/>
            </w:pPr>
            <w:proofErr w:type="gramStart"/>
            <w:r w:rsidRPr="004056C7">
              <w:t>р</w:t>
            </w:r>
            <w:proofErr w:type="gramEnd"/>
            <w:r w:rsidRPr="004056C7">
              <w:t xml:space="preserve"> = 0,12 </w:t>
            </w:r>
          </w:p>
        </w:tc>
      </w:tr>
    </w:tbl>
    <w:p w:rsidR="00B100A9" w:rsidRPr="008107C9" w:rsidRDefault="008107C9" w:rsidP="008107C9">
      <w:pPr>
        <w:spacing w:before="240" w:line="360" w:lineRule="auto"/>
        <w:jc w:val="both"/>
        <w:rPr>
          <w:rFonts w:ascii="Times New Roman" w:hAnsi="Times New Roman" w:cs="Times New Roman"/>
          <w:sz w:val="28"/>
        </w:rPr>
      </w:pPr>
      <w:r>
        <w:rPr>
          <w:rFonts w:ascii="Times New Roman" w:hAnsi="Times New Roman" w:cs="Times New Roman"/>
          <w:sz w:val="28"/>
        </w:rPr>
        <w:t>Таким образом, н</w:t>
      </w:r>
      <w:r w:rsidRPr="008107C9">
        <w:rPr>
          <w:rFonts w:ascii="Times New Roman" w:hAnsi="Times New Roman" w:cs="Times New Roman"/>
          <w:sz w:val="28"/>
        </w:rPr>
        <w:t xml:space="preserve">аличие значимой связи между предполагаемыми факторами риска персистенции и неблагоприятным прогнозом выявлено не было. </w:t>
      </w:r>
    </w:p>
    <w:p w:rsidR="00B100A9" w:rsidRDefault="00B100A9" w:rsidP="008107C9">
      <w:pPr>
        <w:spacing w:before="240"/>
      </w:pPr>
    </w:p>
    <w:p w:rsidR="00B100A9" w:rsidRDefault="00B100A9" w:rsidP="00B100A9"/>
    <w:p w:rsidR="00B100A9" w:rsidRDefault="00B100A9"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Default="00710802" w:rsidP="00B100A9"/>
    <w:p w:rsidR="00710802" w:rsidRPr="00B100A9" w:rsidRDefault="00710802" w:rsidP="00B100A9"/>
    <w:bookmarkEnd w:id="22"/>
    <w:bookmarkEnd w:id="23"/>
    <w:p w:rsidR="00F6144F" w:rsidRDefault="00F6144F" w:rsidP="00F6144F">
      <w:pPr>
        <w:widowControl/>
        <w:spacing w:line="360" w:lineRule="auto"/>
        <w:ind w:left="502"/>
        <w:jc w:val="both"/>
        <w:rPr>
          <w:rFonts w:ascii="Times New Roman" w:hAnsi="Times New Roman" w:cs="Times New Roman"/>
          <w:bCs/>
          <w:color w:val="auto"/>
          <w:sz w:val="28"/>
          <w:szCs w:val="28"/>
        </w:rPr>
      </w:pPr>
    </w:p>
    <w:p w:rsidR="00710802" w:rsidRDefault="00710802" w:rsidP="00F6144F">
      <w:pPr>
        <w:widowControl/>
        <w:spacing w:line="360" w:lineRule="auto"/>
        <w:ind w:left="502"/>
        <w:jc w:val="both"/>
        <w:rPr>
          <w:rFonts w:ascii="Times New Roman" w:hAnsi="Times New Roman" w:cs="Times New Roman"/>
          <w:bCs/>
          <w:color w:val="auto"/>
          <w:sz w:val="28"/>
          <w:szCs w:val="28"/>
        </w:rPr>
      </w:pPr>
    </w:p>
    <w:p w:rsidR="00710802" w:rsidRDefault="00710802" w:rsidP="00710802">
      <w:pPr>
        <w:keepNext/>
        <w:keepLines/>
        <w:spacing w:before="120" w:after="12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Заключение</w:t>
      </w:r>
    </w:p>
    <w:p w:rsidR="00710802" w:rsidRDefault="00710802" w:rsidP="00710802">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настоящее время проблема диагностики и лечения первичного гиперпаратиреоза является одной из наиболее актуальных задач современного сообщества эндокринных хирургов и терапевтов. </w:t>
      </w:r>
      <w:r>
        <w:rPr>
          <w:rFonts w:ascii="Times New Roman" w:eastAsia="Times New Roman" w:hAnsi="Times New Roman" w:cs="Times New Roman"/>
          <w:color w:val="000000"/>
          <w:sz w:val="28"/>
        </w:rPr>
        <w:t xml:space="preserve">Разработка алгоритмов по данным вопросам позволит определять наиболее рациональные объемы хирургических вмешательств, профилактировать развитие персистенции и рецидивов ПГПТ и улучшить качество жизни пациентов. </w:t>
      </w:r>
    </w:p>
    <w:p w:rsidR="00710802" w:rsidRDefault="00710802" w:rsidP="00710802">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Ряд исследований свидетельствуют о том, что наиболее оптимальным методом </w:t>
      </w:r>
      <w:proofErr w:type="gramStart"/>
      <w:r>
        <w:rPr>
          <w:rFonts w:ascii="Times New Roman" w:eastAsia="Times New Roman" w:hAnsi="Times New Roman" w:cs="Times New Roman"/>
          <w:color w:val="000000"/>
          <w:sz w:val="28"/>
        </w:rPr>
        <w:t>оценки адекватности удаления пораженной ткани околощитовидных желез</w:t>
      </w:r>
      <w:proofErr w:type="gramEnd"/>
      <w:r>
        <w:rPr>
          <w:rFonts w:ascii="Times New Roman" w:eastAsia="Times New Roman" w:hAnsi="Times New Roman" w:cs="Times New Roman"/>
          <w:color w:val="000000"/>
          <w:sz w:val="28"/>
        </w:rPr>
        <w:t xml:space="preserve"> является интраоперационная диагностика ПТГ до и после отсечения ПТГ-продуцирующего источника. До настоящего времени было описано много работ, посвящённых изучению чувствительности и специфичности традиционного метода и его модификаций выявлять оставшиеся пораженные ткани околощитовидных желез, однако проанализировав данные, были выявлены противоречия по поводу эффективности определения иПТГ.</w:t>
      </w:r>
    </w:p>
    <w:p w:rsidR="00710802" w:rsidRDefault="00710802" w:rsidP="00710802">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Главной целью данной работы было улучшить результаты хирургического лечения первичного гиперпаратиреоза за счет оптимизации методики интраоперационного определения уровня паратиреоидного гормона крови.</w:t>
      </w:r>
    </w:p>
    <w:p w:rsidR="00710802" w:rsidRDefault="00710802" w:rsidP="00710802">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ходе данной работы были получены выводы, указывающие на равную эффективность и возможность применения традиционного и модифицированного методов в интраоперационной диагностики ПГПТ. Была выявлена хорошая специфичность методов, значимая разница в длительности проведения тестов, однако чувствительность и возможность прогнозирования персистенции у данных тестов слабые. В связи с этим дополнительно были проанализированы данные пациентов с ПГПТ с целью поиска предикторов неблагоприятного прогноза (персистенции). </w:t>
      </w:r>
    </w:p>
    <w:p w:rsidR="00710802" w:rsidRDefault="00710802" w:rsidP="00710802">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Были получены отрицательные результаты по поводу связи таких факторов, как наличие АИТ, наличие предыдущих вмешательств в области шеи, наличие узлов щитовидной железы и количество аденом околощитовидных железах с прогнозом, а также с исходными значениями ПТГ. Но была выявлена значимая связь между женским полом старшей возрастной группы, гиперкальциемией средней степени выраженности и прогнозом, что позволяет выделить данные факторы в качестве предикторов персистенции. </w:t>
      </w:r>
    </w:p>
    <w:p w:rsidR="00710802" w:rsidRDefault="00710802" w:rsidP="00710802">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Таким образом, </w:t>
      </w:r>
      <w:r w:rsidR="00FD2658" w:rsidRPr="00FD2658">
        <w:rPr>
          <w:rFonts w:ascii="Times New Roman" w:hAnsi="Times New Roman" w:cs="Times New Roman"/>
          <w:color w:val="000000"/>
          <w:sz w:val="28"/>
          <w:szCs w:val="28"/>
          <w:shd w:val="clear" w:color="auto" w:fill="FFFFFF"/>
        </w:rPr>
        <w:t>использование методик интраоперационного определения ПТГ позволяет у большинства пациентов ограничить объем оперативного вмешательства селективной паратиреоидэктомией, не проводя двусторонн</w:t>
      </w:r>
      <w:r w:rsidR="008C4BD0">
        <w:rPr>
          <w:rFonts w:ascii="Times New Roman" w:hAnsi="Times New Roman" w:cs="Times New Roman"/>
          <w:color w:val="000000"/>
          <w:sz w:val="28"/>
          <w:szCs w:val="28"/>
          <w:shd w:val="clear" w:color="auto" w:fill="FFFFFF"/>
        </w:rPr>
        <w:t>ей</w:t>
      </w:r>
      <w:r w:rsidR="00FD2658" w:rsidRPr="00FD2658">
        <w:rPr>
          <w:rFonts w:ascii="Times New Roman" w:hAnsi="Times New Roman" w:cs="Times New Roman"/>
          <w:color w:val="000000"/>
          <w:sz w:val="28"/>
          <w:szCs w:val="28"/>
          <w:shd w:val="clear" w:color="auto" w:fill="FFFFFF"/>
        </w:rPr>
        <w:t xml:space="preserve"> ревизи</w:t>
      </w:r>
      <w:r w:rsidR="008C4BD0">
        <w:rPr>
          <w:rFonts w:ascii="Times New Roman" w:hAnsi="Times New Roman" w:cs="Times New Roman"/>
          <w:color w:val="000000"/>
          <w:sz w:val="28"/>
          <w:szCs w:val="28"/>
          <w:shd w:val="clear" w:color="auto" w:fill="FFFFFF"/>
        </w:rPr>
        <w:t>и</w:t>
      </w:r>
      <w:r w:rsidR="00FD2658" w:rsidRPr="00FD2658">
        <w:rPr>
          <w:rFonts w:ascii="Times New Roman" w:hAnsi="Times New Roman" w:cs="Times New Roman"/>
          <w:color w:val="000000"/>
          <w:sz w:val="28"/>
          <w:szCs w:val="28"/>
          <w:shd w:val="clear" w:color="auto" w:fill="FFFFFF"/>
        </w:rPr>
        <w:t xml:space="preserve"> шеи, что снижает травматичность и длительность оперативного вмешательства при сохранении его высокой клинической эффективности.</w:t>
      </w:r>
      <w:r>
        <w:rPr>
          <w:rFonts w:ascii="Times New Roman" w:eastAsia="Times New Roman" w:hAnsi="Times New Roman" w:cs="Times New Roman"/>
          <w:sz w:val="28"/>
        </w:rPr>
        <w:t xml:space="preserve"> </w:t>
      </w:r>
    </w:p>
    <w:p w:rsidR="00710802" w:rsidRDefault="00710802" w:rsidP="00710802">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дальнейшем планируется поиск групп пациентов с дополнительными факторами риска персистенции, у которых методы интраоперационного определения </w:t>
      </w:r>
      <w:r w:rsidR="008C4BD0">
        <w:rPr>
          <w:rFonts w:ascii="Times New Roman" w:eastAsia="Times New Roman" w:hAnsi="Times New Roman" w:cs="Times New Roman"/>
          <w:sz w:val="28"/>
        </w:rPr>
        <w:t>ПТГ</w:t>
      </w:r>
      <w:r>
        <w:rPr>
          <w:rFonts w:ascii="Times New Roman" w:eastAsia="Times New Roman" w:hAnsi="Times New Roman" w:cs="Times New Roman"/>
          <w:sz w:val="28"/>
        </w:rPr>
        <w:t xml:space="preserve"> будут максимально эффективны или заменены на другие</w:t>
      </w:r>
      <w:r w:rsidR="00FD2658">
        <w:rPr>
          <w:rFonts w:ascii="Times New Roman" w:eastAsia="Times New Roman" w:hAnsi="Times New Roman" w:cs="Times New Roman"/>
          <w:sz w:val="28"/>
        </w:rPr>
        <w:t>,</w:t>
      </w:r>
      <w:r>
        <w:rPr>
          <w:rFonts w:ascii="Times New Roman" w:eastAsia="Times New Roman" w:hAnsi="Times New Roman" w:cs="Times New Roman"/>
          <w:sz w:val="28"/>
        </w:rPr>
        <w:t xml:space="preserve"> более рациональные. </w:t>
      </w:r>
    </w:p>
    <w:p w:rsidR="00710802" w:rsidRDefault="00710802" w:rsidP="00710802">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Практические рекомендации:</w:t>
      </w:r>
    </w:p>
    <w:p w:rsidR="00710802" w:rsidRDefault="00710802" w:rsidP="00BC1F7A">
      <w:pPr>
        <w:numPr>
          <w:ilvl w:val="0"/>
          <w:numId w:val="8"/>
        </w:numPr>
        <w:spacing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Использова</w:t>
      </w:r>
      <w:r w:rsidR="00FD2658">
        <w:rPr>
          <w:rFonts w:ascii="Times New Roman" w:eastAsia="Times New Roman" w:hAnsi="Times New Roman" w:cs="Times New Roman"/>
          <w:sz w:val="28"/>
        </w:rPr>
        <w:t>ние</w:t>
      </w:r>
      <w:r>
        <w:rPr>
          <w:rFonts w:ascii="Times New Roman" w:eastAsia="Times New Roman" w:hAnsi="Times New Roman" w:cs="Times New Roman"/>
          <w:sz w:val="28"/>
        </w:rPr>
        <w:t xml:space="preserve"> модифицированн</w:t>
      </w:r>
      <w:r w:rsidR="00FD2658">
        <w:rPr>
          <w:rFonts w:ascii="Times New Roman" w:eastAsia="Times New Roman" w:hAnsi="Times New Roman" w:cs="Times New Roman"/>
          <w:sz w:val="28"/>
        </w:rPr>
        <w:t>ого</w:t>
      </w:r>
      <w:r>
        <w:rPr>
          <w:rFonts w:ascii="Times New Roman" w:eastAsia="Times New Roman" w:hAnsi="Times New Roman" w:cs="Times New Roman"/>
          <w:sz w:val="28"/>
        </w:rPr>
        <w:t xml:space="preserve"> метод</w:t>
      </w:r>
      <w:r w:rsidR="00FD2658">
        <w:rPr>
          <w:rFonts w:ascii="Times New Roman" w:eastAsia="Times New Roman" w:hAnsi="Times New Roman" w:cs="Times New Roman"/>
          <w:sz w:val="28"/>
        </w:rPr>
        <w:t>а</w:t>
      </w:r>
      <w:r>
        <w:rPr>
          <w:rFonts w:ascii="Times New Roman" w:eastAsia="Times New Roman" w:hAnsi="Times New Roman" w:cs="Times New Roman"/>
          <w:sz w:val="28"/>
        </w:rPr>
        <w:t xml:space="preserve"> как более быстр</w:t>
      </w:r>
      <w:r w:rsidR="00FD2658">
        <w:rPr>
          <w:rFonts w:ascii="Times New Roman" w:eastAsia="Times New Roman" w:hAnsi="Times New Roman" w:cs="Times New Roman"/>
          <w:sz w:val="28"/>
        </w:rPr>
        <w:t>ого</w:t>
      </w:r>
      <w:r>
        <w:rPr>
          <w:rFonts w:ascii="Times New Roman" w:eastAsia="Times New Roman" w:hAnsi="Times New Roman" w:cs="Times New Roman"/>
          <w:sz w:val="28"/>
        </w:rPr>
        <w:t xml:space="preserve"> и не менее эффективн</w:t>
      </w:r>
      <w:r w:rsidR="008C4BD0">
        <w:rPr>
          <w:rFonts w:ascii="Times New Roman" w:eastAsia="Times New Roman" w:hAnsi="Times New Roman" w:cs="Times New Roman"/>
          <w:sz w:val="28"/>
        </w:rPr>
        <w:t>ого</w:t>
      </w:r>
      <w:r>
        <w:rPr>
          <w:rFonts w:ascii="Times New Roman" w:eastAsia="Times New Roman" w:hAnsi="Times New Roman" w:cs="Times New Roman"/>
          <w:sz w:val="28"/>
        </w:rPr>
        <w:t>;</w:t>
      </w:r>
    </w:p>
    <w:p w:rsidR="00710802" w:rsidRDefault="008C4BD0" w:rsidP="00BC1F7A">
      <w:pPr>
        <w:numPr>
          <w:ilvl w:val="0"/>
          <w:numId w:val="8"/>
        </w:numPr>
        <w:spacing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Высокая настороженность</w:t>
      </w:r>
      <w:r w:rsidR="00710802">
        <w:rPr>
          <w:rFonts w:ascii="Times New Roman" w:eastAsia="Times New Roman" w:hAnsi="Times New Roman" w:cs="Times New Roman"/>
          <w:sz w:val="28"/>
        </w:rPr>
        <w:t xml:space="preserve"> в плане развития персистенции к пациентам с исходными значениями кальция меньше 1,6 ммоль/л и к женщинам старше 60 лет.</w:t>
      </w:r>
    </w:p>
    <w:p w:rsidR="00710802" w:rsidRDefault="00710802" w:rsidP="00710802">
      <w:pPr>
        <w:spacing w:line="360" w:lineRule="auto"/>
        <w:jc w:val="both"/>
        <w:rPr>
          <w:rFonts w:ascii="Times New Roman" w:eastAsia="Times New Roman" w:hAnsi="Times New Roman" w:cs="Times New Roman"/>
          <w:sz w:val="28"/>
        </w:rPr>
      </w:pPr>
    </w:p>
    <w:p w:rsidR="00710802" w:rsidRDefault="00710802" w:rsidP="00710802">
      <w:pPr>
        <w:spacing w:line="360" w:lineRule="auto"/>
        <w:jc w:val="both"/>
        <w:rPr>
          <w:rFonts w:ascii="Times New Roman" w:eastAsia="Times New Roman" w:hAnsi="Times New Roman" w:cs="Times New Roman"/>
          <w:sz w:val="28"/>
        </w:rPr>
      </w:pPr>
    </w:p>
    <w:p w:rsidR="00710802" w:rsidRDefault="00710802" w:rsidP="00710802">
      <w:pPr>
        <w:spacing w:line="360" w:lineRule="auto"/>
        <w:jc w:val="both"/>
        <w:rPr>
          <w:rFonts w:ascii="Times New Roman" w:eastAsia="Times New Roman" w:hAnsi="Times New Roman" w:cs="Times New Roman"/>
          <w:sz w:val="28"/>
        </w:rPr>
      </w:pPr>
    </w:p>
    <w:p w:rsidR="00710802" w:rsidRDefault="00710802" w:rsidP="008C4BD0">
      <w:pPr>
        <w:spacing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8C4BD0" w:rsidRDefault="008C4BD0" w:rsidP="008C4BD0">
      <w:pPr>
        <w:spacing w:line="360" w:lineRule="auto"/>
        <w:jc w:val="both"/>
        <w:rPr>
          <w:rFonts w:ascii="Times New Roman" w:eastAsia="Times New Roman" w:hAnsi="Times New Roman" w:cs="Times New Roman"/>
          <w:b/>
          <w:sz w:val="28"/>
        </w:rPr>
      </w:pPr>
    </w:p>
    <w:p w:rsidR="00710802" w:rsidRDefault="00710802" w:rsidP="00710802">
      <w:pPr>
        <w:keepNext/>
        <w:keepLines/>
        <w:spacing w:before="120" w:after="12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Выводы</w:t>
      </w:r>
    </w:p>
    <w:p w:rsidR="00710802" w:rsidRDefault="00710802" w:rsidP="00BC1F7A">
      <w:pPr>
        <w:numPr>
          <w:ilvl w:val="0"/>
          <w:numId w:val="9"/>
        </w:numPr>
        <w:tabs>
          <w:tab w:val="left" w:pos="502"/>
        </w:tabs>
        <w:spacing w:line="36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Анализ ROC-кривых, построенных по данным иПТГ, определенного модифицированным методом, показал среднюю эффективность теста в выявлении персистенции ПГПТ в интраоперационный период (AUC 0,660,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&lt;0,05). Большая чувствительность и специфичность была отмечена при падении RLU ≥66% (53% и 75%);</w:t>
      </w:r>
    </w:p>
    <w:p w:rsidR="00710802" w:rsidRDefault="00710802" w:rsidP="00BC1F7A">
      <w:pPr>
        <w:numPr>
          <w:ilvl w:val="0"/>
          <w:numId w:val="9"/>
        </w:numPr>
        <w:tabs>
          <w:tab w:val="left" w:pos="502"/>
        </w:tabs>
        <w:spacing w:line="36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Анализ ROC-кривых, построенных по данным иПТГ, определенного традиционным методом, так же выявил среднюю эффективность традиционного метода в определении персистенции ПГПТ в интраоперационный период (AUC 0,678,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&lt;0,05). Большая чувствительность и специфичность была отмечена при падении ПТГ ≥67% (51% и 83%);</w:t>
      </w:r>
    </w:p>
    <w:p w:rsidR="00710802" w:rsidRDefault="00710802" w:rsidP="00BC1F7A">
      <w:pPr>
        <w:numPr>
          <w:ilvl w:val="0"/>
          <w:numId w:val="9"/>
        </w:numPr>
        <w:tabs>
          <w:tab w:val="left" w:pos="502"/>
        </w:tabs>
        <w:spacing w:line="36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Сравнительный анализ ROC-кривых традиционного и модифицированного методов выявил отсутствие значимых различий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&gt;0,05). Выявленная низкая чувствительность методов определения иПТГ не подтверждает их перспективность в прогнозировании персистенции ПГПТ;</w:t>
      </w:r>
    </w:p>
    <w:p w:rsidR="00710802" w:rsidRDefault="00710802" w:rsidP="00BC1F7A">
      <w:pPr>
        <w:numPr>
          <w:ilvl w:val="0"/>
          <w:numId w:val="9"/>
        </w:numPr>
        <w:tabs>
          <w:tab w:val="left" w:pos="502"/>
        </w:tabs>
        <w:spacing w:line="36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Значимых различий в наличии дополнительных факторов риска таких, как наличие АИТ, наличие предыдущих вмешательств в области шеи, наличие узлов в щитовидной железе и количество аденом околощитовидных желез между группами благоприятного и неблагоприятного прогнозов выявлено не было. К прогностическим факторам персистенции ПГПТ можно отнести женщин старше 60 лет (OR 2,4, 95%ДИ 1,5-5,0), пациентов с ис</w:t>
      </w:r>
      <w:bookmarkStart w:id="24" w:name="_GoBack"/>
      <w:bookmarkEnd w:id="24"/>
      <w:r>
        <w:rPr>
          <w:rFonts w:ascii="Times New Roman" w:eastAsia="Times New Roman" w:hAnsi="Times New Roman" w:cs="Times New Roman"/>
          <w:sz w:val="28"/>
        </w:rPr>
        <w:t>ходными значениями кальция меньше 1,6 ммоль/л (OR 2,5, 95%ДИ 1,03-6,20).</w:t>
      </w:r>
    </w:p>
    <w:p w:rsidR="00710802" w:rsidRDefault="00710802" w:rsidP="00F6144F">
      <w:pPr>
        <w:widowControl/>
        <w:spacing w:line="360" w:lineRule="auto"/>
        <w:ind w:left="502"/>
        <w:jc w:val="both"/>
        <w:rPr>
          <w:rFonts w:ascii="Times New Roman" w:hAnsi="Times New Roman" w:cs="Times New Roman"/>
          <w:bCs/>
          <w:color w:val="auto"/>
          <w:sz w:val="28"/>
          <w:szCs w:val="28"/>
        </w:rPr>
      </w:pPr>
    </w:p>
    <w:p w:rsidR="008C4BD0" w:rsidRDefault="008C4BD0" w:rsidP="00F6144F">
      <w:pPr>
        <w:widowControl/>
        <w:spacing w:line="360" w:lineRule="auto"/>
        <w:ind w:left="502"/>
        <w:jc w:val="both"/>
        <w:rPr>
          <w:rFonts w:ascii="Times New Roman" w:hAnsi="Times New Roman" w:cs="Times New Roman"/>
          <w:bCs/>
          <w:color w:val="auto"/>
          <w:sz w:val="28"/>
          <w:szCs w:val="28"/>
        </w:rPr>
      </w:pPr>
    </w:p>
    <w:p w:rsidR="00F6144F" w:rsidRPr="00F6144F" w:rsidRDefault="00F6144F" w:rsidP="00451693">
      <w:pPr>
        <w:widowControl/>
        <w:spacing w:line="360" w:lineRule="auto"/>
        <w:jc w:val="both"/>
        <w:rPr>
          <w:rFonts w:ascii="Times New Roman" w:hAnsi="Times New Roman" w:cs="Times New Roman"/>
          <w:bCs/>
          <w:color w:val="auto"/>
          <w:sz w:val="28"/>
          <w:szCs w:val="28"/>
        </w:rPr>
      </w:pPr>
    </w:p>
    <w:p w:rsidR="006E2A91" w:rsidRPr="003406B1" w:rsidRDefault="006E2A91" w:rsidP="006E2A91">
      <w:pPr>
        <w:pStyle w:val="1"/>
      </w:pPr>
      <w:bookmarkStart w:id="25" w:name="_Toc482798622"/>
      <w:r w:rsidRPr="003406B1">
        <w:t>Список литературы</w:t>
      </w:r>
    </w:p>
    <w:p w:rsidR="006E2A91" w:rsidRPr="003B2A61" w:rsidRDefault="006E2A91" w:rsidP="006E2A91">
      <w:pPr>
        <w:spacing w:line="360" w:lineRule="auto"/>
        <w:jc w:val="both"/>
        <w:rPr>
          <w:rFonts w:ascii="Times New Roman" w:hAnsi="Times New Roman" w:cs="Times New Roman"/>
          <w:sz w:val="28"/>
          <w:szCs w:val="28"/>
        </w:rPr>
      </w:pPr>
      <w:r w:rsidRPr="0050666D">
        <w:rPr>
          <w:rFonts w:ascii="Times New Roman" w:hAnsi="Times New Roman" w:cs="Times New Roman"/>
          <w:sz w:val="28"/>
          <w:szCs w:val="28"/>
        </w:rPr>
        <w:t>1</w:t>
      </w:r>
      <w:r w:rsidRPr="003B2A61">
        <w:rPr>
          <w:rFonts w:ascii="Times New Roman" w:hAnsi="Times New Roman" w:cs="Times New Roman"/>
          <w:sz w:val="28"/>
          <w:szCs w:val="28"/>
        </w:rPr>
        <w:t xml:space="preserve">. Адамян </w:t>
      </w:r>
      <w:r>
        <w:rPr>
          <w:rFonts w:ascii="Times New Roman" w:hAnsi="Times New Roman" w:cs="Times New Roman"/>
          <w:sz w:val="28"/>
          <w:szCs w:val="28"/>
        </w:rPr>
        <w:t>С.Г.</w:t>
      </w:r>
      <w:r w:rsidRPr="0050666D">
        <w:rPr>
          <w:rFonts w:ascii="Times New Roman" w:hAnsi="Times New Roman" w:cs="Times New Roman"/>
          <w:sz w:val="28"/>
          <w:szCs w:val="28"/>
        </w:rPr>
        <w:t xml:space="preserve"> </w:t>
      </w:r>
      <w:r w:rsidRPr="003B2A61">
        <w:rPr>
          <w:rFonts w:ascii="Times New Roman" w:hAnsi="Times New Roman" w:cs="Times New Roman"/>
          <w:sz w:val="28"/>
          <w:szCs w:val="28"/>
        </w:rPr>
        <w:t>Паратиреоидный гормон: его значение д</w:t>
      </w:r>
      <w:r>
        <w:rPr>
          <w:rFonts w:ascii="Times New Roman" w:hAnsi="Times New Roman" w:cs="Times New Roman"/>
          <w:sz w:val="28"/>
          <w:szCs w:val="28"/>
        </w:rPr>
        <w:t xml:space="preserve">ля </w:t>
      </w:r>
      <w:proofErr w:type="gramStart"/>
      <w:r>
        <w:rPr>
          <w:rFonts w:ascii="Times New Roman" w:hAnsi="Times New Roman" w:cs="Times New Roman"/>
          <w:sz w:val="28"/>
          <w:szCs w:val="28"/>
        </w:rPr>
        <w:t>сердечно-сосудистой</w:t>
      </w:r>
      <w:proofErr w:type="gramEnd"/>
      <w:r>
        <w:rPr>
          <w:rFonts w:ascii="Times New Roman" w:hAnsi="Times New Roman" w:cs="Times New Roman"/>
          <w:sz w:val="28"/>
          <w:szCs w:val="28"/>
        </w:rPr>
        <w:t xml:space="preserve"> системы//</w:t>
      </w:r>
      <w:r w:rsidRPr="003B2A61">
        <w:rPr>
          <w:rFonts w:ascii="Times New Roman" w:hAnsi="Times New Roman" w:cs="Times New Roman"/>
          <w:sz w:val="28"/>
          <w:szCs w:val="28"/>
        </w:rPr>
        <w:t xml:space="preserve"> М</w:t>
      </w:r>
      <w:r>
        <w:rPr>
          <w:rFonts w:ascii="Times New Roman" w:hAnsi="Times New Roman" w:cs="Times New Roman"/>
          <w:sz w:val="28"/>
          <w:szCs w:val="28"/>
        </w:rPr>
        <w:t>едицинская наука Армении НАН Ра.</w:t>
      </w:r>
      <w:r w:rsidRPr="0050666D">
        <w:rPr>
          <w:rStyle w:val="slug-pub-date"/>
          <w:rFonts w:ascii="Times New Roman" w:hAnsi="Times New Roman" w:cs="Times New Roman"/>
          <w:bCs/>
          <w:color w:val="auto"/>
          <w:sz w:val="28"/>
          <w:szCs w:val="28"/>
          <w:bdr w:val="none" w:sz="0" w:space="0" w:color="auto" w:frame="1"/>
          <w:shd w:val="clear" w:color="auto" w:fill="FFFFFF"/>
        </w:rPr>
        <w:t>–</w:t>
      </w:r>
      <w:r>
        <w:rPr>
          <w:rStyle w:val="slug-pub-date"/>
          <w:rFonts w:ascii="Times New Roman" w:hAnsi="Times New Roman" w:cs="Times New Roman"/>
          <w:bCs/>
          <w:color w:val="auto"/>
          <w:sz w:val="28"/>
          <w:szCs w:val="28"/>
          <w:bdr w:val="none" w:sz="0" w:space="0" w:color="auto" w:frame="1"/>
          <w:shd w:val="clear" w:color="auto" w:fill="FFFFFF"/>
        </w:rPr>
        <w:t xml:space="preserve"> Т.</w:t>
      </w:r>
      <w:r w:rsidRPr="003B2A61">
        <w:rPr>
          <w:rFonts w:ascii="Times New Roman" w:hAnsi="Times New Roman" w:cs="Times New Roman"/>
          <w:sz w:val="28"/>
          <w:szCs w:val="28"/>
        </w:rPr>
        <w:t xml:space="preserve">LV </w:t>
      </w:r>
      <w:r>
        <w:rPr>
          <w:rFonts w:ascii="Times New Roman" w:hAnsi="Times New Roman" w:cs="Times New Roman"/>
          <w:sz w:val="28"/>
          <w:szCs w:val="28"/>
        </w:rPr>
        <w:t>(</w:t>
      </w:r>
      <w:r w:rsidRPr="003B2A61">
        <w:rPr>
          <w:rFonts w:ascii="Times New Roman" w:hAnsi="Times New Roman" w:cs="Times New Roman"/>
          <w:sz w:val="28"/>
          <w:szCs w:val="28"/>
        </w:rPr>
        <w:t>№ 2</w:t>
      </w:r>
      <w:r>
        <w:rPr>
          <w:rFonts w:ascii="Times New Roman" w:hAnsi="Times New Roman" w:cs="Times New Roman"/>
          <w:sz w:val="28"/>
          <w:szCs w:val="28"/>
        </w:rPr>
        <w:t>)</w:t>
      </w:r>
      <w:r w:rsidRPr="003B2A61">
        <w:rPr>
          <w:rFonts w:ascii="Times New Roman" w:hAnsi="Times New Roman" w:cs="Times New Roman"/>
          <w:sz w:val="28"/>
          <w:szCs w:val="28"/>
        </w:rPr>
        <w:t xml:space="preserve">. -  2015. – </w:t>
      </w:r>
      <w:r>
        <w:rPr>
          <w:rFonts w:ascii="Times New Roman" w:hAnsi="Times New Roman" w:cs="Times New Roman"/>
          <w:sz w:val="28"/>
          <w:szCs w:val="28"/>
        </w:rPr>
        <w:t>С</w:t>
      </w:r>
      <w:r w:rsidRPr="003B2A61">
        <w:rPr>
          <w:rFonts w:ascii="Times New Roman" w:hAnsi="Times New Roman" w:cs="Times New Roman"/>
          <w:sz w:val="28"/>
          <w:szCs w:val="28"/>
        </w:rPr>
        <w:t xml:space="preserve">. 3-12 </w:t>
      </w:r>
    </w:p>
    <w:p w:rsidR="006E2A91" w:rsidRPr="003B2A61" w:rsidRDefault="006E2A91" w:rsidP="006E2A91">
      <w:pPr>
        <w:spacing w:line="360" w:lineRule="auto"/>
        <w:jc w:val="both"/>
        <w:rPr>
          <w:rStyle w:val="apple-converted-space"/>
          <w:rFonts w:ascii="Times New Roman" w:hAnsi="Times New Roman" w:cs="Times New Roman"/>
          <w:color w:val="auto"/>
          <w:sz w:val="28"/>
          <w:szCs w:val="28"/>
        </w:rPr>
      </w:pPr>
      <w:r>
        <w:rPr>
          <w:rStyle w:val="apple-converted-space"/>
          <w:rFonts w:ascii="Times New Roman" w:hAnsi="Times New Roman" w:cs="Times New Roman"/>
          <w:color w:val="auto"/>
          <w:sz w:val="28"/>
          <w:szCs w:val="28"/>
          <w:shd w:val="clear" w:color="auto" w:fill="FFFFFF"/>
        </w:rPr>
        <w:t>2</w:t>
      </w:r>
      <w:r w:rsidRPr="003B2A61">
        <w:rPr>
          <w:rStyle w:val="apple-converted-space"/>
          <w:rFonts w:ascii="Times New Roman" w:hAnsi="Times New Roman" w:cs="Times New Roman"/>
          <w:color w:val="auto"/>
          <w:sz w:val="28"/>
          <w:szCs w:val="28"/>
          <w:shd w:val="clear" w:color="auto" w:fill="FFFFFF"/>
        </w:rPr>
        <w:t>. Верин</w:t>
      </w:r>
      <w:r w:rsidRPr="0050666D">
        <w:rPr>
          <w:rStyle w:val="apple-converted-space"/>
          <w:rFonts w:ascii="Times New Roman" w:hAnsi="Times New Roman" w:cs="Times New Roman"/>
          <w:color w:val="auto"/>
          <w:sz w:val="28"/>
          <w:szCs w:val="28"/>
          <w:shd w:val="clear" w:color="auto" w:fill="FFFFFF"/>
        </w:rPr>
        <w:t xml:space="preserve"> </w:t>
      </w:r>
      <w:r w:rsidRPr="003B2A61">
        <w:rPr>
          <w:rStyle w:val="apple-converted-space"/>
          <w:rFonts w:ascii="Times New Roman" w:hAnsi="Times New Roman" w:cs="Times New Roman"/>
          <w:color w:val="auto"/>
          <w:sz w:val="28"/>
          <w:szCs w:val="28"/>
          <w:shd w:val="clear" w:color="auto" w:fill="FFFFFF"/>
        </w:rPr>
        <w:t>В.К.</w:t>
      </w:r>
      <w:r>
        <w:rPr>
          <w:rStyle w:val="apple-converted-space"/>
          <w:rFonts w:ascii="Times New Roman" w:hAnsi="Times New Roman" w:cs="Times New Roman"/>
          <w:color w:val="auto"/>
          <w:sz w:val="28"/>
          <w:szCs w:val="28"/>
          <w:shd w:val="clear" w:color="auto" w:fill="FFFFFF"/>
        </w:rPr>
        <w:t xml:space="preserve">, </w:t>
      </w:r>
      <w:r w:rsidRPr="003B2A61">
        <w:rPr>
          <w:rStyle w:val="apple-converted-space"/>
          <w:rFonts w:ascii="Times New Roman" w:hAnsi="Times New Roman" w:cs="Times New Roman"/>
          <w:color w:val="auto"/>
          <w:sz w:val="28"/>
          <w:szCs w:val="28"/>
          <w:shd w:val="clear" w:color="auto" w:fill="FFFFFF"/>
        </w:rPr>
        <w:t xml:space="preserve">Иванов </w:t>
      </w:r>
      <w:r>
        <w:rPr>
          <w:rStyle w:val="apple-converted-space"/>
          <w:rFonts w:ascii="Times New Roman" w:hAnsi="Times New Roman" w:cs="Times New Roman"/>
          <w:color w:val="auto"/>
          <w:sz w:val="28"/>
          <w:szCs w:val="28"/>
          <w:shd w:val="clear" w:color="auto" w:fill="FFFFFF"/>
        </w:rPr>
        <w:t>В.</w:t>
      </w:r>
      <w:r w:rsidRPr="003B2A61">
        <w:rPr>
          <w:rStyle w:val="apple-converted-space"/>
          <w:rFonts w:ascii="Times New Roman" w:hAnsi="Times New Roman" w:cs="Times New Roman"/>
          <w:color w:val="auto"/>
          <w:sz w:val="28"/>
          <w:szCs w:val="28"/>
          <w:shd w:val="clear" w:color="auto" w:fill="FFFFFF"/>
        </w:rPr>
        <w:t xml:space="preserve">К. </w:t>
      </w:r>
      <w:r>
        <w:rPr>
          <w:rStyle w:val="apple-converted-space"/>
          <w:rFonts w:ascii="Times New Roman" w:hAnsi="Times New Roman" w:cs="Times New Roman"/>
          <w:color w:val="auto"/>
          <w:sz w:val="28"/>
          <w:szCs w:val="28"/>
          <w:shd w:val="clear" w:color="auto" w:fill="FFFFFF"/>
        </w:rPr>
        <w:t>Гормоны и их эффекты//</w:t>
      </w:r>
      <w:r w:rsidRPr="003B2A61">
        <w:rPr>
          <w:rStyle w:val="apple-converted-space"/>
          <w:rFonts w:ascii="Times New Roman" w:hAnsi="Times New Roman" w:cs="Times New Roman"/>
          <w:color w:val="auto"/>
          <w:sz w:val="28"/>
          <w:szCs w:val="28"/>
          <w:shd w:val="clear" w:color="auto" w:fill="FFFFFF"/>
        </w:rPr>
        <w:t xml:space="preserve"> СПБ Флиант. </w:t>
      </w:r>
      <w:r w:rsidRPr="0050666D">
        <w:rPr>
          <w:rStyle w:val="slug-pub-date"/>
          <w:rFonts w:ascii="Times New Roman" w:hAnsi="Times New Roman" w:cs="Times New Roman"/>
          <w:bCs/>
          <w:color w:val="auto"/>
          <w:sz w:val="28"/>
          <w:szCs w:val="28"/>
          <w:bdr w:val="none" w:sz="0" w:space="0" w:color="auto" w:frame="1"/>
          <w:shd w:val="clear" w:color="auto" w:fill="FFFFFF"/>
        </w:rPr>
        <w:t>–</w:t>
      </w:r>
      <w:r>
        <w:rPr>
          <w:rStyle w:val="slug-pub-date"/>
          <w:rFonts w:ascii="Times New Roman" w:hAnsi="Times New Roman" w:cs="Times New Roman"/>
          <w:bCs/>
          <w:color w:val="auto"/>
          <w:sz w:val="28"/>
          <w:szCs w:val="28"/>
          <w:bdr w:val="none" w:sz="0" w:space="0" w:color="auto" w:frame="1"/>
          <w:shd w:val="clear" w:color="auto" w:fill="FFFFFF"/>
        </w:rPr>
        <w:t xml:space="preserve"> </w:t>
      </w:r>
      <w:r w:rsidRPr="003B2A61">
        <w:rPr>
          <w:rStyle w:val="apple-converted-space"/>
          <w:rFonts w:ascii="Times New Roman" w:hAnsi="Times New Roman" w:cs="Times New Roman"/>
          <w:color w:val="auto"/>
          <w:sz w:val="28"/>
          <w:szCs w:val="28"/>
          <w:shd w:val="clear" w:color="auto" w:fill="FFFFFF"/>
        </w:rPr>
        <w:t xml:space="preserve">2012. </w:t>
      </w:r>
      <w:r w:rsidRPr="0050666D">
        <w:rPr>
          <w:rStyle w:val="slug-pub-date"/>
          <w:rFonts w:ascii="Times New Roman" w:hAnsi="Times New Roman" w:cs="Times New Roman"/>
          <w:bCs/>
          <w:color w:val="auto"/>
          <w:sz w:val="28"/>
          <w:szCs w:val="28"/>
          <w:bdr w:val="none" w:sz="0" w:space="0" w:color="auto" w:frame="1"/>
          <w:shd w:val="clear" w:color="auto" w:fill="FFFFFF"/>
        </w:rPr>
        <w:t>–</w:t>
      </w:r>
      <w:r>
        <w:rPr>
          <w:rStyle w:val="apple-converted-space"/>
          <w:rFonts w:ascii="Times New Roman" w:hAnsi="Times New Roman" w:cs="Times New Roman"/>
          <w:color w:val="auto"/>
          <w:sz w:val="28"/>
          <w:szCs w:val="28"/>
          <w:shd w:val="clear" w:color="auto" w:fill="FFFFFF"/>
        </w:rPr>
        <w:t xml:space="preserve"> С</w:t>
      </w:r>
      <w:r w:rsidRPr="003B2A61">
        <w:rPr>
          <w:rStyle w:val="apple-converted-space"/>
          <w:rFonts w:ascii="Times New Roman" w:hAnsi="Times New Roman" w:cs="Times New Roman"/>
          <w:color w:val="auto"/>
          <w:sz w:val="28"/>
          <w:szCs w:val="28"/>
          <w:shd w:val="clear" w:color="auto" w:fill="FFFFFF"/>
        </w:rPr>
        <w:t>. 87</w:t>
      </w:r>
    </w:p>
    <w:p w:rsidR="006E2A91" w:rsidRPr="004D344B" w:rsidRDefault="006E2A91" w:rsidP="006E2A91">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Дэвид</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Гарднер</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Долорес</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Шобек</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Базисная и клиническая эндокринология</w:t>
      </w:r>
      <w:proofErr w:type="gramStart"/>
      <w:r w:rsidRPr="003B2A61">
        <w:rPr>
          <w:rFonts w:ascii="Times New Roman" w:hAnsi="Times New Roman" w:cs="Times New Roman"/>
          <w:sz w:val="28"/>
          <w:szCs w:val="28"/>
        </w:rPr>
        <w:t>// И</w:t>
      </w:r>
      <w:proofErr w:type="gramEnd"/>
      <w:r w:rsidRPr="003B2A61">
        <w:rPr>
          <w:rFonts w:ascii="Times New Roman" w:hAnsi="Times New Roman" w:cs="Times New Roman"/>
          <w:sz w:val="28"/>
          <w:szCs w:val="28"/>
        </w:rPr>
        <w:t>зд. Бином</w:t>
      </w:r>
      <w:r w:rsidRPr="004D344B">
        <w:rPr>
          <w:rFonts w:ascii="Times New Roman" w:hAnsi="Times New Roman" w:cs="Times New Roman"/>
          <w:sz w:val="28"/>
          <w:szCs w:val="28"/>
        </w:rPr>
        <w:t xml:space="preserve">. – 2015. – </w:t>
      </w:r>
      <w:r>
        <w:rPr>
          <w:rFonts w:ascii="Times New Roman" w:hAnsi="Times New Roman" w:cs="Times New Roman"/>
          <w:sz w:val="28"/>
          <w:szCs w:val="28"/>
        </w:rPr>
        <w:t>С</w:t>
      </w:r>
      <w:r w:rsidRPr="004D344B">
        <w:rPr>
          <w:rFonts w:ascii="Times New Roman" w:hAnsi="Times New Roman" w:cs="Times New Roman"/>
          <w:sz w:val="28"/>
          <w:szCs w:val="28"/>
        </w:rPr>
        <w:t>. 695</w:t>
      </w:r>
    </w:p>
    <w:p w:rsidR="006E2A91" w:rsidRPr="003B2A61" w:rsidRDefault="006E2A91" w:rsidP="006E2A91">
      <w:pPr>
        <w:spacing w:line="360" w:lineRule="auto"/>
        <w:jc w:val="both"/>
        <w:rPr>
          <w:rFonts w:ascii="Times New Roman" w:hAnsi="Times New Roman" w:cs="Times New Roman"/>
          <w:bCs/>
          <w:caps/>
          <w:sz w:val="28"/>
          <w:szCs w:val="28"/>
        </w:rPr>
      </w:pPr>
      <w:r w:rsidRPr="0021739D">
        <w:rPr>
          <w:rFonts w:ascii="Times New Roman" w:hAnsi="Times New Roman" w:cs="Times New Roman"/>
          <w:sz w:val="28"/>
          <w:szCs w:val="28"/>
        </w:rPr>
        <w:t>4</w:t>
      </w:r>
      <w:r>
        <w:rPr>
          <w:rFonts w:ascii="Times New Roman" w:hAnsi="Times New Roman" w:cs="Times New Roman"/>
          <w:sz w:val="28"/>
          <w:szCs w:val="28"/>
        </w:rPr>
        <w:t>.</w:t>
      </w:r>
      <w:r w:rsidRPr="004D344B">
        <w:rPr>
          <w:rFonts w:ascii="Times New Roman" w:hAnsi="Times New Roman" w:cs="Times New Roman"/>
          <w:sz w:val="28"/>
          <w:szCs w:val="28"/>
        </w:rPr>
        <w:t xml:space="preserve"> </w:t>
      </w:r>
      <w:r>
        <w:rPr>
          <w:rFonts w:ascii="Times New Roman" w:hAnsi="Times New Roman" w:cs="Times New Roman"/>
          <w:sz w:val="28"/>
          <w:szCs w:val="28"/>
        </w:rPr>
        <w:t>Кузнецов Н.С., Ким И.В., Кузнецов С.</w:t>
      </w:r>
      <w:r w:rsidRPr="003B2A61">
        <w:rPr>
          <w:rFonts w:ascii="Times New Roman" w:hAnsi="Times New Roman" w:cs="Times New Roman"/>
          <w:sz w:val="28"/>
          <w:szCs w:val="28"/>
        </w:rPr>
        <w:t>Н. Интраоперационное определение паратгормона в стратегии хирургического лечения первичного гиперпаратиреоза. – Журнла Эндокринная хирургия. – 2011. - №1. – С.18-26</w:t>
      </w:r>
    </w:p>
    <w:p w:rsidR="006E2A91" w:rsidRPr="004D344B" w:rsidRDefault="006E2A91" w:rsidP="006E2A91">
      <w:pPr>
        <w:spacing w:line="360" w:lineRule="auto"/>
        <w:jc w:val="both"/>
        <w:rPr>
          <w:rFonts w:ascii="Times New Roman" w:hAnsi="Times New Roman" w:cs="Times New Roman"/>
          <w:sz w:val="28"/>
          <w:szCs w:val="28"/>
        </w:rPr>
      </w:pPr>
      <w:r w:rsidRPr="004D344B">
        <w:rPr>
          <w:rFonts w:ascii="Times New Roman" w:hAnsi="Times New Roman" w:cs="Times New Roman"/>
          <w:sz w:val="28"/>
          <w:szCs w:val="28"/>
        </w:rPr>
        <w:t xml:space="preserve">5. </w:t>
      </w:r>
      <w:r w:rsidRPr="003B2A61">
        <w:rPr>
          <w:rFonts w:ascii="Times New Roman" w:hAnsi="Times New Roman" w:cs="Times New Roman"/>
          <w:sz w:val="28"/>
          <w:szCs w:val="28"/>
        </w:rPr>
        <w:t>Маев</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И</w:t>
      </w:r>
      <w:r w:rsidRPr="004D344B">
        <w:rPr>
          <w:rFonts w:ascii="Times New Roman" w:hAnsi="Times New Roman" w:cs="Times New Roman"/>
          <w:sz w:val="28"/>
          <w:szCs w:val="28"/>
        </w:rPr>
        <w:t>.</w:t>
      </w:r>
      <w:r w:rsidRPr="003B2A61">
        <w:rPr>
          <w:rFonts w:ascii="Times New Roman" w:hAnsi="Times New Roman" w:cs="Times New Roman"/>
          <w:sz w:val="28"/>
          <w:szCs w:val="28"/>
        </w:rPr>
        <w:t>В</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Кучерявый</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Ю</w:t>
      </w:r>
      <w:r w:rsidRPr="004D344B">
        <w:rPr>
          <w:rFonts w:ascii="Times New Roman" w:hAnsi="Times New Roman" w:cs="Times New Roman"/>
          <w:sz w:val="28"/>
          <w:szCs w:val="28"/>
        </w:rPr>
        <w:t>.</w:t>
      </w:r>
      <w:r w:rsidRPr="003B2A61">
        <w:rPr>
          <w:rFonts w:ascii="Times New Roman" w:hAnsi="Times New Roman" w:cs="Times New Roman"/>
          <w:sz w:val="28"/>
          <w:szCs w:val="28"/>
        </w:rPr>
        <w:t>А</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Андреев</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Д</w:t>
      </w:r>
      <w:r w:rsidRPr="004D344B">
        <w:rPr>
          <w:rFonts w:ascii="Times New Roman" w:hAnsi="Times New Roman" w:cs="Times New Roman"/>
          <w:sz w:val="28"/>
          <w:szCs w:val="28"/>
        </w:rPr>
        <w:t>.</w:t>
      </w:r>
      <w:r w:rsidRPr="003B2A61">
        <w:rPr>
          <w:rFonts w:ascii="Times New Roman" w:hAnsi="Times New Roman" w:cs="Times New Roman"/>
          <w:sz w:val="28"/>
          <w:szCs w:val="28"/>
        </w:rPr>
        <w:t>Н</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Нейроэндокринные</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опухоли</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поджелудочной</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железы</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молекулярные</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механизмы</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онкогенеза</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и</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таргетной</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терапии</w:t>
      </w:r>
      <w:r w:rsidRPr="004D344B">
        <w:rPr>
          <w:rFonts w:ascii="Times New Roman" w:hAnsi="Times New Roman" w:cs="Times New Roman"/>
          <w:sz w:val="28"/>
          <w:szCs w:val="28"/>
        </w:rPr>
        <w:t xml:space="preserve">. – </w:t>
      </w:r>
      <w:r w:rsidRPr="003B2A61">
        <w:rPr>
          <w:rFonts w:ascii="Times New Roman" w:hAnsi="Times New Roman" w:cs="Times New Roman"/>
          <w:sz w:val="28"/>
          <w:szCs w:val="28"/>
        </w:rPr>
        <w:t>Журнал</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Молекулярная</w:t>
      </w:r>
      <w:r w:rsidRPr="004D344B">
        <w:rPr>
          <w:rFonts w:ascii="Times New Roman" w:hAnsi="Times New Roman" w:cs="Times New Roman"/>
          <w:sz w:val="28"/>
          <w:szCs w:val="28"/>
        </w:rPr>
        <w:t xml:space="preserve"> </w:t>
      </w:r>
      <w:r w:rsidRPr="003B2A61">
        <w:rPr>
          <w:rFonts w:ascii="Times New Roman" w:hAnsi="Times New Roman" w:cs="Times New Roman"/>
          <w:sz w:val="28"/>
          <w:szCs w:val="28"/>
        </w:rPr>
        <w:t>медицина</w:t>
      </w:r>
      <w:r w:rsidRPr="004D344B">
        <w:rPr>
          <w:rFonts w:ascii="Times New Roman" w:hAnsi="Times New Roman" w:cs="Times New Roman"/>
          <w:sz w:val="28"/>
          <w:szCs w:val="28"/>
        </w:rPr>
        <w:t xml:space="preserve">. – 2013. – </w:t>
      </w:r>
      <w:r>
        <w:rPr>
          <w:rFonts w:ascii="Times New Roman" w:hAnsi="Times New Roman" w:cs="Times New Roman"/>
          <w:sz w:val="28"/>
          <w:szCs w:val="28"/>
          <w:lang w:val="en-US"/>
        </w:rPr>
        <w:t>C</w:t>
      </w:r>
      <w:r w:rsidRPr="004D344B">
        <w:rPr>
          <w:rFonts w:ascii="Times New Roman" w:hAnsi="Times New Roman" w:cs="Times New Roman"/>
          <w:sz w:val="28"/>
          <w:szCs w:val="28"/>
        </w:rPr>
        <w:t>. 20-27</w:t>
      </w:r>
    </w:p>
    <w:p w:rsidR="006E2A91" w:rsidRPr="004D344B" w:rsidRDefault="006E2A91" w:rsidP="006E2A91">
      <w:pPr>
        <w:spacing w:line="360" w:lineRule="auto"/>
        <w:jc w:val="both"/>
        <w:rPr>
          <w:rFonts w:ascii="Times New Roman" w:eastAsia="Times New Roman" w:hAnsi="Times New Roman" w:cs="Times New Roman"/>
          <w:sz w:val="28"/>
          <w:szCs w:val="28"/>
          <w:lang w:eastAsia="ru-RU"/>
        </w:rPr>
      </w:pPr>
      <w:r w:rsidRPr="00A566A4">
        <w:rPr>
          <w:rFonts w:ascii="Times New Roman" w:hAnsi="Times New Roman" w:cs="Times New Roman"/>
          <w:sz w:val="28"/>
          <w:szCs w:val="28"/>
        </w:rPr>
        <w:t>6</w:t>
      </w:r>
      <w:r w:rsidRPr="003B2A61">
        <w:rPr>
          <w:rFonts w:ascii="Times New Roman" w:hAnsi="Times New Roman" w:cs="Times New Roman"/>
          <w:sz w:val="28"/>
          <w:szCs w:val="28"/>
        </w:rPr>
        <w:t xml:space="preserve">. Мокрышева Н.Г. </w:t>
      </w:r>
      <w:r w:rsidRPr="003B2A61">
        <w:rPr>
          <w:rFonts w:ascii="Times New Roman" w:eastAsia="Times New Roman" w:hAnsi="Times New Roman" w:cs="Times New Roman"/>
          <w:sz w:val="28"/>
          <w:szCs w:val="28"/>
          <w:lang w:eastAsia="ru-RU"/>
        </w:rPr>
        <w:t xml:space="preserve">Первичный гиперпаратиреоз (эпидемиология, клиника, современные принципы диагностики и лечения)// Автореферат диссертации на соискание ученой степени доктора медицинских наук. – Москва. – 2011 </w:t>
      </w:r>
    </w:p>
    <w:p w:rsidR="006E2A91" w:rsidRPr="003B2A61" w:rsidRDefault="006E2A91" w:rsidP="006E2A91">
      <w:pPr>
        <w:spacing w:line="360" w:lineRule="auto"/>
        <w:jc w:val="both"/>
        <w:rPr>
          <w:rFonts w:ascii="Times New Roman" w:hAnsi="Times New Roman" w:cs="Times New Roman"/>
          <w:sz w:val="28"/>
          <w:szCs w:val="28"/>
        </w:rPr>
      </w:pPr>
      <w:r w:rsidRPr="00A566A4">
        <w:rPr>
          <w:rFonts w:ascii="Times New Roman" w:hAnsi="Times New Roman" w:cs="Times New Roman"/>
          <w:sz w:val="28"/>
          <w:szCs w:val="28"/>
        </w:rPr>
        <w:t>7</w:t>
      </w:r>
      <w:r w:rsidRPr="003B2A61">
        <w:rPr>
          <w:rFonts w:ascii="Times New Roman" w:hAnsi="Times New Roman" w:cs="Times New Roman"/>
          <w:sz w:val="28"/>
          <w:szCs w:val="28"/>
        </w:rPr>
        <w:t xml:space="preserve">. Мокрышева Н.Г., Рожинская Л.Я., Кузнецов Н.С. Проект федеральных клинических рекомендаций. </w:t>
      </w:r>
      <w:proofErr w:type="gramStart"/>
      <w:r w:rsidRPr="003B2A61">
        <w:rPr>
          <w:rFonts w:ascii="Times New Roman" w:hAnsi="Times New Roman" w:cs="Times New Roman"/>
          <w:sz w:val="28"/>
          <w:szCs w:val="28"/>
        </w:rPr>
        <w:t>Первичный</w:t>
      </w:r>
      <w:proofErr w:type="gramEnd"/>
      <w:r w:rsidRPr="003B2A61">
        <w:rPr>
          <w:rFonts w:ascii="Times New Roman" w:hAnsi="Times New Roman" w:cs="Times New Roman"/>
          <w:sz w:val="28"/>
          <w:szCs w:val="28"/>
        </w:rPr>
        <w:t xml:space="preserve"> гиперпаратиреоз: клиника, диагностика, дифференциальная диагностика, методы лечения. – Москва. – 2016 </w:t>
      </w:r>
    </w:p>
    <w:p w:rsidR="006E2A91" w:rsidRPr="003B2A61" w:rsidRDefault="006E2A91" w:rsidP="006E2A91">
      <w:pPr>
        <w:spacing w:line="360" w:lineRule="auto"/>
        <w:jc w:val="both"/>
        <w:rPr>
          <w:rFonts w:ascii="Times New Roman" w:hAnsi="Times New Roman" w:cs="Times New Roman"/>
          <w:sz w:val="28"/>
          <w:szCs w:val="28"/>
        </w:rPr>
      </w:pPr>
      <w:r w:rsidRPr="00D221C1">
        <w:rPr>
          <w:rFonts w:ascii="Times New Roman" w:eastAsia="Times New Roman" w:hAnsi="Times New Roman" w:cs="Times New Roman"/>
          <w:sz w:val="28"/>
          <w:szCs w:val="28"/>
          <w:lang w:eastAsia="ru-RU"/>
        </w:rPr>
        <w:t>8</w:t>
      </w:r>
      <w:r w:rsidRPr="003B2A61">
        <w:rPr>
          <w:rFonts w:ascii="Times New Roman" w:eastAsia="Times New Roman" w:hAnsi="Times New Roman" w:cs="Times New Roman"/>
          <w:sz w:val="28"/>
          <w:szCs w:val="28"/>
          <w:lang w:eastAsia="ru-RU"/>
        </w:rPr>
        <w:t xml:space="preserve">. Рихсиева Н.Т. </w:t>
      </w:r>
      <w:r w:rsidRPr="003B2A61">
        <w:rPr>
          <w:rFonts w:ascii="Times New Roman" w:hAnsi="Times New Roman" w:cs="Times New Roman"/>
          <w:sz w:val="28"/>
          <w:szCs w:val="28"/>
        </w:rPr>
        <w:t>Первичный гиперпаратиреоз: этиология, патогенез, клиника, диагностика, лечение, качество жизни (обзор литературы)</w:t>
      </w:r>
      <w:r w:rsidRPr="003B2A61">
        <w:rPr>
          <w:rFonts w:ascii="Times New Roman" w:hAnsi="Times New Roman" w:cs="Times New Roman"/>
          <w:caps/>
          <w:sz w:val="28"/>
          <w:szCs w:val="28"/>
        </w:rPr>
        <w:t xml:space="preserve">. – </w:t>
      </w:r>
      <w:r w:rsidRPr="003B2A61">
        <w:rPr>
          <w:rStyle w:val="12"/>
          <w:rFonts w:ascii="Times New Roman" w:hAnsi="Times New Roman" w:cs="Times New Roman"/>
          <w:color w:val="auto"/>
          <w:sz w:val="28"/>
          <w:szCs w:val="28"/>
        </w:rPr>
        <w:t>Журнал</w:t>
      </w:r>
      <w:r w:rsidRPr="003B2A61">
        <w:rPr>
          <w:rFonts w:ascii="Times New Roman" w:hAnsi="Times New Roman" w:cs="Times New Roman"/>
          <w:sz w:val="28"/>
          <w:szCs w:val="28"/>
        </w:rPr>
        <w:t xml:space="preserve"> Международный эндокринологический журнал. – </w:t>
      </w:r>
      <w:r w:rsidRPr="003B2A61">
        <w:rPr>
          <w:rStyle w:val="num"/>
          <w:rFonts w:ascii="Times New Roman" w:hAnsi="Times New Roman" w:cs="Times New Roman"/>
          <w:color w:val="auto"/>
          <w:sz w:val="28"/>
          <w:szCs w:val="28"/>
        </w:rPr>
        <w:t xml:space="preserve">№ 1 (57). – </w:t>
      </w:r>
      <w:r w:rsidRPr="003B2A61">
        <w:rPr>
          <w:rStyle w:val="apple-converted-space"/>
          <w:rFonts w:ascii="Times New Roman" w:hAnsi="Times New Roman" w:cs="Times New Roman"/>
          <w:color w:val="auto"/>
          <w:sz w:val="28"/>
          <w:szCs w:val="28"/>
        </w:rPr>
        <w:t> </w:t>
      </w:r>
      <w:r w:rsidRPr="003B2A61">
        <w:rPr>
          <w:rStyle w:val="num"/>
          <w:rFonts w:ascii="Times New Roman" w:hAnsi="Times New Roman" w:cs="Times New Roman"/>
          <w:color w:val="auto"/>
          <w:sz w:val="28"/>
          <w:szCs w:val="28"/>
        </w:rPr>
        <w:t xml:space="preserve">2014. – </w:t>
      </w:r>
      <w:r w:rsidRPr="003B2A61">
        <w:rPr>
          <w:rStyle w:val="num"/>
          <w:rFonts w:ascii="Times New Roman" w:hAnsi="Times New Roman" w:cs="Times New Roman"/>
          <w:color w:val="auto"/>
          <w:sz w:val="28"/>
          <w:szCs w:val="28"/>
          <w:lang w:val="en-US"/>
        </w:rPr>
        <w:t>C</w:t>
      </w:r>
      <w:r w:rsidRPr="003B2A61">
        <w:rPr>
          <w:rStyle w:val="num"/>
          <w:rFonts w:ascii="Times New Roman" w:hAnsi="Times New Roman" w:cs="Times New Roman"/>
          <w:color w:val="auto"/>
          <w:sz w:val="28"/>
          <w:szCs w:val="28"/>
        </w:rPr>
        <w:t>.</w:t>
      </w:r>
      <w:r w:rsidRPr="00D221C1">
        <w:rPr>
          <w:rStyle w:val="num"/>
          <w:rFonts w:ascii="Times New Roman" w:hAnsi="Times New Roman" w:cs="Times New Roman"/>
          <w:color w:val="auto"/>
          <w:sz w:val="28"/>
          <w:szCs w:val="28"/>
        </w:rPr>
        <w:t xml:space="preserve"> </w:t>
      </w:r>
      <w:r w:rsidRPr="003B2A61">
        <w:rPr>
          <w:rStyle w:val="num"/>
          <w:rFonts w:ascii="Times New Roman" w:hAnsi="Times New Roman" w:cs="Times New Roman"/>
          <w:color w:val="auto"/>
          <w:sz w:val="28"/>
          <w:szCs w:val="28"/>
        </w:rPr>
        <w:t>103-109</w:t>
      </w:r>
    </w:p>
    <w:p w:rsidR="006E2A91" w:rsidRPr="004D344B" w:rsidRDefault="006E2A91" w:rsidP="006E2A91">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9</w:t>
      </w:r>
      <w:r w:rsidRPr="003B2A6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Северин Е.С. </w:t>
      </w:r>
      <w:r w:rsidRPr="003B2A61">
        <w:rPr>
          <w:rFonts w:ascii="Times New Roman" w:hAnsi="Times New Roman" w:cs="Times New Roman"/>
          <w:sz w:val="28"/>
          <w:szCs w:val="28"/>
          <w:shd w:val="clear" w:color="auto" w:fill="FFFFFF"/>
        </w:rPr>
        <w:t>Биохимия: Учебник для вузов, под ред. Е</w:t>
      </w:r>
      <w:r w:rsidRPr="004D344B">
        <w:rPr>
          <w:rFonts w:ascii="Times New Roman" w:hAnsi="Times New Roman" w:cs="Times New Roman"/>
          <w:sz w:val="28"/>
          <w:szCs w:val="28"/>
          <w:shd w:val="clear" w:color="auto" w:fill="FFFFFF"/>
        </w:rPr>
        <w:t>.</w:t>
      </w:r>
      <w:r w:rsidRPr="003B2A61">
        <w:rPr>
          <w:rFonts w:ascii="Times New Roman" w:hAnsi="Times New Roman" w:cs="Times New Roman"/>
          <w:sz w:val="28"/>
          <w:szCs w:val="28"/>
          <w:shd w:val="clear" w:color="auto" w:fill="FFFFFF"/>
        </w:rPr>
        <w:t>С</w:t>
      </w:r>
      <w:r w:rsidRPr="004D344B">
        <w:rPr>
          <w:rFonts w:ascii="Times New Roman" w:hAnsi="Times New Roman" w:cs="Times New Roman"/>
          <w:sz w:val="28"/>
          <w:szCs w:val="28"/>
          <w:shd w:val="clear" w:color="auto" w:fill="FFFFFF"/>
        </w:rPr>
        <w:t xml:space="preserve">. </w:t>
      </w:r>
      <w:r w:rsidRPr="003B2A61">
        <w:rPr>
          <w:rFonts w:ascii="Times New Roman" w:hAnsi="Times New Roman" w:cs="Times New Roman"/>
          <w:sz w:val="28"/>
          <w:szCs w:val="28"/>
          <w:shd w:val="clear" w:color="auto" w:fill="FFFFFF"/>
        </w:rPr>
        <w:t>Северина</w:t>
      </w:r>
      <w:r w:rsidRPr="004D344B">
        <w:rPr>
          <w:rFonts w:ascii="Times New Roman" w:hAnsi="Times New Roman" w:cs="Times New Roman"/>
          <w:sz w:val="28"/>
          <w:szCs w:val="28"/>
          <w:shd w:val="clear" w:color="auto" w:fill="FFFFFF"/>
        </w:rPr>
        <w:t>. - 2003.</w:t>
      </w:r>
      <w:r w:rsidRPr="004D344B">
        <w:rPr>
          <w:rFonts w:ascii="Times New Roman" w:hAnsi="Times New Roman" w:cs="Times New Roman"/>
          <w:sz w:val="28"/>
          <w:szCs w:val="28"/>
        </w:rPr>
        <w:t xml:space="preserve"> – </w:t>
      </w:r>
      <w:r>
        <w:rPr>
          <w:rFonts w:ascii="Times New Roman" w:hAnsi="Times New Roman" w:cs="Times New Roman"/>
          <w:sz w:val="28"/>
          <w:szCs w:val="28"/>
        </w:rPr>
        <w:t>С</w:t>
      </w:r>
      <w:r w:rsidRPr="004D344B">
        <w:rPr>
          <w:rFonts w:ascii="Times New Roman" w:hAnsi="Times New Roman" w:cs="Times New Roman"/>
          <w:sz w:val="28"/>
          <w:szCs w:val="28"/>
          <w:shd w:val="clear" w:color="auto" w:fill="FFFFFF"/>
        </w:rPr>
        <w:t>. 604-610</w:t>
      </w:r>
    </w:p>
    <w:p w:rsidR="006E2A91" w:rsidRPr="004D344B" w:rsidRDefault="006E2A91" w:rsidP="006E2A91">
      <w:pPr>
        <w:spacing w:line="360" w:lineRule="auto"/>
        <w:jc w:val="both"/>
        <w:rPr>
          <w:rFonts w:ascii="Times New Roman" w:hAnsi="Times New Roman" w:cs="Times New Roman"/>
          <w:sz w:val="28"/>
          <w:szCs w:val="28"/>
        </w:rPr>
      </w:pPr>
      <w:r w:rsidRPr="004D344B">
        <w:rPr>
          <w:rFonts w:ascii="Times New Roman" w:eastAsia="Times New Roman" w:hAnsi="Times New Roman" w:cs="Times New Roman"/>
          <w:sz w:val="28"/>
          <w:szCs w:val="28"/>
          <w:lang w:eastAsia="ru-RU"/>
        </w:rPr>
        <w:t xml:space="preserve">10. </w:t>
      </w:r>
      <w:r w:rsidRPr="003B2A61">
        <w:rPr>
          <w:rFonts w:ascii="Times New Roman" w:eastAsia="Times New Roman" w:hAnsi="Times New Roman" w:cs="Times New Roman"/>
          <w:sz w:val="28"/>
          <w:szCs w:val="28"/>
          <w:lang w:eastAsia="ru-RU"/>
        </w:rPr>
        <w:t>Слепцов</w:t>
      </w:r>
      <w:r w:rsidRPr="004D344B">
        <w:rPr>
          <w:rFonts w:ascii="Times New Roman" w:eastAsia="Times New Roman" w:hAnsi="Times New Roman" w:cs="Times New Roman"/>
          <w:sz w:val="28"/>
          <w:szCs w:val="28"/>
          <w:lang w:eastAsia="ru-RU"/>
        </w:rPr>
        <w:t xml:space="preserve"> </w:t>
      </w:r>
      <w:r w:rsidRPr="003B2A61">
        <w:rPr>
          <w:rFonts w:ascii="Times New Roman" w:eastAsia="Times New Roman" w:hAnsi="Times New Roman" w:cs="Times New Roman"/>
          <w:sz w:val="28"/>
          <w:szCs w:val="28"/>
          <w:lang w:eastAsia="ru-RU"/>
        </w:rPr>
        <w:t>И</w:t>
      </w:r>
      <w:r w:rsidRPr="004D344B">
        <w:rPr>
          <w:rFonts w:ascii="Times New Roman" w:eastAsia="Times New Roman" w:hAnsi="Times New Roman" w:cs="Times New Roman"/>
          <w:sz w:val="28"/>
          <w:szCs w:val="28"/>
          <w:lang w:eastAsia="ru-RU"/>
        </w:rPr>
        <w:t>.</w:t>
      </w:r>
      <w:r w:rsidRPr="003B2A61">
        <w:rPr>
          <w:rFonts w:ascii="Times New Roman" w:eastAsia="Times New Roman" w:hAnsi="Times New Roman" w:cs="Times New Roman"/>
          <w:sz w:val="28"/>
          <w:szCs w:val="28"/>
          <w:lang w:eastAsia="ru-RU"/>
        </w:rPr>
        <w:t>В</w:t>
      </w:r>
      <w:r w:rsidRPr="004D344B">
        <w:rPr>
          <w:rFonts w:ascii="Times New Roman" w:eastAsia="Times New Roman" w:hAnsi="Times New Roman" w:cs="Times New Roman"/>
          <w:sz w:val="28"/>
          <w:szCs w:val="28"/>
          <w:lang w:eastAsia="ru-RU"/>
        </w:rPr>
        <w:t xml:space="preserve">., </w:t>
      </w:r>
      <w:r w:rsidRPr="003B2A61">
        <w:rPr>
          <w:rFonts w:ascii="Times New Roman" w:eastAsia="Times New Roman" w:hAnsi="Times New Roman" w:cs="Times New Roman"/>
          <w:sz w:val="28"/>
          <w:szCs w:val="28"/>
          <w:lang w:eastAsia="ru-RU"/>
        </w:rPr>
        <w:t>Выборнова</w:t>
      </w:r>
      <w:r w:rsidRPr="004D344B">
        <w:rPr>
          <w:rFonts w:ascii="Times New Roman" w:eastAsia="Times New Roman" w:hAnsi="Times New Roman" w:cs="Times New Roman"/>
          <w:sz w:val="28"/>
          <w:szCs w:val="28"/>
          <w:lang w:eastAsia="ru-RU"/>
        </w:rPr>
        <w:t xml:space="preserve"> </w:t>
      </w:r>
      <w:r w:rsidRPr="003B2A61">
        <w:rPr>
          <w:rFonts w:ascii="Times New Roman" w:eastAsia="Times New Roman" w:hAnsi="Times New Roman" w:cs="Times New Roman"/>
          <w:sz w:val="28"/>
          <w:szCs w:val="28"/>
          <w:lang w:eastAsia="ru-RU"/>
        </w:rPr>
        <w:t>Н</w:t>
      </w:r>
      <w:r w:rsidRPr="004D344B">
        <w:rPr>
          <w:rFonts w:ascii="Times New Roman" w:eastAsia="Times New Roman" w:hAnsi="Times New Roman" w:cs="Times New Roman"/>
          <w:sz w:val="28"/>
          <w:szCs w:val="28"/>
          <w:lang w:eastAsia="ru-RU"/>
        </w:rPr>
        <w:t>.</w:t>
      </w:r>
      <w:r w:rsidRPr="003B2A61">
        <w:rPr>
          <w:rFonts w:ascii="Times New Roman" w:eastAsia="Times New Roman" w:hAnsi="Times New Roman" w:cs="Times New Roman"/>
          <w:sz w:val="28"/>
          <w:szCs w:val="28"/>
          <w:lang w:eastAsia="ru-RU"/>
        </w:rPr>
        <w:t>Б</w:t>
      </w:r>
      <w:r w:rsidRPr="004D344B">
        <w:rPr>
          <w:rFonts w:ascii="Times New Roman" w:eastAsia="Times New Roman" w:hAnsi="Times New Roman" w:cs="Times New Roman"/>
          <w:sz w:val="28"/>
          <w:szCs w:val="28"/>
          <w:lang w:eastAsia="ru-RU"/>
        </w:rPr>
        <w:t xml:space="preserve">., </w:t>
      </w:r>
      <w:r w:rsidRPr="003B2A61">
        <w:rPr>
          <w:rFonts w:ascii="Times New Roman" w:eastAsia="Times New Roman" w:hAnsi="Times New Roman" w:cs="Times New Roman"/>
          <w:sz w:val="28"/>
          <w:szCs w:val="28"/>
          <w:lang w:eastAsia="ru-RU"/>
        </w:rPr>
        <w:t>Черников</w:t>
      </w:r>
      <w:r w:rsidRPr="004D344B">
        <w:rPr>
          <w:rFonts w:ascii="Times New Roman" w:eastAsia="Times New Roman" w:hAnsi="Times New Roman" w:cs="Times New Roman"/>
          <w:sz w:val="28"/>
          <w:szCs w:val="28"/>
          <w:lang w:eastAsia="ru-RU"/>
        </w:rPr>
        <w:t xml:space="preserve"> </w:t>
      </w:r>
      <w:r w:rsidRPr="003B2A61">
        <w:rPr>
          <w:rFonts w:ascii="Times New Roman" w:eastAsia="Times New Roman" w:hAnsi="Times New Roman" w:cs="Times New Roman"/>
          <w:sz w:val="28"/>
          <w:szCs w:val="28"/>
          <w:lang w:eastAsia="ru-RU"/>
        </w:rPr>
        <w:t>Р</w:t>
      </w:r>
      <w:r w:rsidRPr="004D344B">
        <w:rPr>
          <w:rFonts w:ascii="Times New Roman" w:eastAsia="Times New Roman" w:hAnsi="Times New Roman" w:cs="Times New Roman"/>
          <w:sz w:val="28"/>
          <w:szCs w:val="28"/>
          <w:lang w:eastAsia="ru-RU"/>
        </w:rPr>
        <w:t>.</w:t>
      </w:r>
      <w:r w:rsidRPr="003B2A61">
        <w:rPr>
          <w:rFonts w:ascii="Times New Roman" w:eastAsia="Times New Roman" w:hAnsi="Times New Roman" w:cs="Times New Roman"/>
          <w:sz w:val="28"/>
          <w:szCs w:val="28"/>
          <w:lang w:eastAsia="ru-RU"/>
        </w:rPr>
        <w:t>А</w:t>
      </w:r>
      <w:r w:rsidRPr="004D344B">
        <w:rPr>
          <w:rFonts w:ascii="Times New Roman" w:eastAsia="Times New Roman" w:hAnsi="Times New Roman" w:cs="Times New Roman"/>
          <w:sz w:val="28"/>
          <w:szCs w:val="28"/>
          <w:lang w:eastAsia="ru-RU"/>
        </w:rPr>
        <w:t xml:space="preserve">. </w:t>
      </w:r>
      <w:r w:rsidRPr="003B2A61">
        <w:rPr>
          <w:rFonts w:ascii="Times New Roman" w:eastAsia="Times New Roman" w:hAnsi="Times New Roman" w:cs="Times New Roman"/>
          <w:sz w:val="28"/>
          <w:szCs w:val="28"/>
          <w:lang w:eastAsia="ru-RU"/>
        </w:rPr>
        <w:t>и</w:t>
      </w:r>
      <w:r w:rsidRPr="004D344B">
        <w:rPr>
          <w:rFonts w:ascii="Times New Roman" w:eastAsia="Times New Roman" w:hAnsi="Times New Roman" w:cs="Times New Roman"/>
          <w:sz w:val="28"/>
          <w:szCs w:val="28"/>
          <w:lang w:eastAsia="ru-RU"/>
        </w:rPr>
        <w:t xml:space="preserve"> </w:t>
      </w:r>
      <w:r w:rsidRPr="003B2A61">
        <w:rPr>
          <w:rFonts w:ascii="Times New Roman" w:eastAsia="Times New Roman" w:hAnsi="Times New Roman" w:cs="Times New Roman"/>
          <w:sz w:val="28"/>
          <w:szCs w:val="28"/>
          <w:lang w:eastAsia="ru-RU"/>
        </w:rPr>
        <w:t>др</w:t>
      </w:r>
      <w:r w:rsidRPr="004D344B">
        <w:rPr>
          <w:rFonts w:ascii="Times New Roman" w:eastAsia="Times New Roman" w:hAnsi="Times New Roman" w:cs="Times New Roman"/>
          <w:sz w:val="28"/>
          <w:szCs w:val="28"/>
          <w:lang w:eastAsia="ru-RU"/>
        </w:rPr>
        <w:t xml:space="preserve">. </w:t>
      </w:r>
      <w:r w:rsidRPr="003B2A61">
        <w:rPr>
          <w:rFonts w:ascii="Times New Roman" w:hAnsi="Times New Roman" w:cs="Times New Roman"/>
          <w:sz w:val="28"/>
          <w:szCs w:val="28"/>
        </w:rPr>
        <w:t>Модифицированная интраоперационная методика измерения уровня паратгормона крови при лечении первичного гиперпаратиреоза. – Журнал Эндокринная хирургия. -№4. – 2015. – С.</w:t>
      </w:r>
      <w:r>
        <w:rPr>
          <w:rFonts w:ascii="Times New Roman" w:hAnsi="Times New Roman" w:cs="Times New Roman"/>
          <w:sz w:val="28"/>
          <w:szCs w:val="28"/>
        </w:rPr>
        <w:t xml:space="preserve"> 12-22</w:t>
      </w:r>
    </w:p>
    <w:p w:rsidR="006E2A91" w:rsidRPr="003B2A61" w:rsidRDefault="006E2A91" w:rsidP="006E2A91">
      <w:pPr>
        <w:spacing w:line="360" w:lineRule="auto"/>
        <w:jc w:val="both"/>
        <w:rPr>
          <w:rFonts w:ascii="Times New Roman" w:hAnsi="Times New Roman" w:cs="Times New Roman"/>
          <w:caps/>
          <w:sz w:val="28"/>
          <w:szCs w:val="28"/>
        </w:rPr>
      </w:pPr>
      <w:r w:rsidRPr="0021739D">
        <w:rPr>
          <w:rFonts w:ascii="Times New Roman" w:eastAsia="Times New Roman" w:hAnsi="Times New Roman" w:cs="Times New Roman"/>
          <w:iCs/>
          <w:sz w:val="28"/>
          <w:szCs w:val="28"/>
          <w:lang w:eastAsia="ru-RU"/>
        </w:rPr>
        <w:t>11</w:t>
      </w:r>
      <w:r w:rsidRPr="003B2A61">
        <w:rPr>
          <w:rFonts w:ascii="Times New Roman" w:eastAsia="Times New Roman" w:hAnsi="Times New Roman" w:cs="Times New Roman"/>
          <w:iCs/>
          <w:sz w:val="28"/>
          <w:szCs w:val="28"/>
          <w:lang w:eastAsia="ru-RU"/>
        </w:rPr>
        <w:t xml:space="preserve">. </w:t>
      </w:r>
      <w:r>
        <w:rPr>
          <w:rStyle w:val="search-hl"/>
          <w:rFonts w:ascii="Times New Roman" w:hAnsi="Times New Roman" w:cs="Times New Roman"/>
          <w:color w:val="auto"/>
          <w:sz w:val="28"/>
          <w:szCs w:val="28"/>
        </w:rPr>
        <w:t>Слепцов И.</w:t>
      </w:r>
      <w:r w:rsidRPr="003B2A61">
        <w:rPr>
          <w:rStyle w:val="search-hl"/>
          <w:rFonts w:ascii="Times New Roman" w:hAnsi="Times New Roman" w:cs="Times New Roman"/>
          <w:color w:val="auto"/>
          <w:sz w:val="28"/>
          <w:szCs w:val="28"/>
        </w:rPr>
        <w:t>В.</w:t>
      </w:r>
      <w:r w:rsidRPr="0021739D">
        <w:rPr>
          <w:rStyle w:val="search-hl"/>
          <w:rFonts w:ascii="Times New Roman" w:hAnsi="Times New Roman" w:cs="Times New Roman"/>
          <w:color w:val="auto"/>
          <w:sz w:val="28"/>
          <w:szCs w:val="28"/>
        </w:rPr>
        <w:t>,</w:t>
      </w:r>
      <w:r w:rsidRPr="003B2A61">
        <w:rPr>
          <w:rFonts w:ascii="Times New Roman" w:hAnsi="Times New Roman" w:cs="Times New Roman"/>
          <w:sz w:val="28"/>
          <w:szCs w:val="28"/>
        </w:rPr>
        <w:t xml:space="preserve"> </w:t>
      </w:r>
      <w:r>
        <w:rPr>
          <w:rStyle w:val="search-hl"/>
          <w:rFonts w:ascii="Times New Roman" w:hAnsi="Times New Roman" w:cs="Times New Roman"/>
          <w:color w:val="auto"/>
          <w:sz w:val="28"/>
          <w:szCs w:val="28"/>
        </w:rPr>
        <w:t>Черников Р.</w:t>
      </w:r>
      <w:r w:rsidRPr="003B2A61">
        <w:rPr>
          <w:rStyle w:val="search-hl"/>
          <w:rFonts w:ascii="Times New Roman" w:hAnsi="Times New Roman" w:cs="Times New Roman"/>
          <w:color w:val="auto"/>
          <w:sz w:val="28"/>
          <w:szCs w:val="28"/>
        </w:rPr>
        <w:t>А.</w:t>
      </w:r>
      <w:r w:rsidRPr="0021739D">
        <w:rPr>
          <w:rStyle w:val="search-hl"/>
          <w:rFonts w:ascii="Times New Roman" w:hAnsi="Times New Roman" w:cs="Times New Roman"/>
          <w:color w:val="auto"/>
          <w:sz w:val="28"/>
          <w:szCs w:val="28"/>
        </w:rPr>
        <w:t>,</w:t>
      </w:r>
      <w:r w:rsidRPr="003B2A61">
        <w:rPr>
          <w:rFonts w:ascii="Times New Roman" w:hAnsi="Times New Roman" w:cs="Times New Roman"/>
          <w:sz w:val="28"/>
          <w:szCs w:val="28"/>
        </w:rPr>
        <w:t xml:space="preserve"> </w:t>
      </w:r>
      <w:r>
        <w:rPr>
          <w:rStyle w:val="search-hl"/>
          <w:rFonts w:ascii="Times New Roman" w:hAnsi="Times New Roman" w:cs="Times New Roman"/>
          <w:color w:val="auto"/>
          <w:sz w:val="28"/>
          <w:szCs w:val="28"/>
        </w:rPr>
        <w:t>Бубнов А.</w:t>
      </w:r>
      <w:r w:rsidRPr="003B2A61">
        <w:rPr>
          <w:rStyle w:val="search-hl"/>
          <w:rFonts w:ascii="Times New Roman" w:hAnsi="Times New Roman" w:cs="Times New Roman"/>
          <w:color w:val="auto"/>
          <w:sz w:val="28"/>
          <w:szCs w:val="28"/>
        </w:rPr>
        <w:t>Н.</w:t>
      </w:r>
      <w:r w:rsidRPr="003B2A61">
        <w:rPr>
          <w:rFonts w:ascii="Times New Roman" w:hAnsi="Times New Roman" w:cs="Times New Roman"/>
          <w:sz w:val="28"/>
          <w:szCs w:val="28"/>
        </w:rPr>
        <w:t xml:space="preserve"> </w:t>
      </w:r>
      <w:r w:rsidRPr="003B2A61">
        <w:rPr>
          <w:rFonts w:ascii="Times New Roman" w:hAnsi="Times New Roman" w:cs="Times New Roman"/>
          <w:caps/>
          <w:sz w:val="28"/>
          <w:szCs w:val="28"/>
        </w:rPr>
        <w:t>М</w:t>
      </w:r>
      <w:r w:rsidRPr="003B2A61">
        <w:rPr>
          <w:rFonts w:ascii="Times New Roman" w:hAnsi="Times New Roman" w:cs="Times New Roman"/>
          <w:sz w:val="28"/>
          <w:szCs w:val="28"/>
        </w:rPr>
        <w:t>алоинвазивные операции в лечени</w:t>
      </w:r>
      <w:r>
        <w:rPr>
          <w:rFonts w:ascii="Times New Roman" w:hAnsi="Times New Roman" w:cs="Times New Roman"/>
          <w:sz w:val="28"/>
          <w:szCs w:val="28"/>
        </w:rPr>
        <w:t xml:space="preserve">и </w:t>
      </w:r>
      <w:proofErr w:type="gramStart"/>
      <w:r>
        <w:rPr>
          <w:rFonts w:ascii="Times New Roman" w:hAnsi="Times New Roman" w:cs="Times New Roman"/>
          <w:sz w:val="28"/>
          <w:szCs w:val="28"/>
        </w:rPr>
        <w:t>первичного</w:t>
      </w:r>
      <w:proofErr w:type="gramEnd"/>
      <w:r>
        <w:rPr>
          <w:rFonts w:ascii="Times New Roman" w:hAnsi="Times New Roman" w:cs="Times New Roman"/>
          <w:sz w:val="28"/>
          <w:szCs w:val="28"/>
        </w:rPr>
        <w:t xml:space="preserve"> гиперпаратиреоза</w:t>
      </w:r>
      <w:r w:rsidRPr="0021739D">
        <w:rPr>
          <w:rFonts w:ascii="Times New Roman" w:hAnsi="Times New Roman" w:cs="Times New Roman"/>
          <w:sz w:val="28"/>
          <w:szCs w:val="28"/>
        </w:rPr>
        <w:t xml:space="preserve">. – </w:t>
      </w:r>
      <w:r>
        <w:rPr>
          <w:rFonts w:ascii="Times New Roman" w:hAnsi="Times New Roman" w:cs="Times New Roman"/>
          <w:sz w:val="28"/>
          <w:szCs w:val="28"/>
        </w:rPr>
        <w:t>Журнал Э</w:t>
      </w:r>
      <w:r w:rsidRPr="003B2A61">
        <w:rPr>
          <w:rFonts w:ascii="Times New Roman" w:hAnsi="Times New Roman" w:cs="Times New Roman"/>
          <w:sz w:val="28"/>
          <w:szCs w:val="28"/>
        </w:rPr>
        <w:t xml:space="preserve">ндокринная хирургия. – </w:t>
      </w:r>
      <w:r w:rsidRPr="003B2A61">
        <w:rPr>
          <w:rFonts w:ascii="Times New Roman" w:hAnsi="Times New Roman" w:cs="Times New Roman"/>
          <w:caps/>
          <w:sz w:val="28"/>
          <w:szCs w:val="28"/>
        </w:rPr>
        <w:t>№4. – 2012. – с. 24-33</w:t>
      </w:r>
    </w:p>
    <w:p w:rsidR="006E2A91" w:rsidRPr="003B2A61" w:rsidRDefault="006E2A91" w:rsidP="006E2A91">
      <w:pPr>
        <w:spacing w:line="360" w:lineRule="auto"/>
        <w:jc w:val="both"/>
        <w:rPr>
          <w:rFonts w:ascii="Times New Roman" w:hAnsi="Times New Roman" w:cs="Times New Roman"/>
          <w:sz w:val="28"/>
          <w:szCs w:val="28"/>
        </w:rPr>
      </w:pPr>
      <w:r w:rsidRPr="00A566A4">
        <w:rPr>
          <w:rFonts w:ascii="Times New Roman" w:hAnsi="Times New Roman" w:cs="Times New Roman"/>
          <w:sz w:val="28"/>
          <w:szCs w:val="28"/>
        </w:rPr>
        <w:t>12</w:t>
      </w:r>
      <w:r>
        <w:rPr>
          <w:rFonts w:ascii="Times New Roman" w:hAnsi="Times New Roman" w:cs="Times New Roman"/>
          <w:sz w:val="28"/>
          <w:szCs w:val="28"/>
        </w:rPr>
        <w:t xml:space="preserve">. </w:t>
      </w:r>
      <w:r w:rsidRPr="003B2A61">
        <w:rPr>
          <w:rFonts w:ascii="Times New Roman" w:hAnsi="Times New Roman" w:cs="Times New Roman"/>
          <w:sz w:val="28"/>
          <w:szCs w:val="28"/>
        </w:rPr>
        <w:t>Черных</w:t>
      </w:r>
      <w:r w:rsidRPr="00A566A4">
        <w:rPr>
          <w:rFonts w:ascii="Times New Roman" w:hAnsi="Times New Roman" w:cs="Times New Roman"/>
          <w:sz w:val="28"/>
          <w:szCs w:val="28"/>
        </w:rPr>
        <w:t xml:space="preserve"> </w:t>
      </w:r>
      <w:r>
        <w:rPr>
          <w:rFonts w:ascii="Times New Roman" w:hAnsi="Times New Roman" w:cs="Times New Roman"/>
          <w:sz w:val="28"/>
          <w:szCs w:val="28"/>
        </w:rPr>
        <w:t xml:space="preserve">А.В., </w:t>
      </w:r>
      <w:r w:rsidRPr="003B2A61">
        <w:rPr>
          <w:rFonts w:ascii="Times New Roman" w:hAnsi="Times New Roman" w:cs="Times New Roman"/>
          <w:sz w:val="28"/>
          <w:szCs w:val="28"/>
        </w:rPr>
        <w:t>Малеев</w:t>
      </w:r>
      <w:r w:rsidRPr="00A566A4">
        <w:rPr>
          <w:rFonts w:ascii="Times New Roman" w:hAnsi="Times New Roman" w:cs="Times New Roman"/>
          <w:sz w:val="28"/>
          <w:szCs w:val="28"/>
        </w:rPr>
        <w:t xml:space="preserve"> </w:t>
      </w:r>
      <w:r>
        <w:rPr>
          <w:rFonts w:ascii="Times New Roman" w:hAnsi="Times New Roman" w:cs="Times New Roman"/>
          <w:sz w:val="28"/>
          <w:szCs w:val="28"/>
        </w:rPr>
        <w:t>Ю.</w:t>
      </w:r>
      <w:r w:rsidRPr="003B2A61">
        <w:rPr>
          <w:rFonts w:ascii="Times New Roman" w:hAnsi="Times New Roman" w:cs="Times New Roman"/>
          <w:sz w:val="28"/>
          <w:szCs w:val="28"/>
        </w:rPr>
        <w:t>В.</w:t>
      </w:r>
      <w:r>
        <w:rPr>
          <w:rFonts w:ascii="Times New Roman" w:hAnsi="Times New Roman" w:cs="Times New Roman"/>
          <w:sz w:val="28"/>
          <w:szCs w:val="28"/>
        </w:rPr>
        <w:t xml:space="preserve">, </w:t>
      </w:r>
      <w:r w:rsidRPr="003B2A61">
        <w:rPr>
          <w:rFonts w:ascii="Times New Roman" w:hAnsi="Times New Roman" w:cs="Times New Roman"/>
          <w:sz w:val="28"/>
          <w:szCs w:val="28"/>
        </w:rPr>
        <w:t xml:space="preserve">Шевцов </w:t>
      </w:r>
      <w:r>
        <w:rPr>
          <w:rFonts w:ascii="Times New Roman" w:hAnsi="Times New Roman" w:cs="Times New Roman"/>
          <w:sz w:val="28"/>
          <w:szCs w:val="28"/>
        </w:rPr>
        <w:t>А.</w:t>
      </w:r>
      <w:r w:rsidRPr="003B2A61">
        <w:rPr>
          <w:rFonts w:ascii="Times New Roman" w:hAnsi="Times New Roman" w:cs="Times New Roman"/>
          <w:sz w:val="28"/>
          <w:szCs w:val="28"/>
        </w:rPr>
        <w:t xml:space="preserve">Н. </w:t>
      </w:r>
      <w:r>
        <w:rPr>
          <w:rFonts w:ascii="Times New Roman" w:hAnsi="Times New Roman" w:cs="Times New Roman"/>
          <w:sz w:val="28"/>
          <w:szCs w:val="28"/>
        </w:rPr>
        <w:t>П</w:t>
      </w:r>
      <w:r w:rsidRPr="003B2A61">
        <w:rPr>
          <w:rFonts w:ascii="Times New Roman" w:hAnsi="Times New Roman" w:cs="Times New Roman"/>
          <w:sz w:val="28"/>
          <w:szCs w:val="28"/>
        </w:rPr>
        <w:t>роблемы и перспективы изучения топографической анатомии околощитовидных желез</w:t>
      </w:r>
      <w:r>
        <w:rPr>
          <w:rFonts w:ascii="Times New Roman" w:hAnsi="Times New Roman" w:cs="Times New Roman"/>
          <w:sz w:val="28"/>
          <w:szCs w:val="28"/>
        </w:rPr>
        <w:t xml:space="preserve">. – </w:t>
      </w:r>
      <w:r w:rsidRPr="003B2A61">
        <w:rPr>
          <w:rFonts w:ascii="Times New Roman" w:hAnsi="Times New Roman" w:cs="Times New Roman"/>
          <w:sz w:val="28"/>
          <w:szCs w:val="28"/>
        </w:rPr>
        <w:t xml:space="preserve">Журнал анатомии и </w:t>
      </w:r>
      <w:r>
        <w:rPr>
          <w:rFonts w:ascii="Times New Roman" w:hAnsi="Times New Roman" w:cs="Times New Roman"/>
          <w:sz w:val="28"/>
          <w:szCs w:val="28"/>
        </w:rPr>
        <w:t>гистопатологии. – 2013. – Т. 2 (</w:t>
      </w:r>
      <w:r w:rsidRPr="003B2A61">
        <w:rPr>
          <w:rFonts w:ascii="Times New Roman" w:hAnsi="Times New Roman" w:cs="Times New Roman"/>
          <w:sz w:val="28"/>
          <w:szCs w:val="28"/>
        </w:rPr>
        <w:t>№ 2</w:t>
      </w:r>
      <w:r>
        <w:rPr>
          <w:rFonts w:ascii="Times New Roman" w:hAnsi="Times New Roman" w:cs="Times New Roman"/>
          <w:sz w:val="28"/>
          <w:szCs w:val="28"/>
        </w:rPr>
        <w:t>)</w:t>
      </w:r>
      <w:r w:rsidRPr="003B2A61">
        <w:rPr>
          <w:rFonts w:ascii="Times New Roman" w:hAnsi="Times New Roman" w:cs="Times New Roman"/>
          <w:sz w:val="28"/>
          <w:szCs w:val="28"/>
        </w:rPr>
        <w:t xml:space="preserve">. – </w:t>
      </w:r>
      <w:r>
        <w:rPr>
          <w:rFonts w:ascii="Times New Roman" w:hAnsi="Times New Roman" w:cs="Times New Roman"/>
          <w:sz w:val="28"/>
          <w:szCs w:val="28"/>
          <w:lang w:val="en-US"/>
        </w:rPr>
        <w:t>C</w:t>
      </w:r>
      <w:r w:rsidRPr="003B2A61">
        <w:rPr>
          <w:rFonts w:ascii="Times New Roman" w:hAnsi="Times New Roman" w:cs="Times New Roman"/>
          <w:sz w:val="28"/>
          <w:szCs w:val="28"/>
        </w:rPr>
        <w:t xml:space="preserve">. 15-23 </w:t>
      </w:r>
    </w:p>
    <w:p w:rsidR="006E2A91" w:rsidRPr="0021739D" w:rsidRDefault="006E2A91" w:rsidP="006E2A91">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lang w:val="en-US"/>
        </w:rPr>
        <w:t>13</w:t>
      </w:r>
      <w:r w:rsidRPr="003B2A61">
        <w:rPr>
          <w:rFonts w:ascii="Times New Roman" w:hAnsi="Times New Roman" w:cs="Times New Roman"/>
          <w:sz w:val="28"/>
          <w:szCs w:val="28"/>
          <w:lang w:val="en-US"/>
        </w:rPr>
        <w:t xml:space="preserve">. </w:t>
      </w:r>
      <w:proofErr w:type="spellStart"/>
      <w:r w:rsidRPr="003B2A61">
        <w:rPr>
          <w:rFonts w:ascii="Times New Roman" w:hAnsi="Times New Roman" w:cs="Times New Roman"/>
          <w:sz w:val="28"/>
          <w:szCs w:val="28"/>
          <w:lang w:val="en-US"/>
        </w:rPr>
        <w:t>Akbaba</w:t>
      </w:r>
      <w:proofErr w:type="spellEnd"/>
      <w:r w:rsidRPr="003B2A61">
        <w:rPr>
          <w:rFonts w:ascii="Times New Roman" w:hAnsi="Times New Roman" w:cs="Times New Roman"/>
          <w:sz w:val="28"/>
          <w:szCs w:val="28"/>
          <w:lang w:val="en-US"/>
        </w:rPr>
        <w:t xml:space="preserve"> G</w:t>
      </w:r>
      <w:r>
        <w:rPr>
          <w:rFonts w:ascii="Times New Roman" w:hAnsi="Times New Roman" w:cs="Times New Roman"/>
          <w:sz w:val="28"/>
          <w:szCs w:val="28"/>
          <w:lang w:val="en-US"/>
        </w:rPr>
        <w:t>.</w:t>
      </w:r>
      <w:r w:rsidRPr="003B2A61">
        <w:rPr>
          <w:rFonts w:ascii="Times New Roman" w:hAnsi="Times New Roman" w:cs="Times New Roman"/>
          <w:sz w:val="28"/>
          <w:szCs w:val="28"/>
          <w:lang w:val="en-US"/>
        </w:rPr>
        <w:t>,</w:t>
      </w:r>
      <w:r w:rsidRPr="003B2A61">
        <w:rPr>
          <w:rStyle w:val="apple-converted-space"/>
          <w:rFonts w:ascii="Times New Roman" w:hAnsi="Times New Roman" w:cs="Times New Roman"/>
          <w:color w:val="auto"/>
          <w:sz w:val="28"/>
          <w:szCs w:val="28"/>
          <w:lang w:val="en-US"/>
        </w:rPr>
        <w:t> </w:t>
      </w:r>
      <w:proofErr w:type="spellStart"/>
      <w:r>
        <w:fldChar w:fldCharType="begin"/>
      </w:r>
      <w:r w:rsidRPr="00710802">
        <w:rPr>
          <w:lang w:val="en-US"/>
        </w:rPr>
        <w:instrText>HYPERLINK "https://www.ncbi.nlm.nih.gov/pubmed/?term=Isik%20S%5BAuthor%5D&amp;cauthor=true&amp;cauthor_uid=24081023"</w:instrText>
      </w:r>
      <w:r>
        <w:fldChar w:fldCharType="separate"/>
      </w:r>
      <w:r w:rsidRPr="003B2A61">
        <w:rPr>
          <w:rStyle w:val="af"/>
          <w:rFonts w:ascii="Times New Roman" w:hAnsi="Times New Roman" w:cs="Times New Roman"/>
          <w:color w:val="auto"/>
          <w:sz w:val="28"/>
          <w:szCs w:val="28"/>
          <w:u w:val="none"/>
          <w:lang w:val="en-US"/>
        </w:rPr>
        <w:t>Isik</w:t>
      </w:r>
      <w:proofErr w:type="spellEnd"/>
      <w:r w:rsidRPr="003B2A61">
        <w:rPr>
          <w:rStyle w:val="af"/>
          <w:rFonts w:ascii="Times New Roman" w:hAnsi="Times New Roman" w:cs="Times New Roman"/>
          <w:color w:val="auto"/>
          <w:sz w:val="28"/>
          <w:szCs w:val="28"/>
          <w:u w:val="none"/>
          <w:lang w:val="en-US"/>
        </w:rPr>
        <w:t xml:space="preserve"> S</w:t>
      </w:r>
      <w:r>
        <w:fldChar w:fldCharType="end"/>
      </w:r>
      <w:r>
        <w:rPr>
          <w:rFonts w:asciiTheme="minorHAnsi" w:hAnsiTheme="minorHAnsi"/>
          <w:lang w:val="en-US"/>
        </w:rPr>
        <w:t>.</w:t>
      </w:r>
      <w:r w:rsidRPr="003B2A61">
        <w:rPr>
          <w:rFonts w:ascii="Times New Roman" w:hAnsi="Times New Roman" w:cs="Times New Roman"/>
          <w:sz w:val="28"/>
          <w:szCs w:val="28"/>
          <w:lang w:val="en-US"/>
        </w:rPr>
        <w:t>,</w:t>
      </w:r>
      <w:r w:rsidRPr="003B2A61">
        <w:rPr>
          <w:rStyle w:val="apple-converted-space"/>
          <w:rFonts w:ascii="Times New Roman" w:hAnsi="Times New Roman" w:cs="Times New Roman"/>
          <w:color w:val="auto"/>
          <w:sz w:val="28"/>
          <w:szCs w:val="28"/>
          <w:lang w:val="en-US"/>
        </w:rPr>
        <w:t> </w:t>
      </w:r>
      <w:proofErr w:type="spellStart"/>
      <w:r w:rsidRPr="003B2A61">
        <w:rPr>
          <w:rFonts w:ascii="Times New Roman" w:hAnsi="Times New Roman" w:cs="Times New Roman"/>
          <w:sz w:val="28"/>
          <w:szCs w:val="28"/>
          <w:lang w:val="en-US"/>
        </w:rPr>
        <w:t>Ates</w:t>
      </w:r>
      <w:proofErr w:type="spellEnd"/>
      <w:r w:rsidRPr="003B2A61">
        <w:rPr>
          <w:rFonts w:ascii="Times New Roman" w:hAnsi="Times New Roman" w:cs="Times New Roman"/>
          <w:sz w:val="28"/>
          <w:szCs w:val="28"/>
          <w:lang w:val="en-US"/>
        </w:rPr>
        <w:t xml:space="preserve"> </w:t>
      </w:r>
      <w:proofErr w:type="spellStart"/>
      <w:r w:rsidRPr="003B2A61">
        <w:rPr>
          <w:rFonts w:ascii="Times New Roman" w:hAnsi="Times New Roman" w:cs="Times New Roman"/>
          <w:sz w:val="28"/>
          <w:szCs w:val="28"/>
          <w:lang w:val="en-US"/>
        </w:rPr>
        <w:t>Tutuncu</w:t>
      </w:r>
      <w:proofErr w:type="spellEnd"/>
      <w:r w:rsidRPr="003B2A61">
        <w:rPr>
          <w:rFonts w:ascii="Times New Roman" w:hAnsi="Times New Roman" w:cs="Times New Roman"/>
          <w:sz w:val="28"/>
          <w:szCs w:val="28"/>
          <w:lang w:val="en-US"/>
        </w:rPr>
        <w:t xml:space="preserve"> Y. Comparison of </w:t>
      </w:r>
      <w:proofErr w:type="spellStart"/>
      <w:r w:rsidRPr="003B2A61">
        <w:rPr>
          <w:rFonts w:ascii="Times New Roman" w:hAnsi="Times New Roman" w:cs="Times New Roman"/>
          <w:sz w:val="28"/>
          <w:szCs w:val="28"/>
          <w:lang w:val="en-US"/>
        </w:rPr>
        <w:t>alendronate</w:t>
      </w:r>
      <w:proofErr w:type="spellEnd"/>
      <w:r w:rsidRPr="003B2A61">
        <w:rPr>
          <w:rFonts w:ascii="Times New Roman" w:hAnsi="Times New Roman" w:cs="Times New Roman"/>
          <w:sz w:val="28"/>
          <w:szCs w:val="28"/>
          <w:lang w:val="en-US"/>
        </w:rPr>
        <w:t xml:space="preserve"> and </w:t>
      </w:r>
      <w:proofErr w:type="spellStart"/>
      <w:r w:rsidRPr="003B2A61">
        <w:rPr>
          <w:rFonts w:ascii="Times New Roman" w:hAnsi="Times New Roman" w:cs="Times New Roman"/>
          <w:sz w:val="28"/>
          <w:szCs w:val="28"/>
          <w:lang w:val="en-US"/>
        </w:rPr>
        <w:t>raloxifene</w:t>
      </w:r>
      <w:proofErr w:type="spellEnd"/>
      <w:r w:rsidRPr="003B2A61">
        <w:rPr>
          <w:rFonts w:ascii="Times New Roman" w:hAnsi="Times New Roman" w:cs="Times New Roman"/>
          <w:sz w:val="28"/>
          <w:szCs w:val="28"/>
          <w:lang w:val="en-US"/>
        </w:rPr>
        <w:t xml:space="preserve"> for the management of primary hyperparathyroidism. </w:t>
      </w:r>
      <w:r>
        <w:rPr>
          <w:rFonts w:ascii="Times New Roman" w:hAnsi="Times New Roman" w:cs="Times New Roman"/>
          <w:sz w:val="28"/>
          <w:szCs w:val="28"/>
          <w:lang w:val="en-US"/>
        </w:rPr>
        <w:t>–</w:t>
      </w:r>
      <w:r w:rsidRPr="003B2A61">
        <w:rPr>
          <w:rFonts w:ascii="Times New Roman" w:hAnsi="Times New Roman" w:cs="Times New Roman"/>
          <w:sz w:val="28"/>
          <w:szCs w:val="28"/>
          <w:lang w:val="en-US"/>
        </w:rPr>
        <w:t xml:space="preserve"> </w:t>
      </w:r>
      <w:r w:rsidRPr="0021739D">
        <w:rPr>
          <w:rFonts w:ascii="Times New Roman" w:hAnsi="Times New Roman" w:cs="Times New Roman"/>
          <w:sz w:val="28"/>
          <w:szCs w:val="28"/>
          <w:shd w:val="clear" w:color="auto" w:fill="FFFFFF"/>
          <w:lang w:val="en-US"/>
        </w:rPr>
        <w:t xml:space="preserve">Journal of </w:t>
      </w:r>
      <w:proofErr w:type="spellStart"/>
      <w:r w:rsidRPr="0021739D">
        <w:rPr>
          <w:rFonts w:ascii="Times New Roman" w:hAnsi="Times New Roman" w:cs="Times New Roman"/>
          <w:sz w:val="28"/>
          <w:szCs w:val="28"/>
          <w:shd w:val="clear" w:color="auto" w:fill="FFFFFF"/>
          <w:lang w:val="en-US"/>
        </w:rPr>
        <w:t>Endocrinological</w:t>
      </w:r>
      <w:proofErr w:type="spellEnd"/>
      <w:r w:rsidRPr="0021739D">
        <w:rPr>
          <w:rFonts w:ascii="Times New Roman" w:hAnsi="Times New Roman" w:cs="Times New Roman"/>
          <w:sz w:val="28"/>
          <w:szCs w:val="28"/>
          <w:shd w:val="clear" w:color="auto" w:fill="FFFFFF"/>
          <w:lang w:val="en-US"/>
        </w:rPr>
        <w:t xml:space="preserve"> Investigation.</w:t>
      </w:r>
      <w:r w:rsidRPr="003B2A61">
        <w:rPr>
          <w:rFonts w:ascii="Times New Roman" w:hAnsi="Times New Roman" w:cs="Times New Roman"/>
          <w:sz w:val="28"/>
          <w:szCs w:val="28"/>
          <w:lang w:val="en-US"/>
        </w:rPr>
        <w:t xml:space="preserve"> </w:t>
      </w:r>
      <w:r w:rsidRPr="0021739D">
        <w:rPr>
          <w:rFonts w:ascii="Times New Roman" w:hAnsi="Times New Roman" w:cs="Times New Roman"/>
          <w:sz w:val="28"/>
          <w:szCs w:val="28"/>
          <w:lang w:val="en-US"/>
        </w:rPr>
        <w:t>–</w:t>
      </w:r>
      <w:r w:rsidRPr="003B2A61">
        <w:rPr>
          <w:rStyle w:val="apple-converted-space"/>
          <w:rFonts w:ascii="Times New Roman" w:hAnsi="Times New Roman" w:cs="Times New Roman"/>
          <w:color w:val="auto"/>
          <w:sz w:val="28"/>
          <w:szCs w:val="28"/>
          <w:shd w:val="clear" w:color="auto" w:fill="FFFFFF"/>
          <w:lang w:val="en-US"/>
        </w:rPr>
        <w:t> </w:t>
      </w:r>
      <w:r w:rsidRPr="0021739D">
        <w:rPr>
          <w:rFonts w:ascii="Times New Roman" w:hAnsi="Times New Roman" w:cs="Times New Roman"/>
          <w:sz w:val="28"/>
          <w:szCs w:val="28"/>
          <w:shd w:val="clear" w:color="auto" w:fill="FFFFFF"/>
          <w:lang w:val="en-US"/>
        </w:rPr>
        <w:t xml:space="preserve">2013. – 36(11). – </w:t>
      </w:r>
      <w:r w:rsidRPr="003B2A61">
        <w:rPr>
          <w:rFonts w:ascii="Times New Roman" w:hAnsi="Times New Roman" w:cs="Times New Roman"/>
          <w:sz w:val="28"/>
          <w:szCs w:val="28"/>
          <w:shd w:val="clear" w:color="auto" w:fill="FFFFFF"/>
          <w:lang w:val="en-US"/>
        </w:rPr>
        <w:t>P</w:t>
      </w:r>
      <w:r w:rsidRPr="0021739D">
        <w:rPr>
          <w:rFonts w:ascii="Times New Roman" w:hAnsi="Times New Roman" w:cs="Times New Roman"/>
          <w:sz w:val="28"/>
          <w:szCs w:val="28"/>
          <w:shd w:val="clear" w:color="auto" w:fill="FFFFFF"/>
          <w:lang w:val="en-US"/>
        </w:rPr>
        <w:t>. 1076-82</w:t>
      </w:r>
    </w:p>
    <w:p w:rsidR="006E2A91" w:rsidRPr="004D344B" w:rsidRDefault="006E2A91" w:rsidP="006E2A9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14</w:t>
      </w:r>
      <w:r w:rsidRPr="003B2A61">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sidRPr="003B2A61">
        <w:rPr>
          <w:rFonts w:ascii="Times New Roman" w:hAnsi="Times New Roman" w:cs="Times New Roman"/>
          <w:sz w:val="28"/>
          <w:szCs w:val="28"/>
          <w:lang w:val="en-US"/>
        </w:rPr>
        <w:t>Akerstrom</w:t>
      </w:r>
      <w:proofErr w:type="spellEnd"/>
      <w:r w:rsidRPr="003B2A61">
        <w:rPr>
          <w:rFonts w:ascii="Times New Roman" w:hAnsi="Times New Roman" w:cs="Times New Roman"/>
          <w:sz w:val="28"/>
          <w:szCs w:val="28"/>
          <w:lang w:val="en-US"/>
        </w:rPr>
        <w:t xml:space="preserve"> G., </w:t>
      </w:r>
      <w:proofErr w:type="spellStart"/>
      <w:r w:rsidRPr="003B2A61">
        <w:rPr>
          <w:rFonts w:ascii="Times New Roman" w:hAnsi="Times New Roman" w:cs="Times New Roman"/>
          <w:sz w:val="28"/>
          <w:szCs w:val="28"/>
          <w:lang w:val="en-US"/>
        </w:rPr>
        <w:t>Malmaeus</w:t>
      </w:r>
      <w:proofErr w:type="spellEnd"/>
      <w:r w:rsidRPr="003B2A61">
        <w:rPr>
          <w:rFonts w:ascii="Times New Roman" w:hAnsi="Times New Roman" w:cs="Times New Roman"/>
          <w:sz w:val="28"/>
          <w:szCs w:val="28"/>
          <w:lang w:val="en-US"/>
        </w:rPr>
        <w:t xml:space="preserve"> J., Bergstrom R. Surgical anato</w:t>
      </w:r>
      <w:r>
        <w:rPr>
          <w:rFonts w:ascii="Times New Roman" w:hAnsi="Times New Roman" w:cs="Times New Roman"/>
          <w:sz w:val="28"/>
          <w:szCs w:val="28"/>
          <w:lang w:val="en-US"/>
        </w:rPr>
        <w:t xml:space="preserve">my of human </w:t>
      </w:r>
      <w:proofErr w:type="spellStart"/>
      <w:r>
        <w:rPr>
          <w:rFonts w:ascii="Times New Roman" w:hAnsi="Times New Roman" w:cs="Times New Roman"/>
          <w:sz w:val="28"/>
          <w:szCs w:val="28"/>
          <w:lang w:val="en-US"/>
        </w:rPr>
        <w:t>paratyroid</w:t>
      </w:r>
      <w:proofErr w:type="spellEnd"/>
      <w:r>
        <w:rPr>
          <w:rFonts w:ascii="Times New Roman" w:hAnsi="Times New Roman" w:cs="Times New Roman"/>
          <w:sz w:val="28"/>
          <w:szCs w:val="28"/>
          <w:lang w:val="en-US"/>
        </w:rPr>
        <w:t xml:space="preserve"> glands. – Surgery. – </w:t>
      </w:r>
      <w:r w:rsidRPr="003B2A61">
        <w:rPr>
          <w:rFonts w:ascii="Times New Roman" w:hAnsi="Times New Roman" w:cs="Times New Roman"/>
          <w:sz w:val="28"/>
          <w:szCs w:val="28"/>
          <w:lang w:val="en-US"/>
        </w:rPr>
        <w:t xml:space="preserve">1984. </w:t>
      </w:r>
      <w:proofErr w:type="gramStart"/>
      <w:r>
        <w:rPr>
          <w:rFonts w:ascii="Times New Roman" w:hAnsi="Times New Roman" w:cs="Times New Roman"/>
          <w:sz w:val="28"/>
          <w:szCs w:val="28"/>
          <w:lang w:val="en-US"/>
        </w:rPr>
        <w:t>–</w:t>
      </w:r>
      <w:r w:rsidRPr="003B2A61">
        <w:rPr>
          <w:rFonts w:ascii="Times New Roman" w:hAnsi="Times New Roman" w:cs="Times New Roman"/>
          <w:sz w:val="28"/>
          <w:szCs w:val="28"/>
          <w:lang w:val="en-US"/>
        </w:rPr>
        <w:t xml:space="preserve"> № 1.</w:t>
      </w:r>
      <w:proofErr w:type="gramEnd"/>
      <w:r w:rsidRPr="003B2A61">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3B2A61">
        <w:rPr>
          <w:rFonts w:ascii="Times New Roman" w:hAnsi="Times New Roman" w:cs="Times New Roman"/>
          <w:sz w:val="28"/>
          <w:szCs w:val="28"/>
          <w:lang w:val="en-US"/>
        </w:rPr>
        <w:t xml:space="preserve"> P. 14</w:t>
      </w:r>
      <w:r>
        <w:rPr>
          <w:rFonts w:ascii="Times New Roman" w:hAnsi="Times New Roman" w:cs="Times New Roman"/>
          <w:sz w:val="28"/>
          <w:szCs w:val="28"/>
          <w:lang w:val="en-US"/>
        </w:rPr>
        <w:t>-21</w:t>
      </w:r>
    </w:p>
    <w:p w:rsidR="006E2A91" w:rsidRPr="0021739D" w:rsidRDefault="006E2A91" w:rsidP="006E2A91">
      <w:pPr>
        <w:spacing w:line="360" w:lineRule="auto"/>
        <w:jc w:val="both"/>
        <w:rPr>
          <w:rFonts w:ascii="Times New Roman" w:hAnsi="Times New Roman" w:cs="Times New Roman"/>
          <w:sz w:val="28"/>
          <w:szCs w:val="28"/>
          <w:lang w:val="en-US"/>
        </w:rPr>
      </w:pPr>
      <w:r w:rsidRPr="0021739D">
        <w:rPr>
          <w:rFonts w:ascii="Times New Roman" w:hAnsi="Times New Roman" w:cs="Times New Roman"/>
          <w:sz w:val="28"/>
          <w:szCs w:val="28"/>
          <w:lang w:val="en-US"/>
        </w:rPr>
        <w:t>15</w:t>
      </w:r>
      <w:r w:rsidRPr="003B2A61">
        <w:rPr>
          <w:rFonts w:ascii="Times New Roman" w:hAnsi="Times New Roman" w:cs="Times New Roman"/>
          <w:sz w:val="28"/>
          <w:szCs w:val="28"/>
          <w:lang w:val="en-US"/>
        </w:rPr>
        <w:t xml:space="preserve">. </w:t>
      </w:r>
      <w:proofErr w:type="spellStart"/>
      <w:r w:rsidRPr="003B2A61">
        <w:rPr>
          <w:rFonts w:ascii="Times New Roman" w:hAnsi="Times New Roman" w:cs="Times New Roman"/>
          <w:sz w:val="28"/>
          <w:szCs w:val="28"/>
          <w:lang w:val="en-US"/>
        </w:rPr>
        <w:t>Bahn</w:t>
      </w:r>
      <w:proofErr w:type="spellEnd"/>
      <w:r w:rsidRPr="003B2A61">
        <w:rPr>
          <w:rFonts w:ascii="Times New Roman" w:hAnsi="Times New Roman" w:cs="Times New Roman"/>
          <w:sz w:val="28"/>
          <w:szCs w:val="28"/>
          <w:lang w:val="en-US"/>
        </w:rPr>
        <w:t xml:space="preserve"> (Chair</w:t>
      </w:r>
      <w:r w:rsidRPr="0021739D">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R</w:t>
      </w:r>
      <w:r w:rsidRPr="0021739D">
        <w:rPr>
          <w:rFonts w:ascii="Times New Roman" w:hAnsi="Times New Roman" w:cs="Times New Roman"/>
          <w:sz w:val="28"/>
          <w:szCs w:val="28"/>
          <w:lang w:val="en-US"/>
        </w:rPr>
        <w:t>.</w:t>
      </w:r>
      <w:r w:rsidRPr="003B2A61">
        <w:rPr>
          <w:rFonts w:ascii="Times New Roman" w:hAnsi="Times New Roman" w:cs="Times New Roman"/>
          <w:sz w:val="28"/>
          <w:szCs w:val="28"/>
          <w:lang w:val="en-US"/>
        </w:rPr>
        <w:t>S.</w:t>
      </w:r>
      <w:r>
        <w:rPr>
          <w:rFonts w:ascii="Times New Roman" w:hAnsi="Times New Roman" w:cs="Times New Roman"/>
          <w:sz w:val="28"/>
          <w:szCs w:val="28"/>
          <w:lang w:val="en-US"/>
        </w:rPr>
        <w:t>,</w:t>
      </w:r>
      <w:r w:rsidRPr="0021739D">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Burch</w:t>
      </w:r>
      <w:r w:rsidRPr="0021739D">
        <w:rPr>
          <w:rFonts w:ascii="Times New Roman" w:hAnsi="Times New Roman" w:cs="Times New Roman"/>
          <w:sz w:val="28"/>
          <w:szCs w:val="28"/>
          <w:lang w:val="en-US"/>
        </w:rPr>
        <w:t xml:space="preserve"> </w:t>
      </w:r>
      <w:proofErr w:type="gramStart"/>
      <w:r w:rsidRPr="003B2A61">
        <w:rPr>
          <w:rFonts w:ascii="Times New Roman" w:hAnsi="Times New Roman" w:cs="Times New Roman"/>
          <w:sz w:val="28"/>
          <w:szCs w:val="28"/>
          <w:lang w:val="en-US"/>
        </w:rPr>
        <w:t>H</w:t>
      </w:r>
      <w:r w:rsidRPr="0021739D">
        <w:rPr>
          <w:rFonts w:ascii="Times New Roman" w:hAnsi="Times New Roman" w:cs="Times New Roman"/>
          <w:sz w:val="28"/>
          <w:szCs w:val="28"/>
          <w:lang w:val="en-US"/>
        </w:rPr>
        <w:t>.</w:t>
      </w:r>
      <w:r w:rsidRPr="003B2A61">
        <w:rPr>
          <w:rFonts w:ascii="Times New Roman" w:hAnsi="Times New Roman" w:cs="Times New Roman"/>
          <w:sz w:val="28"/>
          <w:szCs w:val="28"/>
          <w:lang w:val="en-US"/>
        </w:rPr>
        <w:t>B..</w:t>
      </w:r>
      <w:proofErr w:type="gramEnd"/>
      <w:r w:rsidRPr="003B2A61">
        <w:rPr>
          <w:rFonts w:ascii="Times New Roman" w:hAnsi="Times New Roman" w:cs="Times New Roman"/>
          <w:sz w:val="28"/>
          <w:szCs w:val="28"/>
          <w:lang w:val="en-US"/>
        </w:rPr>
        <w:t xml:space="preserve"> Hyperthyroidism and other causes of </w:t>
      </w:r>
      <w:proofErr w:type="spellStart"/>
      <w:r w:rsidRPr="003B2A61">
        <w:rPr>
          <w:rFonts w:ascii="Times New Roman" w:hAnsi="Times New Roman" w:cs="Times New Roman"/>
          <w:sz w:val="28"/>
          <w:szCs w:val="28"/>
          <w:lang w:val="en-US"/>
        </w:rPr>
        <w:t>thyrotoxicosis</w:t>
      </w:r>
      <w:proofErr w:type="spellEnd"/>
      <w:r w:rsidRPr="003B2A61">
        <w:rPr>
          <w:rFonts w:ascii="Times New Roman" w:hAnsi="Times New Roman" w:cs="Times New Roman"/>
          <w:sz w:val="28"/>
          <w:szCs w:val="28"/>
          <w:lang w:val="en-US"/>
        </w:rPr>
        <w:t xml:space="preserve">: management guidelines of the </w:t>
      </w:r>
      <w:proofErr w:type="spellStart"/>
      <w:proofErr w:type="gramStart"/>
      <w:r w:rsidRPr="003B2A61">
        <w:rPr>
          <w:rFonts w:ascii="Times New Roman" w:hAnsi="Times New Roman" w:cs="Times New Roman"/>
          <w:sz w:val="28"/>
          <w:szCs w:val="28"/>
          <w:lang w:val="en-US"/>
        </w:rPr>
        <w:t>american</w:t>
      </w:r>
      <w:proofErr w:type="spellEnd"/>
      <w:proofErr w:type="gramEnd"/>
      <w:r w:rsidRPr="003B2A61">
        <w:rPr>
          <w:rFonts w:ascii="Times New Roman" w:hAnsi="Times New Roman" w:cs="Times New Roman"/>
          <w:sz w:val="28"/>
          <w:szCs w:val="28"/>
          <w:lang w:val="en-US"/>
        </w:rPr>
        <w:t xml:space="preserve"> thyroid association and </w:t>
      </w:r>
      <w:proofErr w:type="spellStart"/>
      <w:r w:rsidRPr="003B2A61">
        <w:rPr>
          <w:rFonts w:ascii="Times New Roman" w:hAnsi="Times New Roman" w:cs="Times New Roman"/>
          <w:sz w:val="28"/>
          <w:szCs w:val="28"/>
          <w:lang w:val="en-US"/>
        </w:rPr>
        <w:t>american</w:t>
      </w:r>
      <w:proofErr w:type="spellEnd"/>
      <w:r w:rsidRPr="003B2A61">
        <w:rPr>
          <w:rFonts w:ascii="Times New Roman" w:hAnsi="Times New Roman" w:cs="Times New Roman"/>
          <w:sz w:val="28"/>
          <w:szCs w:val="28"/>
          <w:lang w:val="en-US"/>
        </w:rPr>
        <w:t xml:space="preserve"> association of clinical endocrinologists. - Endocrine practice. – V</w:t>
      </w:r>
      <w:r w:rsidRPr="0021739D">
        <w:rPr>
          <w:rFonts w:ascii="Times New Roman" w:hAnsi="Times New Roman" w:cs="Times New Roman"/>
          <w:sz w:val="28"/>
          <w:szCs w:val="28"/>
          <w:lang w:val="en-US"/>
        </w:rPr>
        <w:t>.</w:t>
      </w:r>
      <w:r>
        <w:rPr>
          <w:rFonts w:ascii="Times New Roman" w:hAnsi="Times New Roman" w:cs="Times New Roman"/>
          <w:sz w:val="28"/>
          <w:szCs w:val="28"/>
          <w:lang w:val="en-US"/>
        </w:rPr>
        <w:t>17.</w:t>
      </w:r>
      <w:r w:rsidRPr="0021739D">
        <w:rPr>
          <w:rFonts w:ascii="Times New Roman" w:hAnsi="Times New Roman" w:cs="Times New Roman"/>
          <w:sz w:val="28"/>
          <w:szCs w:val="28"/>
          <w:lang w:val="en-US"/>
        </w:rPr>
        <w:t xml:space="preserve"> </w:t>
      </w:r>
      <w:proofErr w:type="gramStart"/>
      <w:r w:rsidRPr="0021739D">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 3.</w:t>
      </w:r>
      <w:proofErr w:type="gramEnd"/>
      <w:r w:rsidRPr="003B2A61">
        <w:rPr>
          <w:rFonts w:ascii="Times New Roman" w:hAnsi="Times New Roman" w:cs="Times New Roman"/>
          <w:sz w:val="28"/>
          <w:szCs w:val="28"/>
          <w:lang w:val="en-US"/>
        </w:rPr>
        <w:t xml:space="preserve"> </w:t>
      </w:r>
      <w:r w:rsidRPr="0021739D">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 xml:space="preserve">2011. </w:t>
      </w:r>
      <w:r>
        <w:rPr>
          <w:rFonts w:ascii="Times New Roman" w:hAnsi="Times New Roman" w:cs="Times New Roman"/>
          <w:sz w:val="28"/>
          <w:szCs w:val="28"/>
          <w:lang w:val="en-US"/>
        </w:rPr>
        <w:t>–</w:t>
      </w:r>
      <w:r w:rsidRPr="0021739D">
        <w:rPr>
          <w:rFonts w:ascii="Times New Roman" w:hAnsi="Times New Roman" w:cs="Times New Roman"/>
          <w:sz w:val="28"/>
          <w:szCs w:val="28"/>
          <w:lang w:val="en-US"/>
        </w:rPr>
        <w:t xml:space="preserve"> </w:t>
      </w:r>
      <w:r>
        <w:rPr>
          <w:rFonts w:ascii="Times New Roman" w:hAnsi="Times New Roman" w:cs="Times New Roman"/>
          <w:sz w:val="28"/>
          <w:szCs w:val="28"/>
          <w:lang w:val="en-US"/>
        </w:rPr>
        <w:t>P. 36-49</w:t>
      </w:r>
    </w:p>
    <w:p w:rsidR="006E2A91" w:rsidRPr="003B2A61" w:rsidRDefault="006E2A91" w:rsidP="006E2A91">
      <w:pPr>
        <w:spacing w:line="360" w:lineRule="auto"/>
        <w:jc w:val="both"/>
        <w:rPr>
          <w:rStyle w:val="apple-converted-space"/>
          <w:rFonts w:ascii="Times New Roman" w:hAnsi="Times New Roman" w:cs="Times New Roman"/>
          <w:color w:val="auto"/>
          <w:sz w:val="28"/>
          <w:szCs w:val="28"/>
          <w:lang w:val="en-US"/>
        </w:rPr>
      </w:pPr>
      <w:r>
        <w:rPr>
          <w:rFonts w:ascii="Times New Roman" w:hAnsi="Times New Roman" w:cs="Times New Roman"/>
          <w:sz w:val="28"/>
          <w:szCs w:val="28"/>
          <w:shd w:val="clear" w:color="auto" w:fill="FFFFFF"/>
          <w:lang w:val="en-US"/>
        </w:rPr>
        <w:t xml:space="preserve">16. </w:t>
      </w:r>
      <w:proofErr w:type="spellStart"/>
      <w:r w:rsidRPr="003B2A61">
        <w:rPr>
          <w:rFonts w:ascii="Times New Roman" w:hAnsi="Times New Roman" w:cs="Times New Roman"/>
          <w:sz w:val="28"/>
          <w:szCs w:val="28"/>
          <w:shd w:val="clear" w:color="auto" w:fill="FFFFFF"/>
          <w:lang w:val="en-US"/>
        </w:rPr>
        <w:t>Bilezikian</w:t>
      </w:r>
      <w:proofErr w:type="spellEnd"/>
      <w:r w:rsidRPr="00D221C1">
        <w:rPr>
          <w:rFonts w:ascii="Times New Roman" w:hAnsi="Times New Roman" w:cs="Times New Roman"/>
          <w:sz w:val="28"/>
          <w:szCs w:val="28"/>
          <w:shd w:val="clear" w:color="auto" w:fill="FFFFFF"/>
          <w:lang w:val="en-US"/>
        </w:rPr>
        <w:t xml:space="preserve"> </w:t>
      </w:r>
      <w:r w:rsidRPr="003B2A61">
        <w:rPr>
          <w:rFonts w:ascii="Times New Roman" w:hAnsi="Times New Roman" w:cs="Times New Roman"/>
          <w:sz w:val="28"/>
          <w:szCs w:val="28"/>
          <w:shd w:val="clear" w:color="auto" w:fill="FFFFFF"/>
          <w:lang w:val="en-US"/>
        </w:rPr>
        <w:t>J</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xml:space="preserve">P. – </w:t>
      </w:r>
      <w:r w:rsidRPr="003B2A61">
        <w:rPr>
          <w:rFonts w:ascii="Times New Roman" w:hAnsi="Times New Roman" w:cs="Times New Roman"/>
          <w:sz w:val="28"/>
          <w:szCs w:val="28"/>
          <w:lang w:val="en-US"/>
        </w:rPr>
        <w:t xml:space="preserve">Primary Hyperparathyroidism. – </w:t>
      </w:r>
      <w:proofErr w:type="spellStart"/>
      <w:r w:rsidRPr="003B2A61">
        <w:rPr>
          <w:rFonts w:ascii="Times New Roman" w:hAnsi="Times New Roman" w:cs="Times New Roman"/>
          <w:sz w:val="28"/>
          <w:szCs w:val="28"/>
          <w:lang w:val="en-US"/>
        </w:rPr>
        <w:t>Endotext</w:t>
      </w:r>
      <w:proofErr w:type="spellEnd"/>
      <w:r w:rsidRPr="003B2A61">
        <w:rPr>
          <w:rStyle w:val="apple-converted-space"/>
          <w:rFonts w:ascii="Times New Roman" w:hAnsi="Times New Roman" w:cs="Times New Roman"/>
          <w:color w:val="auto"/>
          <w:sz w:val="28"/>
          <w:szCs w:val="28"/>
          <w:lang w:val="en-US"/>
        </w:rPr>
        <w:t>. – 201</w:t>
      </w:r>
      <w:r w:rsidRPr="00185F65">
        <w:rPr>
          <w:rStyle w:val="apple-converted-space"/>
          <w:rFonts w:ascii="Times New Roman" w:hAnsi="Times New Roman" w:cs="Times New Roman"/>
          <w:color w:val="auto"/>
          <w:sz w:val="28"/>
          <w:szCs w:val="28"/>
          <w:lang w:val="en-US"/>
        </w:rPr>
        <w:t>7</w:t>
      </w:r>
      <w:r w:rsidRPr="003B2A61">
        <w:rPr>
          <w:rStyle w:val="apple-converted-space"/>
          <w:rFonts w:ascii="Times New Roman" w:hAnsi="Times New Roman" w:cs="Times New Roman"/>
          <w:color w:val="auto"/>
          <w:sz w:val="28"/>
          <w:szCs w:val="28"/>
          <w:lang w:val="en-US"/>
        </w:rPr>
        <w:t xml:space="preserve"> </w:t>
      </w:r>
      <w:r w:rsidRPr="003542DB">
        <w:rPr>
          <w:rFonts w:ascii="Times New Roman" w:hAnsi="Times New Roman" w:cs="Times New Roman"/>
          <w:sz w:val="28"/>
          <w:szCs w:val="28"/>
          <w:lang w:val="en-US"/>
        </w:rPr>
        <w:t>https://www.ncbi.nlm.nih.gov/books/NBK278923/</w:t>
      </w:r>
      <w:r w:rsidRPr="003B2A61">
        <w:rPr>
          <w:rStyle w:val="apple-converted-space"/>
          <w:rFonts w:ascii="Times New Roman" w:hAnsi="Times New Roman" w:cs="Times New Roman"/>
          <w:color w:val="auto"/>
          <w:sz w:val="28"/>
          <w:szCs w:val="28"/>
          <w:lang w:val="en-US"/>
        </w:rPr>
        <w:t xml:space="preserve"> </w:t>
      </w:r>
    </w:p>
    <w:p w:rsidR="006E2A91" w:rsidRPr="004D344B" w:rsidRDefault="006E2A91" w:rsidP="006E2A91">
      <w:pPr>
        <w:spacing w:line="360" w:lineRule="auto"/>
        <w:jc w:val="both"/>
        <w:rPr>
          <w:rFonts w:ascii="Times New Roman" w:hAnsi="Times New Roman" w:cs="Times New Roman"/>
          <w:sz w:val="28"/>
          <w:szCs w:val="28"/>
          <w:lang w:val="en-US"/>
        </w:rPr>
      </w:pPr>
      <w:r w:rsidRPr="0021739D">
        <w:rPr>
          <w:rFonts w:ascii="Times New Roman" w:hAnsi="Times New Roman" w:cs="Times New Roman"/>
          <w:sz w:val="28"/>
          <w:szCs w:val="28"/>
          <w:bdr w:val="none" w:sz="0" w:space="0" w:color="auto" w:frame="1"/>
          <w:lang w:val="en-US"/>
        </w:rPr>
        <w:t>17</w:t>
      </w:r>
      <w:r w:rsidRPr="003B2A61">
        <w:rPr>
          <w:rFonts w:ascii="Times New Roman" w:hAnsi="Times New Roman" w:cs="Times New Roman"/>
          <w:sz w:val="28"/>
          <w:szCs w:val="28"/>
          <w:bdr w:val="none" w:sz="0" w:space="0" w:color="auto" w:frame="1"/>
          <w:lang w:val="en-US"/>
        </w:rPr>
        <w:t>. Brandi</w:t>
      </w:r>
      <w:r w:rsidRPr="0021739D">
        <w:rPr>
          <w:rFonts w:ascii="Times New Roman" w:hAnsi="Times New Roman" w:cs="Times New Roman"/>
          <w:sz w:val="28"/>
          <w:szCs w:val="28"/>
          <w:bdr w:val="none" w:sz="0" w:space="0" w:color="auto" w:frame="1"/>
          <w:lang w:val="en-US"/>
        </w:rPr>
        <w:t xml:space="preserve"> </w:t>
      </w:r>
      <w:r w:rsidRPr="003B2A61">
        <w:rPr>
          <w:rFonts w:ascii="Times New Roman" w:hAnsi="Times New Roman" w:cs="Times New Roman"/>
          <w:sz w:val="28"/>
          <w:szCs w:val="28"/>
          <w:bdr w:val="none" w:sz="0" w:space="0" w:color="auto" w:frame="1"/>
          <w:lang w:val="en-US"/>
        </w:rPr>
        <w:t>Maria Luisa</w:t>
      </w:r>
      <w:r w:rsidRPr="003B2A61">
        <w:rPr>
          <w:rFonts w:ascii="Times New Roman" w:hAnsi="Times New Roman" w:cs="Times New Roman"/>
          <w:sz w:val="28"/>
          <w:szCs w:val="28"/>
          <w:lang w:val="en-US"/>
        </w:rPr>
        <w:t xml:space="preserve">, </w:t>
      </w:r>
      <w:proofErr w:type="spellStart"/>
      <w:r w:rsidRPr="003B2A61">
        <w:rPr>
          <w:rFonts w:ascii="Times New Roman" w:hAnsi="Times New Roman" w:cs="Times New Roman"/>
          <w:sz w:val="28"/>
          <w:szCs w:val="28"/>
          <w:bdr w:val="none" w:sz="0" w:space="0" w:color="auto" w:frame="1"/>
          <w:lang w:val="en-US"/>
        </w:rPr>
        <w:t>Gagel</w:t>
      </w:r>
      <w:proofErr w:type="spellEnd"/>
      <w:r w:rsidRPr="0021739D">
        <w:rPr>
          <w:rFonts w:ascii="Times New Roman" w:hAnsi="Times New Roman" w:cs="Times New Roman"/>
          <w:sz w:val="28"/>
          <w:szCs w:val="28"/>
          <w:bdr w:val="none" w:sz="0" w:space="0" w:color="auto" w:frame="1"/>
          <w:lang w:val="en-US"/>
        </w:rPr>
        <w:t xml:space="preserve"> </w:t>
      </w:r>
      <w:r w:rsidRPr="003B2A61">
        <w:rPr>
          <w:rFonts w:ascii="Times New Roman" w:hAnsi="Times New Roman" w:cs="Times New Roman"/>
          <w:sz w:val="28"/>
          <w:szCs w:val="28"/>
          <w:bdr w:val="none" w:sz="0" w:space="0" w:color="auto" w:frame="1"/>
          <w:lang w:val="en-US"/>
        </w:rPr>
        <w:t>Robert F.</w:t>
      </w:r>
      <w:r w:rsidRPr="003B2A61">
        <w:rPr>
          <w:rFonts w:ascii="Times New Roman" w:hAnsi="Times New Roman" w:cs="Times New Roman"/>
          <w:sz w:val="28"/>
          <w:szCs w:val="28"/>
          <w:lang w:val="en-US"/>
        </w:rPr>
        <w:t>,</w:t>
      </w:r>
      <w:hyperlink r:id="rId39" w:history="1">
        <w:r w:rsidRPr="0021739D">
          <w:rPr>
            <w:rStyle w:val="af"/>
            <w:rFonts w:ascii="Times New Roman" w:hAnsi="Times New Roman" w:cs="Times New Roman"/>
            <w:color w:val="auto"/>
            <w:sz w:val="28"/>
            <w:szCs w:val="28"/>
            <w:u w:val="none"/>
            <w:bdr w:val="none" w:sz="0" w:space="0" w:color="auto" w:frame="1"/>
            <w:lang w:val="en-US"/>
          </w:rPr>
          <w:t xml:space="preserve"> </w:t>
        </w:r>
        <w:proofErr w:type="spellStart"/>
        <w:r w:rsidRPr="0021739D">
          <w:rPr>
            <w:rStyle w:val="af"/>
            <w:rFonts w:ascii="Times New Roman" w:hAnsi="Times New Roman" w:cs="Times New Roman"/>
            <w:color w:val="auto"/>
            <w:sz w:val="28"/>
            <w:szCs w:val="28"/>
            <w:u w:val="none"/>
            <w:bdr w:val="none" w:sz="0" w:space="0" w:color="auto" w:frame="1"/>
            <w:lang w:val="en-US"/>
          </w:rPr>
          <w:t>Angeli</w:t>
        </w:r>
        <w:proofErr w:type="spellEnd"/>
      </w:hyperlink>
      <w:r w:rsidRPr="0021739D">
        <w:rPr>
          <w:rFonts w:ascii="Times New Roman" w:hAnsi="Times New Roman" w:cs="Times New Roman"/>
          <w:sz w:val="28"/>
          <w:szCs w:val="28"/>
          <w:lang w:val="en-US"/>
        </w:rPr>
        <w:t xml:space="preserve"> A.</w:t>
      </w:r>
      <w:r w:rsidRPr="0021739D">
        <w:rPr>
          <w:lang w:val="en-US"/>
        </w:rPr>
        <w:t xml:space="preserve"> </w:t>
      </w:r>
      <w:r w:rsidRPr="003B2A61">
        <w:rPr>
          <w:rFonts w:ascii="Times New Roman" w:hAnsi="Times New Roman" w:cs="Times New Roman"/>
          <w:sz w:val="28"/>
          <w:szCs w:val="28"/>
          <w:lang w:val="en-US"/>
        </w:rPr>
        <w:t xml:space="preserve">CONSENSUS: Guidelines for Diagnosis and Therapy of MEN Type 1 and Type 2. - The Journal of Clinical Endocrinology &amp; Metabolism. </w:t>
      </w:r>
      <w:proofErr w:type="gramStart"/>
      <w:r w:rsidRPr="003B2A61">
        <w:rPr>
          <w:rFonts w:ascii="Times New Roman" w:hAnsi="Times New Roman" w:cs="Times New Roman"/>
          <w:sz w:val="28"/>
          <w:szCs w:val="28"/>
          <w:lang w:val="en-US"/>
        </w:rPr>
        <w:t>–</w:t>
      </w:r>
      <w:r w:rsidRPr="0021739D">
        <w:rPr>
          <w:rFonts w:ascii="Times New Roman" w:hAnsi="Times New Roman" w:cs="Times New Roman"/>
          <w:sz w:val="28"/>
          <w:szCs w:val="28"/>
          <w:lang w:val="en-US"/>
        </w:rPr>
        <w:t xml:space="preserve"> </w:t>
      </w:r>
      <w:r w:rsidRPr="003B2A61">
        <w:rPr>
          <w:rFonts w:ascii="Times New Roman" w:hAnsi="Times New Roman" w:cs="Times New Roman"/>
          <w:sz w:val="28"/>
          <w:szCs w:val="28"/>
          <w:shd w:val="clear" w:color="auto" w:fill="FFFFFF"/>
          <w:lang w:val="en-US"/>
        </w:rPr>
        <w:t>№ 86.</w:t>
      </w:r>
      <w:proofErr w:type="gramEnd"/>
      <w:r w:rsidRPr="003B2A61">
        <w:rPr>
          <w:rFonts w:ascii="Times New Roman" w:hAnsi="Times New Roman" w:cs="Times New Roman"/>
          <w:sz w:val="28"/>
          <w:szCs w:val="28"/>
          <w:shd w:val="clear" w:color="auto" w:fill="FFFFFF"/>
          <w:lang w:val="en-US"/>
        </w:rPr>
        <w:t xml:space="preserve"> </w:t>
      </w:r>
      <w:proofErr w:type="gramStart"/>
      <w:r w:rsidRPr="0021739D">
        <w:rPr>
          <w:rFonts w:ascii="Times New Roman" w:hAnsi="Times New Roman" w:cs="Times New Roman"/>
          <w:sz w:val="28"/>
          <w:szCs w:val="28"/>
          <w:shd w:val="clear" w:color="auto" w:fill="FFFFFF"/>
          <w:lang w:val="en-US"/>
        </w:rPr>
        <w:t xml:space="preserve">– </w:t>
      </w:r>
      <w:r w:rsidRPr="003B2A61">
        <w:rPr>
          <w:rFonts w:ascii="Times New Roman" w:hAnsi="Times New Roman" w:cs="Times New Roman"/>
          <w:sz w:val="28"/>
          <w:szCs w:val="28"/>
          <w:shd w:val="clear" w:color="auto" w:fill="FFFFFF"/>
          <w:lang w:val="en-US"/>
        </w:rPr>
        <w:t xml:space="preserve"> 2001</w:t>
      </w:r>
      <w:proofErr w:type="gramEnd"/>
    </w:p>
    <w:p w:rsidR="006E2A91" w:rsidRPr="004D344B" w:rsidRDefault="006E2A91" w:rsidP="006E2A91">
      <w:pPr>
        <w:spacing w:line="360" w:lineRule="auto"/>
        <w:jc w:val="both"/>
        <w:rPr>
          <w:rFonts w:ascii="Times New Roman" w:hAnsi="Times New Roman" w:cs="Times New Roman"/>
          <w:sz w:val="28"/>
          <w:szCs w:val="28"/>
          <w:lang w:val="en-US"/>
        </w:rPr>
      </w:pPr>
      <w:r w:rsidRPr="004D344B">
        <w:rPr>
          <w:rFonts w:ascii="Times New Roman" w:hAnsi="Times New Roman" w:cs="Times New Roman"/>
          <w:sz w:val="28"/>
          <w:szCs w:val="28"/>
          <w:lang w:val="en-US"/>
        </w:rPr>
        <w:t>18</w:t>
      </w:r>
      <w:r w:rsidRPr="003B2A61">
        <w:rPr>
          <w:rFonts w:ascii="Times New Roman" w:hAnsi="Times New Roman" w:cs="Times New Roman"/>
          <w:sz w:val="28"/>
          <w:szCs w:val="28"/>
          <w:lang w:val="en-US"/>
        </w:rPr>
        <w:t xml:space="preserve">. </w:t>
      </w:r>
      <w:proofErr w:type="spellStart"/>
      <w:r w:rsidRPr="00FA66B7">
        <w:rPr>
          <w:rFonts w:ascii="Times New Roman" w:hAnsi="Times New Roman" w:cs="Times New Roman"/>
          <w:sz w:val="28"/>
          <w:szCs w:val="28"/>
          <w:lang w:val="en-US"/>
        </w:rPr>
        <w:t>Carneiro</w:t>
      </w:r>
      <w:proofErr w:type="spellEnd"/>
      <w:r w:rsidRPr="00FA66B7">
        <w:rPr>
          <w:rFonts w:ascii="Times New Roman" w:hAnsi="Times New Roman" w:cs="Times New Roman"/>
          <w:sz w:val="28"/>
          <w:szCs w:val="28"/>
          <w:lang w:val="en-US"/>
        </w:rPr>
        <w:t xml:space="preserve"> DM</w:t>
      </w:r>
      <w:r w:rsidRPr="003B2A61">
        <w:rPr>
          <w:rFonts w:ascii="Times New Roman" w:hAnsi="Times New Roman" w:cs="Times New Roman"/>
          <w:sz w:val="28"/>
          <w:szCs w:val="28"/>
          <w:lang w:val="en-US"/>
        </w:rPr>
        <w:t>,</w:t>
      </w:r>
      <w:r w:rsidRPr="003B2A61">
        <w:rPr>
          <w:rStyle w:val="apple-converted-space"/>
          <w:rFonts w:ascii="Times New Roman" w:hAnsi="Times New Roman" w:cs="Times New Roman"/>
          <w:color w:val="auto"/>
          <w:sz w:val="28"/>
          <w:szCs w:val="28"/>
          <w:lang w:val="en-US"/>
        </w:rPr>
        <w:t> </w:t>
      </w:r>
      <w:r w:rsidRPr="00FA66B7">
        <w:rPr>
          <w:rFonts w:ascii="Times New Roman" w:hAnsi="Times New Roman" w:cs="Times New Roman"/>
          <w:sz w:val="28"/>
          <w:szCs w:val="28"/>
          <w:lang w:val="en-US"/>
        </w:rPr>
        <w:t>Irvin GL</w:t>
      </w:r>
      <w:r w:rsidRPr="003B2A61">
        <w:rPr>
          <w:rFonts w:ascii="Times New Roman" w:hAnsi="Times New Roman" w:cs="Times New Roman"/>
          <w:sz w:val="28"/>
          <w:szCs w:val="28"/>
          <w:lang w:val="en-US"/>
        </w:rPr>
        <w:t xml:space="preserve">. </w:t>
      </w:r>
      <w:proofErr w:type="gramStart"/>
      <w:r w:rsidRPr="003B2A61">
        <w:rPr>
          <w:rFonts w:ascii="Times New Roman" w:hAnsi="Times New Roman" w:cs="Times New Roman"/>
          <w:sz w:val="28"/>
          <w:szCs w:val="28"/>
          <w:lang w:val="en-US"/>
        </w:rPr>
        <w:t>New point-of-care</w:t>
      </w:r>
      <w:r w:rsidRPr="003B2A61">
        <w:rPr>
          <w:rStyle w:val="apple-converted-space"/>
          <w:rFonts w:ascii="Times New Roman" w:hAnsi="Times New Roman" w:cs="Times New Roman"/>
          <w:color w:val="auto"/>
          <w:sz w:val="28"/>
          <w:szCs w:val="28"/>
          <w:lang w:val="en-US"/>
        </w:rPr>
        <w:t> </w:t>
      </w:r>
      <w:proofErr w:type="spellStart"/>
      <w:r w:rsidRPr="003B2A61">
        <w:rPr>
          <w:rStyle w:val="highlight"/>
          <w:rFonts w:ascii="Times New Roman" w:hAnsi="Times New Roman" w:cs="Times New Roman"/>
          <w:color w:val="auto"/>
          <w:sz w:val="28"/>
          <w:szCs w:val="28"/>
          <w:lang w:val="en-US"/>
        </w:rPr>
        <w:t>intraoperative</w:t>
      </w:r>
      <w:proofErr w:type="spellEnd"/>
      <w:r w:rsidRPr="003B2A61">
        <w:rPr>
          <w:rStyle w:val="apple-converted-space"/>
          <w:rFonts w:ascii="Times New Roman" w:hAnsi="Times New Roman" w:cs="Times New Roman"/>
          <w:color w:val="auto"/>
          <w:sz w:val="28"/>
          <w:szCs w:val="28"/>
          <w:lang w:val="en-US"/>
        </w:rPr>
        <w:t> </w:t>
      </w:r>
      <w:r w:rsidRPr="003B2A61">
        <w:rPr>
          <w:rFonts w:ascii="Times New Roman" w:hAnsi="Times New Roman" w:cs="Times New Roman"/>
          <w:sz w:val="28"/>
          <w:szCs w:val="28"/>
          <w:lang w:val="en-US"/>
        </w:rPr>
        <w:t>parathyroid hormone assay for</w:t>
      </w:r>
      <w:r w:rsidRPr="003B2A61">
        <w:rPr>
          <w:rStyle w:val="apple-converted-space"/>
          <w:rFonts w:ascii="Times New Roman" w:hAnsi="Times New Roman" w:cs="Times New Roman"/>
          <w:color w:val="auto"/>
          <w:sz w:val="28"/>
          <w:szCs w:val="28"/>
          <w:lang w:val="en-US"/>
        </w:rPr>
        <w:t> </w:t>
      </w:r>
      <w:proofErr w:type="spellStart"/>
      <w:r w:rsidRPr="003B2A61">
        <w:rPr>
          <w:rStyle w:val="highlight"/>
          <w:rFonts w:ascii="Times New Roman" w:hAnsi="Times New Roman" w:cs="Times New Roman"/>
          <w:color w:val="auto"/>
          <w:sz w:val="28"/>
          <w:szCs w:val="28"/>
          <w:lang w:val="en-US"/>
        </w:rPr>
        <w:t>intraoperative</w:t>
      </w:r>
      <w:proofErr w:type="spellEnd"/>
      <w:r w:rsidRPr="003B2A61">
        <w:rPr>
          <w:rStyle w:val="apple-converted-space"/>
          <w:rFonts w:ascii="Times New Roman" w:hAnsi="Times New Roman" w:cs="Times New Roman"/>
          <w:color w:val="auto"/>
          <w:sz w:val="28"/>
          <w:szCs w:val="28"/>
          <w:lang w:val="en-US"/>
        </w:rPr>
        <w:t> </w:t>
      </w:r>
      <w:r w:rsidRPr="003B2A61">
        <w:rPr>
          <w:rFonts w:ascii="Times New Roman" w:hAnsi="Times New Roman" w:cs="Times New Roman"/>
          <w:sz w:val="28"/>
          <w:szCs w:val="28"/>
          <w:lang w:val="en-US"/>
        </w:rPr>
        <w:t xml:space="preserve">guidance in </w:t>
      </w:r>
      <w:proofErr w:type="spellStart"/>
      <w:r w:rsidRPr="003B2A61">
        <w:rPr>
          <w:rFonts w:ascii="Times New Roman" w:hAnsi="Times New Roman" w:cs="Times New Roman"/>
          <w:sz w:val="28"/>
          <w:szCs w:val="28"/>
          <w:lang w:val="en-US"/>
        </w:rPr>
        <w:t>parathyroidectomy</w:t>
      </w:r>
      <w:proofErr w:type="spellEnd"/>
      <w:r w:rsidRPr="003B2A61">
        <w:rPr>
          <w:rFonts w:ascii="Times New Roman" w:hAnsi="Times New Roman" w:cs="Times New Roman"/>
          <w:sz w:val="28"/>
          <w:szCs w:val="28"/>
          <w:lang w:val="en-US"/>
        </w:rPr>
        <w:t>.</w:t>
      </w:r>
      <w:proofErr w:type="gramEnd"/>
      <w:r w:rsidRPr="003B2A61">
        <w:rPr>
          <w:rFonts w:ascii="Times New Roman" w:hAnsi="Times New Roman" w:cs="Times New Roman"/>
          <w:sz w:val="28"/>
          <w:szCs w:val="28"/>
          <w:lang w:val="en-US"/>
        </w:rPr>
        <w:t xml:space="preserve"> -  </w:t>
      </w:r>
      <w:r w:rsidRPr="00FA66B7">
        <w:rPr>
          <w:rFonts w:ascii="Times New Roman" w:hAnsi="Times New Roman" w:cs="Times New Roman"/>
          <w:sz w:val="28"/>
          <w:szCs w:val="28"/>
          <w:lang w:val="en-US"/>
        </w:rPr>
        <w:t>World Journal of Surgery.</w:t>
      </w:r>
      <w:r w:rsidRPr="003B2A61">
        <w:rPr>
          <w:rFonts w:ascii="Times New Roman" w:hAnsi="Times New Roman" w:cs="Times New Roman"/>
          <w:sz w:val="28"/>
          <w:szCs w:val="28"/>
          <w:lang w:val="en-US"/>
        </w:rPr>
        <w:t xml:space="preserve"> – </w:t>
      </w:r>
      <w:r w:rsidRPr="003B2A61">
        <w:rPr>
          <w:rFonts w:ascii="Times New Roman" w:hAnsi="Times New Roman" w:cs="Times New Roman"/>
          <w:sz w:val="28"/>
          <w:szCs w:val="28"/>
          <w:shd w:val="clear" w:color="auto" w:fill="FFFFFF"/>
          <w:lang w:val="en-US"/>
        </w:rPr>
        <w:t>2002. – 26(8). – P.1074-7</w:t>
      </w:r>
    </w:p>
    <w:p w:rsidR="006E2A91" w:rsidRPr="004D344B" w:rsidRDefault="006E2A91" w:rsidP="006E2A91">
      <w:pPr>
        <w:spacing w:line="360" w:lineRule="auto"/>
        <w:jc w:val="both"/>
        <w:rPr>
          <w:rFonts w:ascii="Times New Roman" w:hAnsi="Times New Roman" w:cs="Times New Roman"/>
          <w:sz w:val="28"/>
          <w:szCs w:val="28"/>
          <w:lang w:val="en-US"/>
        </w:rPr>
      </w:pPr>
      <w:r w:rsidRPr="00A566A4">
        <w:rPr>
          <w:rFonts w:ascii="Times New Roman" w:hAnsi="Times New Roman" w:cs="Times New Roman"/>
          <w:sz w:val="28"/>
          <w:szCs w:val="28"/>
          <w:lang w:val="en-US"/>
        </w:rPr>
        <w:t>19</w:t>
      </w:r>
      <w:r w:rsidRPr="003B2A61">
        <w:rPr>
          <w:rFonts w:ascii="Times New Roman" w:hAnsi="Times New Roman" w:cs="Times New Roman"/>
          <w:sz w:val="28"/>
          <w:szCs w:val="28"/>
          <w:lang w:val="en-US"/>
        </w:rPr>
        <w:t xml:space="preserve">. Carter A.B., </w:t>
      </w:r>
      <w:proofErr w:type="spellStart"/>
      <w:r w:rsidRPr="003B2A61">
        <w:rPr>
          <w:rFonts w:ascii="Times New Roman" w:hAnsi="Times New Roman" w:cs="Times New Roman"/>
          <w:sz w:val="28"/>
          <w:szCs w:val="28"/>
          <w:lang w:val="en-US"/>
        </w:rPr>
        <w:t>Howanitz</w:t>
      </w:r>
      <w:proofErr w:type="spellEnd"/>
      <w:r w:rsidRPr="003B2A61">
        <w:rPr>
          <w:rFonts w:ascii="Times New Roman" w:hAnsi="Times New Roman" w:cs="Times New Roman"/>
          <w:sz w:val="28"/>
          <w:szCs w:val="28"/>
          <w:lang w:val="en-US"/>
        </w:rPr>
        <w:t xml:space="preserve"> P.J. (2003) </w:t>
      </w:r>
      <w:proofErr w:type="spellStart"/>
      <w:r w:rsidRPr="003B2A61">
        <w:rPr>
          <w:rFonts w:ascii="Times New Roman" w:hAnsi="Times New Roman" w:cs="Times New Roman"/>
          <w:sz w:val="28"/>
          <w:szCs w:val="28"/>
          <w:lang w:val="en-US"/>
        </w:rPr>
        <w:t>Intraoperative</w:t>
      </w:r>
      <w:proofErr w:type="spellEnd"/>
      <w:r w:rsidRPr="003B2A61">
        <w:rPr>
          <w:rFonts w:ascii="Times New Roman" w:hAnsi="Times New Roman" w:cs="Times New Roman"/>
          <w:sz w:val="28"/>
          <w:szCs w:val="28"/>
          <w:lang w:val="en-US"/>
        </w:rPr>
        <w:t xml:space="preserve"> testing for parathyroid hormone: a comprehensive review of the use of the assay and the relevant literature. </w:t>
      </w:r>
      <w:proofErr w:type="gramStart"/>
      <w:r w:rsidRPr="003B2A61">
        <w:rPr>
          <w:rFonts w:ascii="Times New Roman" w:hAnsi="Times New Roman" w:cs="Times New Roman"/>
          <w:sz w:val="28"/>
          <w:szCs w:val="28"/>
          <w:lang w:val="en-US"/>
        </w:rPr>
        <w:t xml:space="preserve">Arch </w:t>
      </w:r>
      <w:proofErr w:type="spellStart"/>
      <w:r w:rsidRPr="003B2A61">
        <w:rPr>
          <w:rFonts w:ascii="Times New Roman" w:hAnsi="Times New Roman" w:cs="Times New Roman"/>
          <w:sz w:val="28"/>
          <w:szCs w:val="28"/>
          <w:lang w:val="en-US"/>
        </w:rPr>
        <w:t>Pathol</w:t>
      </w:r>
      <w:proofErr w:type="spellEnd"/>
      <w:r w:rsidRPr="003B2A61">
        <w:rPr>
          <w:rFonts w:ascii="Times New Roman" w:hAnsi="Times New Roman" w:cs="Times New Roman"/>
          <w:sz w:val="28"/>
          <w:szCs w:val="28"/>
          <w:lang w:val="en-US"/>
        </w:rPr>
        <w:t xml:space="preserve"> Lab Med. – 2003.</w:t>
      </w:r>
      <w:proofErr w:type="gramEnd"/>
      <w:r w:rsidRPr="003B2A61">
        <w:rPr>
          <w:rFonts w:ascii="Times New Roman" w:hAnsi="Times New Roman" w:cs="Times New Roman"/>
          <w:sz w:val="28"/>
          <w:szCs w:val="28"/>
          <w:lang w:val="en-US"/>
        </w:rPr>
        <w:t xml:space="preserve"> – 127(11). – P. 1424-4</w:t>
      </w:r>
      <w:r>
        <w:rPr>
          <w:rFonts w:ascii="Times New Roman" w:hAnsi="Times New Roman" w:cs="Times New Roman"/>
          <w:sz w:val="28"/>
          <w:szCs w:val="28"/>
          <w:lang w:val="en-US"/>
        </w:rPr>
        <w:t>2</w:t>
      </w:r>
    </w:p>
    <w:p w:rsidR="006E2A91" w:rsidRPr="003B2A61" w:rsidRDefault="006E2A91" w:rsidP="006E2A91">
      <w:pPr>
        <w:spacing w:line="360" w:lineRule="auto"/>
        <w:jc w:val="both"/>
        <w:rPr>
          <w:rFonts w:ascii="Times New Roman" w:hAnsi="Times New Roman" w:cs="Times New Roman"/>
          <w:sz w:val="28"/>
          <w:szCs w:val="28"/>
          <w:lang w:val="en-US"/>
        </w:rPr>
      </w:pPr>
      <w:r w:rsidRPr="003B2A61">
        <w:rPr>
          <w:rStyle w:val="name"/>
          <w:rFonts w:ascii="Times New Roman" w:hAnsi="Times New Roman" w:cs="Times New Roman"/>
          <w:color w:val="auto"/>
          <w:sz w:val="28"/>
          <w:szCs w:val="28"/>
          <w:bdr w:val="none" w:sz="0" w:space="0" w:color="auto" w:frame="1"/>
          <w:lang w:val="en-US"/>
        </w:rPr>
        <w:t>2</w:t>
      </w:r>
      <w:r>
        <w:rPr>
          <w:rStyle w:val="name"/>
          <w:rFonts w:ascii="Times New Roman" w:hAnsi="Times New Roman" w:cs="Times New Roman"/>
          <w:color w:val="auto"/>
          <w:sz w:val="28"/>
          <w:szCs w:val="28"/>
          <w:bdr w:val="none" w:sz="0" w:space="0" w:color="auto" w:frame="1"/>
          <w:lang w:val="en-US"/>
        </w:rPr>
        <w:t>0</w:t>
      </w:r>
      <w:r w:rsidRPr="003B2A61">
        <w:rPr>
          <w:rStyle w:val="name"/>
          <w:rFonts w:ascii="Times New Roman" w:hAnsi="Times New Roman" w:cs="Times New Roman"/>
          <w:color w:val="auto"/>
          <w:sz w:val="28"/>
          <w:szCs w:val="28"/>
          <w:bdr w:val="none" w:sz="0" w:space="0" w:color="auto" w:frame="1"/>
          <w:lang w:val="en-US"/>
        </w:rPr>
        <w:t xml:space="preserve">. </w:t>
      </w:r>
      <w:r w:rsidRPr="003542DB">
        <w:rPr>
          <w:rFonts w:ascii="Times New Roman" w:hAnsi="Times New Roman" w:cs="Times New Roman"/>
          <w:sz w:val="28"/>
          <w:szCs w:val="28"/>
          <w:bdr w:val="none" w:sz="0" w:space="0" w:color="auto" w:frame="1"/>
          <w:lang w:val="en-US"/>
        </w:rPr>
        <w:t>David E C Cole</w:t>
      </w:r>
      <w:r w:rsidRPr="003B2A61">
        <w:rPr>
          <w:rFonts w:ascii="Times New Roman" w:hAnsi="Times New Roman" w:cs="Times New Roman"/>
          <w:sz w:val="28"/>
          <w:szCs w:val="28"/>
          <w:lang w:val="en-US"/>
        </w:rPr>
        <w:t>,</w:t>
      </w:r>
      <w:proofErr w:type="gramStart"/>
      <w:r w:rsidRPr="003B2A61">
        <w:rPr>
          <w:rStyle w:val="apple-converted-space"/>
          <w:rFonts w:ascii="Times New Roman" w:hAnsi="Times New Roman" w:cs="Times New Roman"/>
          <w:color w:val="auto"/>
          <w:sz w:val="28"/>
          <w:szCs w:val="28"/>
          <w:lang w:val="en-US"/>
        </w:rPr>
        <w:t> </w:t>
      </w:r>
      <w:r w:rsidRPr="003B2A61">
        <w:rPr>
          <w:rFonts w:ascii="Times New Roman" w:hAnsi="Times New Roman" w:cs="Times New Roman"/>
          <w:sz w:val="28"/>
          <w:szCs w:val="28"/>
          <w:lang w:val="en-US"/>
        </w:rPr>
        <w:t xml:space="preserve"> </w:t>
      </w:r>
      <w:r w:rsidRPr="003542DB">
        <w:rPr>
          <w:rFonts w:ascii="Times New Roman" w:hAnsi="Times New Roman" w:cs="Times New Roman"/>
          <w:sz w:val="28"/>
          <w:szCs w:val="28"/>
          <w:bdr w:val="none" w:sz="0" w:space="0" w:color="auto" w:frame="1"/>
          <w:lang w:val="en-US"/>
        </w:rPr>
        <w:t>Francisco</w:t>
      </w:r>
      <w:proofErr w:type="gramEnd"/>
      <w:r w:rsidRPr="003542DB">
        <w:rPr>
          <w:rFonts w:ascii="Times New Roman" w:hAnsi="Times New Roman" w:cs="Times New Roman"/>
          <w:sz w:val="28"/>
          <w:szCs w:val="28"/>
          <w:bdr w:val="none" w:sz="0" w:space="0" w:color="auto" w:frame="1"/>
          <w:lang w:val="en-US"/>
        </w:rPr>
        <w:t xml:space="preserve"> H J </w:t>
      </w:r>
      <w:proofErr w:type="spellStart"/>
      <w:r w:rsidRPr="003542DB">
        <w:rPr>
          <w:rFonts w:ascii="Times New Roman" w:hAnsi="Times New Roman" w:cs="Times New Roman"/>
          <w:sz w:val="28"/>
          <w:szCs w:val="28"/>
          <w:bdr w:val="none" w:sz="0" w:space="0" w:color="auto" w:frame="1"/>
          <w:lang w:val="en-US"/>
        </w:rPr>
        <w:t>Yun</w:t>
      </w:r>
      <w:proofErr w:type="spellEnd"/>
      <w:r w:rsidRPr="003B2A61">
        <w:rPr>
          <w:rFonts w:ascii="Times New Roman" w:hAnsi="Times New Roman" w:cs="Times New Roman"/>
          <w:sz w:val="28"/>
          <w:szCs w:val="28"/>
          <w:lang w:val="en-US"/>
        </w:rPr>
        <w:t>,</w:t>
      </w:r>
      <w:r w:rsidRPr="003B2A61">
        <w:rPr>
          <w:rStyle w:val="apple-converted-space"/>
          <w:rFonts w:ascii="Times New Roman" w:hAnsi="Times New Roman" w:cs="Times New Roman"/>
          <w:color w:val="auto"/>
          <w:sz w:val="28"/>
          <w:szCs w:val="28"/>
          <w:lang w:val="en-US"/>
        </w:rPr>
        <w:t> </w:t>
      </w:r>
      <w:r w:rsidRPr="003542DB">
        <w:rPr>
          <w:rFonts w:ascii="Times New Roman" w:hAnsi="Times New Roman" w:cs="Times New Roman"/>
          <w:sz w:val="28"/>
          <w:szCs w:val="28"/>
          <w:bdr w:val="none" w:sz="0" w:space="0" w:color="auto" w:frame="1"/>
          <w:lang w:val="en-US"/>
        </w:rPr>
        <w:t>Betty Y L Wong</w:t>
      </w:r>
      <w:r w:rsidRPr="003B2A61">
        <w:rPr>
          <w:rFonts w:ascii="Times New Roman" w:hAnsi="Times New Roman" w:cs="Times New Roman"/>
          <w:sz w:val="28"/>
          <w:szCs w:val="28"/>
          <w:lang w:val="en-US"/>
        </w:rPr>
        <w:t xml:space="preserve"> et all. </w:t>
      </w:r>
      <w:proofErr w:type="gramStart"/>
      <w:r w:rsidRPr="003B2A61">
        <w:rPr>
          <w:rFonts w:ascii="Times New Roman" w:hAnsi="Times New Roman" w:cs="Times New Roman"/>
          <w:sz w:val="28"/>
          <w:szCs w:val="28"/>
          <w:lang w:val="en-US"/>
        </w:rPr>
        <w:t>Calcium-sensing receptor mutations and denaturing high performance liquid chromatography.</w:t>
      </w:r>
      <w:proofErr w:type="gramEnd"/>
      <w:r w:rsidRPr="003B2A61">
        <w:rPr>
          <w:rFonts w:ascii="Times New Roman" w:hAnsi="Times New Roman" w:cs="Times New Roman"/>
          <w:sz w:val="28"/>
          <w:szCs w:val="28"/>
          <w:lang w:val="en-US"/>
        </w:rPr>
        <w:t xml:space="preserve"> - J Mol </w:t>
      </w:r>
      <w:proofErr w:type="spellStart"/>
      <w:r w:rsidRPr="003B2A61">
        <w:rPr>
          <w:rFonts w:ascii="Times New Roman" w:hAnsi="Times New Roman" w:cs="Times New Roman"/>
          <w:sz w:val="28"/>
          <w:szCs w:val="28"/>
          <w:lang w:val="en-US"/>
        </w:rPr>
        <w:t>Endocrinol</w:t>
      </w:r>
      <w:proofErr w:type="spellEnd"/>
      <w:r w:rsidRPr="003B2A61">
        <w:rPr>
          <w:rFonts w:ascii="Times New Roman" w:hAnsi="Times New Roman" w:cs="Times New Roman"/>
          <w:sz w:val="28"/>
          <w:szCs w:val="28"/>
          <w:lang w:val="en-US"/>
        </w:rPr>
        <w:t> </w:t>
      </w:r>
      <w:proofErr w:type="gramStart"/>
      <w:r w:rsidRPr="003B2A61">
        <w:rPr>
          <w:rFonts w:ascii="Times New Roman" w:hAnsi="Times New Roman" w:cs="Times New Roman"/>
          <w:sz w:val="28"/>
          <w:szCs w:val="28"/>
          <w:lang w:val="en-US"/>
        </w:rPr>
        <w:t>April .</w:t>
      </w:r>
      <w:proofErr w:type="gramEnd"/>
      <w:r w:rsidRPr="003B2A61">
        <w:rPr>
          <w:rFonts w:ascii="Times New Roman" w:hAnsi="Times New Roman" w:cs="Times New Roman"/>
          <w:sz w:val="28"/>
          <w:szCs w:val="28"/>
          <w:lang w:val="en-US"/>
        </w:rPr>
        <w:t xml:space="preserve"> -  2009. </w:t>
      </w:r>
      <w:proofErr w:type="gramStart"/>
      <w:r w:rsidRPr="003B2A61">
        <w:rPr>
          <w:rFonts w:ascii="Times New Roman" w:hAnsi="Times New Roman" w:cs="Times New Roman"/>
          <w:sz w:val="28"/>
          <w:szCs w:val="28"/>
          <w:lang w:val="en-US"/>
        </w:rPr>
        <w:t>-  №42.</w:t>
      </w:r>
      <w:proofErr w:type="gramEnd"/>
      <w:r w:rsidRPr="003B2A61">
        <w:rPr>
          <w:rFonts w:ascii="Times New Roman" w:hAnsi="Times New Roman" w:cs="Times New Roman"/>
          <w:sz w:val="28"/>
          <w:szCs w:val="28"/>
          <w:lang w:val="en-US"/>
        </w:rPr>
        <w:t xml:space="preserve"> – P. 331-339</w:t>
      </w:r>
    </w:p>
    <w:p w:rsidR="006E2A91" w:rsidRPr="003B2A61" w:rsidRDefault="006E2A91" w:rsidP="006E2A91">
      <w:pPr>
        <w:spacing w:line="360" w:lineRule="auto"/>
        <w:jc w:val="both"/>
        <w:rPr>
          <w:rFonts w:ascii="Times New Roman" w:hAnsi="Times New Roman" w:cs="Times New Roman"/>
          <w:caps/>
          <w:sz w:val="28"/>
          <w:szCs w:val="28"/>
          <w:lang w:val="en-US"/>
        </w:rPr>
      </w:pPr>
      <w:r>
        <w:rPr>
          <w:rStyle w:val="search-hl"/>
          <w:rFonts w:ascii="Times New Roman" w:hAnsi="Times New Roman" w:cs="Times New Roman"/>
          <w:color w:val="auto"/>
          <w:sz w:val="28"/>
          <w:szCs w:val="28"/>
          <w:lang w:val="en-US"/>
        </w:rPr>
        <w:t>21</w:t>
      </w:r>
      <w:r w:rsidRPr="003B2A61">
        <w:rPr>
          <w:rStyle w:val="search-hl"/>
          <w:rFonts w:ascii="Times New Roman" w:hAnsi="Times New Roman" w:cs="Times New Roman"/>
          <w:color w:val="auto"/>
          <w:sz w:val="28"/>
          <w:szCs w:val="28"/>
          <w:lang w:val="en-US"/>
        </w:rPr>
        <w:t xml:space="preserve">. </w:t>
      </w:r>
      <w:proofErr w:type="spellStart"/>
      <w:r w:rsidRPr="003B2A61">
        <w:rPr>
          <w:rFonts w:ascii="Times New Roman" w:eastAsia="Times New Roman" w:hAnsi="Times New Roman" w:cs="Times New Roman"/>
          <w:iCs/>
          <w:sz w:val="28"/>
          <w:szCs w:val="28"/>
          <w:lang w:val="en-US" w:eastAsia="ru-RU"/>
        </w:rPr>
        <w:t>Eastell</w:t>
      </w:r>
      <w:proofErr w:type="spellEnd"/>
      <w:r w:rsidRPr="00D221C1">
        <w:rPr>
          <w:rFonts w:ascii="Times New Roman" w:eastAsia="Times New Roman" w:hAnsi="Times New Roman" w:cs="Times New Roman"/>
          <w:iCs/>
          <w:sz w:val="28"/>
          <w:szCs w:val="28"/>
          <w:lang w:val="en-US" w:eastAsia="ru-RU"/>
        </w:rPr>
        <w:t xml:space="preserve"> </w:t>
      </w:r>
      <w:r w:rsidRPr="003B2A61">
        <w:rPr>
          <w:rFonts w:ascii="Times New Roman" w:eastAsia="Times New Roman" w:hAnsi="Times New Roman" w:cs="Times New Roman"/>
          <w:iCs/>
          <w:sz w:val="28"/>
          <w:szCs w:val="28"/>
          <w:lang w:val="en-US" w:eastAsia="ru-RU"/>
        </w:rPr>
        <w:t>Richard, Brandi</w:t>
      </w:r>
      <w:r w:rsidRPr="00D221C1">
        <w:rPr>
          <w:rFonts w:ascii="Times New Roman" w:eastAsia="Times New Roman" w:hAnsi="Times New Roman" w:cs="Times New Roman"/>
          <w:iCs/>
          <w:sz w:val="28"/>
          <w:szCs w:val="28"/>
          <w:lang w:val="en-US" w:eastAsia="ru-RU"/>
        </w:rPr>
        <w:t xml:space="preserve"> </w:t>
      </w:r>
      <w:r w:rsidRPr="003B2A61">
        <w:rPr>
          <w:rFonts w:ascii="Times New Roman" w:eastAsia="Times New Roman" w:hAnsi="Times New Roman" w:cs="Times New Roman"/>
          <w:iCs/>
          <w:sz w:val="28"/>
          <w:szCs w:val="28"/>
          <w:lang w:val="en-US" w:eastAsia="ru-RU"/>
        </w:rPr>
        <w:t>Maria Luisa, Costa</w:t>
      </w:r>
      <w:r w:rsidRPr="00D221C1">
        <w:rPr>
          <w:rFonts w:ascii="Times New Roman" w:eastAsia="Times New Roman" w:hAnsi="Times New Roman" w:cs="Times New Roman"/>
          <w:iCs/>
          <w:sz w:val="28"/>
          <w:szCs w:val="28"/>
          <w:lang w:val="en-US" w:eastAsia="ru-RU"/>
        </w:rPr>
        <w:t xml:space="preserve"> </w:t>
      </w:r>
      <w:proofErr w:type="spellStart"/>
      <w:r w:rsidRPr="003B2A61">
        <w:rPr>
          <w:rFonts w:ascii="Times New Roman" w:eastAsia="Times New Roman" w:hAnsi="Times New Roman" w:cs="Times New Roman"/>
          <w:iCs/>
          <w:sz w:val="28"/>
          <w:szCs w:val="28"/>
          <w:lang w:val="en-US" w:eastAsia="ru-RU"/>
        </w:rPr>
        <w:t>Aline</w:t>
      </w:r>
      <w:proofErr w:type="spellEnd"/>
      <w:r w:rsidRPr="003B2A61">
        <w:rPr>
          <w:rFonts w:ascii="Times New Roman" w:eastAsia="Times New Roman" w:hAnsi="Times New Roman" w:cs="Times New Roman"/>
          <w:iCs/>
          <w:sz w:val="28"/>
          <w:szCs w:val="28"/>
          <w:lang w:val="en-US" w:eastAsia="ru-RU"/>
        </w:rPr>
        <w:t xml:space="preserve"> G., Pie</w:t>
      </w:r>
      <w:r>
        <w:rPr>
          <w:rFonts w:ascii="Times New Roman" w:eastAsia="Times New Roman" w:hAnsi="Times New Roman" w:cs="Times New Roman"/>
          <w:iCs/>
          <w:sz w:val="28"/>
          <w:szCs w:val="28"/>
          <w:lang w:val="en-US" w:eastAsia="ru-RU"/>
        </w:rPr>
        <w:t xml:space="preserve">rre </w:t>
      </w:r>
      <w:proofErr w:type="spellStart"/>
      <w:r>
        <w:rPr>
          <w:rFonts w:ascii="Times New Roman" w:eastAsia="Times New Roman" w:hAnsi="Times New Roman" w:cs="Times New Roman"/>
          <w:iCs/>
          <w:sz w:val="28"/>
          <w:szCs w:val="28"/>
          <w:lang w:val="en-US" w:eastAsia="ru-RU"/>
        </w:rPr>
        <w:t>D’Amour</w:t>
      </w:r>
      <w:proofErr w:type="spellEnd"/>
      <w:r>
        <w:rPr>
          <w:rFonts w:ascii="Times New Roman" w:eastAsia="Times New Roman" w:hAnsi="Times New Roman" w:cs="Times New Roman"/>
          <w:iCs/>
          <w:sz w:val="28"/>
          <w:szCs w:val="28"/>
          <w:lang w:val="en-US" w:eastAsia="ru-RU"/>
        </w:rPr>
        <w:t xml:space="preserve">, </w:t>
      </w:r>
      <w:proofErr w:type="gramStart"/>
      <w:r>
        <w:rPr>
          <w:rFonts w:ascii="Times New Roman" w:eastAsia="Times New Roman" w:hAnsi="Times New Roman" w:cs="Times New Roman"/>
          <w:iCs/>
          <w:sz w:val="28"/>
          <w:szCs w:val="28"/>
          <w:lang w:val="en-US" w:eastAsia="ru-RU"/>
        </w:rPr>
        <w:t>Dolores</w:t>
      </w:r>
      <w:proofErr w:type="gramEnd"/>
      <w:r>
        <w:rPr>
          <w:rFonts w:ascii="Times New Roman" w:eastAsia="Times New Roman" w:hAnsi="Times New Roman" w:cs="Times New Roman"/>
          <w:iCs/>
          <w:sz w:val="28"/>
          <w:szCs w:val="28"/>
          <w:lang w:val="en-US" w:eastAsia="ru-RU"/>
        </w:rPr>
        <w:t xml:space="preserve"> M. </w:t>
      </w:r>
      <w:proofErr w:type="spellStart"/>
      <w:r>
        <w:rPr>
          <w:rFonts w:ascii="Times New Roman" w:eastAsia="Times New Roman" w:hAnsi="Times New Roman" w:cs="Times New Roman"/>
          <w:iCs/>
          <w:sz w:val="28"/>
          <w:szCs w:val="28"/>
          <w:lang w:val="en-US" w:eastAsia="ru-RU"/>
        </w:rPr>
        <w:t>Shoback</w:t>
      </w:r>
      <w:proofErr w:type="spellEnd"/>
      <w:r w:rsidRPr="003B2A61">
        <w:rPr>
          <w:rFonts w:ascii="Times New Roman" w:eastAsia="Times New Roman" w:hAnsi="Times New Roman" w:cs="Times New Roman"/>
          <w:iCs/>
          <w:sz w:val="28"/>
          <w:szCs w:val="28"/>
          <w:lang w:val="en-US" w:eastAsia="ru-RU"/>
        </w:rPr>
        <w:t>. Diagnosis of Asymptomatic Primary Hyperparathyroidism: Proceedings of the Fourth International Workshop. – J</w:t>
      </w:r>
      <w:r>
        <w:rPr>
          <w:rFonts w:ascii="Times New Roman" w:eastAsia="Times New Roman" w:hAnsi="Times New Roman" w:cs="Times New Roman"/>
          <w:iCs/>
          <w:sz w:val="28"/>
          <w:szCs w:val="28"/>
          <w:lang w:val="en-US" w:eastAsia="ru-RU"/>
        </w:rPr>
        <w:t xml:space="preserve">ournal of </w:t>
      </w:r>
      <w:r w:rsidRPr="003B2A61">
        <w:rPr>
          <w:rFonts w:ascii="Times New Roman" w:eastAsia="Times New Roman" w:hAnsi="Times New Roman" w:cs="Times New Roman"/>
          <w:iCs/>
          <w:sz w:val="28"/>
          <w:szCs w:val="28"/>
          <w:lang w:val="en-US" w:eastAsia="ru-RU"/>
        </w:rPr>
        <w:t>Clin</w:t>
      </w:r>
      <w:r>
        <w:rPr>
          <w:rFonts w:ascii="Times New Roman" w:eastAsia="Times New Roman" w:hAnsi="Times New Roman" w:cs="Times New Roman"/>
          <w:iCs/>
          <w:sz w:val="28"/>
          <w:szCs w:val="28"/>
          <w:lang w:val="en-US" w:eastAsia="ru-RU"/>
        </w:rPr>
        <w:t>ical</w:t>
      </w:r>
      <w:r w:rsidRPr="003B2A61">
        <w:rPr>
          <w:rFonts w:ascii="Times New Roman" w:eastAsia="Times New Roman" w:hAnsi="Times New Roman" w:cs="Times New Roman"/>
          <w:iCs/>
          <w:sz w:val="28"/>
          <w:szCs w:val="28"/>
          <w:lang w:val="en-US" w:eastAsia="ru-RU"/>
        </w:rPr>
        <w:t xml:space="preserve"> Endocrinol</w:t>
      </w:r>
      <w:r>
        <w:rPr>
          <w:rFonts w:ascii="Times New Roman" w:eastAsia="Times New Roman" w:hAnsi="Times New Roman" w:cs="Times New Roman"/>
          <w:iCs/>
          <w:sz w:val="28"/>
          <w:szCs w:val="28"/>
          <w:lang w:val="en-US" w:eastAsia="ru-RU"/>
        </w:rPr>
        <w:t>ogy</w:t>
      </w:r>
      <w:r w:rsidRPr="003B2A61">
        <w:rPr>
          <w:rFonts w:ascii="Times New Roman" w:eastAsia="Times New Roman" w:hAnsi="Times New Roman" w:cs="Times New Roman"/>
          <w:iCs/>
          <w:sz w:val="28"/>
          <w:szCs w:val="28"/>
          <w:lang w:val="en-US" w:eastAsia="ru-RU"/>
        </w:rPr>
        <w:t xml:space="preserve"> </w:t>
      </w:r>
      <w:r>
        <w:rPr>
          <w:rFonts w:ascii="Times New Roman" w:eastAsia="Times New Roman" w:hAnsi="Times New Roman" w:cs="Times New Roman"/>
          <w:iCs/>
          <w:sz w:val="28"/>
          <w:szCs w:val="28"/>
          <w:lang w:val="en-US" w:eastAsia="ru-RU"/>
        </w:rPr>
        <w:t xml:space="preserve">and </w:t>
      </w:r>
      <w:r w:rsidRPr="003B2A61">
        <w:rPr>
          <w:rFonts w:ascii="Times New Roman" w:eastAsia="Times New Roman" w:hAnsi="Times New Roman" w:cs="Times New Roman"/>
          <w:iCs/>
          <w:sz w:val="28"/>
          <w:szCs w:val="28"/>
          <w:lang w:val="en-US" w:eastAsia="ru-RU"/>
        </w:rPr>
        <w:t>Metab</w:t>
      </w:r>
      <w:r>
        <w:rPr>
          <w:rFonts w:ascii="Times New Roman" w:eastAsia="Times New Roman" w:hAnsi="Times New Roman" w:cs="Times New Roman"/>
          <w:iCs/>
          <w:sz w:val="28"/>
          <w:szCs w:val="28"/>
          <w:lang w:val="en-US" w:eastAsia="ru-RU"/>
        </w:rPr>
        <w:t>olism</w:t>
      </w:r>
      <w:r w:rsidRPr="003B2A61">
        <w:rPr>
          <w:rFonts w:ascii="Times New Roman" w:eastAsia="Times New Roman" w:hAnsi="Times New Roman" w:cs="Times New Roman"/>
          <w:iCs/>
          <w:sz w:val="28"/>
          <w:szCs w:val="28"/>
          <w:lang w:val="en-US" w:eastAsia="ru-RU"/>
        </w:rPr>
        <w:t xml:space="preserve">. – </w:t>
      </w:r>
      <w:r>
        <w:rPr>
          <w:rFonts w:ascii="Times New Roman" w:eastAsia="Times New Roman" w:hAnsi="Times New Roman" w:cs="Times New Roman"/>
          <w:iCs/>
          <w:sz w:val="28"/>
          <w:szCs w:val="28"/>
          <w:lang w:val="en-US" w:eastAsia="ru-RU"/>
        </w:rPr>
        <w:t xml:space="preserve">2014. – </w:t>
      </w:r>
      <w:r w:rsidRPr="003B2A61">
        <w:rPr>
          <w:rFonts w:ascii="Times New Roman" w:eastAsia="Times New Roman" w:hAnsi="Times New Roman" w:cs="Times New Roman"/>
          <w:iCs/>
          <w:sz w:val="28"/>
          <w:szCs w:val="28"/>
          <w:lang w:val="en-US" w:eastAsia="ru-RU"/>
        </w:rPr>
        <w:t xml:space="preserve">99(10). – P. 3570–3579 </w:t>
      </w:r>
    </w:p>
    <w:p w:rsidR="006E2A91" w:rsidRPr="003542DB" w:rsidRDefault="006E2A91" w:rsidP="006E2A91">
      <w:pPr>
        <w:spacing w:line="360" w:lineRule="auto"/>
        <w:jc w:val="both"/>
        <w:rPr>
          <w:rFonts w:ascii="Times New Roman" w:hAnsi="Times New Roman" w:cs="Times New Roman"/>
          <w:sz w:val="28"/>
          <w:szCs w:val="28"/>
          <w:lang w:val="en-US"/>
        </w:rPr>
      </w:pPr>
      <w:r w:rsidRPr="003B2A61">
        <w:rPr>
          <w:rFonts w:ascii="Times New Roman" w:hAnsi="Times New Roman" w:cs="Times New Roman"/>
          <w:sz w:val="28"/>
          <w:szCs w:val="28"/>
          <w:lang w:val="en-US" w:eastAsia="en-US" w:bidi="ar-SA"/>
        </w:rPr>
        <w:t>2</w:t>
      </w:r>
      <w:r>
        <w:rPr>
          <w:rFonts w:ascii="Times New Roman" w:hAnsi="Times New Roman" w:cs="Times New Roman"/>
          <w:sz w:val="28"/>
          <w:szCs w:val="28"/>
          <w:lang w:val="en-US" w:eastAsia="en-US" w:bidi="ar-SA"/>
        </w:rPr>
        <w:t>2</w:t>
      </w:r>
      <w:r w:rsidRPr="003B2A61">
        <w:rPr>
          <w:rFonts w:ascii="Times New Roman" w:hAnsi="Times New Roman" w:cs="Times New Roman"/>
          <w:sz w:val="28"/>
          <w:szCs w:val="28"/>
          <w:lang w:val="en-US" w:eastAsia="en-US" w:bidi="ar-SA"/>
        </w:rPr>
        <w:t xml:space="preserve">. </w:t>
      </w:r>
      <w:proofErr w:type="spellStart"/>
      <w:r w:rsidRPr="003542DB">
        <w:rPr>
          <w:rFonts w:ascii="Times New Roman" w:hAnsi="Times New Roman" w:cs="Times New Roman"/>
          <w:sz w:val="28"/>
          <w:szCs w:val="28"/>
          <w:shd w:val="clear" w:color="auto" w:fill="FFFFFF"/>
          <w:lang w:val="en-US"/>
        </w:rPr>
        <w:t>Ermetici</w:t>
      </w:r>
      <w:proofErr w:type="spellEnd"/>
      <w:r w:rsidRPr="003542DB">
        <w:rPr>
          <w:rFonts w:ascii="Times New Roman" w:hAnsi="Times New Roman" w:cs="Times New Roman"/>
          <w:sz w:val="28"/>
          <w:szCs w:val="28"/>
          <w:shd w:val="clear" w:color="auto" w:fill="FFFFFF"/>
          <w:lang w:val="en-US"/>
        </w:rPr>
        <w:t xml:space="preserve"> F</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w:t>
      </w:r>
      <w:r w:rsidRPr="003B2A61">
        <w:rPr>
          <w:rStyle w:val="apple-converted-space"/>
          <w:rFonts w:ascii="Times New Roman" w:hAnsi="Times New Roman" w:cs="Times New Roman"/>
          <w:color w:val="auto"/>
          <w:sz w:val="28"/>
          <w:szCs w:val="28"/>
          <w:shd w:val="clear" w:color="auto" w:fill="FFFFFF"/>
          <w:lang w:val="en-US"/>
        </w:rPr>
        <w:t> </w:t>
      </w:r>
      <w:proofErr w:type="spellStart"/>
      <w:r w:rsidRPr="003542DB">
        <w:rPr>
          <w:rFonts w:ascii="Times New Roman" w:hAnsi="Times New Roman" w:cs="Times New Roman"/>
          <w:sz w:val="28"/>
          <w:szCs w:val="28"/>
          <w:shd w:val="clear" w:color="auto" w:fill="FFFFFF"/>
          <w:lang w:val="en-US"/>
        </w:rPr>
        <w:t>Filopanti</w:t>
      </w:r>
      <w:proofErr w:type="spellEnd"/>
      <w:r w:rsidRPr="003542DB">
        <w:rPr>
          <w:rFonts w:ascii="Times New Roman" w:hAnsi="Times New Roman" w:cs="Times New Roman"/>
          <w:sz w:val="28"/>
          <w:szCs w:val="28"/>
          <w:shd w:val="clear" w:color="auto" w:fill="FFFFFF"/>
          <w:lang w:val="en-US"/>
        </w:rPr>
        <w:t xml:space="preserve"> M</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w:t>
      </w:r>
      <w:r w:rsidRPr="003B2A61">
        <w:rPr>
          <w:rStyle w:val="apple-converted-space"/>
          <w:rFonts w:ascii="Times New Roman" w:hAnsi="Times New Roman" w:cs="Times New Roman"/>
          <w:color w:val="auto"/>
          <w:sz w:val="28"/>
          <w:szCs w:val="28"/>
          <w:shd w:val="clear" w:color="auto" w:fill="FFFFFF"/>
          <w:lang w:val="en-US"/>
        </w:rPr>
        <w:t> </w:t>
      </w:r>
      <w:proofErr w:type="spellStart"/>
      <w:r w:rsidRPr="003542DB">
        <w:rPr>
          <w:rFonts w:ascii="Times New Roman" w:hAnsi="Times New Roman" w:cs="Times New Roman"/>
          <w:sz w:val="28"/>
          <w:szCs w:val="28"/>
          <w:shd w:val="clear" w:color="auto" w:fill="FFFFFF"/>
          <w:lang w:val="en-US"/>
        </w:rPr>
        <w:t>Verga</w:t>
      </w:r>
      <w:proofErr w:type="spellEnd"/>
      <w:r w:rsidRPr="003542DB">
        <w:rPr>
          <w:rFonts w:ascii="Times New Roman" w:hAnsi="Times New Roman" w:cs="Times New Roman"/>
          <w:sz w:val="28"/>
          <w:szCs w:val="28"/>
          <w:shd w:val="clear" w:color="auto" w:fill="FFFFFF"/>
          <w:lang w:val="en-US"/>
        </w:rPr>
        <w:t xml:space="preserve"> U</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xml:space="preserve"> </w:t>
      </w:r>
      <w:r w:rsidRPr="003B2A61">
        <w:rPr>
          <w:rFonts w:ascii="Times New Roman" w:hAnsi="Times New Roman" w:cs="Times New Roman"/>
          <w:sz w:val="28"/>
          <w:szCs w:val="28"/>
          <w:lang w:val="en-US"/>
        </w:rPr>
        <w:t xml:space="preserve">Estimated </w:t>
      </w:r>
      <w:proofErr w:type="spellStart"/>
      <w:r w:rsidRPr="003B2A61">
        <w:rPr>
          <w:rFonts w:ascii="Times New Roman" w:hAnsi="Times New Roman" w:cs="Times New Roman"/>
          <w:sz w:val="28"/>
          <w:szCs w:val="28"/>
          <w:lang w:val="en-US"/>
        </w:rPr>
        <w:t>glomerular</w:t>
      </w:r>
      <w:proofErr w:type="spellEnd"/>
      <w:r w:rsidRPr="003B2A61">
        <w:rPr>
          <w:rFonts w:ascii="Times New Roman" w:hAnsi="Times New Roman" w:cs="Times New Roman"/>
          <w:sz w:val="28"/>
          <w:szCs w:val="28"/>
          <w:lang w:val="en-US"/>
        </w:rPr>
        <w:t xml:space="preserve"> filtration rate by serum </w:t>
      </w:r>
      <w:proofErr w:type="spellStart"/>
      <w:r w:rsidRPr="003B2A61">
        <w:rPr>
          <w:rFonts w:ascii="Times New Roman" w:hAnsi="Times New Roman" w:cs="Times New Roman"/>
          <w:sz w:val="28"/>
          <w:szCs w:val="28"/>
          <w:lang w:val="en-US"/>
        </w:rPr>
        <w:t>cystatin</w:t>
      </w:r>
      <w:proofErr w:type="spellEnd"/>
      <w:r w:rsidRPr="003B2A61">
        <w:rPr>
          <w:rFonts w:ascii="Times New Roman" w:hAnsi="Times New Roman" w:cs="Times New Roman"/>
          <w:sz w:val="28"/>
          <w:szCs w:val="28"/>
          <w:lang w:val="en-US"/>
        </w:rPr>
        <w:t xml:space="preserve"> C correlates with </w:t>
      </w:r>
      <w:proofErr w:type="spellStart"/>
      <w:r w:rsidRPr="003B2A61">
        <w:rPr>
          <w:rFonts w:ascii="Times New Roman" w:hAnsi="Times New Roman" w:cs="Times New Roman"/>
          <w:sz w:val="28"/>
          <w:szCs w:val="28"/>
          <w:lang w:val="en-US"/>
        </w:rPr>
        <w:t>cardiometabolic</w:t>
      </w:r>
      <w:proofErr w:type="spellEnd"/>
      <w:r w:rsidRPr="003B2A61">
        <w:rPr>
          <w:rFonts w:ascii="Times New Roman" w:hAnsi="Times New Roman" w:cs="Times New Roman"/>
          <w:sz w:val="28"/>
          <w:szCs w:val="28"/>
          <w:lang w:val="en-US"/>
        </w:rPr>
        <w:t xml:space="preserve"> parameters in patients with</w:t>
      </w:r>
      <w:r w:rsidRPr="003B2A61">
        <w:rPr>
          <w:rStyle w:val="apple-converted-space"/>
          <w:rFonts w:ascii="Times New Roman" w:hAnsi="Times New Roman" w:cs="Times New Roman"/>
          <w:color w:val="auto"/>
          <w:sz w:val="28"/>
          <w:szCs w:val="28"/>
          <w:lang w:val="en-US"/>
        </w:rPr>
        <w:t> </w:t>
      </w:r>
      <w:r w:rsidRPr="003B2A61">
        <w:rPr>
          <w:rStyle w:val="highlight"/>
          <w:rFonts w:ascii="Times New Roman" w:hAnsi="Times New Roman" w:cs="Times New Roman"/>
          <w:color w:val="auto"/>
          <w:sz w:val="28"/>
          <w:szCs w:val="28"/>
          <w:lang w:val="en-US"/>
        </w:rPr>
        <w:t xml:space="preserve">primary hyperparathyroidism. – </w:t>
      </w:r>
      <w:r w:rsidRPr="003542DB">
        <w:rPr>
          <w:rFonts w:ascii="Times New Roman" w:hAnsi="Times New Roman" w:cs="Times New Roman"/>
          <w:sz w:val="28"/>
          <w:szCs w:val="28"/>
          <w:shd w:val="clear" w:color="auto" w:fill="FFFFFF"/>
          <w:lang w:val="en-US"/>
        </w:rPr>
        <w:t>Eur</w:t>
      </w:r>
      <w:r>
        <w:rPr>
          <w:rFonts w:ascii="Times New Roman" w:hAnsi="Times New Roman" w:cs="Times New Roman"/>
          <w:sz w:val="28"/>
          <w:szCs w:val="28"/>
          <w:shd w:val="clear" w:color="auto" w:fill="FFFFFF"/>
          <w:lang w:val="en-US"/>
        </w:rPr>
        <w:t>opean</w:t>
      </w:r>
      <w:r w:rsidRPr="003542DB">
        <w:rPr>
          <w:rFonts w:ascii="Times New Roman" w:hAnsi="Times New Roman" w:cs="Times New Roman"/>
          <w:sz w:val="28"/>
          <w:szCs w:val="28"/>
          <w:shd w:val="clear" w:color="auto" w:fill="FFFFFF"/>
          <w:lang w:val="en-US"/>
        </w:rPr>
        <w:t xml:space="preserve"> J</w:t>
      </w:r>
      <w:r>
        <w:rPr>
          <w:rFonts w:ascii="Times New Roman" w:hAnsi="Times New Roman" w:cs="Times New Roman"/>
          <w:sz w:val="28"/>
          <w:szCs w:val="28"/>
          <w:shd w:val="clear" w:color="auto" w:fill="FFFFFF"/>
          <w:lang w:val="en-US"/>
        </w:rPr>
        <w:t>ournal of</w:t>
      </w:r>
      <w:r w:rsidRPr="003542DB">
        <w:rPr>
          <w:rFonts w:ascii="Times New Roman" w:hAnsi="Times New Roman" w:cs="Times New Roman"/>
          <w:sz w:val="28"/>
          <w:szCs w:val="28"/>
          <w:shd w:val="clear" w:color="auto" w:fill="FFFFFF"/>
          <w:lang w:val="en-US"/>
        </w:rPr>
        <w:t xml:space="preserve"> Endocrinol</w:t>
      </w:r>
      <w:r>
        <w:rPr>
          <w:rFonts w:ascii="Times New Roman" w:hAnsi="Times New Roman" w:cs="Times New Roman"/>
          <w:sz w:val="28"/>
          <w:szCs w:val="28"/>
          <w:shd w:val="clear" w:color="auto" w:fill="FFFFFF"/>
          <w:lang w:val="en-US"/>
        </w:rPr>
        <w:t>ogy</w:t>
      </w:r>
      <w:r w:rsidRPr="003542DB">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xml:space="preserve"> </w:t>
      </w:r>
      <w:r w:rsidRPr="003542DB">
        <w:rPr>
          <w:rFonts w:ascii="Times New Roman" w:hAnsi="Times New Roman" w:cs="Times New Roman"/>
          <w:sz w:val="28"/>
          <w:szCs w:val="28"/>
          <w:shd w:val="clear" w:color="auto" w:fill="FFFFFF"/>
          <w:lang w:val="en-US"/>
        </w:rPr>
        <w:t xml:space="preserve">– 2015. – 173(4). – </w:t>
      </w:r>
      <w:r w:rsidRPr="003B2A61">
        <w:rPr>
          <w:rFonts w:ascii="Times New Roman" w:hAnsi="Times New Roman" w:cs="Times New Roman"/>
          <w:sz w:val="28"/>
          <w:szCs w:val="28"/>
          <w:shd w:val="clear" w:color="auto" w:fill="FFFFFF"/>
          <w:lang w:val="en-US"/>
        </w:rPr>
        <w:t>P</w:t>
      </w:r>
      <w:r w:rsidRPr="003542DB">
        <w:rPr>
          <w:rFonts w:ascii="Times New Roman" w:hAnsi="Times New Roman" w:cs="Times New Roman"/>
          <w:sz w:val="28"/>
          <w:szCs w:val="28"/>
          <w:shd w:val="clear" w:color="auto" w:fill="FFFFFF"/>
          <w:lang w:val="en-US"/>
        </w:rPr>
        <w:t>.441-6</w:t>
      </w:r>
    </w:p>
    <w:p w:rsidR="006E2A91" w:rsidRPr="004D344B" w:rsidRDefault="006E2A91" w:rsidP="006E2A9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23. Gilmour J.</w:t>
      </w:r>
      <w:r w:rsidRPr="003B2A61">
        <w:rPr>
          <w:rFonts w:ascii="Times New Roman" w:hAnsi="Times New Roman" w:cs="Times New Roman"/>
          <w:sz w:val="28"/>
          <w:szCs w:val="28"/>
          <w:lang w:val="en-US"/>
        </w:rPr>
        <w:t>R. Embryology of the parathyroid glands, thymus and</w:t>
      </w:r>
      <w:r>
        <w:rPr>
          <w:rFonts w:ascii="Times New Roman" w:hAnsi="Times New Roman" w:cs="Times New Roman"/>
          <w:sz w:val="28"/>
          <w:szCs w:val="28"/>
          <w:lang w:val="en-US"/>
        </w:rPr>
        <w:t xml:space="preserve"> certain associated rudiments. – The </w:t>
      </w:r>
      <w:r w:rsidRPr="003B2A61">
        <w:rPr>
          <w:rFonts w:ascii="Times New Roman" w:hAnsi="Times New Roman" w:cs="Times New Roman"/>
          <w:sz w:val="28"/>
          <w:szCs w:val="28"/>
          <w:lang w:val="en-US"/>
        </w:rPr>
        <w:t>J</w:t>
      </w:r>
      <w:r>
        <w:rPr>
          <w:rFonts w:ascii="Times New Roman" w:hAnsi="Times New Roman" w:cs="Times New Roman"/>
          <w:sz w:val="28"/>
          <w:szCs w:val="28"/>
          <w:lang w:val="en-US"/>
        </w:rPr>
        <w:t>ournal of</w:t>
      </w:r>
      <w:r w:rsidRPr="003B2A61">
        <w:rPr>
          <w:rFonts w:ascii="Times New Roman" w:hAnsi="Times New Roman" w:cs="Times New Roman"/>
          <w:sz w:val="28"/>
          <w:szCs w:val="28"/>
          <w:lang w:val="en-US"/>
        </w:rPr>
        <w:t xml:space="preserve"> Pathol</w:t>
      </w:r>
      <w:r>
        <w:rPr>
          <w:rFonts w:ascii="Times New Roman" w:hAnsi="Times New Roman" w:cs="Times New Roman"/>
          <w:sz w:val="28"/>
          <w:szCs w:val="28"/>
          <w:lang w:val="en-US"/>
        </w:rPr>
        <w:t>ogy and</w:t>
      </w:r>
      <w:r w:rsidRPr="003B2A61">
        <w:rPr>
          <w:rFonts w:ascii="Times New Roman" w:hAnsi="Times New Roman" w:cs="Times New Roman"/>
          <w:sz w:val="28"/>
          <w:szCs w:val="28"/>
          <w:lang w:val="en-US"/>
        </w:rPr>
        <w:t xml:space="preserve"> </w:t>
      </w:r>
      <w:r w:rsidRPr="003B2A61">
        <w:rPr>
          <w:rFonts w:ascii="Times New Roman" w:hAnsi="Times New Roman" w:cs="Times New Roman"/>
          <w:sz w:val="28"/>
          <w:szCs w:val="28"/>
        </w:rPr>
        <w:t>В</w:t>
      </w:r>
      <w:proofErr w:type="spellStart"/>
      <w:r w:rsidRPr="003B2A61">
        <w:rPr>
          <w:rFonts w:ascii="Times New Roman" w:hAnsi="Times New Roman" w:cs="Times New Roman"/>
          <w:sz w:val="28"/>
          <w:szCs w:val="28"/>
          <w:lang w:val="en-US"/>
        </w:rPr>
        <w:t>acteriol</w:t>
      </w:r>
      <w:r>
        <w:rPr>
          <w:rFonts w:ascii="Times New Roman" w:hAnsi="Times New Roman" w:cs="Times New Roman"/>
          <w:sz w:val="28"/>
          <w:szCs w:val="28"/>
          <w:lang w:val="en-US"/>
        </w:rPr>
        <w:t>ogy</w:t>
      </w:r>
      <w:proofErr w:type="spellEnd"/>
      <w:r w:rsidRPr="003B2A61">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3B2A61">
        <w:rPr>
          <w:rFonts w:ascii="Times New Roman" w:hAnsi="Times New Roman" w:cs="Times New Roman"/>
          <w:sz w:val="28"/>
          <w:szCs w:val="28"/>
          <w:lang w:val="en-US"/>
        </w:rPr>
        <w:t xml:space="preserve"> 1937.</w:t>
      </w:r>
      <w:r>
        <w:rPr>
          <w:rFonts w:ascii="Times New Roman" w:hAnsi="Times New Roman" w:cs="Times New Roman"/>
          <w:sz w:val="28"/>
          <w:szCs w:val="28"/>
          <w:lang w:val="en-US"/>
        </w:rPr>
        <w:t xml:space="preserve"> – P. 25-32</w:t>
      </w:r>
    </w:p>
    <w:p w:rsidR="006E2A91" w:rsidRPr="003B2A61" w:rsidRDefault="006E2A91" w:rsidP="006E2A91">
      <w:pPr>
        <w:spacing w:line="360" w:lineRule="auto"/>
        <w:jc w:val="both"/>
        <w:rPr>
          <w:rFonts w:ascii="Times New Roman" w:hAnsi="Times New Roman" w:cs="Times New Roman"/>
          <w:sz w:val="28"/>
          <w:szCs w:val="28"/>
          <w:lang w:val="en-US"/>
        </w:rPr>
      </w:pPr>
      <w:r w:rsidRPr="003B2A61">
        <w:rPr>
          <w:rFonts w:ascii="Times New Roman" w:hAnsi="Times New Roman" w:cs="Times New Roman"/>
          <w:sz w:val="28"/>
          <w:szCs w:val="28"/>
          <w:lang w:val="en-US"/>
        </w:rPr>
        <w:t>2</w:t>
      </w:r>
      <w:r w:rsidRPr="0050666D">
        <w:rPr>
          <w:rFonts w:ascii="Times New Roman" w:hAnsi="Times New Roman" w:cs="Times New Roman"/>
          <w:sz w:val="28"/>
          <w:szCs w:val="28"/>
          <w:lang w:val="en-US"/>
        </w:rPr>
        <w:t>4</w:t>
      </w:r>
      <w:r w:rsidRPr="003B2A61">
        <w:rPr>
          <w:rFonts w:ascii="Times New Roman" w:hAnsi="Times New Roman" w:cs="Times New Roman"/>
          <w:sz w:val="28"/>
          <w:szCs w:val="28"/>
          <w:lang w:val="en-US"/>
        </w:rPr>
        <w:t xml:space="preserve">. </w:t>
      </w:r>
      <w:r w:rsidRPr="003B2A61">
        <w:rPr>
          <w:rStyle w:val="HTML1"/>
          <w:rFonts w:ascii="Times New Roman" w:hAnsi="Times New Roman" w:cs="Times New Roman"/>
          <w:i w:val="0"/>
          <w:color w:val="auto"/>
          <w:sz w:val="28"/>
          <w:szCs w:val="28"/>
          <w:lang w:val="en-US"/>
        </w:rPr>
        <w:t xml:space="preserve">He Y, Liu Z, </w:t>
      </w:r>
      <w:proofErr w:type="spellStart"/>
      <w:r w:rsidRPr="003B2A61">
        <w:rPr>
          <w:rStyle w:val="HTML1"/>
          <w:rFonts w:ascii="Times New Roman" w:hAnsi="Times New Roman" w:cs="Times New Roman"/>
          <w:i w:val="0"/>
          <w:color w:val="auto"/>
          <w:sz w:val="28"/>
          <w:szCs w:val="28"/>
          <w:lang w:val="en-US"/>
        </w:rPr>
        <w:t>Qiao</w:t>
      </w:r>
      <w:proofErr w:type="spellEnd"/>
      <w:r w:rsidRPr="003B2A61">
        <w:rPr>
          <w:rStyle w:val="HTML1"/>
          <w:rFonts w:ascii="Times New Roman" w:hAnsi="Times New Roman" w:cs="Times New Roman"/>
          <w:i w:val="0"/>
          <w:color w:val="auto"/>
          <w:sz w:val="28"/>
          <w:szCs w:val="28"/>
          <w:lang w:val="en-US"/>
        </w:rPr>
        <w:t xml:space="preserve"> C, </w:t>
      </w:r>
      <w:proofErr w:type="spellStart"/>
      <w:r w:rsidRPr="003B2A61">
        <w:rPr>
          <w:rStyle w:val="HTML1"/>
          <w:rFonts w:ascii="Times New Roman" w:hAnsi="Times New Roman" w:cs="Times New Roman"/>
          <w:i w:val="0"/>
          <w:color w:val="auto"/>
          <w:sz w:val="28"/>
          <w:szCs w:val="28"/>
          <w:lang w:val="en-US"/>
        </w:rPr>
        <w:t>Xu</w:t>
      </w:r>
      <w:proofErr w:type="spellEnd"/>
      <w:r w:rsidRPr="003B2A61">
        <w:rPr>
          <w:rStyle w:val="HTML1"/>
          <w:rFonts w:ascii="Times New Roman" w:hAnsi="Times New Roman" w:cs="Times New Roman"/>
          <w:i w:val="0"/>
          <w:color w:val="auto"/>
          <w:sz w:val="28"/>
          <w:szCs w:val="28"/>
          <w:lang w:val="en-US"/>
        </w:rPr>
        <w:t xml:space="preserve"> M, Yu J, Li G. </w:t>
      </w:r>
      <w:r w:rsidRPr="003B2A61">
        <w:rPr>
          <w:rFonts w:ascii="Times New Roman" w:hAnsi="Times New Roman" w:cs="Times New Roman"/>
          <w:iCs/>
          <w:sz w:val="28"/>
          <w:szCs w:val="28"/>
          <w:lang w:val="en-US"/>
        </w:rPr>
        <w:t xml:space="preserve">Expression and significance of </w:t>
      </w:r>
      <w:proofErr w:type="spellStart"/>
      <w:r w:rsidRPr="003B2A61">
        <w:rPr>
          <w:rFonts w:ascii="Times New Roman" w:hAnsi="Times New Roman" w:cs="Times New Roman"/>
          <w:iCs/>
          <w:sz w:val="28"/>
          <w:szCs w:val="28"/>
          <w:lang w:val="en-US"/>
        </w:rPr>
        <w:t>Wnt</w:t>
      </w:r>
      <w:proofErr w:type="spellEnd"/>
      <w:r w:rsidRPr="003B2A61">
        <w:rPr>
          <w:rFonts w:ascii="Times New Roman" w:hAnsi="Times New Roman" w:cs="Times New Roman"/>
          <w:iCs/>
          <w:sz w:val="28"/>
          <w:szCs w:val="28"/>
          <w:lang w:val="en-US"/>
        </w:rPr>
        <w:t xml:space="preserve"> signaling components and their target genes in breast carcinoma</w:t>
      </w:r>
      <w:r w:rsidRPr="003B2A61">
        <w:rPr>
          <w:rStyle w:val="HTML1"/>
          <w:rFonts w:ascii="Times New Roman" w:hAnsi="Times New Roman" w:cs="Times New Roman"/>
          <w:i w:val="0"/>
          <w:color w:val="auto"/>
          <w:sz w:val="28"/>
          <w:szCs w:val="28"/>
          <w:lang w:val="en-US"/>
        </w:rPr>
        <w:t>.</w:t>
      </w:r>
      <w:r w:rsidRPr="003B2A61">
        <w:rPr>
          <w:rStyle w:val="apple-converted-space"/>
          <w:rFonts w:ascii="Times New Roman" w:hAnsi="Times New Roman" w:cs="Times New Roman"/>
          <w:iCs/>
          <w:color w:val="auto"/>
          <w:sz w:val="28"/>
          <w:szCs w:val="28"/>
          <w:lang w:val="en-US"/>
        </w:rPr>
        <w:t> </w:t>
      </w:r>
      <w:proofErr w:type="gramStart"/>
      <w:r w:rsidRPr="003B2A61">
        <w:rPr>
          <w:rStyle w:val="HTML1"/>
          <w:rFonts w:ascii="Times New Roman" w:hAnsi="Times New Roman" w:cs="Times New Roman"/>
          <w:i w:val="0"/>
          <w:color w:val="auto"/>
          <w:sz w:val="28"/>
          <w:szCs w:val="28"/>
          <w:lang w:val="en-US"/>
        </w:rPr>
        <w:t>Mol</w:t>
      </w:r>
      <w:r>
        <w:rPr>
          <w:rStyle w:val="HTML1"/>
          <w:rFonts w:ascii="Times New Roman" w:hAnsi="Times New Roman" w:cs="Times New Roman"/>
          <w:i w:val="0"/>
          <w:color w:val="auto"/>
          <w:sz w:val="28"/>
          <w:szCs w:val="28"/>
          <w:lang w:val="en-US"/>
        </w:rPr>
        <w:t>ecular</w:t>
      </w:r>
      <w:r w:rsidRPr="003B2A61">
        <w:rPr>
          <w:rStyle w:val="HTML1"/>
          <w:rFonts w:ascii="Times New Roman" w:hAnsi="Times New Roman" w:cs="Times New Roman"/>
          <w:i w:val="0"/>
          <w:color w:val="auto"/>
          <w:sz w:val="28"/>
          <w:szCs w:val="28"/>
          <w:lang w:val="en-US"/>
        </w:rPr>
        <w:t xml:space="preserve"> Med</w:t>
      </w:r>
      <w:r>
        <w:rPr>
          <w:rStyle w:val="HTML1"/>
          <w:rFonts w:ascii="Times New Roman" w:hAnsi="Times New Roman" w:cs="Times New Roman"/>
          <w:i w:val="0"/>
          <w:color w:val="auto"/>
          <w:sz w:val="28"/>
          <w:szCs w:val="28"/>
          <w:lang w:val="en-US"/>
        </w:rPr>
        <w:t>icine</w:t>
      </w:r>
      <w:r w:rsidRPr="003B2A61">
        <w:rPr>
          <w:rStyle w:val="HTML1"/>
          <w:rFonts w:ascii="Times New Roman" w:hAnsi="Times New Roman" w:cs="Times New Roman"/>
          <w:i w:val="0"/>
          <w:color w:val="auto"/>
          <w:sz w:val="28"/>
          <w:szCs w:val="28"/>
          <w:lang w:val="en-US"/>
        </w:rPr>
        <w:t xml:space="preserve"> Rep</w:t>
      </w:r>
      <w:r>
        <w:rPr>
          <w:rStyle w:val="HTML1"/>
          <w:rFonts w:ascii="Times New Roman" w:hAnsi="Times New Roman" w:cs="Times New Roman"/>
          <w:i w:val="0"/>
          <w:color w:val="auto"/>
          <w:sz w:val="28"/>
          <w:szCs w:val="28"/>
          <w:lang w:val="en-US"/>
        </w:rPr>
        <w:t>orts</w:t>
      </w:r>
      <w:r w:rsidRPr="003B2A61">
        <w:rPr>
          <w:rStyle w:val="HTML1"/>
          <w:rFonts w:ascii="Times New Roman" w:hAnsi="Times New Roman" w:cs="Times New Roman"/>
          <w:i w:val="0"/>
          <w:color w:val="auto"/>
          <w:sz w:val="28"/>
          <w:szCs w:val="28"/>
          <w:lang w:val="en-US"/>
        </w:rPr>
        <w:t>.</w:t>
      </w:r>
      <w:proofErr w:type="gramEnd"/>
      <w:r w:rsidRPr="003B2A61">
        <w:rPr>
          <w:rStyle w:val="HTML1"/>
          <w:rFonts w:ascii="Times New Roman" w:hAnsi="Times New Roman" w:cs="Times New Roman"/>
          <w:i w:val="0"/>
          <w:color w:val="auto"/>
          <w:sz w:val="28"/>
          <w:szCs w:val="28"/>
          <w:lang w:val="en-US"/>
        </w:rPr>
        <w:t xml:space="preserve"> – 2014. – 9</w:t>
      </w:r>
      <w:r w:rsidRPr="003B2A61">
        <w:rPr>
          <w:rStyle w:val="apple-converted-space"/>
          <w:rFonts w:ascii="Times New Roman" w:hAnsi="Times New Roman" w:cs="Times New Roman"/>
          <w:iCs/>
          <w:color w:val="auto"/>
          <w:sz w:val="28"/>
          <w:szCs w:val="28"/>
          <w:lang w:val="en-US"/>
        </w:rPr>
        <w:t> </w:t>
      </w:r>
      <w:r w:rsidRPr="003B2A61">
        <w:rPr>
          <w:rStyle w:val="HTML1"/>
          <w:rFonts w:ascii="Times New Roman" w:hAnsi="Times New Roman" w:cs="Times New Roman"/>
          <w:i w:val="0"/>
          <w:color w:val="auto"/>
          <w:sz w:val="28"/>
          <w:szCs w:val="28"/>
          <w:lang w:val="en-US"/>
        </w:rPr>
        <w:t>(1). – P. 137–43</w:t>
      </w:r>
    </w:p>
    <w:p w:rsidR="006E2A91" w:rsidRPr="003B2A61" w:rsidRDefault="006E2A91" w:rsidP="006E2A9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35</w:t>
      </w:r>
      <w:r w:rsidRPr="003B2A61">
        <w:rPr>
          <w:rFonts w:ascii="Times New Roman" w:hAnsi="Times New Roman" w:cs="Times New Roman"/>
          <w:sz w:val="28"/>
          <w:szCs w:val="28"/>
          <w:lang w:val="en-US"/>
        </w:rPr>
        <w:t xml:space="preserve">. </w:t>
      </w:r>
      <w:proofErr w:type="spellStart"/>
      <w:r w:rsidRPr="004D344B">
        <w:rPr>
          <w:rFonts w:ascii="Times New Roman" w:hAnsi="Times New Roman" w:cs="Times New Roman"/>
          <w:sz w:val="28"/>
          <w:szCs w:val="28"/>
          <w:shd w:val="clear" w:color="auto" w:fill="FFFFFF"/>
          <w:lang w:val="en-US"/>
        </w:rPr>
        <w:t>Jarosław</w:t>
      </w:r>
      <w:proofErr w:type="spellEnd"/>
      <w:r w:rsidRPr="004D344B">
        <w:rPr>
          <w:rFonts w:ascii="Times New Roman" w:hAnsi="Times New Roman" w:cs="Times New Roman"/>
          <w:sz w:val="28"/>
          <w:szCs w:val="28"/>
          <w:shd w:val="clear" w:color="auto" w:fill="FFFFFF"/>
          <w:lang w:val="en-US"/>
        </w:rPr>
        <w:t xml:space="preserve"> Koza</w:t>
      </w:r>
      <w:r w:rsidRPr="003B2A61">
        <w:rPr>
          <w:rFonts w:ascii="Times New Roman" w:hAnsi="Times New Roman" w:cs="Times New Roman"/>
          <w:sz w:val="28"/>
          <w:szCs w:val="28"/>
          <w:lang w:val="en-US"/>
        </w:rPr>
        <w:t xml:space="preserve">. </w:t>
      </w:r>
      <w:proofErr w:type="gramStart"/>
      <w:r w:rsidRPr="003B2A61">
        <w:rPr>
          <w:rFonts w:ascii="Times New Roman" w:hAnsi="Times New Roman" w:cs="Times New Roman"/>
          <w:sz w:val="28"/>
          <w:szCs w:val="28"/>
          <w:lang w:val="en-US"/>
        </w:rPr>
        <w:t xml:space="preserve">Multiple endocrine </w:t>
      </w:r>
      <w:proofErr w:type="spellStart"/>
      <w:r w:rsidRPr="003B2A61">
        <w:rPr>
          <w:rFonts w:ascii="Times New Roman" w:hAnsi="Times New Roman" w:cs="Times New Roman"/>
          <w:sz w:val="28"/>
          <w:szCs w:val="28"/>
          <w:lang w:val="en-US"/>
        </w:rPr>
        <w:t>neoplasia</w:t>
      </w:r>
      <w:proofErr w:type="spellEnd"/>
      <w:r w:rsidRPr="003B2A61">
        <w:rPr>
          <w:rFonts w:ascii="Times New Roman" w:hAnsi="Times New Roman" w:cs="Times New Roman"/>
          <w:sz w:val="28"/>
          <w:szCs w:val="28"/>
          <w:lang w:val="en-US"/>
        </w:rPr>
        <w:t xml:space="preserve"> and primary hyperparathyroidism – practical approach.</w:t>
      </w:r>
      <w:proofErr w:type="gramEnd"/>
      <w:r w:rsidRPr="003B2A61">
        <w:rPr>
          <w:rFonts w:ascii="Times New Roman" w:hAnsi="Times New Roman" w:cs="Times New Roman"/>
          <w:sz w:val="28"/>
          <w:szCs w:val="28"/>
          <w:lang w:val="en-US"/>
        </w:rPr>
        <w:t xml:space="preserve"> – </w:t>
      </w:r>
      <w:proofErr w:type="spellStart"/>
      <w:r w:rsidRPr="003B2A61">
        <w:rPr>
          <w:rFonts w:ascii="Times New Roman" w:hAnsi="Times New Roman" w:cs="Times New Roman"/>
          <w:sz w:val="28"/>
          <w:szCs w:val="28"/>
          <w:lang w:val="en-US"/>
        </w:rPr>
        <w:t>Contemp</w:t>
      </w:r>
      <w:proofErr w:type="spellEnd"/>
      <w:r w:rsidRPr="003B2A61">
        <w:rPr>
          <w:rFonts w:ascii="Times New Roman" w:hAnsi="Times New Roman" w:cs="Times New Roman"/>
          <w:sz w:val="28"/>
          <w:szCs w:val="28"/>
          <w:lang w:val="en-US"/>
        </w:rPr>
        <w:t xml:space="preserve"> </w:t>
      </w:r>
      <w:proofErr w:type="spellStart"/>
      <w:r w:rsidRPr="003B2A61">
        <w:rPr>
          <w:rFonts w:ascii="Times New Roman" w:hAnsi="Times New Roman" w:cs="Times New Roman"/>
          <w:sz w:val="28"/>
          <w:szCs w:val="28"/>
          <w:lang w:val="en-US"/>
        </w:rPr>
        <w:t>Oncol</w:t>
      </w:r>
      <w:proofErr w:type="spellEnd"/>
      <w:r w:rsidRPr="003B2A61">
        <w:rPr>
          <w:rFonts w:ascii="Times New Roman" w:hAnsi="Times New Roman" w:cs="Times New Roman"/>
          <w:sz w:val="28"/>
          <w:szCs w:val="28"/>
          <w:lang w:val="en-US"/>
        </w:rPr>
        <w:t xml:space="preserve"> (</w:t>
      </w:r>
      <w:proofErr w:type="spellStart"/>
      <w:r w:rsidRPr="003B2A61">
        <w:rPr>
          <w:rFonts w:ascii="Times New Roman" w:hAnsi="Times New Roman" w:cs="Times New Roman"/>
          <w:sz w:val="28"/>
          <w:szCs w:val="28"/>
          <w:lang w:val="en-US"/>
        </w:rPr>
        <w:t>Pozn</w:t>
      </w:r>
      <w:proofErr w:type="spellEnd"/>
      <w:r w:rsidRPr="003B2A61">
        <w:rPr>
          <w:rFonts w:ascii="Times New Roman" w:hAnsi="Times New Roman" w:cs="Times New Roman"/>
          <w:sz w:val="28"/>
          <w:szCs w:val="28"/>
          <w:lang w:val="en-US"/>
        </w:rPr>
        <w:t xml:space="preserve">). – 2015. </w:t>
      </w:r>
      <w:proofErr w:type="gramStart"/>
      <w:r w:rsidRPr="003B2A61">
        <w:rPr>
          <w:rFonts w:ascii="Times New Roman" w:hAnsi="Times New Roman" w:cs="Times New Roman"/>
          <w:sz w:val="28"/>
          <w:szCs w:val="28"/>
          <w:lang w:val="en-US"/>
        </w:rPr>
        <w:t>– № 19 (4) – P.</w:t>
      </w:r>
      <w:proofErr w:type="gramEnd"/>
      <w:r w:rsidRPr="003B2A61">
        <w:rPr>
          <w:rFonts w:ascii="Times New Roman" w:hAnsi="Times New Roman" w:cs="Times New Roman"/>
          <w:sz w:val="28"/>
          <w:szCs w:val="28"/>
          <w:lang w:val="en-US"/>
        </w:rPr>
        <w:t xml:space="preserve">  343–344</w:t>
      </w:r>
    </w:p>
    <w:p w:rsidR="006E2A91" w:rsidRPr="003B2A61" w:rsidRDefault="006E2A91" w:rsidP="006E2A91">
      <w:pPr>
        <w:spacing w:line="360" w:lineRule="auto"/>
        <w:jc w:val="both"/>
        <w:rPr>
          <w:rFonts w:ascii="Times New Roman" w:hAnsi="Times New Roman" w:cs="Times New Roman"/>
          <w:sz w:val="28"/>
          <w:szCs w:val="28"/>
          <w:lang w:val="en-US"/>
        </w:rPr>
      </w:pPr>
      <w:r w:rsidRPr="003B2A61">
        <w:rPr>
          <w:rFonts w:ascii="Times New Roman" w:hAnsi="Times New Roman" w:cs="Times New Roman"/>
          <w:sz w:val="28"/>
          <w:szCs w:val="28"/>
          <w:lang w:val="en-US"/>
        </w:rPr>
        <w:t>2</w:t>
      </w:r>
      <w:r>
        <w:rPr>
          <w:rFonts w:ascii="Times New Roman" w:hAnsi="Times New Roman" w:cs="Times New Roman"/>
          <w:sz w:val="28"/>
          <w:szCs w:val="28"/>
          <w:lang w:val="en-US"/>
        </w:rPr>
        <w:t>6</w:t>
      </w:r>
      <w:r w:rsidRPr="003B2A61">
        <w:rPr>
          <w:rFonts w:ascii="Times New Roman" w:hAnsi="Times New Roman" w:cs="Times New Roman"/>
          <w:sz w:val="28"/>
          <w:szCs w:val="28"/>
          <w:lang w:val="en-US"/>
        </w:rPr>
        <w:t xml:space="preserve">. </w:t>
      </w:r>
      <w:proofErr w:type="spellStart"/>
      <w:r w:rsidRPr="003542DB">
        <w:rPr>
          <w:rFonts w:ascii="Times New Roman" w:hAnsi="Times New Roman" w:cs="Times New Roman"/>
          <w:sz w:val="28"/>
          <w:szCs w:val="28"/>
          <w:bdr w:val="none" w:sz="0" w:space="0" w:color="auto" w:frame="1"/>
          <w:shd w:val="clear" w:color="auto" w:fill="FFFFFF"/>
          <w:lang w:val="en-US"/>
        </w:rPr>
        <w:t>Juhlin</w:t>
      </w:r>
      <w:proofErr w:type="spellEnd"/>
      <w:r w:rsidRPr="0050666D">
        <w:rPr>
          <w:rFonts w:ascii="Times New Roman" w:hAnsi="Times New Roman" w:cs="Times New Roman"/>
          <w:sz w:val="28"/>
          <w:szCs w:val="28"/>
          <w:bdr w:val="none" w:sz="0" w:space="0" w:color="auto" w:frame="1"/>
          <w:shd w:val="clear" w:color="auto" w:fill="FFFFFF"/>
          <w:lang w:val="en-US"/>
        </w:rPr>
        <w:t xml:space="preserve"> </w:t>
      </w:r>
      <w:r w:rsidRPr="003542DB">
        <w:rPr>
          <w:rFonts w:ascii="Times New Roman" w:hAnsi="Times New Roman" w:cs="Times New Roman"/>
          <w:sz w:val="28"/>
          <w:szCs w:val="28"/>
          <w:bdr w:val="none" w:sz="0" w:space="0" w:color="auto" w:frame="1"/>
          <w:shd w:val="clear" w:color="auto" w:fill="FFFFFF"/>
          <w:lang w:val="en-US"/>
        </w:rPr>
        <w:t xml:space="preserve">C. </w:t>
      </w:r>
      <w:proofErr w:type="spellStart"/>
      <w:r w:rsidRPr="003542DB">
        <w:rPr>
          <w:rFonts w:ascii="Times New Roman" w:hAnsi="Times New Roman" w:cs="Times New Roman"/>
          <w:sz w:val="28"/>
          <w:szCs w:val="28"/>
          <w:bdr w:val="none" w:sz="0" w:space="0" w:color="auto" w:frame="1"/>
          <w:shd w:val="clear" w:color="auto" w:fill="FFFFFF"/>
          <w:lang w:val="en-US"/>
        </w:rPr>
        <w:t>Christofer</w:t>
      </w:r>
      <w:proofErr w:type="spellEnd"/>
      <w:r w:rsidRPr="003B2A61">
        <w:rPr>
          <w:rFonts w:ascii="Times New Roman" w:hAnsi="Times New Roman" w:cs="Times New Roman"/>
          <w:sz w:val="28"/>
          <w:szCs w:val="28"/>
          <w:lang w:val="en-US"/>
        </w:rPr>
        <w:t xml:space="preserve">, </w:t>
      </w:r>
      <w:r w:rsidRPr="003542DB">
        <w:rPr>
          <w:rFonts w:ascii="Times New Roman" w:hAnsi="Times New Roman" w:cs="Times New Roman"/>
          <w:sz w:val="28"/>
          <w:szCs w:val="28"/>
          <w:bdr w:val="none" w:sz="0" w:space="0" w:color="auto" w:frame="1"/>
          <w:shd w:val="clear" w:color="auto" w:fill="FFFFFF"/>
          <w:lang w:val="en-US"/>
        </w:rPr>
        <w:t xml:space="preserve">Anders </w:t>
      </w:r>
      <w:proofErr w:type="spellStart"/>
      <w:r w:rsidRPr="003542DB">
        <w:rPr>
          <w:rFonts w:ascii="Times New Roman" w:hAnsi="Times New Roman" w:cs="Times New Roman"/>
          <w:sz w:val="28"/>
          <w:szCs w:val="28"/>
          <w:bdr w:val="none" w:sz="0" w:space="0" w:color="auto" w:frame="1"/>
          <w:shd w:val="clear" w:color="auto" w:fill="FFFFFF"/>
          <w:lang w:val="en-US"/>
        </w:rPr>
        <w:t>Höög</w:t>
      </w:r>
      <w:proofErr w:type="spellEnd"/>
      <w:r w:rsidRPr="003B2A61">
        <w:rPr>
          <w:rFonts w:ascii="Times New Roman" w:hAnsi="Times New Roman" w:cs="Times New Roman"/>
          <w:sz w:val="28"/>
          <w:szCs w:val="28"/>
          <w:lang w:val="en-US"/>
        </w:rPr>
        <w:t xml:space="preserve">. </w:t>
      </w:r>
      <w:proofErr w:type="spellStart"/>
      <w:proofErr w:type="gramStart"/>
      <w:r w:rsidRPr="003B2A61">
        <w:rPr>
          <w:rFonts w:ascii="Times New Roman" w:hAnsi="Times New Roman" w:cs="Times New Roman"/>
          <w:bCs/>
          <w:sz w:val="28"/>
          <w:szCs w:val="28"/>
          <w:lang w:val="en-US"/>
        </w:rPr>
        <w:t>Parafibromin</w:t>
      </w:r>
      <w:proofErr w:type="spellEnd"/>
      <w:r w:rsidRPr="003B2A61">
        <w:rPr>
          <w:rFonts w:ascii="Times New Roman" w:hAnsi="Times New Roman" w:cs="Times New Roman"/>
          <w:bCs/>
          <w:sz w:val="28"/>
          <w:szCs w:val="28"/>
          <w:lang w:val="en-US"/>
        </w:rPr>
        <w:t xml:space="preserve"> as a Diagnostic Instrument for Parathyroid Carcinoma-Lone Ranger or Part of the Posse?</w:t>
      </w:r>
      <w:proofErr w:type="gramEnd"/>
      <w:r w:rsidRPr="003B2A61">
        <w:rPr>
          <w:rFonts w:ascii="Times New Roman" w:hAnsi="Times New Roman" w:cs="Times New Roman"/>
          <w:bCs/>
          <w:sz w:val="28"/>
          <w:szCs w:val="28"/>
          <w:lang w:val="en-US"/>
        </w:rPr>
        <w:t xml:space="preserve"> – </w:t>
      </w:r>
      <w:r w:rsidRPr="003B2A61">
        <w:rPr>
          <w:rFonts w:ascii="Times New Roman" w:hAnsi="Times New Roman" w:cs="Times New Roman"/>
          <w:sz w:val="28"/>
          <w:szCs w:val="28"/>
          <w:lang w:val="en-US"/>
        </w:rPr>
        <w:t>International Journal of Endocrinology. – V</w:t>
      </w:r>
      <w:r>
        <w:rPr>
          <w:rFonts w:ascii="Times New Roman" w:hAnsi="Times New Roman" w:cs="Times New Roman"/>
          <w:sz w:val="28"/>
          <w:szCs w:val="28"/>
          <w:lang w:val="en-US"/>
        </w:rPr>
        <w:t>.</w:t>
      </w:r>
      <w:r w:rsidRPr="003B2A61">
        <w:rPr>
          <w:rFonts w:ascii="Times New Roman" w:hAnsi="Times New Roman" w:cs="Times New Roman"/>
          <w:sz w:val="28"/>
          <w:szCs w:val="28"/>
          <w:lang w:val="en-US"/>
        </w:rPr>
        <w:t>2010 (2010). – P. 1-6</w:t>
      </w:r>
    </w:p>
    <w:p w:rsidR="006E2A91" w:rsidRPr="003B2A61" w:rsidRDefault="006E2A91" w:rsidP="006E2A91">
      <w:pPr>
        <w:spacing w:line="360" w:lineRule="auto"/>
        <w:jc w:val="both"/>
        <w:rPr>
          <w:rFonts w:ascii="Times New Roman" w:hAnsi="Times New Roman" w:cs="Times New Roman"/>
          <w:sz w:val="28"/>
          <w:szCs w:val="28"/>
          <w:lang w:val="en-US"/>
        </w:rPr>
      </w:pPr>
      <w:r w:rsidRPr="003B2A61">
        <w:rPr>
          <w:rFonts w:ascii="Times New Roman" w:hAnsi="Times New Roman" w:cs="Times New Roman"/>
          <w:sz w:val="28"/>
          <w:szCs w:val="28"/>
          <w:lang w:val="en-US"/>
        </w:rPr>
        <w:t>2</w:t>
      </w:r>
      <w:r>
        <w:rPr>
          <w:rFonts w:ascii="Times New Roman" w:hAnsi="Times New Roman" w:cs="Times New Roman"/>
          <w:sz w:val="28"/>
          <w:szCs w:val="28"/>
          <w:lang w:val="en-US"/>
        </w:rPr>
        <w:t>7</w:t>
      </w:r>
      <w:r w:rsidRPr="003B2A61">
        <w:rPr>
          <w:rFonts w:ascii="Times New Roman" w:hAnsi="Times New Roman" w:cs="Times New Roman"/>
          <w:sz w:val="28"/>
          <w:szCs w:val="28"/>
          <w:lang w:val="en-US"/>
        </w:rPr>
        <w:t xml:space="preserve">. </w:t>
      </w:r>
      <w:proofErr w:type="spellStart"/>
      <w:r w:rsidRPr="003542DB">
        <w:rPr>
          <w:rFonts w:ascii="Times New Roman" w:hAnsi="Times New Roman" w:cs="Times New Roman"/>
          <w:bCs/>
          <w:sz w:val="28"/>
          <w:szCs w:val="28"/>
          <w:bdr w:val="none" w:sz="0" w:space="0" w:color="auto" w:frame="1"/>
          <w:lang w:val="en-US"/>
        </w:rPr>
        <w:t>Juhlin</w:t>
      </w:r>
      <w:proofErr w:type="spellEnd"/>
      <w:r w:rsidRPr="003B2A61">
        <w:rPr>
          <w:rFonts w:ascii="Times New Roman" w:hAnsi="Times New Roman" w:cs="Times New Roman"/>
          <w:sz w:val="28"/>
          <w:szCs w:val="28"/>
          <w:lang w:val="en-US"/>
        </w:rPr>
        <w:t xml:space="preserve"> </w:t>
      </w:r>
      <w:r w:rsidRPr="003542DB">
        <w:rPr>
          <w:rFonts w:ascii="Times New Roman" w:hAnsi="Times New Roman" w:cs="Times New Roman"/>
          <w:bCs/>
          <w:sz w:val="28"/>
          <w:szCs w:val="28"/>
          <w:bdr w:val="none" w:sz="0" w:space="0" w:color="auto" w:frame="1"/>
          <w:lang w:val="en-US"/>
        </w:rPr>
        <w:t>C</w:t>
      </w:r>
      <w:r>
        <w:rPr>
          <w:rFonts w:ascii="Times New Roman" w:hAnsi="Times New Roman" w:cs="Times New Roman"/>
          <w:bCs/>
          <w:sz w:val="28"/>
          <w:szCs w:val="28"/>
          <w:bdr w:val="none" w:sz="0" w:space="0" w:color="auto" w:frame="1"/>
          <w:lang w:val="en-US"/>
        </w:rPr>
        <w:t>.</w:t>
      </w:r>
      <w:r w:rsidRPr="003542DB">
        <w:rPr>
          <w:rFonts w:ascii="Times New Roman" w:hAnsi="Times New Roman" w:cs="Times New Roman"/>
          <w:bCs/>
          <w:sz w:val="28"/>
          <w:szCs w:val="28"/>
          <w:bdr w:val="none" w:sz="0" w:space="0" w:color="auto" w:frame="1"/>
          <w:lang w:val="en-US"/>
        </w:rPr>
        <w:t xml:space="preserve"> </w:t>
      </w:r>
      <w:r w:rsidRPr="003B2A61">
        <w:rPr>
          <w:rFonts w:ascii="Times New Roman" w:hAnsi="Times New Roman" w:cs="Times New Roman"/>
          <w:sz w:val="28"/>
          <w:szCs w:val="28"/>
          <w:lang w:val="en-US"/>
        </w:rPr>
        <w:t xml:space="preserve">Loss of </w:t>
      </w:r>
      <w:proofErr w:type="spellStart"/>
      <w:r w:rsidRPr="003B2A61">
        <w:rPr>
          <w:rFonts w:ascii="Times New Roman" w:hAnsi="Times New Roman" w:cs="Times New Roman"/>
          <w:sz w:val="28"/>
          <w:szCs w:val="28"/>
          <w:lang w:val="en-US"/>
        </w:rPr>
        <w:t>parafibromin</w:t>
      </w:r>
      <w:proofErr w:type="spellEnd"/>
      <w:r w:rsidRPr="003B2A61">
        <w:rPr>
          <w:rFonts w:ascii="Times New Roman" w:hAnsi="Times New Roman" w:cs="Times New Roman"/>
          <w:sz w:val="28"/>
          <w:szCs w:val="28"/>
          <w:lang w:val="en-US"/>
        </w:rPr>
        <w:t xml:space="preserve"> expression in a subset of parathyroid adenomas. </w:t>
      </w:r>
      <w:r>
        <w:rPr>
          <w:rFonts w:ascii="Times New Roman" w:hAnsi="Times New Roman" w:cs="Times New Roman"/>
          <w:sz w:val="28"/>
          <w:szCs w:val="28"/>
          <w:lang w:val="en-US"/>
        </w:rPr>
        <w:t>–</w:t>
      </w:r>
      <w:r w:rsidRPr="003B2A61">
        <w:rPr>
          <w:rFonts w:ascii="Times New Roman" w:hAnsi="Times New Roman" w:cs="Times New Roman"/>
          <w:sz w:val="28"/>
          <w:szCs w:val="28"/>
          <w:lang w:val="en-US"/>
        </w:rPr>
        <w:t xml:space="preserve"> Endocr</w:t>
      </w:r>
      <w:r>
        <w:rPr>
          <w:rFonts w:ascii="Times New Roman" w:hAnsi="Times New Roman" w:cs="Times New Roman"/>
          <w:sz w:val="28"/>
          <w:szCs w:val="28"/>
          <w:lang w:val="en-US"/>
        </w:rPr>
        <w:t>ine-</w:t>
      </w:r>
      <w:r w:rsidRPr="003B2A61">
        <w:rPr>
          <w:rFonts w:ascii="Times New Roman" w:hAnsi="Times New Roman" w:cs="Times New Roman"/>
          <w:sz w:val="28"/>
          <w:szCs w:val="28"/>
          <w:lang w:val="en-US"/>
        </w:rPr>
        <w:t>Relat</w:t>
      </w:r>
      <w:r>
        <w:rPr>
          <w:rFonts w:ascii="Times New Roman" w:hAnsi="Times New Roman" w:cs="Times New Roman"/>
          <w:sz w:val="28"/>
          <w:szCs w:val="28"/>
          <w:lang w:val="en-US"/>
        </w:rPr>
        <w:t>ed</w:t>
      </w:r>
      <w:r w:rsidRPr="003B2A61">
        <w:rPr>
          <w:rFonts w:ascii="Times New Roman" w:hAnsi="Times New Roman" w:cs="Times New Roman"/>
          <w:sz w:val="28"/>
          <w:szCs w:val="28"/>
          <w:lang w:val="en-US"/>
        </w:rPr>
        <w:t xml:space="preserve"> Cancer. – 2006. </w:t>
      </w:r>
      <w:proofErr w:type="gramStart"/>
      <w:r w:rsidRPr="003B2A61">
        <w:rPr>
          <w:rFonts w:ascii="Times New Roman" w:hAnsi="Times New Roman" w:cs="Times New Roman"/>
          <w:sz w:val="28"/>
          <w:szCs w:val="28"/>
          <w:lang w:val="en-US"/>
        </w:rPr>
        <w:t>– № 13.</w:t>
      </w:r>
      <w:proofErr w:type="gramEnd"/>
      <w:r w:rsidRPr="003B2A61">
        <w:rPr>
          <w:rFonts w:ascii="Times New Roman" w:hAnsi="Times New Roman" w:cs="Times New Roman"/>
          <w:sz w:val="28"/>
          <w:szCs w:val="28"/>
          <w:lang w:val="en-US"/>
        </w:rPr>
        <w:t xml:space="preserve"> – P.</w:t>
      </w:r>
      <w:r>
        <w:rPr>
          <w:rFonts w:ascii="Times New Roman" w:hAnsi="Times New Roman" w:cs="Times New Roman"/>
          <w:sz w:val="28"/>
          <w:szCs w:val="28"/>
          <w:lang w:val="en-US"/>
        </w:rPr>
        <w:t xml:space="preserve"> 509-523</w:t>
      </w:r>
    </w:p>
    <w:p w:rsidR="006E2A91" w:rsidRPr="003B2A61" w:rsidRDefault="006E2A91" w:rsidP="006E2A91">
      <w:pPr>
        <w:spacing w:line="360" w:lineRule="auto"/>
        <w:jc w:val="both"/>
        <w:rPr>
          <w:rStyle w:val="element-citation"/>
          <w:rFonts w:ascii="Times New Roman" w:hAnsi="Times New Roman" w:cs="Times New Roman"/>
          <w:color w:val="auto"/>
          <w:sz w:val="28"/>
          <w:szCs w:val="28"/>
          <w:shd w:val="clear" w:color="auto" w:fill="FFFFFF"/>
          <w:lang w:val="en-US"/>
        </w:rPr>
      </w:pPr>
      <w:proofErr w:type="gramStart"/>
      <w:r>
        <w:rPr>
          <w:rFonts w:ascii="Times New Roman" w:hAnsi="Times New Roman" w:cs="Times New Roman"/>
          <w:sz w:val="28"/>
          <w:szCs w:val="28"/>
          <w:lang w:val="en-US"/>
        </w:rPr>
        <w:t>28</w:t>
      </w:r>
      <w:r w:rsidRPr="003B2A61">
        <w:rPr>
          <w:rFonts w:ascii="Times New Roman" w:hAnsi="Times New Roman" w:cs="Times New Roman"/>
          <w:sz w:val="28"/>
          <w:szCs w:val="28"/>
          <w:lang w:val="en-US"/>
        </w:rPr>
        <w:t xml:space="preserve">. </w:t>
      </w:r>
      <w:r w:rsidRPr="003B2A61">
        <w:rPr>
          <w:rStyle w:val="apple-converted-space"/>
          <w:rFonts w:ascii="Times New Roman" w:hAnsi="Times New Roman" w:cs="Times New Roman"/>
          <w:color w:val="auto"/>
          <w:sz w:val="28"/>
          <w:szCs w:val="28"/>
          <w:shd w:val="clear" w:color="auto" w:fill="FFFFFF"/>
          <w:lang w:val="en-US"/>
        </w:rPr>
        <w:t> </w:t>
      </w:r>
      <w:r w:rsidRPr="003B2A61">
        <w:rPr>
          <w:rStyle w:val="element-citation"/>
          <w:rFonts w:ascii="Times New Roman" w:hAnsi="Times New Roman" w:cs="Times New Roman"/>
          <w:color w:val="auto"/>
          <w:sz w:val="28"/>
          <w:szCs w:val="28"/>
          <w:shd w:val="clear" w:color="auto" w:fill="FFFFFF"/>
          <w:lang w:val="en-US"/>
        </w:rPr>
        <w:t>Khan A</w:t>
      </w:r>
      <w:r>
        <w:rPr>
          <w:rStyle w:val="element-citation"/>
          <w:rFonts w:ascii="Times New Roman" w:hAnsi="Times New Roman" w:cs="Times New Roman"/>
          <w:color w:val="auto"/>
          <w:sz w:val="28"/>
          <w:szCs w:val="28"/>
          <w:shd w:val="clear" w:color="auto" w:fill="FFFFFF"/>
          <w:lang w:val="en-US"/>
        </w:rPr>
        <w:t>.</w:t>
      </w:r>
      <w:r w:rsidRPr="003B2A61">
        <w:rPr>
          <w:rStyle w:val="element-citation"/>
          <w:rFonts w:ascii="Times New Roman" w:hAnsi="Times New Roman" w:cs="Times New Roman"/>
          <w:color w:val="auto"/>
          <w:sz w:val="28"/>
          <w:szCs w:val="28"/>
          <w:shd w:val="clear" w:color="auto" w:fill="FFFFFF"/>
          <w:lang w:val="en-US"/>
        </w:rPr>
        <w:t>A. Medical management of primary hyperparathyroidism.</w:t>
      </w:r>
      <w:proofErr w:type="gramEnd"/>
      <w:r w:rsidRPr="003B2A61">
        <w:rPr>
          <w:rStyle w:val="apple-converted-space"/>
          <w:rFonts w:ascii="Times New Roman" w:hAnsi="Times New Roman" w:cs="Times New Roman"/>
          <w:color w:val="auto"/>
          <w:sz w:val="28"/>
          <w:szCs w:val="28"/>
          <w:shd w:val="clear" w:color="auto" w:fill="FFFFFF"/>
          <w:lang w:val="en-US"/>
        </w:rPr>
        <w:t xml:space="preserve"> - </w:t>
      </w:r>
      <w:r w:rsidRPr="003B2A61">
        <w:rPr>
          <w:rStyle w:val="ref-journal"/>
          <w:rFonts w:ascii="Times New Roman" w:hAnsi="Times New Roman" w:cs="Times New Roman"/>
          <w:color w:val="auto"/>
          <w:sz w:val="28"/>
          <w:szCs w:val="28"/>
          <w:shd w:val="clear" w:color="auto" w:fill="FFFFFF"/>
          <w:lang w:val="en-US"/>
        </w:rPr>
        <w:t>J</w:t>
      </w:r>
      <w:r>
        <w:rPr>
          <w:rStyle w:val="ref-journal"/>
          <w:rFonts w:ascii="Times New Roman" w:hAnsi="Times New Roman" w:cs="Times New Roman"/>
          <w:color w:val="auto"/>
          <w:sz w:val="28"/>
          <w:szCs w:val="28"/>
          <w:shd w:val="clear" w:color="auto" w:fill="FFFFFF"/>
          <w:lang w:val="en-US"/>
        </w:rPr>
        <w:t>ournal</w:t>
      </w:r>
      <w:r w:rsidRPr="003B2A61">
        <w:rPr>
          <w:rStyle w:val="ref-journal"/>
          <w:rFonts w:ascii="Times New Roman" w:hAnsi="Times New Roman" w:cs="Times New Roman"/>
          <w:color w:val="auto"/>
          <w:sz w:val="28"/>
          <w:szCs w:val="28"/>
          <w:shd w:val="clear" w:color="auto" w:fill="FFFFFF"/>
          <w:lang w:val="en-US"/>
        </w:rPr>
        <w:t xml:space="preserve"> </w:t>
      </w:r>
      <w:proofErr w:type="spellStart"/>
      <w:r w:rsidRPr="003B2A61">
        <w:rPr>
          <w:rStyle w:val="ref-journal"/>
          <w:rFonts w:ascii="Times New Roman" w:hAnsi="Times New Roman" w:cs="Times New Roman"/>
          <w:color w:val="auto"/>
          <w:sz w:val="28"/>
          <w:szCs w:val="28"/>
          <w:shd w:val="clear" w:color="auto" w:fill="FFFFFF"/>
          <w:lang w:val="en-US"/>
        </w:rPr>
        <w:t>Clin</w:t>
      </w:r>
      <w:proofErr w:type="spellEnd"/>
      <w:r w:rsidRPr="003B2A61">
        <w:rPr>
          <w:rStyle w:val="ref-journal"/>
          <w:rFonts w:ascii="Times New Roman" w:hAnsi="Times New Roman" w:cs="Times New Roman"/>
          <w:color w:val="auto"/>
          <w:sz w:val="28"/>
          <w:szCs w:val="28"/>
          <w:shd w:val="clear" w:color="auto" w:fill="FFFFFF"/>
          <w:lang w:val="en-US"/>
        </w:rPr>
        <w:t xml:space="preserve"> </w:t>
      </w:r>
      <w:proofErr w:type="spellStart"/>
      <w:r w:rsidRPr="003B2A61">
        <w:rPr>
          <w:rStyle w:val="ref-journal"/>
          <w:rFonts w:ascii="Times New Roman" w:hAnsi="Times New Roman" w:cs="Times New Roman"/>
          <w:color w:val="auto"/>
          <w:sz w:val="28"/>
          <w:szCs w:val="28"/>
          <w:shd w:val="clear" w:color="auto" w:fill="FFFFFF"/>
          <w:lang w:val="en-US"/>
        </w:rPr>
        <w:t>Densitom</w:t>
      </w:r>
      <w:proofErr w:type="spellEnd"/>
      <w:r w:rsidRPr="003B2A61">
        <w:rPr>
          <w:rStyle w:val="ref-journal"/>
          <w:rFonts w:ascii="Times New Roman" w:hAnsi="Times New Roman" w:cs="Times New Roman"/>
          <w:color w:val="auto"/>
          <w:sz w:val="28"/>
          <w:szCs w:val="28"/>
          <w:shd w:val="clear" w:color="auto" w:fill="FFFFFF"/>
          <w:lang w:val="en-US"/>
        </w:rPr>
        <w:t>.</w:t>
      </w:r>
      <w:r w:rsidRPr="003B2A61">
        <w:rPr>
          <w:rStyle w:val="apple-converted-space"/>
          <w:rFonts w:ascii="Times New Roman" w:hAnsi="Times New Roman" w:cs="Times New Roman"/>
          <w:color w:val="auto"/>
          <w:sz w:val="28"/>
          <w:szCs w:val="28"/>
          <w:shd w:val="clear" w:color="auto" w:fill="FFFFFF"/>
          <w:lang w:val="en-US"/>
        </w:rPr>
        <w:t> </w:t>
      </w:r>
      <w:r>
        <w:rPr>
          <w:rStyle w:val="apple-converted-space"/>
          <w:rFonts w:ascii="Times New Roman" w:hAnsi="Times New Roman" w:cs="Times New Roman"/>
          <w:color w:val="auto"/>
          <w:sz w:val="28"/>
          <w:szCs w:val="28"/>
          <w:shd w:val="clear" w:color="auto" w:fill="FFFFFF"/>
          <w:lang w:val="en-US"/>
        </w:rPr>
        <w:t xml:space="preserve">– </w:t>
      </w:r>
      <w:r w:rsidRPr="003B2A61">
        <w:rPr>
          <w:rStyle w:val="element-citation"/>
          <w:rFonts w:ascii="Times New Roman" w:hAnsi="Times New Roman" w:cs="Times New Roman"/>
          <w:color w:val="auto"/>
          <w:sz w:val="28"/>
          <w:szCs w:val="28"/>
          <w:shd w:val="clear" w:color="auto" w:fill="FFFFFF"/>
          <w:lang w:val="en-US"/>
        </w:rPr>
        <w:t xml:space="preserve">2013. – </w:t>
      </w:r>
      <w:r w:rsidRPr="003B2A61">
        <w:rPr>
          <w:rStyle w:val="ref-vol"/>
          <w:rFonts w:ascii="Times New Roman" w:hAnsi="Times New Roman" w:cs="Times New Roman"/>
          <w:color w:val="auto"/>
          <w:sz w:val="28"/>
          <w:szCs w:val="28"/>
          <w:shd w:val="clear" w:color="auto" w:fill="FFFFFF"/>
          <w:lang w:val="en-US"/>
        </w:rPr>
        <w:t>16</w:t>
      </w:r>
      <w:r w:rsidRPr="003B2A61">
        <w:rPr>
          <w:rStyle w:val="element-citation"/>
          <w:rFonts w:ascii="Times New Roman" w:hAnsi="Times New Roman" w:cs="Times New Roman"/>
          <w:color w:val="auto"/>
          <w:sz w:val="28"/>
          <w:szCs w:val="28"/>
          <w:shd w:val="clear" w:color="auto" w:fill="FFFFFF"/>
          <w:lang w:val="en-US"/>
        </w:rPr>
        <w:t xml:space="preserve">. –P. </w:t>
      </w:r>
      <w:r>
        <w:rPr>
          <w:rStyle w:val="element-citation"/>
          <w:rFonts w:ascii="Times New Roman" w:hAnsi="Times New Roman" w:cs="Times New Roman"/>
          <w:color w:val="auto"/>
          <w:sz w:val="28"/>
          <w:szCs w:val="28"/>
          <w:shd w:val="clear" w:color="auto" w:fill="FFFFFF"/>
          <w:lang w:val="en-US"/>
        </w:rPr>
        <w:t>60–63</w:t>
      </w:r>
    </w:p>
    <w:p w:rsidR="006E2A91" w:rsidRPr="003B2A61" w:rsidRDefault="006E2A91" w:rsidP="006E2A91">
      <w:pPr>
        <w:spacing w:line="360" w:lineRule="auto"/>
        <w:jc w:val="both"/>
        <w:rPr>
          <w:rFonts w:ascii="Times New Roman" w:hAnsi="Times New Roman" w:cs="Times New Roman"/>
          <w:caps/>
          <w:sz w:val="28"/>
          <w:szCs w:val="28"/>
          <w:lang w:val="en-US"/>
        </w:rPr>
      </w:pPr>
      <w:r>
        <w:rPr>
          <w:rFonts w:ascii="Times New Roman" w:eastAsia="Times New Roman" w:hAnsi="Times New Roman" w:cs="Times New Roman"/>
          <w:bCs/>
          <w:kern w:val="36"/>
          <w:sz w:val="28"/>
          <w:szCs w:val="28"/>
          <w:lang w:val="en-US" w:eastAsia="ru-RU"/>
        </w:rPr>
        <w:t>29</w:t>
      </w:r>
      <w:r w:rsidRPr="003B2A61">
        <w:rPr>
          <w:rFonts w:ascii="Times New Roman" w:eastAsia="Times New Roman" w:hAnsi="Times New Roman" w:cs="Times New Roman"/>
          <w:bCs/>
          <w:kern w:val="36"/>
          <w:sz w:val="28"/>
          <w:szCs w:val="28"/>
          <w:lang w:val="en-US" w:eastAsia="ru-RU"/>
        </w:rPr>
        <w:t xml:space="preserve">. </w:t>
      </w:r>
      <w:r w:rsidRPr="003B2A61">
        <w:rPr>
          <w:rFonts w:ascii="Times New Roman" w:hAnsi="Times New Roman" w:cs="Times New Roman"/>
          <w:sz w:val="28"/>
          <w:szCs w:val="28"/>
          <w:shd w:val="clear" w:color="auto" w:fill="FFFFFF"/>
          <w:lang w:val="en-US"/>
        </w:rPr>
        <w:t>Khan</w:t>
      </w:r>
      <w:r>
        <w:rPr>
          <w:rFonts w:ascii="Times New Roman" w:hAnsi="Times New Roman" w:cs="Times New Roman"/>
          <w:sz w:val="28"/>
          <w:szCs w:val="28"/>
          <w:shd w:val="clear" w:color="auto" w:fill="FFFFFF"/>
          <w:lang w:val="en-US"/>
        </w:rPr>
        <w:t xml:space="preserve"> A.</w:t>
      </w:r>
      <w:r w:rsidRPr="003B2A61">
        <w:rPr>
          <w:rFonts w:ascii="Times New Roman" w:hAnsi="Times New Roman" w:cs="Times New Roman"/>
          <w:sz w:val="28"/>
          <w:szCs w:val="28"/>
          <w:shd w:val="clear" w:color="auto" w:fill="FFFFFF"/>
          <w:lang w:val="en-US"/>
        </w:rPr>
        <w:t>A.</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xml:space="preserve"> </w:t>
      </w:r>
      <w:r w:rsidRPr="003542DB">
        <w:rPr>
          <w:rFonts w:ascii="Times New Roman" w:hAnsi="Times New Roman" w:cs="Times New Roman"/>
          <w:sz w:val="28"/>
          <w:szCs w:val="28"/>
          <w:shd w:val="clear" w:color="auto" w:fill="FFFFFF"/>
          <w:lang w:val="en-US"/>
        </w:rPr>
        <w:t>Hanley</w:t>
      </w:r>
      <w:r w:rsidRPr="00D221C1">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D.</w:t>
      </w:r>
      <w:r w:rsidRPr="003542DB">
        <w:rPr>
          <w:rFonts w:ascii="Times New Roman" w:hAnsi="Times New Roman" w:cs="Times New Roman"/>
          <w:sz w:val="28"/>
          <w:szCs w:val="28"/>
          <w:shd w:val="clear" w:color="auto" w:fill="FFFFFF"/>
          <w:lang w:val="en-US"/>
        </w:rPr>
        <w:t>A.</w:t>
      </w:r>
      <w:r w:rsidRPr="003B2A61">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vertAlign w:val="superscript"/>
          <w:lang w:val="en-US"/>
        </w:rPr>
        <w:t xml:space="preserve"> </w:t>
      </w:r>
      <w:r w:rsidRPr="003542DB">
        <w:rPr>
          <w:rFonts w:ascii="Times New Roman" w:hAnsi="Times New Roman" w:cs="Times New Roman"/>
          <w:sz w:val="28"/>
          <w:szCs w:val="28"/>
          <w:shd w:val="clear" w:color="auto" w:fill="FFFFFF"/>
          <w:lang w:val="en-US"/>
        </w:rPr>
        <w:t>Rizzoli</w:t>
      </w:r>
      <w:r w:rsidRPr="00D221C1">
        <w:rPr>
          <w:rFonts w:ascii="Times New Roman" w:hAnsi="Times New Roman" w:cs="Times New Roman"/>
          <w:sz w:val="28"/>
          <w:szCs w:val="28"/>
          <w:shd w:val="clear" w:color="auto" w:fill="FFFFFF"/>
          <w:lang w:val="en-US"/>
        </w:rPr>
        <w:t xml:space="preserve"> </w:t>
      </w:r>
      <w:r w:rsidRPr="003542DB">
        <w:rPr>
          <w:rFonts w:ascii="Times New Roman" w:hAnsi="Times New Roman" w:cs="Times New Roman"/>
          <w:sz w:val="28"/>
          <w:szCs w:val="28"/>
          <w:shd w:val="clear" w:color="auto" w:fill="FFFFFF"/>
          <w:lang w:val="en-US"/>
        </w:rPr>
        <w:t>R</w:t>
      </w:r>
      <w:r w:rsidRPr="003B2A61">
        <w:rPr>
          <w:rFonts w:ascii="Times New Roman" w:hAnsi="Times New Roman" w:cs="Times New Roman"/>
          <w:sz w:val="28"/>
          <w:szCs w:val="28"/>
          <w:shd w:val="clear" w:color="auto" w:fill="FFFFFF"/>
          <w:lang w:val="en-US"/>
        </w:rPr>
        <w:t xml:space="preserve">. </w:t>
      </w:r>
      <w:r w:rsidRPr="003B2A61">
        <w:rPr>
          <w:rFonts w:ascii="Times New Roman" w:eastAsia="Times New Roman" w:hAnsi="Times New Roman" w:cs="Times New Roman"/>
          <w:bCs/>
          <w:kern w:val="36"/>
          <w:sz w:val="28"/>
          <w:szCs w:val="28"/>
          <w:lang w:val="en-US" w:eastAsia="ru-RU"/>
        </w:rPr>
        <w:t xml:space="preserve">Primary hyperparathyroidism: review and recommendations on evaluation, diagnosis, and management. </w:t>
      </w:r>
      <w:proofErr w:type="gramStart"/>
      <w:r w:rsidRPr="003B2A61">
        <w:rPr>
          <w:rFonts w:ascii="Times New Roman" w:eastAsia="Times New Roman" w:hAnsi="Times New Roman" w:cs="Times New Roman"/>
          <w:bCs/>
          <w:kern w:val="36"/>
          <w:sz w:val="28"/>
          <w:szCs w:val="28"/>
          <w:lang w:val="en-US" w:eastAsia="ru-RU"/>
        </w:rPr>
        <w:t>A Canadian and international consensus.</w:t>
      </w:r>
      <w:proofErr w:type="gramEnd"/>
      <w:r w:rsidRPr="003B2A61">
        <w:rPr>
          <w:rFonts w:ascii="Times New Roman" w:eastAsia="Times New Roman" w:hAnsi="Times New Roman" w:cs="Times New Roman"/>
          <w:bCs/>
          <w:kern w:val="36"/>
          <w:sz w:val="28"/>
          <w:szCs w:val="28"/>
          <w:lang w:val="en-US" w:eastAsia="ru-RU"/>
        </w:rPr>
        <w:t xml:space="preserve"> –</w:t>
      </w:r>
      <w:hyperlink r:id="rId40" w:history="1">
        <w:r w:rsidRPr="0021739D">
          <w:rPr>
            <w:rStyle w:val="af"/>
            <w:rFonts w:ascii="Times New Roman" w:hAnsi="Times New Roman" w:cs="Times New Roman"/>
            <w:color w:val="auto"/>
            <w:sz w:val="28"/>
            <w:szCs w:val="28"/>
            <w:u w:val="none"/>
            <w:shd w:val="clear" w:color="auto" w:fill="FFFFFF"/>
            <w:lang w:val="en-US"/>
          </w:rPr>
          <w:t>Osteoporosis Int</w:t>
        </w:r>
      </w:hyperlink>
      <w:r w:rsidRPr="0021739D">
        <w:rPr>
          <w:rFonts w:ascii="Times New Roman" w:hAnsi="Times New Roman" w:cs="Times New Roman"/>
          <w:sz w:val="28"/>
          <w:szCs w:val="28"/>
          <w:lang w:val="en-US"/>
        </w:rPr>
        <w:t>ernational</w:t>
      </w:r>
      <w:r w:rsidRPr="0021739D">
        <w:rPr>
          <w:rFonts w:ascii="Times New Roman" w:eastAsia="Times New Roman" w:hAnsi="Times New Roman" w:cs="Times New Roman"/>
          <w:bCs/>
          <w:kern w:val="36"/>
          <w:sz w:val="28"/>
          <w:szCs w:val="28"/>
          <w:lang w:val="en-US" w:eastAsia="ru-RU"/>
        </w:rPr>
        <w:t xml:space="preserve"> </w:t>
      </w:r>
      <w:r w:rsidRPr="003B2A61">
        <w:rPr>
          <w:rFonts w:ascii="Times New Roman" w:eastAsia="Times New Roman" w:hAnsi="Times New Roman" w:cs="Times New Roman"/>
          <w:bCs/>
          <w:kern w:val="36"/>
          <w:sz w:val="28"/>
          <w:szCs w:val="28"/>
          <w:lang w:val="en-US" w:eastAsia="ru-RU"/>
        </w:rPr>
        <w:t>J</w:t>
      </w:r>
      <w:r>
        <w:rPr>
          <w:rFonts w:ascii="Times New Roman" w:eastAsia="Times New Roman" w:hAnsi="Times New Roman" w:cs="Times New Roman"/>
          <w:bCs/>
          <w:kern w:val="36"/>
          <w:sz w:val="28"/>
          <w:szCs w:val="28"/>
          <w:lang w:val="en-US" w:eastAsia="ru-RU"/>
        </w:rPr>
        <w:t>ournal</w:t>
      </w:r>
      <w:r w:rsidRPr="003B2A61">
        <w:rPr>
          <w:rFonts w:ascii="Times New Roman" w:hAnsi="Times New Roman" w:cs="Times New Roman"/>
          <w:sz w:val="28"/>
          <w:szCs w:val="28"/>
          <w:shd w:val="clear" w:color="auto" w:fill="FFFFFF"/>
          <w:lang w:val="en-US"/>
        </w:rPr>
        <w:t xml:space="preserve">. – </w:t>
      </w:r>
      <w:r>
        <w:rPr>
          <w:rFonts w:ascii="Times New Roman" w:hAnsi="Times New Roman" w:cs="Times New Roman"/>
          <w:sz w:val="28"/>
          <w:szCs w:val="28"/>
          <w:shd w:val="clear" w:color="auto" w:fill="FFFFFF"/>
          <w:lang w:val="en-US"/>
        </w:rPr>
        <w:t>2017. –</w:t>
      </w:r>
      <w:r w:rsidRPr="003B2A61">
        <w:rPr>
          <w:rFonts w:ascii="Times New Roman" w:hAnsi="Times New Roman" w:cs="Times New Roman"/>
          <w:sz w:val="28"/>
          <w:szCs w:val="28"/>
          <w:shd w:val="clear" w:color="auto" w:fill="FFFFFF"/>
          <w:lang w:val="en-US"/>
        </w:rPr>
        <w:t xml:space="preserve"> 28(1). – P. 1–19</w:t>
      </w:r>
    </w:p>
    <w:p w:rsidR="006E2A91" w:rsidRPr="003B2A61" w:rsidRDefault="006E2A91" w:rsidP="006E2A9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30</w:t>
      </w:r>
      <w:r w:rsidRPr="003B2A61">
        <w:rPr>
          <w:rFonts w:ascii="Times New Roman" w:hAnsi="Times New Roman" w:cs="Times New Roman"/>
          <w:sz w:val="28"/>
          <w:szCs w:val="28"/>
          <w:lang w:val="en-US"/>
        </w:rPr>
        <w:t>. Kim</w:t>
      </w:r>
      <w:r w:rsidRPr="0050666D">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L</w:t>
      </w:r>
      <w:r w:rsidRPr="0050666D">
        <w:rPr>
          <w:rFonts w:ascii="Times New Roman" w:hAnsi="Times New Roman" w:cs="Times New Roman"/>
          <w:sz w:val="28"/>
          <w:szCs w:val="28"/>
          <w:lang w:val="en-US"/>
        </w:rPr>
        <w:t>.</w:t>
      </w:r>
      <w:r w:rsidRPr="003B2A61">
        <w:rPr>
          <w:rFonts w:ascii="Times New Roman" w:hAnsi="Times New Roman" w:cs="Times New Roman"/>
          <w:sz w:val="28"/>
          <w:szCs w:val="28"/>
          <w:lang w:val="en-US"/>
        </w:rPr>
        <w:t xml:space="preserve"> Hyperparathyroidism. – </w:t>
      </w:r>
      <w:proofErr w:type="spellStart"/>
      <w:r w:rsidRPr="003B2A61">
        <w:rPr>
          <w:rFonts w:ascii="Times New Roman" w:hAnsi="Times New Roman" w:cs="Times New Roman"/>
          <w:sz w:val="28"/>
          <w:szCs w:val="28"/>
          <w:lang w:val="en-US"/>
        </w:rPr>
        <w:t>Medscape</w:t>
      </w:r>
      <w:proofErr w:type="spellEnd"/>
      <w:r w:rsidRPr="003B2A61">
        <w:rPr>
          <w:rFonts w:ascii="Times New Roman" w:hAnsi="Times New Roman" w:cs="Times New Roman"/>
          <w:sz w:val="28"/>
          <w:szCs w:val="28"/>
          <w:lang w:val="en-US"/>
        </w:rPr>
        <w:t>. – 2016</w:t>
      </w:r>
    </w:p>
    <w:p w:rsidR="006E2A91" w:rsidRPr="003B2A61" w:rsidRDefault="006E2A91" w:rsidP="006E2A91">
      <w:pPr>
        <w:spacing w:line="360" w:lineRule="auto"/>
        <w:jc w:val="both"/>
        <w:rPr>
          <w:rStyle w:val="apple-converted-space"/>
          <w:rFonts w:ascii="Times New Roman" w:hAnsi="Times New Roman" w:cs="Times New Roman"/>
          <w:color w:val="auto"/>
          <w:sz w:val="28"/>
          <w:szCs w:val="28"/>
          <w:lang w:val="en-US"/>
        </w:rPr>
      </w:pPr>
      <w:r>
        <w:rPr>
          <w:rFonts w:ascii="Times New Roman" w:hAnsi="Times New Roman" w:cs="Times New Roman"/>
          <w:sz w:val="28"/>
          <w:szCs w:val="28"/>
          <w:lang w:val="en-US"/>
        </w:rPr>
        <w:t>31</w:t>
      </w:r>
      <w:r w:rsidRPr="003B2A61">
        <w:rPr>
          <w:rFonts w:ascii="Times New Roman" w:hAnsi="Times New Roman" w:cs="Times New Roman"/>
          <w:sz w:val="28"/>
          <w:szCs w:val="28"/>
          <w:lang w:val="en-US"/>
        </w:rPr>
        <w:t xml:space="preserve">. </w:t>
      </w:r>
      <w:proofErr w:type="spellStart"/>
      <w:r w:rsidRPr="003B2A61">
        <w:rPr>
          <w:rFonts w:ascii="Times New Roman" w:hAnsi="Times New Roman" w:cs="Times New Roman"/>
          <w:sz w:val="28"/>
          <w:szCs w:val="28"/>
          <w:lang w:val="en-US"/>
        </w:rPr>
        <w:t>Kukora</w:t>
      </w:r>
      <w:proofErr w:type="spellEnd"/>
      <w:r w:rsidRPr="0021739D">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J</w:t>
      </w:r>
      <w:r>
        <w:rPr>
          <w:rFonts w:ascii="Times New Roman" w:hAnsi="Times New Roman" w:cs="Times New Roman"/>
          <w:sz w:val="28"/>
          <w:szCs w:val="28"/>
          <w:lang w:val="en-US"/>
        </w:rPr>
        <w:t>.</w:t>
      </w:r>
      <w:r w:rsidRPr="003B2A61">
        <w:rPr>
          <w:rFonts w:ascii="Times New Roman" w:hAnsi="Times New Roman" w:cs="Times New Roman"/>
          <w:sz w:val="28"/>
          <w:szCs w:val="28"/>
          <w:lang w:val="en-US"/>
        </w:rPr>
        <w:t xml:space="preserve">S., </w:t>
      </w:r>
      <w:proofErr w:type="spellStart"/>
      <w:r w:rsidRPr="003B2A61">
        <w:rPr>
          <w:rFonts w:ascii="Times New Roman" w:hAnsi="Times New Roman" w:cs="Times New Roman"/>
          <w:sz w:val="28"/>
          <w:szCs w:val="28"/>
          <w:lang w:val="en-US"/>
        </w:rPr>
        <w:t>Zeiger</w:t>
      </w:r>
      <w:proofErr w:type="spellEnd"/>
      <w:r w:rsidRPr="0021739D">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M</w:t>
      </w:r>
      <w:r>
        <w:rPr>
          <w:rFonts w:ascii="Times New Roman" w:hAnsi="Times New Roman" w:cs="Times New Roman"/>
          <w:sz w:val="28"/>
          <w:szCs w:val="28"/>
          <w:lang w:val="en-US"/>
        </w:rPr>
        <w:t>.</w:t>
      </w:r>
      <w:r w:rsidRPr="003B2A61">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 xml:space="preserve">Diagnosis and Management of Primary Hyperparathyroidism Endocrine practice. – 2005. – </w:t>
      </w:r>
      <w:r>
        <w:rPr>
          <w:rFonts w:ascii="Times New Roman" w:hAnsi="Times New Roman" w:cs="Times New Roman"/>
          <w:sz w:val="28"/>
          <w:szCs w:val="28"/>
          <w:lang w:val="en-US"/>
        </w:rPr>
        <w:t xml:space="preserve">V.11. </w:t>
      </w:r>
      <w:proofErr w:type="gramStart"/>
      <w:r>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 1.</w:t>
      </w:r>
      <w:proofErr w:type="gramEnd"/>
      <w:r w:rsidRPr="003B2A61">
        <w:rPr>
          <w:rFonts w:ascii="Times New Roman" w:hAnsi="Times New Roman" w:cs="Times New Roman"/>
          <w:sz w:val="28"/>
          <w:szCs w:val="28"/>
          <w:lang w:val="en-US"/>
        </w:rPr>
        <w:t xml:space="preserve"> – P. 49-54</w:t>
      </w:r>
      <w:r w:rsidRPr="003B2A61">
        <w:rPr>
          <w:rStyle w:val="apple-converted-space"/>
          <w:rFonts w:ascii="Times New Roman" w:hAnsi="Times New Roman" w:cs="Times New Roman"/>
          <w:color w:val="auto"/>
          <w:sz w:val="28"/>
          <w:szCs w:val="28"/>
          <w:lang w:val="en-US"/>
        </w:rPr>
        <w:t xml:space="preserve">  </w:t>
      </w:r>
    </w:p>
    <w:p w:rsidR="006E2A91" w:rsidRPr="003B2A61" w:rsidRDefault="006E2A91" w:rsidP="006E2A91">
      <w:pPr>
        <w:spacing w:line="360" w:lineRule="auto"/>
        <w:jc w:val="both"/>
        <w:rPr>
          <w:rFonts w:ascii="Times New Roman" w:hAnsi="Times New Roman" w:cs="Times New Roman"/>
          <w:sz w:val="28"/>
          <w:szCs w:val="28"/>
          <w:lang w:val="en-US"/>
        </w:rPr>
      </w:pPr>
      <w:r w:rsidRPr="0070117E">
        <w:rPr>
          <w:rFonts w:ascii="Times New Roman" w:hAnsi="Times New Roman" w:cs="Times New Roman"/>
          <w:sz w:val="28"/>
          <w:szCs w:val="28"/>
          <w:lang w:val="en-US"/>
        </w:rPr>
        <w:t>3</w:t>
      </w:r>
      <w:r>
        <w:rPr>
          <w:rFonts w:ascii="Times New Roman" w:hAnsi="Times New Roman" w:cs="Times New Roman"/>
          <w:sz w:val="28"/>
          <w:szCs w:val="28"/>
          <w:lang w:val="en-US"/>
        </w:rPr>
        <w:t>2</w:t>
      </w:r>
      <w:r w:rsidRPr="003B2A61">
        <w:rPr>
          <w:rFonts w:ascii="Times New Roman" w:hAnsi="Times New Roman" w:cs="Times New Roman"/>
          <w:sz w:val="28"/>
          <w:szCs w:val="28"/>
          <w:lang w:val="en-US"/>
        </w:rPr>
        <w:t>.</w:t>
      </w:r>
      <w:r w:rsidRPr="0070117E">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Kumar</w:t>
      </w:r>
      <w:r w:rsidRPr="0070117E">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R</w:t>
      </w:r>
      <w:r w:rsidRPr="0070117E">
        <w:rPr>
          <w:rFonts w:ascii="Times New Roman" w:hAnsi="Times New Roman" w:cs="Times New Roman"/>
          <w:sz w:val="28"/>
          <w:szCs w:val="28"/>
          <w:lang w:val="en-US"/>
        </w:rPr>
        <w:t>.</w:t>
      </w:r>
      <w:r w:rsidRPr="003B2A61">
        <w:rPr>
          <w:rFonts w:ascii="Times New Roman" w:hAnsi="Times New Roman" w:cs="Times New Roman"/>
          <w:sz w:val="28"/>
          <w:szCs w:val="28"/>
          <w:lang w:val="en-US"/>
        </w:rPr>
        <w:t>, Thompson</w:t>
      </w:r>
      <w:r w:rsidRPr="0070117E">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J</w:t>
      </w:r>
      <w:r w:rsidRPr="0070117E">
        <w:rPr>
          <w:rFonts w:ascii="Times New Roman" w:hAnsi="Times New Roman" w:cs="Times New Roman"/>
          <w:sz w:val="28"/>
          <w:szCs w:val="28"/>
          <w:lang w:val="en-US"/>
        </w:rPr>
        <w:t>.</w:t>
      </w:r>
      <w:r w:rsidRPr="003B2A61">
        <w:rPr>
          <w:rFonts w:ascii="Times New Roman" w:hAnsi="Times New Roman" w:cs="Times New Roman"/>
          <w:sz w:val="28"/>
          <w:szCs w:val="28"/>
          <w:lang w:val="en-US"/>
        </w:rPr>
        <w:t>R.</w:t>
      </w:r>
      <w:r w:rsidRPr="0070117E">
        <w:rPr>
          <w:rFonts w:ascii="Times New Roman" w:hAnsi="Times New Roman" w:cs="Times New Roman"/>
          <w:sz w:val="28"/>
          <w:szCs w:val="28"/>
          <w:lang w:val="en-US"/>
        </w:rPr>
        <w:t xml:space="preserve"> </w:t>
      </w:r>
      <w:proofErr w:type="gramStart"/>
      <w:r w:rsidRPr="003B2A61">
        <w:rPr>
          <w:rFonts w:ascii="Times New Roman" w:hAnsi="Times New Roman" w:cs="Times New Roman"/>
          <w:sz w:val="28"/>
          <w:szCs w:val="28"/>
          <w:lang w:val="en-US"/>
        </w:rPr>
        <w:t>The Regulation of Parathyroid Hormo</w:t>
      </w:r>
      <w:r>
        <w:rPr>
          <w:rFonts w:ascii="Times New Roman" w:hAnsi="Times New Roman" w:cs="Times New Roman"/>
          <w:sz w:val="28"/>
          <w:szCs w:val="28"/>
          <w:lang w:val="en-US"/>
        </w:rPr>
        <w:t>ne Secretion and Synthesis.</w:t>
      </w:r>
      <w:proofErr w:type="gramEnd"/>
      <w:r>
        <w:rPr>
          <w:rFonts w:ascii="Times New Roman" w:hAnsi="Times New Roman" w:cs="Times New Roman"/>
          <w:sz w:val="28"/>
          <w:szCs w:val="28"/>
          <w:lang w:val="en-US"/>
        </w:rPr>
        <w:t xml:space="preserve"> – The Journal</w:t>
      </w:r>
      <w:r w:rsidRPr="003B2A61">
        <w:rPr>
          <w:rFonts w:ascii="Times New Roman" w:hAnsi="Times New Roman" w:cs="Times New Roman"/>
          <w:sz w:val="28"/>
          <w:szCs w:val="28"/>
          <w:lang w:val="en-US"/>
        </w:rPr>
        <w:t xml:space="preserve"> of the American society of nephrology. – </w:t>
      </w:r>
      <w:r w:rsidRPr="003B2A61">
        <w:rPr>
          <w:rStyle w:val="slug-pub-date"/>
          <w:rFonts w:ascii="Times New Roman" w:hAnsi="Times New Roman" w:cs="Times New Roman"/>
          <w:bCs/>
          <w:color w:val="auto"/>
          <w:sz w:val="28"/>
          <w:szCs w:val="28"/>
          <w:bdr w:val="none" w:sz="0" w:space="0" w:color="auto" w:frame="1"/>
          <w:shd w:val="clear" w:color="auto" w:fill="FFFFFF"/>
          <w:lang w:val="en-US"/>
        </w:rPr>
        <w:t xml:space="preserve">2011. </w:t>
      </w:r>
      <w:proofErr w:type="gramStart"/>
      <w:r w:rsidRPr="003B2A61">
        <w:rPr>
          <w:rStyle w:val="slug-pub-date"/>
          <w:rFonts w:ascii="Times New Roman" w:hAnsi="Times New Roman" w:cs="Times New Roman"/>
          <w:bCs/>
          <w:color w:val="auto"/>
          <w:sz w:val="28"/>
          <w:szCs w:val="28"/>
          <w:bdr w:val="none" w:sz="0" w:space="0" w:color="auto" w:frame="1"/>
          <w:shd w:val="clear" w:color="auto" w:fill="FFFFFF"/>
          <w:lang w:val="en-US"/>
        </w:rPr>
        <w:t xml:space="preserve">– </w:t>
      </w:r>
      <w:r w:rsidRPr="003B2A61">
        <w:rPr>
          <w:rStyle w:val="apple-converted-space"/>
          <w:rFonts w:ascii="Times New Roman" w:hAnsi="Times New Roman" w:cs="Times New Roman"/>
          <w:bCs/>
          <w:color w:val="auto"/>
          <w:sz w:val="28"/>
          <w:szCs w:val="28"/>
          <w:bdr w:val="none" w:sz="0" w:space="0" w:color="auto" w:frame="1"/>
          <w:shd w:val="clear" w:color="auto" w:fill="FFFFFF"/>
          <w:lang w:val="en-US"/>
        </w:rPr>
        <w:t> </w:t>
      </w:r>
      <w:r>
        <w:rPr>
          <w:rStyle w:val="slug-vol"/>
          <w:rFonts w:ascii="Times New Roman" w:hAnsi="Times New Roman" w:cs="Times New Roman"/>
          <w:color w:val="auto"/>
          <w:sz w:val="28"/>
          <w:szCs w:val="28"/>
          <w:bdr w:val="none" w:sz="0" w:space="0" w:color="auto" w:frame="1"/>
          <w:shd w:val="clear" w:color="auto" w:fill="FFFFFF"/>
          <w:lang w:val="en-US"/>
        </w:rPr>
        <w:t>V</w:t>
      </w:r>
      <w:proofErr w:type="gramEnd"/>
      <w:r w:rsidRPr="003B2A61">
        <w:rPr>
          <w:rStyle w:val="slug-vol"/>
          <w:rFonts w:ascii="Times New Roman" w:hAnsi="Times New Roman" w:cs="Times New Roman"/>
          <w:color w:val="auto"/>
          <w:sz w:val="28"/>
          <w:szCs w:val="28"/>
          <w:bdr w:val="none" w:sz="0" w:space="0" w:color="auto" w:frame="1"/>
          <w:shd w:val="clear" w:color="auto" w:fill="FFFFFF"/>
          <w:lang w:val="en-US"/>
        </w:rPr>
        <w:t>. 22</w:t>
      </w:r>
      <w:r>
        <w:rPr>
          <w:rStyle w:val="slug-issue"/>
          <w:rFonts w:ascii="Times New Roman" w:hAnsi="Times New Roman" w:cs="Times New Roman"/>
          <w:color w:val="auto"/>
          <w:sz w:val="28"/>
          <w:szCs w:val="28"/>
          <w:bdr w:val="none" w:sz="0" w:space="0" w:color="auto" w:frame="1"/>
          <w:shd w:val="clear" w:color="auto" w:fill="FFFFFF"/>
          <w:lang w:val="en-US"/>
        </w:rPr>
        <w:t xml:space="preserve"> (</w:t>
      </w:r>
      <w:r w:rsidRPr="003B2A61">
        <w:rPr>
          <w:rStyle w:val="slug-issue"/>
          <w:rFonts w:ascii="Times New Roman" w:hAnsi="Times New Roman" w:cs="Times New Roman"/>
          <w:color w:val="auto"/>
          <w:sz w:val="28"/>
          <w:szCs w:val="28"/>
          <w:bdr w:val="none" w:sz="0" w:space="0" w:color="auto" w:frame="1"/>
          <w:shd w:val="clear" w:color="auto" w:fill="FFFFFF"/>
          <w:lang w:val="en-US"/>
        </w:rPr>
        <w:t>№2</w:t>
      </w:r>
      <w:r>
        <w:rPr>
          <w:rStyle w:val="slug-issue"/>
          <w:rFonts w:ascii="Times New Roman" w:hAnsi="Times New Roman" w:cs="Times New Roman"/>
          <w:color w:val="auto"/>
          <w:sz w:val="28"/>
          <w:szCs w:val="28"/>
          <w:bdr w:val="none" w:sz="0" w:space="0" w:color="auto" w:frame="1"/>
          <w:shd w:val="clear" w:color="auto" w:fill="FFFFFF"/>
          <w:lang w:val="en-US"/>
        </w:rPr>
        <w:t>)</w:t>
      </w:r>
      <w:r w:rsidRPr="003B2A61">
        <w:rPr>
          <w:rStyle w:val="slug-issue"/>
          <w:rFonts w:ascii="Times New Roman" w:hAnsi="Times New Roman" w:cs="Times New Roman"/>
          <w:color w:val="auto"/>
          <w:sz w:val="28"/>
          <w:szCs w:val="28"/>
          <w:bdr w:val="none" w:sz="0" w:space="0" w:color="auto" w:frame="1"/>
          <w:shd w:val="clear" w:color="auto" w:fill="FFFFFF"/>
          <w:lang w:val="en-US"/>
        </w:rPr>
        <w:t>. – P.</w:t>
      </w:r>
      <w:r w:rsidRPr="003B2A61">
        <w:rPr>
          <w:rStyle w:val="apple-converted-space"/>
          <w:rFonts w:ascii="Times New Roman" w:hAnsi="Times New Roman" w:cs="Times New Roman"/>
          <w:color w:val="auto"/>
          <w:sz w:val="28"/>
          <w:szCs w:val="28"/>
          <w:bdr w:val="none" w:sz="0" w:space="0" w:color="auto" w:frame="1"/>
          <w:shd w:val="clear" w:color="auto" w:fill="FFFFFF"/>
          <w:lang w:val="en-US"/>
        </w:rPr>
        <w:t> </w:t>
      </w:r>
      <w:r w:rsidRPr="003B2A61">
        <w:rPr>
          <w:rStyle w:val="slug-pages"/>
          <w:rFonts w:ascii="Times New Roman" w:hAnsi="Times New Roman" w:cs="Times New Roman"/>
          <w:bCs/>
          <w:color w:val="auto"/>
          <w:sz w:val="28"/>
          <w:szCs w:val="28"/>
          <w:bdr w:val="none" w:sz="0" w:space="0" w:color="auto" w:frame="1"/>
          <w:shd w:val="clear" w:color="auto" w:fill="FFFFFF"/>
          <w:lang w:val="en-US"/>
        </w:rPr>
        <w:t>216-224</w:t>
      </w:r>
    </w:p>
    <w:p w:rsidR="006E2A91" w:rsidRPr="00710802" w:rsidRDefault="006E2A91" w:rsidP="006E2A91">
      <w:pPr>
        <w:spacing w:line="360" w:lineRule="auto"/>
        <w:jc w:val="both"/>
        <w:rPr>
          <w:rFonts w:ascii="Times New Roman" w:hAnsi="Times New Roman" w:cs="Times New Roman"/>
          <w:sz w:val="28"/>
          <w:szCs w:val="28"/>
          <w:lang w:val="en-US"/>
        </w:rPr>
      </w:pPr>
      <w:r w:rsidRPr="0070117E">
        <w:rPr>
          <w:rFonts w:ascii="Times New Roman" w:eastAsia="Times New Roman" w:hAnsi="Times New Roman" w:cs="Times New Roman"/>
          <w:sz w:val="28"/>
          <w:szCs w:val="28"/>
          <w:lang w:val="en-US" w:eastAsia="ru-RU"/>
        </w:rPr>
        <w:t>3</w:t>
      </w:r>
      <w:r>
        <w:rPr>
          <w:rFonts w:ascii="Times New Roman" w:eastAsia="Times New Roman" w:hAnsi="Times New Roman" w:cs="Times New Roman"/>
          <w:sz w:val="28"/>
          <w:szCs w:val="28"/>
          <w:lang w:val="en-US" w:eastAsia="ru-RU"/>
        </w:rPr>
        <w:t>3</w:t>
      </w:r>
      <w:r w:rsidRPr="003B2A61">
        <w:rPr>
          <w:rFonts w:ascii="Times New Roman" w:eastAsia="Times New Roman" w:hAnsi="Times New Roman" w:cs="Times New Roman"/>
          <w:sz w:val="28"/>
          <w:szCs w:val="28"/>
          <w:lang w:val="en-US" w:eastAsia="ru-RU"/>
        </w:rPr>
        <w:t xml:space="preserve">. </w:t>
      </w:r>
      <w:proofErr w:type="spellStart"/>
      <w:r w:rsidRPr="003B2A61">
        <w:rPr>
          <w:rFonts w:ascii="Times New Roman" w:eastAsia="Times New Roman" w:hAnsi="Times New Roman" w:cs="Times New Roman"/>
          <w:sz w:val="28"/>
          <w:szCs w:val="28"/>
          <w:lang w:val="en-US" w:eastAsia="ru-RU"/>
        </w:rPr>
        <w:t>Melmed</w:t>
      </w:r>
      <w:proofErr w:type="spellEnd"/>
      <w:r w:rsidRPr="0070117E">
        <w:rPr>
          <w:rFonts w:ascii="Times New Roman" w:eastAsia="Times New Roman" w:hAnsi="Times New Roman" w:cs="Times New Roman"/>
          <w:sz w:val="28"/>
          <w:szCs w:val="28"/>
          <w:lang w:val="en-US" w:eastAsia="ru-RU"/>
        </w:rPr>
        <w:t xml:space="preserve"> </w:t>
      </w:r>
      <w:r w:rsidRPr="003B2A61">
        <w:rPr>
          <w:rFonts w:ascii="Times New Roman" w:eastAsia="Times New Roman" w:hAnsi="Times New Roman" w:cs="Times New Roman"/>
          <w:sz w:val="28"/>
          <w:szCs w:val="28"/>
          <w:lang w:val="en-US" w:eastAsia="ru-RU"/>
        </w:rPr>
        <w:t>S</w:t>
      </w:r>
      <w:r w:rsidRPr="0070117E">
        <w:rPr>
          <w:rFonts w:ascii="Times New Roman" w:eastAsia="Times New Roman" w:hAnsi="Times New Roman" w:cs="Times New Roman"/>
          <w:sz w:val="28"/>
          <w:szCs w:val="28"/>
          <w:lang w:val="en-US" w:eastAsia="ru-RU"/>
        </w:rPr>
        <w:t>.</w:t>
      </w:r>
      <w:r w:rsidRPr="003B2A61">
        <w:rPr>
          <w:rFonts w:ascii="Times New Roman" w:eastAsia="Times New Roman" w:hAnsi="Times New Roman" w:cs="Times New Roman"/>
          <w:sz w:val="28"/>
          <w:szCs w:val="28"/>
          <w:lang w:val="en-US" w:eastAsia="ru-RU"/>
        </w:rPr>
        <w:t xml:space="preserve">, </w:t>
      </w:r>
      <w:proofErr w:type="spellStart"/>
      <w:r w:rsidRPr="003B2A61">
        <w:rPr>
          <w:rFonts w:ascii="Times New Roman" w:eastAsia="Times New Roman" w:hAnsi="Times New Roman" w:cs="Times New Roman"/>
          <w:sz w:val="28"/>
          <w:szCs w:val="28"/>
          <w:lang w:val="en-US" w:eastAsia="ru-RU"/>
        </w:rPr>
        <w:t>Polonsky</w:t>
      </w:r>
      <w:proofErr w:type="spellEnd"/>
      <w:r w:rsidRPr="0070117E">
        <w:rPr>
          <w:rFonts w:ascii="Times New Roman" w:eastAsia="Times New Roman" w:hAnsi="Times New Roman" w:cs="Times New Roman"/>
          <w:sz w:val="28"/>
          <w:szCs w:val="28"/>
          <w:lang w:val="en-US" w:eastAsia="ru-RU"/>
        </w:rPr>
        <w:t xml:space="preserve"> </w:t>
      </w:r>
      <w:r w:rsidRPr="003B2A61">
        <w:rPr>
          <w:rFonts w:ascii="Times New Roman" w:eastAsia="Times New Roman" w:hAnsi="Times New Roman" w:cs="Times New Roman"/>
          <w:sz w:val="28"/>
          <w:szCs w:val="28"/>
          <w:lang w:val="en-US" w:eastAsia="ru-RU"/>
        </w:rPr>
        <w:t>K</w:t>
      </w:r>
      <w:r w:rsidRPr="0070117E">
        <w:rPr>
          <w:rFonts w:ascii="Times New Roman" w:eastAsia="Times New Roman" w:hAnsi="Times New Roman" w:cs="Times New Roman"/>
          <w:sz w:val="28"/>
          <w:szCs w:val="28"/>
          <w:lang w:val="en-US" w:eastAsia="ru-RU"/>
        </w:rPr>
        <w:t>.</w:t>
      </w:r>
      <w:r w:rsidRPr="003B2A61">
        <w:rPr>
          <w:rFonts w:ascii="Times New Roman" w:eastAsia="Times New Roman" w:hAnsi="Times New Roman" w:cs="Times New Roman"/>
          <w:sz w:val="28"/>
          <w:szCs w:val="28"/>
          <w:lang w:val="en-US" w:eastAsia="ru-RU"/>
        </w:rPr>
        <w:t xml:space="preserve">S., P. Reed Larsen, </w:t>
      </w:r>
      <w:proofErr w:type="spellStart"/>
      <w:r w:rsidRPr="003B2A61">
        <w:rPr>
          <w:rFonts w:ascii="Times New Roman" w:eastAsia="Times New Roman" w:hAnsi="Times New Roman" w:cs="Times New Roman"/>
          <w:sz w:val="28"/>
          <w:szCs w:val="28"/>
          <w:lang w:val="en-US" w:eastAsia="ru-RU"/>
        </w:rPr>
        <w:t>Kronenberg</w:t>
      </w:r>
      <w:proofErr w:type="spellEnd"/>
      <w:r w:rsidRPr="0070117E">
        <w:rPr>
          <w:rFonts w:ascii="Times New Roman" w:eastAsia="Times New Roman" w:hAnsi="Times New Roman" w:cs="Times New Roman"/>
          <w:sz w:val="28"/>
          <w:szCs w:val="28"/>
          <w:lang w:val="en-US" w:eastAsia="ru-RU"/>
        </w:rPr>
        <w:t xml:space="preserve"> </w:t>
      </w:r>
      <w:r w:rsidRPr="003B2A61">
        <w:rPr>
          <w:rFonts w:ascii="Times New Roman" w:eastAsia="Times New Roman" w:hAnsi="Times New Roman" w:cs="Times New Roman"/>
          <w:sz w:val="28"/>
          <w:szCs w:val="28"/>
          <w:lang w:val="en-US" w:eastAsia="ru-RU"/>
        </w:rPr>
        <w:t>H</w:t>
      </w:r>
      <w:r w:rsidRPr="0070117E">
        <w:rPr>
          <w:rFonts w:ascii="Times New Roman" w:eastAsia="Times New Roman" w:hAnsi="Times New Roman" w:cs="Times New Roman"/>
          <w:sz w:val="28"/>
          <w:szCs w:val="28"/>
          <w:lang w:val="en-US" w:eastAsia="ru-RU"/>
        </w:rPr>
        <w:t>.</w:t>
      </w:r>
      <w:r w:rsidRPr="003B2A61">
        <w:rPr>
          <w:rFonts w:ascii="Times New Roman" w:eastAsia="Times New Roman" w:hAnsi="Times New Roman" w:cs="Times New Roman"/>
          <w:sz w:val="28"/>
          <w:szCs w:val="28"/>
          <w:lang w:val="en-US" w:eastAsia="ru-RU"/>
        </w:rPr>
        <w:t>M.</w:t>
      </w:r>
      <w:r w:rsidRPr="0070117E">
        <w:rPr>
          <w:rFonts w:ascii="Times New Roman" w:eastAsia="Times New Roman" w:hAnsi="Times New Roman" w:cs="Times New Roman"/>
          <w:sz w:val="28"/>
          <w:szCs w:val="28"/>
          <w:lang w:val="en-US" w:eastAsia="ru-RU"/>
        </w:rPr>
        <w:t xml:space="preserve"> </w:t>
      </w:r>
      <w:r w:rsidRPr="003B2A61">
        <w:rPr>
          <w:rFonts w:ascii="Times New Roman" w:eastAsia="Times New Roman" w:hAnsi="Times New Roman" w:cs="Times New Roman"/>
          <w:sz w:val="28"/>
          <w:szCs w:val="28"/>
          <w:lang w:val="en-US" w:eastAsia="ru-RU"/>
        </w:rPr>
        <w:t>Williams Textbook of endocrinology, 12</w:t>
      </w:r>
      <w:r w:rsidRPr="003B2A61">
        <w:rPr>
          <w:rFonts w:ascii="Times New Roman" w:eastAsia="Times New Roman" w:hAnsi="Times New Roman" w:cs="Times New Roman"/>
          <w:sz w:val="28"/>
          <w:szCs w:val="28"/>
          <w:vertAlign w:val="superscript"/>
          <w:lang w:val="en-US" w:eastAsia="ru-RU"/>
        </w:rPr>
        <w:t>th</w:t>
      </w:r>
      <w:r w:rsidRPr="003B2A61">
        <w:rPr>
          <w:rFonts w:ascii="Times New Roman" w:eastAsia="Times New Roman" w:hAnsi="Times New Roman" w:cs="Times New Roman"/>
          <w:sz w:val="28"/>
          <w:szCs w:val="28"/>
          <w:lang w:val="en-US" w:eastAsia="ru-RU"/>
        </w:rPr>
        <w:t xml:space="preserve"> editio</w:t>
      </w:r>
      <w:r>
        <w:rPr>
          <w:rFonts w:ascii="Times New Roman" w:eastAsia="Times New Roman" w:hAnsi="Times New Roman" w:cs="Times New Roman"/>
          <w:sz w:val="28"/>
          <w:szCs w:val="28"/>
          <w:lang w:val="en-US" w:eastAsia="ru-RU"/>
        </w:rPr>
        <w:t>n</w:t>
      </w:r>
      <w:r w:rsidRPr="0070117E">
        <w:rPr>
          <w:rFonts w:ascii="Times New Roman" w:eastAsia="Times New Roman" w:hAnsi="Times New Roman" w:cs="Times New Roman"/>
          <w:sz w:val="28"/>
          <w:szCs w:val="28"/>
          <w:lang w:val="en-US" w:eastAsia="ru-RU"/>
        </w:rPr>
        <w:t>//</w:t>
      </w:r>
      <w:r w:rsidRPr="003B2A61">
        <w:rPr>
          <w:rFonts w:ascii="Times New Roman" w:eastAsia="Times New Roman" w:hAnsi="Times New Roman" w:cs="Times New Roman"/>
          <w:sz w:val="28"/>
          <w:szCs w:val="28"/>
          <w:lang w:val="en-US" w:eastAsia="ru-RU"/>
        </w:rPr>
        <w:t xml:space="preserve"> Elsevier. – </w:t>
      </w:r>
      <w:r w:rsidRPr="00710802">
        <w:rPr>
          <w:rFonts w:ascii="Times New Roman" w:eastAsia="Times New Roman" w:hAnsi="Times New Roman" w:cs="Times New Roman"/>
          <w:sz w:val="28"/>
          <w:szCs w:val="28"/>
          <w:lang w:val="en-US" w:eastAsia="ru-RU"/>
        </w:rPr>
        <w:t xml:space="preserve">2011. – </w:t>
      </w:r>
      <w:r w:rsidRPr="003B2A61">
        <w:rPr>
          <w:rFonts w:ascii="Times New Roman" w:eastAsia="Times New Roman" w:hAnsi="Times New Roman" w:cs="Times New Roman"/>
          <w:sz w:val="28"/>
          <w:szCs w:val="28"/>
          <w:lang w:val="en-US" w:eastAsia="ru-RU"/>
        </w:rPr>
        <w:t>P</w:t>
      </w:r>
      <w:r w:rsidRPr="00710802">
        <w:rPr>
          <w:rFonts w:ascii="Times New Roman" w:eastAsia="Times New Roman" w:hAnsi="Times New Roman" w:cs="Times New Roman"/>
          <w:sz w:val="28"/>
          <w:szCs w:val="28"/>
          <w:lang w:val="en-US" w:eastAsia="ru-RU"/>
        </w:rPr>
        <w:t>. 1258</w:t>
      </w:r>
    </w:p>
    <w:p w:rsidR="006E2A91" w:rsidRPr="00C619B5" w:rsidRDefault="006E2A91" w:rsidP="006E2A91">
      <w:pPr>
        <w:pStyle w:val="a7"/>
        <w:shd w:val="clear" w:color="auto" w:fill="FFFFFF"/>
        <w:spacing w:line="360" w:lineRule="auto"/>
        <w:jc w:val="both"/>
        <w:rPr>
          <w:rFonts w:ascii="Times New Roman" w:hAnsi="Times New Roman" w:cs="Times New Roman"/>
          <w:sz w:val="28"/>
          <w:szCs w:val="28"/>
          <w:lang w:val="en-US"/>
        </w:rPr>
      </w:pPr>
      <w:proofErr w:type="gramStart"/>
      <w:r>
        <w:rPr>
          <w:rStyle w:val="journalname"/>
          <w:rFonts w:ascii="Times New Roman" w:eastAsiaTheme="majorEastAsia" w:hAnsi="Times New Roman" w:cs="Times New Roman"/>
          <w:iCs/>
          <w:sz w:val="28"/>
          <w:szCs w:val="28"/>
          <w:lang w:val="en-US"/>
        </w:rPr>
        <w:t>34</w:t>
      </w:r>
      <w:r w:rsidRPr="00C21E65">
        <w:rPr>
          <w:rStyle w:val="journalname"/>
          <w:rFonts w:ascii="Times New Roman" w:eastAsiaTheme="majorEastAsia" w:hAnsi="Times New Roman" w:cs="Times New Roman"/>
          <w:iCs/>
          <w:sz w:val="28"/>
          <w:szCs w:val="28"/>
          <w:lang w:val="en-US"/>
        </w:rPr>
        <w:t xml:space="preserve">. </w:t>
      </w:r>
      <w:r>
        <w:rPr>
          <w:rFonts w:ascii="Times New Roman" w:hAnsi="Times New Roman" w:cs="Times New Roman"/>
          <w:sz w:val="28"/>
          <w:szCs w:val="28"/>
          <w:lang w:val="en-US"/>
        </w:rPr>
        <w:t>Musgrove</w:t>
      </w:r>
      <w:r w:rsidRPr="0050666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E.A., </w:t>
      </w:r>
      <w:proofErr w:type="spellStart"/>
      <w:r w:rsidRPr="00C21E65">
        <w:rPr>
          <w:rFonts w:ascii="Times New Roman" w:hAnsi="Times New Roman" w:cs="Times New Roman"/>
          <w:sz w:val="28"/>
          <w:szCs w:val="28"/>
          <w:lang w:val="en-US"/>
        </w:rPr>
        <w:t>Caldon</w:t>
      </w:r>
      <w:proofErr w:type="spellEnd"/>
      <w:r w:rsidRPr="00C21E65">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C21E65">
        <w:rPr>
          <w:rFonts w:ascii="Times New Roman" w:hAnsi="Times New Roman" w:cs="Times New Roman"/>
          <w:sz w:val="28"/>
          <w:szCs w:val="28"/>
          <w:lang w:val="en-US"/>
        </w:rPr>
        <w:t>E</w:t>
      </w:r>
      <w:r>
        <w:rPr>
          <w:rFonts w:ascii="Times New Roman" w:hAnsi="Times New Roman" w:cs="Times New Roman"/>
          <w:sz w:val="28"/>
          <w:szCs w:val="28"/>
          <w:lang w:val="en-US"/>
        </w:rPr>
        <w:t>.</w:t>
      </w:r>
      <w:r w:rsidRPr="00C21E65">
        <w:rPr>
          <w:rFonts w:ascii="Times New Roman" w:hAnsi="Times New Roman" w:cs="Times New Roman"/>
          <w:sz w:val="28"/>
          <w:szCs w:val="28"/>
          <w:lang w:val="en-US"/>
        </w:rPr>
        <w:t xml:space="preserve"> </w:t>
      </w:r>
      <w:proofErr w:type="spellStart"/>
      <w:r w:rsidRPr="00C21E65">
        <w:rPr>
          <w:rFonts w:ascii="Times New Roman" w:hAnsi="Times New Roman" w:cs="Times New Roman"/>
          <w:sz w:val="28"/>
          <w:szCs w:val="28"/>
          <w:lang w:val="en-US"/>
        </w:rPr>
        <w:t>Cyclin</w:t>
      </w:r>
      <w:proofErr w:type="spellEnd"/>
      <w:r w:rsidRPr="00C21E65">
        <w:rPr>
          <w:rFonts w:ascii="Times New Roman" w:hAnsi="Times New Roman" w:cs="Times New Roman"/>
          <w:sz w:val="28"/>
          <w:szCs w:val="28"/>
          <w:lang w:val="en-US"/>
        </w:rPr>
        <w:t xml:space="preserve"> D as a therapeutic target in cancer.</w:t>
      </w:r>
      <w:proofErr w:type="gramEnd"/>
      <w:r w:rsidRPr="00C21E65">
        <w:rPr>
          <w:rFonts w:ascii="Times New Roman" w:hAnsi="Times New Roman" w:cs="Times New Roman"/>
          <w:sz w:val="28"/>
          <w:szCs w:val="28"/>
          <w:lang w:val="en-US"/>
        </w:rPr>
        <w:t xml:space="preserve"> – </w:t>
      </w:r>
      <w:r>
        <w:rPr>
          <w:rFonts w:ascii="Times New Roman" w:hAnsi="Times New Roman" w:cs="Times New Roman"/>
          <w:sz w:val="28"/>
          <w:szCs w:val="28"/>
          <w:lang w:val="en-US"/>
        </w:rPr>
        <w:t>The Journal</w:t>
      </w:r>
      <w:r w:rsidRPr="00C21E65">
        <w:rPr>
          <w:rStyle w:val="journalname"/>
          <w:rFonts w:ascii="Times New Roman" w:hAnsi="Times New Roman" w:cs="Times New Roman"/>
          <w:iCs/>
          <w:sz w:val="28"/>
          <w:szCs w:val="28"/>
          <w:lang w:val="en-US"/>
        </w:rPr>
        <w:t xml:space="preserve"> </w:t>
      </w:r>
      <w:r w:rsidRPr="00C21E65">
        <w:rPr>
          <w:rStyle w:val="journalname"/>
          <w:rFonts w:ascii="Times New Roman" w:eastAsiaTheme="majorEastAsia" w:hAnsi="Times New Roman" w:cs="Times New Roman"/>
          <w:iCs/>
          <w:sz w:val="28"/>
          <w:szCs w:val="28"/>
          <w:lang w:val="en-US"/>
        </w:rPr>
        <w:t>Nature Reviews Cancer</w:t>
      </w:r>
      <w:r w:rsidRPr="00C21E65">
        <w:rPr>
          <w:rStyle w:val="journalname"/>
          <w:rFonts w:ascii="Times New Roman" w:hAnsi="Times New Roman" w:cs="Times New Roman"/>
          <w:iCs/>
          <w:sz w:val="28"/>
          <w:szCs w:val="28"/>
          <w:lang w:val="en-US"/>
        </w:rPr>
        <w:t xml:space="preserve">. </w:t>
      </w:r>
      <w:proofErr w:type="gramStart"/>
      <w:r w:rsidRPr="00C21E65">
        <w:rPr>
          <w:rStyle w:val="journalname"/>
          <w:rFonts w:ascii="Times New Roman" w:hAnsi="Times New Roman" w:cs="Times New Roman"/>
          <w:iCs/>
          <w:sz w:val="28"/>
          <w:szCs w:val="28"/>
          <w:lang w:val="en-US"/>
        </w:rPr>
        <w:t xml:space="preserve">– </w:t>
      </w:r>
      <w:r w:rsidRPr="00C21E65">
        <w:rPr>
          <w:rStyle w:val="cite-month-year"/>
          <w:rFonts w:ascii="Times New Roman" w:hAnsi="Times New Roman" w:cs="Times New Roman"/>
          <w:sz w:val="28"/>
          <w:szCs w:val="28"/>
          <w:lang w:val="en-US"/>
        </w:rPr>
        <w:t xml:space="preserve"> 2011</w:t>
      </w:r>
      <w:proofErr w:type="gramEnd"/>
      <w:r w:rsidRPr="00C21E65">
        <w:rPr>
          <w:rStyle w:val="cite-month-year"/>
          <w:rFonts w:ascii="Times New Roman" w:hAnsi="Times New Roman" w:cs="Times New Roman"/>
          <w:sz w:val="28"/>
          <w:szCs w:val="28"/>
          <w:lang w:val="en-US"/>
        </w:rPr>
        <w:t xml:space="preserve">. </w:t>
      </w:r>
      <w:proofErr w:type="gramStart"/>
      <w:r w:rsidRPr="00C21E65">
        <w:rPr>
          <w:rStyle w:val="cite-month-year"/>
          <w:rFonts w:ascii="Times New Roman" w:hAnsi="Times New Roman" w:cs="Times New Roman"/>
          <w:sz w:val="28"/>
          <w:szCs w:val="28"/>
          <w:lang w:val="en-US"/>
        </w:rPr>
        <w:t>– №11.</w:t>
      </w:r>
      <w:proofErr w:type="gramEnd"/>
      <w:r w:rsidRPr="00C21E65">
        <w:rPr>
          <w:rStyle w:val="cite-month-year"/>
          <w:rFonts w:ascii="Times New Roman" w:hAnsi="Times New Roman" w:cs="Times New Roman"/>
          <w:sz w:val="28"/>
          <w:szCs w:val="28"/>
          <w:lang w:val="en-US"/>
        </w:rPr>
        <w:t xml:space="preserve"> – P.</w:t>
      </w:r>
      <w:r w:rsidRPr="00C21E65">
        <w:rPr>
          <w:rFonts w:ascii="Times New Roman" w:hAnsi="Times New Roman" w:cs="Times New Roman"/>
          <w:sz w:val="28"/>
          <w:szCs w:val="28"/>
          <w:lang w:val="en-US"/>
        </w:rPr>
        <w:t xml:space="preserve"> </w:t>
      </w:r>
      <w:r w:rsidRPr="00C21E65">
        <w:rPr>
          <w:rStyle w:val="cite-pages"/>
          <w:rFonts w:ascii="Times New Roman" w:eastAsiaTheme="majorEastAsia" w:hAnsi="Times New Roman" w:cs="Times New Roman"/>
          <w:sz w:val="28"/>
          <w:szCs w:val="28"/>
          <w:lang w:val="en-US"/>
        </w:rPr>
        <w:t>558-572</w:t>
      </w:r>
      <w:r w:rsidRPr="00C619B5">
        <w:rPr>
          <w:rStyle w:val="apple-converted-space"/>
          <w:rFonts w:ascii="Times New Roman" w:eastAsiaTheme="majorEastAsia" w:hAnsi="Times New Roman" w:cs="Times New Roman"/>
          <w:sz w:val="28"/>
          <w:szCs w:val="28"/>
          <w:lang w:val="en-US"/>
        </w:rPr>
        <w:t> </w:t>
      </w:r>
    </w:p>
    <w:p w:rsidR="006E2A91" w:rsidRPr="003B2A61" w:rsidRDefault="006E2A91" w:rsidP="006E2A91">
      <w:pPr>
        <w:spacing w:line="360" w:lineRule="auto"/>
        <w:jc w:val="both"/>
        <w:rPr>
          <w:rFonts w:ascii="Times New Roman" w:hAnsi="Times New Roman" w:cs="Times New Roman"/>
          <w:sz w:val="28"/>
          <w:szCs w:val="28"/>
          <w:lang w:val="en-US"/>
        </w:rPr>
      </w:pPr>
      <w:r w:rsidRPr="00A566A4">
        <w:rPr>
          <w:rFonts w:ascii="Times New Roman" w:hAnsi="Times New Roman" w:cs="Times New Roman"/>
          <w:sz w:val="28"/>
          <w:szCs w:val="28"/>
          <w:shd w:val="clear" w:color="auto" w:fill="FFFFFF"/>
          <w:lang w:val="en-US"/>
        </w:rPr>
        <w:t>3</w:t>
      </w:r>
      <w:r>
        <w:rPr>
          <w:rFonts w:ascii="Times New Roman" w:hAnsi="Times New Roman" w:cs="Times New Roman"/>
          <w:sz w:val="28"/>
          <w:szCs w:val="28"/>
          <w:shd w:val="clear" w:color="auto" w:fill="FFFFFF"/>
          <w:lang w:val="en-US"/>
        </w:rPr>
        <w:t>5</w:t>
      </w:r>
      <w:r w:rsidRPr="003B2A61">
        <w:rPr>
          <w:rFonts w:ascii="Times New Roman" w:hAnsi="Times New Roman" w:cs="Times New Roman"/>
          <w:sz w:val="28"/>
          <w:szCs w:val="28"/>
          <w:shd w:val="clear" w:color="auto" w:fill="FFFFFF"/>
          <w:lang w:val="en-US"/>
        </w:rPr>
        <w:t>. Nussbaum S.</w:t>
      </w:r>
      <w:r>
        <w:rPr>
          <w:rFonts w:ascii="Times New Roman" w:hAnsi="Times New Roman" w:cs="Times New Roman"/>
          <w:sz w:val="28"/>
          <w:szCs w:val="28"/>
          <w:shd w:val="clear" w:color="auto" w:fill="FFFFFF"/>
          <w:lang w:val="en-US"/>
        </w:rPr>
        <w:t>R., Thomson A.R., Hutcheson K.A</w:t>
      </w:r>
      <w:r w:rsidRPr="003B2A61">
        <w:rPr>
          <w:rFonts w:ascii="Times New Roman" w:hAnsi="Times New Roman" w:cs="Times New Roman"/>
          <w:sz w:val="28"/>
          <w:szCs w:val="28"/>
          <w:shd w:val="clear" w:color="auto" w:fill="FFFFFF"/>
          <w:lang w:val="en-US"/>
        </w:rPr>
        <w:t xml:space="preserve">. </w:t>
      </w:r>
      <w:proofErr w:type="spellStart"/>
      <w:r w:rsidRPr="003B2A61">
        <w:rPr>
          <w:rFonts w:ascii="Times New Roman" w:hAnsi="Times New Roman" w:cs="Times New Roman"/>
          <w:sz w:val="28"/>
          <w:szCs w:val="28"/>
          <w:shd w:val="clear" w:color="auto" w:fill="FFFFFF"/>
          <w:lang w:val="en-US"/>
        </w:rPr>
        <w:t>Intraoperative</w:t>
      </w:r>
      <w:proofErr w:type="spellEnd"/>
      <w:r w:rsidRPr="003B2A61">
        <w:rPr>
          <w:rFonts w:ascii="Times New Roman" w:hAnsi="Times New Roman" w:cs="Times New Roman"/>
          <w:sz w:val="28"/>
          <w:szCs w:val="28"/>
          <w:shd w:val="clear" w:color="auto" w:fill="FFFFFF"/>
          <w:lang w:val="en-US"/>
        </w:rPr>
        <w:t xml:space="preserve"> measurement of parathyroid hormone in the surgical management of hyperparathyroidism. </w:t>
      </w:r>
      <w:r>
        <w:rPr>
          <w:rFonts w:ascii="Times New Roman" w:hAnsi="Times New Roman" w:cs="Times New Roman"/>
          <w:sz w:val="28"/>
          <w:szCs w:val="28"/>
          <w:shd w:val="clear" w:color="auto" w:fill="FFFFFF"/>
          <w:lang w:val="en-US"/>
        </w:rPr>
        <w:t xml:space="preserve">– </w:t>
      </w:r>
      <w:r w:rsidRPr="003B2A61">
        <w:rPr>
          <w:rFonts w:ascii="Times New Roman" w:hAnsi="Times New Roman" w:cs="Times New Roman"/>
          <w:sz w:val="28"/>
          <w:szCs w:val="28"/>
          <w:shd w:val="clear" w:color="auto" w:fill="FFFFFF"/>
          <w:lang w:val="en-US"/>
        </w:rPr>
        <w:t xml:space="preserve">Surgery. – 1988. </w:t>
      </w:r>
      <w:proofErr w:type="gramStart"/>
      <w:r w:rsidRPr="003B2A61">
        <w:rPr>
          <w:rFonts w:ascii="Times New Roman" w:hAnsi="Times New Roman" w:cs="Times New Roman"/>
          <w:sz w:val="28"/>
          <w:szCs w:val="28"/>
          <w:shd w:val="clear" w:color="auto" w:fill="FFFFFF"/>
          <w:lang w:val="en-US"/>
        </w:rPr>
        <w:t xml:space="preserve">– </w:t>
      </w:r>
      <w:r w:rsidRPr="00A566A4">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104</w:t>
      </w:r>
      <w:r>
        <w:rPr>
          <w:rFonts w:ascii="Times New Roman" w:hAnsi="Times New Roman" w:cs="Times New Roman"/>
          <w:sz w:val="28"/>
          <w:szCs w:val="28"/>
          <w:shd w:val="clear" w:color="auto" w:fill="FFFFFF"/>
          <w:lang w:val="en-US"/>
        </w:rPr>
        <w:t xml:space="preserve"> (6)</w:t>
      </w:r>
      <w:r w:rsidRPr="003B2A61">
        <w:rPr>
          <w:rFonts w:ascii="Times New Roman" w:hAnsi="Times New Roman" w:cs="Times New Roman"/>
          <w:sz w:val="28"/>
          <w:szCs w:val="28"/>
          <w:shd w:val="clear" w:color="auto" w:fill="FFFFFF"/>
          <w:lang w:val="en-US"/>
        </w:rPr>
        <w:t>.</w:t>
      </w:r>
      <w:proofErr w:type="gramEnd"/>
      <w:r w:rsidRPr="003B2A61">
        <w:rPr>
          <w:rFonts w:ascii="Times New Roman" w:hAnsi="Times New Roman" w:cs="Times New Roman"/>
          <w:sz w:val="28"/>
          <w:szCs w:val="28"/>
          <w:shd w:val="clear" w:color="auto" w:fill="FFFFFF"/>
          <w:lang w:val="en-US"/>
        </w:rPr>
        <w:t xml:space="preserve"> – P. 1121-1127</w:t>
      </w:r>
      <w:r w:rsidRPr="003B2A61">
        <w:rPr>
          <w:rStyle w:val="apple-converted-space"/>
          <w:rFonts w:ascii="Times New Roman" w:hAnsi="Times New Roman" w:cs="Times New Roman"/>
          <w:color w:val="auto"/>
          <w:sz w:val="28"/>
          <w:szCs w:val="28"/>
          <w:shd w:val="clear" w:color="auto" w:fill="FFFFFF"/>
          <w:lang w:val="en-US"/>
        </w:rPr>
        <w:t> </w:t>
      </w:r>
    </w:p>
    <w:p w:rsidR="006E2A91" w:rsidRPr="003B2A61" w:rsidRDefault="006E2A91" w:rsidP="006E2A91">
      <w:pPr>
        <w:spacing w:line="360" w:lineRule="auto"/>
        <w:jc w:val="both"/>
        <w:rPr>
          <w:rFonts w:ascii="Times New Roman" w:hAnsi="Times New Roman" w:cs="Times New Roman"/>
          <w:sz w:val="28"/>
          <w:szCs w:val="28"/>
          <w:shd w:val="clear" w:color="auto" w:fill="FFFFFF"/>
          <w:lang w:val="en-US"/>
        </w:rPr>
      </w:pPr>
      <w:r w:rsidRPr="0021739D">
        <w:rPr>
          <w:rStyle w:val="element-citation"/>
          <w:rFonts w:ascii="Times New Roman" w:hAnsi="Times New Roman" w:cs="Times New Roman"/>
          <w:color w:val="auto"/>
          <w:sz w:val="28"/>
          <w:szCs w:val="28"/>
          <w:shd w:val="clear" w:color="auto" w:fill="FFFFFF"/>
          <w:lang w:val="en-US"/>
        </w:rPr>
        <w:t>36</w:t>
      </w:r>
      <w:r w:rsidRPr="003B2A61">
        <w:rPr>
          <w:rStyle w:val="element-citation"/>
          <w:rFonts w:ascii="Times New Roman" w:hAnsi="Times New Roman" w:cs="Times New Roman"/>
          <w:color w:val="auto"/>
          <w:sz w:val="28"/>
          <w:szCs w:val="28"/>
          <w:shd w:val="clear" w:color="auto" w:fill="FFFFFF"/>
          <w:lang w:val="en-US"/>
        </w:rPr>
        <w:t xml:space="preserve">. </w:t>
      </w:r>
      <w:proofErr w:type="spellStart"/>
      <w:r w:rsidRPr="003B2A61">
        <w:rPr>
          <w:rFonts w:ascii="Times New Roman" w:hAnsi="Times New Roman" w:cs="Times New Roman"/>
          <w:sz w:val="28"/>
          <w:szCs w:val="28"/>
          <w:shd w:val="clear" w:color="auto" w:fill="FFFFFF"/>
          <w:lang w:val="en-US"/>
        </w:rPr>
        <w:t>Philippon</w:t>
      </w:r>
      <w:proofErr w:type="spellEnd"/>
      <w:r w:rsidRPr="003B2A61">
        <w:rPr>
          <w:rFonts w:ascii="Times New Roman" w:hAnsi="Times New Roman" w:cs="Times New Roman"/>
          <w:sz w:val="28"/>
          <w:szCs w:val="28"/>
          <w:shd w:val="clear" w:color="auto" w:fill="FFFFFF"/>
          <w:lang w:val="en-US"/>
        </w:rPr>
        <w:t xml:space="preserve"> M</w:t>
      </w:r>
      <w:r w:rsidRPr="0021739D">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Guerin C</w:t>
      </w:r>
      <w:r w:rsidRPr="0021739D">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xml:space="preserve">, </w:t>
      </w:r>
      <w:proofErr w:type="spellStart"/>
      <w:r w:rsidRPr="003B2A61">
        <w:rPr>
          <w:rFonts w:ascii="Times New Roman" w:hAnsi="Times New Roman" w:cs="Times New Roman"/>
          <w:sz w:val="28"/>
          <w:szCs w:val="28"/>
          <w:shd w:val="clear" w:color="auto" w:fill="FFFFFF"/>
          <w:lang w:val="en-US"/>
        </w:rPr>
        <w:t>Taieb</w:t>
      </w:r>
      <w:proofErr w:type="spellEnd"/>
      <w:r w:rsidRPr="003B2A61">
        <w:rPr>
          <w:rFonts w:ascii="Times New Roman" w:hAnsi="Times New Roman" w:cs="Times New Roman"/>
          <w:sz w:val="28"/>
          <w:szCs w:val="28"/>
          <w:shd w:val="clear" w:color="auto" w:fill="FFFFFF"/>
          <w:lang w:val="en-US"/>
        </w:rPr>
        <w:t xml:space="preserve"> D</w:t>
      </w:r>
      <w:r w:rsidRPr="0021739D">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xml:space="preserve">, </w:t>
      </w:r>
      <w:proofErr w:type="spellStart"/>
      <w:r w:rsidRPr="003B2A61">
        <w:rPr>
          <w:rFonts w:ascii="Times New Roman" w:hAnsi="Times New Roman" w:cs="Times New Roman"/>
          <w:sz w:val="28"/>
          <w:szCs w:val="28"/>
          <w:shd w:val="clear" w:color="auto" w:fill="FFFFFF"/>
          <w:lang w:val="en-US"/>
        </w:rPr>
        <w:t>Vaillant</w:t>
      </w:r>
      <w:proofErr w:type="spellEnd"/>
      <w:r w:rsidRPr="003B2A61">
        <w:rPr>
          <w:rFonts w:ascii="Times New Roman" w:hAnsi="Times New Roman" w:cs="Times New Roman"/>
          <w:sz w:val="28"/>
          <w:szCs w:val="28"/>
          <w:shd w:val="clear" w:color="auto" w:fill="FFFFFF"/>
          <w:lang w:val="en-US"/>
        </w:rPr>
        <w:t xml:space="preserve"> J</w:t>
      </w:r>
      <w:r w:rsidRPr="0021739D">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xml:space="preserve">, </w:t>
      </w:r>
      <w:proofErr w:type="spellStart"/>
      <w:r w:rsidRPr="003B2A61">
        <w:rPr>
          <w:rFonts w:ascii="Times New Roman" w:hAnsi="Times New Roman" w:cs="Times New Roman"/>
          <w:sz w:val="28"/>
          <w:szCs w:val="28"/>
          <w:shd w:val="clear" w:color="auto" w:fill="FFFFFF"/>
          <w:lang w:val="en-US"/>
        </w:rPr>
        <w:t>Morange</w:t>
      </w:r>
      <w:proofErr w:type="spellEnd"/>
      <w:r w:rsidRPr="003B2A61">
        <w:rPr>
          <w:rFonts w:ascii="Times New Roman" w:hAnsi="Times New Roman" w:cs="Times New Roman"/>
          <w:sz w:val="28"/>
          <w:szCs w:val="28"/>
          <w:shd w:val="clear" w:color="auto" w:fill="FFFFFF"/>
          <w:lang w:val="en-US"/>
        </w:rPr>
        <w:t xml:space="preserve"> I</w:t>
      </w:r>
      <w:r w:rsidRPr="0021739D">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Brue T. Bilateral neck exploration in patients with primary hyperparathyroidism and discordant imaging results: a single-centre study. -</w:t>
      </w:r>
      <w:r w:rsidRPr="003B2A61">
        <w:rPr>
          <w:rStyle w:val="apple-converted-space"/>
          <w:rFonts w:ascii="Times New Roman" w:hAnsi="Times New Roman" w:cs="Times New Roman"/>
          <w:color w:val="auto"/>
          <w:sz w:val="28"/>
          <w:szCs w:val="28"/>
          <w:shd w:val="clear" w:color="auto" w:fill="FFFFFF"/>
          <w:lang w:val="en-US"/>
        </w:rPr>
        <w:t> </w:t>
      </w:r>
      <w:proofErr w:type="spellStart"/>
      <w:r w:rsidRPr="003B2A61">
        <w:rPr>
          <w:rStyle w:val="ref-journal"/>
          <w:rFonts w:ascii="Times New Roman" w:hAnsi="Times New Roman" w:cs="Times New Roman"/>
          <w:color w:val="auto"/>
          <w:sz w:val="28"/>
          <w:szCs w:val="28"/>
          <w:shd w:val="clear" w:color="auto" w:fill="FFFFFF"/>
          <w:lang w:val="en-US"/>
        </w:rPr>
        <w:t>Eur</w:t>
      </w:r>
      <w:proofErr w:type="spellEnd"/>
      <w:r w:rsidRPr="003B2A61">
        <w:rPr>
          <w:rStyle w:val="ref-journal"/>
          <w:rFonts w:ascii="Times New Roman" w:hAnsi="Times New Roman" w:cs="Times New Roman"/>
          <w:color w:val="auto"/>
          <w:sz w:val="28"/>
          <w:szCs w:val="28"/>
          <w:shd w:val="clear" w:color="auto" w:fill="FFFFFF"/>
          <w:lang w:val="en-US"/>
        </w:rPr>
        <w:t xml:space="preserve"> J </w:t>
      </w:r>
      <w:proofErr w:type="spellStart"/>
      <w:r w:rsidRPr="003B2A61">
        <w:rPr>
          <w:rStyle w:val="ref-journal"/>
          <w:rFonts w:ascii="Times New Roman" w:hAnsi="Times New Roman" w:cs="Times New Roman"/>
          <w:color w:val="auto"/>
          <w:sz w:val="28"/>
          <w:szCs w:val="28"/>
          <w:shd w:val="clear" w:color="auto" w:fill="FFFFFF"/>
          <w:lang w:val="en-US"/>
        </w:rPr>
        <w:t>Endocrinol</w:t>
      </w:r>
      <w:proofErr w:type="spellEnd"/>
      <w:r w:rsidRPr="003B2A61">
        <w:rPr>
          <w:rStyle w:val="ref-journal"/>
          <w:rFonts w:ascii="Times New Roman" w:hAnsi="Times New Roman" w:cs="Times New Roman"/>
          <w:color w:val="auto"/>
          <w:sz w:val="28"/>
          <w:szCs w:val="28"/>
          <w:shd w:val="clear" w:color="auto" w:fill="FFFFFF"/>
          <w:lang w:val="en-US"/>
        </w:rPr>
        <w:t>.</w:t>
      </w:r>
      <w:r w:rsidRPr="003B2A61">
        <w:rPr>
          <w:rStyle w:val="apple-converted-space"/>
          <w:rFonts w:ascii="Times New Roman" w:hAnsi="Times New Roman" w:cs="Times New Roman"/>
          <w:color w:val="auto"/>
          <w:sz w:val="28"/>
          <w:szCs w:val="28"/>
          <w:shd w:val="clear" w:color="auto" w:fill="FFFFFF"/>
          <w:lang w:val="en-US"/>
        </w:rPr>
        <w:t xml:space="preserve"> – </w:t>
      </w:r>
      <w:r w:rsidRPr="003B2A61">
        <w:rPr>
          <w:rFonts w:ascii="Times New Roman" w:hAnsi="Times New Roman" w:cs="Times New Roman"/>
          <w:sz w:val="28"/>
          <w:szCs w:val="28"/>
          <w:shd w:val="clear" w:color="auto" w:fill="FFFFFF"/>
          <w:lang w:val="en-US"/>
        </w:rPr>
        <w:t xml:space="preserve">2014. – </w:t>
      </w:r>
      <w:r w:rsidRPr="003B2A61">
        <w:rPr>
          <w:rStyle w:val="ref-vol"/>
          <w:rFonts w:ascii="Times New Roman" w:hAnsi="Times New Roman" w:cs="Times New Roman"/>
          <w:color w:val="auto"/>
          <w:sz w:val="28"/>
          <w:szCs w:val="28"/>
          <w:shd w:val="clear" w:color="auto" w:fill="FFFFFF"/>
          <w:lang w:val="en-US"/>
        </w:rPr>
        <w:t>170</w:t>
      </w:r>
      <w:r w:rsidRPr="003B2A61">
        <w:rPr>
          <w:rFonts w:ascii="Times New Roman" w:hAnsi="Times New Roman" w:cs="Times New Roman"/>
          <w:sz w:val="28"/>
          <w:szCs w:val="28"/>
          <w:shd w:val="clear" w:color="auto" w:fill="FFFFFF"/>
          <w:lang w:val="en-US"/>
        </w:rPr>
        <w:t>. – P. 719–25</w:t>
      </w:r>
    </w:p>
    <w:p w:rsidR="006E2A91" w:rsidRDefault="006E2A91" w:rsidP="006E2A91">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37</w:t>
      </w:r>
      <w:r w:rsidRPr="003B2A61">
        <w:rPr>
          <w:rFonts w:ascii="Times New Roman" w:hAnsi="Times New Roman" w:cs="Times New Roman"/>
          <w:sz w:val="28"/>
          <w:szCs w:val="28"/>
          <w:shd w:val="clear" w:color="auto" w:fill="FFFFFF"/>
          <w:lang w:val="en-US"/>
        </w:rPr>
        <w:t xml:space="preserve">.  </w:t>
      </w:r>
      <w:proofErr w:type="spellStart"/>
      <w:r w:rsidRPr="003B2A61">
        <w:rPr>
          <w:rFonts w:ascii="Times New Roman" w:hAnsi="Times New Roman" w:cs="Times New Roman"/>
          <w:sz w:val="28"/>
          <w:szCs w:val="28"/>
          <w:shd w:val="clear" w:color="auto" w:fill="FFFFFF"/>
          <w:lang w:val="en-US"/>
        </w:rPr>
        <w:t>Rajaei</w:t>
      </w:r>
      <w:proofErr w:type="spellEnd"/>
      <w:r w:rsidRPr="003B2A61">
        <w:rPr>
          <w:rFonts w:ascii="Times New Roman" w:hAnsi="Times New Roman" w:cs="Times New Roman"/>
          <w:sz w:val="28"/>
          <w:szCs w:val="28"/>
          <w:shd w:val="clear" w:color="auto" w:fill="FFFFFF"/>
          <w:lang w:val="en-US"/>
        </w:rPr>
        <w:t xml:space="preserve"> M</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H</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xml:space="preserve">, </w:t>
      </w:r>
      <w:proofErr w:type="spellStart"/>
      <w:r w:rsidRPr="003B2A61">
        <w:rPr>
          <w:rFonts w:ascii="Times New Roman" w:hAnsi="Times New Roman" w:cs="Times New Roman"/>
          <w:sz w:val="28"/>
          <w:szCs w:val="28"/>
          <w:shd w:val="clear" w:color="auto" w:fill="FFFFFF"/>
          <w:lang w:val="en-US"/>
        </w:rPr>
        <w:t>Oltmann</w:t>
      </w:r>
      <w:proofErr w:type="spellEnd"/>
      <w:r w:rsidRPr="003B2A61">
        <w:rPr>
          <w:rFonts w:ascii="Times New Roman" w:hAnsi="Times New Roman" w:cs="Times New Roman"/>
          <w:sz w:val="28"/>
          <w:szCs w:val="28"/>
          <w:shd w:val="clear" w:color="auto" w:fill="FFFFFF"/>
          <w:lang w:val="en-US"/>
        </w:rPr>
        <w:t xml:space="preserve"> S</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C</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xml:space="preserve">, </w:t>
      </w:r>
      <w:proofErr w:type="spellStart"/>
      <w:r w:rsidRPr="003B2A61">
        <w:rPr>
          <w:rFonts w:ascii="Times New Roman" w:hAnsi="Times New Roman" w:cs="Times New Roman"/>
          <w:sz w:val="28"/>
          <w:szCs w:val="28"/>
          <w:shd w:val="clear" w:color="auto" w:fill="FFFFFF"/>
          <w:lang w:val="en-US"/>
        </w:rPr>
        <w:t>Adkisson</w:t>
      </w:r>
      <w:proofErr w:type="spellEnd"/>
      <w:r w:rsidRPr="003B2A61">
        <w:rPr>
          <w:rFonts w:ascii="Times New Roman" w:hAnsi="Times New Roman" w:cs="Times New Roman"/>
          <w:sz w:val="28"/>
          <w:szCs w:val="28"/>
          <w:shd w:val="clear" w:color="auto" w:fill="FFFFFF"/>
          <w:lang w:val="en-US"/>
        </w:rPr>
        <w:t xml:space="preserve"> C</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D</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xml:space="preserve">, </w:t>
      </w:r>
      <w:proofErr w:type="spellStart"/>
      <w:r w:rsidRPr="003B2A61">
        <w:rPr>
          <w:rFonts w:ascii="Times New Roman" w:hAnsi="Times New Roman" w:cs="Times New Roman"/>
          <w:sz w:val="28"/>
          <w:szCs w:val="28"/>
          <w:shd w:val="clear" w:color="auto" w:fill="FFFFFF"/>
          <w:lang w:val="en-US"/>
        </w:rPr>
        <w:t>Elfenbein</w:t>
      </w:r>
      <w:proofErr w:type="spellEnd"/>
      <w:r w:rsidRPr="003B2A61">
        <w:rPr>
          <w:rFonts w:ascii="Times New Roman" w:hAnsi="Times New Roman" w:cs="Times New Roman"/>
          <w:sz w:val="28"/>
          <w:szCs w:val="28"/>
          <w:shd w:val="clear" w:color="auto" w:fill="FFFFFF"/>
          <w:lang w:val="en-US"/>
        </w:rPr>
        <w:t xml:space="preserve"> D</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M</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Chen H</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Carty S</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E</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McCoy K</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xml:space="preserve">L. Is </w:t>
      </w:r>
      <w:proofErr w:type="spellStart"/>
      <w:r w:rsidRPr="003B2A61">
        <w:rPr>
          <w:rFonts w:ascii="Times New Roman" w:hAnsi="Times New Roman" w:cs="Times New Roman"/>
          <w:sz w:val="28"/>
          <w:szCs w:val="28"/>
          <w:shd w:val="clear" w:color="auto" w:fill="FFFFFF"/>
          <w:lang w:val="en-US"/>
        </w:rPr>
        <w:t>intraoperative</w:t>
      </w:r>
      <w:proofErr w:type="spellEnd"/>
      <w:r w:rsidRPr="003B2A61">
        <w:rPr>
          <w:rFonts w:ascii="Times New Roman" w:hAnsi="Times New Roman" w:cs="Times New Roman"/>
          <w:sz w:val="28"/>
          <w:szCs w:val="28"/>
          <w:shd w:val="clear" w:color="auto" w:fill="FFFFFF"/>
          <w:lang w:val="en-US"/>
        </w:rPr>
        <w:t xml:space="preserve"> parathyroid hormone monitoring necessary with </w:t>
      </w:r>
      <w:proofErr w:type="spellStart"/>
      <w:r w:rsidRPr="003B2A61">
        <w:rPr>
          <w:rFonts w:ascii="Times New Roman" w:hAnsi="Times New Roman" w:cs="Times New Roman"/>
          <w:sz w:val="28"/>
          <w:szCs w:val="28"/>
          <w:shd w:val="clear" w:color="auto" w:fill="FFFFFF"/>
          <w:lang w:val="en-US"/>
        </w:rPr>
        <w:t>ipsilateral</w:t>
      </w:r>
      <w:proofErr w:type="spellEnd"/>
      <w:r w:rsidRPr="003B2A61">
        <w:rPr>
          <w:rFonts w:ascii="Times New Roman" w:hAnsi="Times New Roman" w:cs="Times New Roman"/>
          <w:sz w:val="28"/>
          <w:szCs w:val="28"/>
          <w:shd w:val="clear" w:color="auto" w:fill="FFFFFF"/>
          <w:lang w:val="en-US"/>
        </w:rPr>
        <w:t xml:space="preserve"> parathyroid gland visualization during anticipated unilateral exploration for primary hyperparathyroidism: a two-institution analysis of more than 2,000 </w:t>
      </w:r>
      <w:proofErr w:type="gramStart"/>
      <w:r w:rsidRPr="003B2A61">
        <w:rPr>
          <w:rFonts w:ascii="Times New Roman" w:hAnsi="Times New Roman" w:cs="Times New Roman"/>
          <w:sz w:val="28"/>
          <w:szCs w:val="28"/>
          <w:shd w:val="clear" w:color="auto" w:fill="FFFFFF"/>
          <w:lang w:val="en-US"/>
        </w:rPr>
        <w:t>patients.</w:t>
      </w:r>
      <w:proofErr w:type="gramEnd"/>
      <w:r w:rsidRPr="003B2A61">
        <w:rPr>
          <w:rFonts w:ascii="Times New Roman" w:hAnsi="Times New Roman" w:cs="Times New Roman"/>
          <w:sz w:val="28"/>
          <w:szCs w:val="28"/>
          <w:shd w:val="clear" w:color="auto" w:fill="FFFFFF"/>
          <w:lang w:val="en-US"/>
        </w:rPr>
        <w:t xml:space="preserve"> – </w:t>
      </w:r>
      <w:r w:rsidRPr="003B2A61">
        <w:rPr>
          <w:rStyle w:val="ref-journal"/>
          <w:rFonts w:ascii="Times New Roman" w:hAnsi="Times New Roman" w:cs="Times New Roman"/>
          <w:color w:val="auto"/>
          <w:sz w:val="28"/>
          <w:szCs w:val="28"/>
          <w:shd w:val="clear" w:color="auto" w:fill="FFFFFF"/>
          <w:lang w:val="en-US"/>
        </w:rPr>
        <w:t>Surgery.</w:t>
      </w:r>
      <w:r w:rsidRPr="003B2A61">
        <w:rPr>
          <w:rStyle w:val="apple-converted-space"/>
          <w:rFonts w:ascii="Times New Roman" w:hAnsi="Times New Roman" w:cs="Times New Roman"/>
          <w:color w:val="auto"/>
          <w:sz w:val="28"/>
          <w:szCs w:val="28"/>
          <w:shd w:val="clear" w:color="auto" w:fill="FFFFFF"/>
          <w:lang w:val="en-US"/>
        </w:rPr>
        <w:t xml:space="preserve"> – </w:t>
      </w:r>
      <w:r w:rsidRPr="003B2A61">
        <w:rPr>
          <w:rFonts w:ascii="Times New Roman" w:hAnsi="Times New Roman" w:cs="Times New Roman"/>
          <w:sz w:val="28"/>
          <w:szCs w:val="28"/>
          <w:shd w:val="clear" w:color="auto" w:fill="FFFFFF"/>
          <w:lang w:val="en-US"/>
        </w:rPr>
        <w:t xml:space="preserve">2014. </w:t>
      </w:r>
      <w:proofErr w:type="gramStart"/>
      <w:r w:rsidRPr="003B2A61">
        <w:rPr>
          <w:rFonts w:ascii="Times New Roman" w:hAnsi="Times New Roman" w:cs="Times New Roman"/>
          <w:sz w:val="28"/>
          <w:szCs w:val="28"/>
          <w:shd w:val="clear" w:color="auto" w:fill="FFFFFF"/>
          <w:lang w:val="en-US"/>
        </w:rPr>
        <w:t xml:space="preserve">– № </w:t>
      </w:r>
      <w:r w:rsidRPr="003B2A61">
        <w:rPr>
          <w:rStyle w:val="ref-vol"/>
          <w:rFonts w:ascii="Times New Roman" w:hAnsi="Times New Roman" w:cs="Times New Roman"/>
          <w:color w:val="auto"/>
          <w:sz w:val="28"/>
          <w:szCs w:val="28"/>
          <w:shd w:val="clear" w:color="auto" w:fill="FFFFFF"/>
          <w:lang w:val="en-US"/>
        </w:rPr>
        <w:t>156</w:t>
      </w:r>
      <w:r w:rsidRPr="003B2A61">
        <w:rPr>
          <w:rFonts w:ascii="Times New Roman" w:hAnsi="Times New Roman" w:cs="Times New Roman"/>
          <w:sz w:val="28"/>
          <w:szCs w:val="28"/>
          <w:shd w:val="clear" w:color="auto" w:fill="FFFFFF"/>
          <w:lang w:val="en-US"/>
        </w:rPr>
        <w:t>.</w:t>
      </w:r>
      <w:proofErr w:type="gramEnd"/>
      <w:r w:rsidRPr="003B2A61">
        <w:rPr>
          <w:rFonts w:ascii="Times New Roman" w:hAnsi="Times New Roman" w:cs="Times New Roman"/>
          <w:sz w:val="28"/>
          <w:szCs w:val="28"/>
          <w:shd w:val="clear" w:color="auto" w:fill="FFFFFF"/>
          <w:lang w:val="en-US"/>
        </w:rPr>
        <w:t xml:space="preserve"> – P. 760–766</w:t>
      </w:r>
    </w:p>
    <w:p w:rsidR="006E2A91" w:rsidRPr="004D344B" w:rsidRDefault="006E2A91" w:rsidP="006E2A91">
      <w:pPr>
        <w:spacing w:line="360" w:lineRule="auto"/>
        <w:jc w:val="both"/>
        <w:rPr>
          <w:rFonts w:ascii="Times New Roman" w:hAnsi="Times New Roman" w:cs="Times New Roman"/>
          <w:bCs/>
          <w:sz w:val="28"/>
          <w:szCs w:val="28"/>
          <w:lang w:val="en-US"/>
        </w:rPr>
      </w:pPr>
      <w:r>
        <w:rPr>
          <w:rFonts w:ascii="Times New Roman" w:hAnsi="Times New Roman" w:cs="Times New Roman"/>
          <w:sz w:val="28"/>
          <w:szCs w:val="28"/>
          <w:lang w:val="en-US"/>
        </w:rPr>
        <w:t>38</w:t>
      </w:r>
      <w:r w:rsidRPr="003B2A61">
        <w:rPr>
          <w:rFonts w:ascii="Times New Roman" w:hAnsi="Times New Roman" w:cs="Times New Roman"/>
          <w:sz w:val="28"/>
          <w:szCs w:val="28"/>
          <w:lang w:val="en-US"/>
        </w:rPr>
        <w:t xml:space="preserve">. </w:t>
      </w:r>
      <w:proofErr w:type="spellStart"/>
      <w:r w:rsidRPr="003B2A61">
        <w:rPr>
          <w:rFonts w:ascii="Times New Roman" w:hAnsi="Times New Roman" w:cs="Times New Roman"/>
          <w:sz w:val="28"/>
          <w:szCs w:val="28"/>
          <w:shd w:val="clear" w:color="auto" w:fill="FFFFFF"/>
          <w:lang w:val="en-US"/>
        </w:rPr>
        <w:t>Roizen</w:t>
      </w:r>
      <w:proofErr w:type="spellEnd"/>
      <w:r w:rsidRPr="00A566A4">
        <w:rPr>
          <w:rFonts w:ascii="Times New Roman" w:hAnsi="Times New Roman" w:cs="Times New Roman"/>
          <w:sz w:val="28"/>
          <w:szCs w:val="28"/>
          <w:shd w:val="clear" w:color="auto" w:fill="FFFFFF"/>
          <w:lang w:val="en-US"/>
        </w:rPr>
        <w:t xml:space="preserve"> </w:t>
      </w:r>
      <w:r w:rsidRPr="003B2A61">
        <w:rPr>
          <w:rFonts w:ascii="Times New Roman" w:hAnsi="Times New Roman" w:cs="Times New Roman"/>
          <w:sz w:val="28"/>
          <w:szCs w:val="28"/>
          <w:shd w:val="clear" w:color="auto" w:fill="FFFFFF"/>
          <w:lang w:val="en-US"/>
        </w:rPr>
        <w:t>J</w:t>
      </w:r>
      <w:r w:rsidRPr="00A566A4">
        <w:rPr>
          <w:rFonts w:ascii="Times New Roman" w:hAnsi="Times New Roman" w:cs="Times New Roman"/>
          <w:sz w:val="28"/>
          <w:szCs w:val="28"/>
          <w:shd w:val="clear" w:color="auto" w:fill="FFFFFF"/>
          <w:lang w:val="en-US"/>
        </w:rPr>
        <w:t>.</w:t>
      </w:r>
      <w:r w:rsidRPr="00A566A4">
        <w:rPr>
          <w:rStyle w:val="apple-converted-space"/>
          <w:rFonts w:ascii="Times New Roman" w:hAnsi="Times New Roman" w:cs="Times New Roman"/>
          <w:color w:val="auto"/>
          <w:sz w:val="28"/>
          <w:szCs w:val="28"/>
          <w:shd w:val="clear" w:color="auto" w:fill="FFFFFF"/>
          <w:lang w:val="en-US"/>
        </w:rPr>
        <w:t xml:space="preserve">, </w:t>
      </w:r>
      <w:r w:rsidRPr="003B2A61">
        <w:rPr>
          <w:rFonts w:ascii="Times New Roman" w:hAnsi="Times New Roman" w:cs="Times New Roman"/>
          <w:sz w:val="28"/>
          <w:szCs w:val="28"/>
          <w:shd w:val="clear" w:color="auto" w:fill="FFFFFF"/>
          <w:lang w:val="en-US"/>
        </w:rPr>
        <w:t>Levine</w:t>
      </w:r>
      <w:r w:rsidRPr="00A566A4">
        <w:rPr>
          <w:rFonts w:ascii="Times New Roman" w:hAnsi="Times New Roman" w:cs="Times New Roman"/>
          <w:sz w:val="28"/>
          <w:szCs w:val="28"/>
          <w:shd w:val="clear" w:color="auto" w:fill="FFFFFF"/>
          <w:lang w:val="en-US"/>
        </w:rPr>
        <w:t xml:space="preserve"> </w:t>
      </w:r>
      <w:r w:rsidRPr="003B2A61">
        <w:rPr>
          <w:rFonts w:ascii="Times New Roman" w:hAnsi="Times New Roman" w:cs="Times New Roman"/>
          <w:sz w:val="28"/>
          <w:szCs w:val="28"/>
          <w:shd w:val="clear" w:color="auto" w:fill="FFFFFF"/>
          <w:lang w:val="en-US"/>
        </w:rPr>
        <w:t>M</w:t>
      </w:r>
      <w:r w:rsidRPr="00A566A4">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A.</w:t>
      </w:r>
      <w:r w:rsidRPr="00A566A4">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 xml:space="preserve">Primary hyperparathyroidism in children and adolescents. – </w:t>
      </w:r>
      <w:r w:rsidRPr="003B2A61">
        <w:rPr>
          <w:rStyle w:val="cit"/>
          <w:rFonts w:ascii="Times New Roman" w:hAnsi="Times New Roman" w:cs="Times New Roman"/>
          <w:color w:val="auto"/>
          <w:sz w:val="28"/>
          <w:szCs w:val="28"/>
          <w:shd w:val="clear" w:color="auto" w:fill="FFFFFF"/>
          <w:lang w:val="en-US"/>
        </w:rPr>
        <w:t>J</w:t>
      </w:r>
      <w:r>
        <w:rPr>
          <w:rStyle w:val="cit"/>
          <w:rFonts w:ascii="Times New Roman" w:hAnsi="Times New Roman" w:cs="Times New Roman"/>
          <w:color w:val="auto"/>
          <w:sz w:val="28"/>
          <w:szCs w:val="28"/>
          <w:shd w:val="clear" w:color="auto" w:fill="FFFFFF"/>
          <w:lang w:val="en-US"/>
        </w:rPr>
        <w:t>ournal of the</w:t>
      </w:r>
      <w:r w:rsidRPr="003B2A61">
        <w:rPr>
          <w:rStyle w:val="cit"/>
          <w:rFonts w:ascii="Times New Roman" w:hAnsi="Times New Roman" w:cs="Times New Roman"/>
          <w:color w:val="auto"/>
          <w:sz w:val="28"/>
          <w:szCs w:val="28"/>
          <w:shd w:val="clear" w:color="auto" w:fill="FFFFFF"/>
          <w:lang w:val="en-US"/>
        </w:rPr>
        <w:t xml:space="preserve"> Chin</w:t>
      </w:r>
      <w:r>
        <w:rPr>
          <w:rStyle w:val="cit"/>
          <w:rFonts w:ascii="Times New Roman" w:hAnsi="Times New Roman" w:cs="Times New Roman"/>
          <w:color w:val="auto"/>
          <w:sz w:val="28"/>
          <w:szCs w:val="28"/>
          <w:shd w:val="clear" w:color="auto" w:fill="FFFFFF"/>
          <w:lang w:val="en-US"/>
        </w:rPr>
        <w:t>ese</w:t>
      </w:r>
      <w:r w:rsidRPr="003B2A61">
        <w:rPr>
          <w:rStyle w:val="cit"/>
          <w:rFonts w:ascii="Times New Roman" w:hAnsi="Times New Roman" w:cs="Times New Roman"/>
          <w:color w:val="auto"/>
          <w:sz w:val="28"/>
          <w:szCs w:val="28"/>
          <w:shd w:val="clear" w:color="auto" w:fill="FFFFFF"/>
          <w:lang w:val="en-US"/>
        </w:rPr>
        <w:t xml:space="preserve"> Med</w:t>
      </w:r>
      <w:r>
        <w:rPr>
          <w:rStyle w:val="cit"/>
          <w:rFonts w:ascii="Times New Roman" w:hAnsi="Times New Roman" w:cs="Times New Roman"/>
          <w:color w:val="auto"/>
          <w:sz w:val="28"/>
          <w:szCs w:val="28"/>
          <w:shd w:val="clear" w:color="auto" w:fill="FFFFFF"/>
          <w:lang w:val="en-US"/>
        </w:rPr>
        <w:t>ical</w:t>
      </w:r>
      <w:r w:rsidRPr="003B2A61">
        <w:rPr>
          <w:rStyle w:val="cit"/>
          <w:rFonts w:ascii="Times New Roman" w:hAnsi="Times New Roman" w:cs="Times New Roman"/>
          <w:color w:val="auto"/>
          <w:sz w:val="28"/>
          <w:szCs w:val="28"/>
          <w:shd w:val="clear" w:color="auto" w:fill="FFFFFF"/>
          <w:lang w:val="en-US"/>
        </w:rPr>
        <w:t xml:space="preserve"> Assoc</w:t>
      </w:r>
      <w:r>
        <w:rPr>
          <w:rStyle w:val="cit"/>
          <w:rFonts w:ascii="Times New Roman" w:hAnsi="Times New Roman" w:cs="Times New Roman"/>
          <w:color w:val="auto"/>
          <w:sz w:val="28"/>
          <w:szCs w:val="28"/>
          <w:shd w:val="clear" w:color="auto" w:fill="FFFFFF"/>
          <w:lang w:val="en-US"/>
        </w:rPr>
        <w:t>iation</w:t>
      </w:r>
      <w:r w:rsidRPr="003B2A61">
        <w:rPr>
          <w:rStyle w:val="cit"/>
          <w:rFonts w:ascii="Times New Roman" w:hAnsi="Times New Roman" w:cs="Times New Roman"/>
          <w:color w:val="auto"/>
          <w:sz w:val="28"/>
          <w:szCs w:val="28"/>
          <w:shd w:val="clear" w:color="auto" w:fill="FFFFFF"/>
          <w:lang w:val="en-US"/>
        </w:rPr>
        <w:t>. – 2012. – 75(9). – P. 425</w:t>
      </w:r>
      <w:r w:rsidRPr="00A566A4">
        <w:rPr>
          <w:rStyle w:val="cit"/>
          <w:rFonts w:ascii="Times New Roman" w:hAnsi="Times New Roman" w:cs="Times New Roman"/>
          <w:color w:val="auto"/>
          <w:sz w:val="28"/>
          <w:szCs w:val="28"/>
          <w:shd w:val="clear" w:color="auto" w:fill="FFFFFF"/>
          <w:lang w:val="en-US"/>
        </w:rPr>
        <w:t>-</w:t>
      </w:r>
      <w:r w:rsidRPr="003B2A61">
        <w:rPr>
          <w:rStyle w:val="cit"/>
          <w:rFonts w:ascii="Times New Roman" w:hAnsi="Times New Roman" w:cs="Times New Roman"/>
          <w:color w:val="auto"/>
          <w:sz w:val="28"/>
          <w:szCs w:val="28"/>
          <w:shd w:val="clear" w:color="auto" w:fill="FFFFFF"/>
          <w:lang w:val="en-US"/>
        </w:rPr>
        <w:t>434</w:t>
      </w:r>
    </w:p>
    <w:p w:rsidR="006E2A91" w:rsidRPr="003B2A61" w:rsidRDefault="006E2A91" w:rsidP="006E2A91">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lang w:val="en-US"/>
        </w:rPr>
        <w:t>39</w:t>
      </w:r>
      <w:r w:rsidRPr="003B2A61">
        <w:rPr>
          <w:rFonts w:ascii="Times New Roman" w:hAnsi="Times New Roman" w:cs="Times New Roman"/>
          <w:sz w:val="28"/>
          <w:szCs w:val="28"/>
          <w:lang w:val="en-US"/>
        </w:rPr>
        <w:t xml:space="preserve">. </w:t>
      </w:r>
      <w:r w:rsidRPr="003B2A61">
        <w:rPr>
          <w:rFonts w:ascii="Times New Roman" w:hAnsi="Times New Roman" w:cs="Times New Roman"/>
          <w:sz w:val="28"/>
          <w:szCs w:val="28"/>
          <w:shd w:val="clear" w:color="auto" w:fill="FFFFFF"/>
          <w:lang w:val="en-US"/>
        </w:rPr>
        <w:t xml:space="preserve"> </w:t>
      </w:r>
      <w:proofErr w:type="spellStart"/>
      <w:r w:rsidRPr="003B2A61">
        <w:rPr>
          <w:rFonts w:ascii="Times New Roman" w:hAnsi="Times New Roman" w:cs="Times New Roman"/>
          <w:sz w:val="28"/>
          <w:szCs w:val="28"/>
          <w:shd w:val="clear" w:color="auto" w:fill="FFFFFF"/>
          <w:lang w:val="en-US"/>
        </w:rPr>
        <w:t>Spivacow</w:t>
      </w:r>
      <w:proofErr w:type="spellEnd"/>
      <w:r w:rsidRPr="003B2A61">
        <w:rPr>
          <w:rFonts w:ascii="Times New Roman" w:hAnsi="Times New Roman" w:cs="Times New Roman"/>
          <w:sz w:val="28"/>
          <w:szCs w:val="28"/>
          <w:shd w:val="clear" w:color="auto" w:fill="FFFFFF"/>
          <w:lang w:val="en-US"/>
        </w:rPr>
        <w:t xml:space="preserve"> F</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R</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xml:space="preserve">, </w:t>
      </w:r>
      <w:proofErr w:type="spellStart"/>
      <w:r w:rsidRPr="003B2A61">
        <w:rPr>
          <w:rFonts w:ascii="Times New Roman" w:hAnsi="Times New Roman" w:cs="Times New Roman"/>
          <w:sz w:val="28"/>
          <w:szCs w:val="28"/>
          <w:shd w:val="clear" w:color="auto" w:fill="FFFFFF"/>
          <w:lang w:val="en-US"/>
        </w:rPr>
        <w:t>Negri</w:t>
      </w:r>
      <w:proofErr w:type="spellEnd"/>
      <w:r w:rsidRPr="003B2A61">
        <w:rPr>
          <w:rFonts w:ascii="Times New Roman" w:hAnsi="Times New Roman" w:cs="Times New Roman"/>
          <w:sz w:val="28"/>
          <w:szCs w:val="28"/>
          <w:shd w:val="clear" w:color="auto" w:fill="FFFFFF"/>
          <w:lang w:val="en-US"/>
        </w:rPr>
        <w:t xml:space="preserve"> A</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L</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del Valle E</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E</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xml:space="preserve">, </w:t>
      </w:r>
      <w:proofErr w:type="spellStart"/>
      <w:r w:rsidRPr="003B2A61">
        <w:rPr>
          <w:rFonts w:ascii="Times New Roman" w:hAnsi="Times New Roman" w:cs="Times New Roman"/>
          <w:sz w:val="28"/>
          <w:szCs w:val="28"/>
          <w:shd w:val="clear" w:color="auto" w:fill="FFFFFF"/>
          <w:lang w:val="en-US"/>
        </w:rPr>
        <w:t>Fradinger</w:t>
      </w:r>
      <w:proofErr w:type="spellEnd"/>
      <w:r w:rsidRPr="003B2A61">
        <w:rPr>
          <w:rFonts w:ascii="Times New Roman" w:hAnsi="Times New Roman" w:cs="Times New Roman"/>
          <w:sz w:val="28"/>
          <w:szCs w:val="28"/>
          <w:shd w:val="clear" w:color="auto" w:fill="FFFFFF"/>
          <w:lang w:val="en-US"/>
        </w:rPr>
        <w:t xml:space="preserve"> E</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Martinez C</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xml:space="preserve">, </w:t>
      </w:r>
      <w:proofErr w:type="spellStart"/>
      <w:r w:rsidRPr="003B2A61">
        <w:rPr>
          <w:rFonts w:ascii="Times New Roman" w:hAnsi="Times New Roman" w:cs="Times New Roman"/>
          <w:sz w:val="28"/>
          <w:szCs w:val="28"/>
          <w:shd w:val="clear" w:color="auto" w:fill="FFFFFF"/>
          <w:lang w:val="en-US"/>
        </w:rPr>
        <w:t>Polonsky</w:t>
      </w:r>
      <w:proofErr w:type="spellEnd"/>
      <w:r w:rsidRPr="003B2A61">
        <w:rPr>
          <w:rFonts w:ascii="Times New Roman" w:hAnsi="Times New Roman" w:cs="Times New Roman"/>
          <w:sz w:val="28"/>
          <w:szCs w:val="28"/>
          <w:shd w:val="clear" w:color="auto" w:fill="FFFFFF"/>
          <w:lang w:val="en-US"/>
        </w:rPr>
        <w:t xml:space="preserve"> A. Persistence of </w:t>
      </w:r>
      <w:proofErr w:type="spellStart"/>
      <w:r w:rsidRPr="003B2A61">
        <w:rPr>
          <w:rFonts w:ascii="Times New Roman" w:hAnsi="Times New Roman" w:cs="Times New Roman"/>
          <w:sz w:val="28"/>
          <w:szCs w:val="28"/>
          <w:shd w:val="clear" w:color="auto" w:fill="FFFFFF"/>
          <w:lang w:val="en-US"/>
        </w:rPr>
        <w:t>hypercalciuria</w:t>
      </w:r>
      <w:proofErr w:type="spellEnd"/>
      <w:r w:rsidRPr="003B2A61">
        <w:rPr>
          <w:rFonts w:ascii="Times New Roman" w:hAnsi="Times New Roman" w:cs="Times New Roman"/>
          <w:sz w:val="28"/>
          <w:szCs w:val="28"/>
          <w:shd w:val="clear" w:color="auto" w:fill="FFFFFF"/>
          <w:lang w:val="en-US"/>
        </w:rPr>
        <w:t xml:space="preserve"> after successful surgical treatment for primary hyperparathyroidism.</w:t>
      </w:r>
      <w:r w:rsidRPr="003B2A61">
        <w:rPr>
          <w:rStyle w:val="apple-converted-space"/>
          <w:rFonts w:ascii="Times New Roman" w:hAnsi="Times New Roman" w:cs="Times New Roman"/>
          <w:color w:val="auto"/>
          <w:sz w:val="28"/>
          <w:szCs w:val="28"/>
          <w:shd w:val="clear" w:color="auto" w:fill="FFFFFF"/>
          <w:lang w:val="en-US"/>
        </w:rPr>
        <w:t> </w:t>
      </w:r>
      <w:proofErr w:type="spellStart"/>
      <w:r w:rsidRPr="003B2A61">
        <w:rPr>
          <w:rStyle w:val="ref-journal"/>
          <w:rFonts w:ascii="Times New Roman" w:hAnsi="Times New Roman" w:cs="Times New Roman"/>
          <w:color w:val="auto"/>
          <w:sz w:val="28"/>
          <w:szCs w:val="28"/>
          <w:shd w:val="clear" w:color="auto" w:fill="FFFFFF"/>
          <w:lang w:val="en-US"/>
        </w:rPr>
        <w:t>Int</w:t>
      </w:r>
      <w:proofErr w:type="spellEnd"/>
      <w:r w:rsidRPr="003B2A61">
        <w:rPr>
          <w:rStyle w:val="ref-journal"/>
          <w:rFonts w:ascii="Times New Roman" w:hAnsi="Times New Roman" w:cs="Times New Roman"/>
          <w:color w:val="auto"/>
          <w:sz w:val="28"/>
          <w:szCs w:val="28"/>
          <w:shd w:val="clear" w:color="auto" w:fill="FFFFFF"/>
          <w:lang w:val="en-US"/>
        </w:rPr>
        <w:t xml:space="preserve"> </w:t>
      </w:r>
      <w:proofErr w:type="spellStart"/>
      <w:r w:rsidRPr="003B2A61">
        <w:rPr>
          <w:rStyle w:val="ref-journal"/>
          <w:rFonts w:ascii="Times New Roman" w:hAnsi="Times New Roman" w:cs="Times New Roman"/>
          <w:color w:val="auto"/>
          <w:sz w:val="28"/>
          <w:szCs w:val="28"/>
          <w:shd w:val="clear" w:color="auto" w:fill="FFFFFF"/>
          <w:lang w:val="en-US"/>
        </w:rPr>
        <w:t>Urol</w:t>
      </w:r>
      <w:proofErr w:type="spellEnd"/>
      <w:r w:rsidRPr="003B2A61">
        <w:rPr>
          <w:rStyle w:val="ref-journal"/>
          <w:rFonts w:ascii="Times New Roman" w:hAnsi="Times New Roman" w:cs="Times New Roman"/>
          <w:color w:val="auto"/>
          <w:sz w:val="28"/>
          <w:szCs w:val="28"/>
          <w:shd w:val="clear" w:color="auto" w:fill="FFFFFF"/>
          <w:lang w:val="en-US"/>
        </w:rPr>
        <w:t xml:space="preserve"> </w:t>
      </w:r>
      <w:proofErr w:type="spellStart"/>
      <w:r w:rsidRPr="003B2A61">
        <w:rPr>
          <w:rStyle w:val="ref-journal"/>
          <w:rFonts w:ascii="Times New Roman" w:hAnsi="Times New Roman" w:cs="Times New Roman"/>
          <w:color w:val="auto"/>
          <w:sz w:val="28"/>
          <w:szCs w:val="28"/>
          <w:shd w:val="clear" w:color="auto" w:fill="FFFFFF"/>
          <w:lang w:val="en-US"/>
        </w:rPr>
        <w:t>Nephrol</w:t>
      </w:r>
      <w:proofErr w:type="spellEnd"/>
      <w:r w:rsidRPr="003B2A61">
        <w:rPr>
          <w:rStyle w:val="ref-journal"/>
          <w:rFonts w:ascii="Times New Roman" w:hAnsi="Times New Roman" w:cs="Times New Roman"/>
          <w:color w:val="auto"/>
          <w:sz w:val="28"/>
          <w:szCs w:val="28"/>
          <w:shd w:val="clear" w:color="auto" w:fill="FFFFFF"/>
          <w:lang w:val="en-US"/>
        </w:rPr>
        <w:t>.</w:t>
      </w:r>
      <w:r w:rsidRPr="003B2A61">
        <w:rPr>
          <w:rStyle w:val="apple-converted-space"/>
          <w:rFonts w:ascii="Times New Roman" w:hAnsi="Times New Roman" w:cs="Times New Roman"/>
          <w:color w:val="auto"/>
          <w:sz w:val="28"/>
          <w:szCs w:val="28"/>
          <w:shd w:val="clear" w:color="auto" w:fill="FFFFFF"/>
          <w:lang w:val="en-US"/>
        </w:rPr>
        <w:t xml:space="preserve"> – </w:t>
      </w:r>
      <w:r w:rsidRPr="003B2A61">
        <w:rPr>
          <w:rFonts w:ascii="Times New Roman" w:hAnsi="Times New Roman" w:cs="Times New Roman"/>
          <w:sz w:val="28"/>
          <w:szCs w:val="28"/>
          <w:shd w:val="clear" w:color="auto" w:fill="FFFFFF"/>
          <w:lang w:val="en-US"/>
        </w:rPr>
        <w:t xml:space="preserve">2012. – №. </w:t>
      </w:r>
      <w:r w:rsidRPr="003B2A61">
        <w:rPr>
          <w:rStyle w:val="ref-vol"/>
          <w:rFonts w:ascii="Times New Roman" w:hAnsi="Times New Roman" w:cs="Times New Roman"/>
          <w:color w:val="auto"/>
          <w:sz w:val="28"/>
          <w:szCs w:val="28"/>
          <w:shd w:val="clear" w:color="auto" w:fill="FFFFFF"/>
          <w:lang w:val="en-US"/>
        </w:rPr>
        <w:t>44</w:t>
      </w:r>
      <w:r w:rsidRPr="003B2A61">
        <w:rPr>
          <w:rFonts w:ascii="Times New Roman" w:hAnsi="Times New Roman" w:cs="Times New Roman"/>
          <w:sz w:val="28"/>
          <w:szCs w:val="28"/>
          <w:shd w:val="clear" w:color="auto" w:fill="FFFFFF"/>
          <w:lang w:val="en-US"/>
        </w:rPr>
        <w:t>. – P. 857–63</w:t>
      </w:r>
    </w:p>
    <w:p w:rsidR="006E2A91" w:rsidRPr="003B2A61" w:rsidRDefault="006E2A91" w:rsidP="006E2A91">
      <w:pPr>
        <w:spacing w:line="360" w:lineRule="auto"/>
        <w:jc w:val="both"/>
        <w:rPr>
          <w:rFonts w:ascii="Times New Roman" w:hAnsi="Times New Roman" w:cs="Times New Roman"/>
          <w:sz w:val="28"/>
          <w:szCs w:val="28"/>
          <w:shd w:val="clear" w:color="auto" w:fill="FFFFFF"/>
          <w:lang w:val="en-US"/>
        </w:rPr>
      </w:pPr>
      <w:r>
        <w:rPr>
          <w:rFonts w:ascii="Times New Roman" w:eastAsia="Times New Roman" w:hAnsi="Times New Roman" w:cs="Times New Roman"/>
          <w:iCs/>
          <w:sz w:val="28"/>
          <w:szCs w:val="28"/>
          <w:lang w:val="en-US" w:eastAsia="ru-RU"/>
        </w:rPr>
        <w:t>40</w:t>
      </w:r>
      <w:r w:rsidRPr="003B2A61">
        <w:rPr>
          <w:rFonts w:ascii="Times New Roman" w:eastAsia="Times New Roman" w:hAnsi="Times New Roman" w:cs="Times New Roman"/>
          <w:iCs/>
          <w:sz w:val="28"/>
          <w:szCs w:val="28"/>
          <w:lang w:val="en-US" w:eastAsia="ru-RU"/>
        </w:rPr>
        <w:t xml:space="preserve">. </w:t>
      </w:r>
      <w:r w:rsidRPr="003B2A61">
        <w:rPr>
          <w:rFonts w:ascii="Times New Roman" w:hAnsi="Times New Roman" w:cs="Times New Roman"/>
          <w:sz w:val="28"/>
          <w:szCs w:val="28"/>
          <w:shd w:val="clear" w:color="auto" w:fill="FFFFFF"/>
          <w:lang w:val="en-US"/>
        </w:rPr>
        <w:t>Stein E</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M</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Silva B</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C</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xml:space="preserve"> Primary hyperparathyroidism is associated with abnormal cortical and </w:t>
      </w:r>
      <w:proofErr w:type="spellStart"/>
      <w:r w:rsidRPr="003B2A61">
        <w:rPr>
          <w:rFonts w:ascii="Times New Roman" w:hAnsi="Times New Roman" w:cs="Times New Roman"/>
          <w:sz w:val="28"/>
          <w:szCs w:val="28"/>
          <w:shd w:val="clear" w:color="auto" w:fill="FFFFFF"/>
          <w:lang w:val="en-US"/>
        </w:rPr>
        <w:t>trabecular</w:t>
      </w:r>
      <w:proofErr w:type="spellEnd"/>
      <w:r w:rsidRPr="003B2A61">
        <w:rPr>
          <w:rFonts w:ascii="Times New Roman" w:hAnsi="Times New Roman" w:cs="Times New Roman"/>
          <w:sz w:val="28"/>
          <w:szCs w:val="28"/>
          <w:shd w:val="clear" w:color="auto" w:fill="FFFFFF"/>
          <w:lang w:val="en-US"/>
        </w:rPr>
        <w:t xml:space="preserve"> microstructure and reduced bone stiffness in postmenopausal women.</w:t>
      </w:r>
      <w:r w:rsidRPr="003B2A61">
        <w:rPr>
          <w:rStyle w:val="apple-converted-space"/>
          <w:rFonts w:ascii="Times New Roman" w:hAnsi="Times New Roman" w:cs="Times New Roman"/>
          <w:color w:val="auto"/>
          <w:sz w:val="28"/>
          <w:szCs w:val="28"/>
          <w:shd w:val="clear" w:color="auto" w:fill="FFFFFF"/>
          <w:lang w:val="en-US"/>
        </w:rPr>
        <w:t> </w:t>
      </w:r>
      <w:proofErr w:type="gramStart"/>
      <w:r w:rsidRPr="003B2A61">
        <w:rPr>
          <w:rStyle w:val="ref-journal"/>
          <w:rFonts w:ascii="Times New Roman" w:hAnsi="Times New Roman" w:cs="Times New Roman"/>
          <w:color w:val="auto"/>
          <w:sz w:val="28"/>
          <w:szCs w:val="28"/>
          <w:shd w:val="clear" w:color="auto" w:fill="FFFFFF"/>
          <w:lang w:val="en-US"/>
        </w:rPr>
        <w:t>J</w:t>
      </w:r>
      <w:r>
        <w:rPr>
          <w:rStyle w:val="ref-journal"/>
          <w:rFonts w:ascii="Times New Roman" w:hAnsi="Times New Roman" w:cs="Times New Roman"/>
          <w:color w:val="auto"/>
          <w:sz w:val="28"/>
          <w:szCs w:val="28"/>
          <w:shd w:val="clear" w:color="auto" w:fill="FFFFFF"/>
          <w:lang w:val="en-US"/>
        </w:rPr>
        <w:t>ournal of</w:t>
      </w:r>
      <w:r w:rsidRPr="003B2A61">
        <w:rPr>
          <w:rStyle w:val="ref-journal"/>
          <w:rFonts w:ascii="Times New Roman" w:hAnsi="Times New Roman" w:cs="Times New Roman"/>
          <w:color w:val="auto"/>
          <w:sz w:val="28"/>
          <w:szCs w:val="28"/>
          <w:shd w:val="clear" w:color="auto" w:fill="FFFFFF"/>
          <w:lang w:val="en-US"/>
        </w:rPr>
        <w:t xml:space="preserve"> Bone </w:t>
      </w:r>
      <w:r>
        <w:rPr>
          <w:rStyle w:val="ref-journal"/>
          <w:rFonts w:ascii="Times New Roman" w:hAnsi="Times New Roman" w:cs="Times New Roman"/>
          <w:color w:val="auto"/>
          <w:sz w:val="28"/>
          <w:szCs w:val="28"/>
          <w:shd w:val="clear" w:color="auto" w:fill="FFFFFF"/>
          <w:lang w:val="en-US"/>
        </w:rPr>
        <w:t xml:space="preserve">and </w:t>
      </w:r>
      <w:r w:rsidRPr="003B2A61">
        <w:rPr>
          <w:rStyle w:val="ref-journal"/>
          <w:rFonts w:ascii="Times New Roman" w:hAnsi="Times New Roman" w:cs="Times New Roman"/>
          <w:color w:val="auto"/>
          <w:sz w:val="28"/>
          <w:szCs w:val="28"/>
          <w:shd w:val="clear" w:color="auto" w:fill="FFFFFF"/>
          <w:lang w:val="en-US"/>
        </w:rPr>
        <w:t>Miner</w:t>
      </w:r>
      <w:r>
        <w:rPr>
          <w:rStyle w:val="ref-journal"/>
          <w:rFonts w:ascii="Times New Roman" w:hAnsi="Times New Roman" w:cs="Times New Roman"/>
          <w:color w:val="auto"/>
          <w:sz w:val="28"/>
          <w:szCs w:val="28"/>
          <w:shd w:val="clear" w:color="auto" w:fill="FFFFFF"/>
          <w:lang w:val="en-US"/>
        </w:rPr>
        <w:t>al</w:t>
      </w:r>
      <w:r w:rsidRPr="003B2A61">
        <w:rPr>
          <w:rStyle w:val="ref-journal"/>
          <w:rFonts w:ascii="Times New Roman" w:hAnsi="Times New Roman" w:cs="Times New Roman"/>
          <w:color w:val="auto"/>
          <w:sz w:val="28"/>
          <w:szCs w:val="28"/>
          <w:shd w:val="clear" w:color="auto" w:fill="FFFFFF"/>
          <w:lang w:val="en-US"/>
        </w:rPr>
        <w:t xml:space="preserve"> Res</w:t>
      </w:r>
      <w:r>
        <w:rPr>
          <w:rStyle w:val="ref-journal"/>
          <w:rFonts w:ascii="Times New Roman" w:hAnsi="Times New Roman" w:cs="Times New Roman"/>
          <w:color w:val="auto"/>
          <w:sz w:val="28"/>
          <w:szCs w:val="28"/>
          <w:shd w:val="clear" w:color="auto" w:fill="FFFFFF"/>
          <w:lang w:val="en-US"/>
        </w:rPr>
        <w:t>earch</w:t>
      </w:r>
      <w:r w:rsidRPr="003B2A61">
        <w:rPr>
          <w:rStyle w:val="ref-journal"/>
          <w:rFonts w:ascii="Times New Roman" w:hAnsi="Times New Roman" w:cs="Times New Roman"/>
          <w:color w:val="auto"/>
          <w:sz w:val="28"/>
          <w:szCs w:val="28"/>
          <w:shd w:val="clear" w:color="auto" w:fill="FFFFFF"/>
          <w:lang w:val="en-US"/>
        </w:rPr>
        <w:t>.</w:t>
      </w:r>
      <w:proofErr w:type="gramEnd"/>
      <w:r w:rsidRPr="003B2A61">
        <w:rPr>
          <w:rStyle w:val="ref-journal"/>
          <w:rFonts w:ascii="Times New Roman" w:hAnsi="Times New Roman" w:cs="Times New Roman"/>
          <w:color w:val="auto"/>
          <w:sz w:val="28"/>
          <w:szCs w:val="28"/>
          <w:shd w:val="clear" w:color="auto" w:fill="FFFFFF"/>
          <w:lang w:val="en-US"/>
        </w:rPr>
        <w:t xml:space="preserve"> – </w:t>
      </w:r>
      <w:r w:rsidRPr="003B2A61">
        <w:rPr>
          <w:rFonts w:ascii="Times New Roman" w:hAnsi="Times New Roman" w:cs="Times New Roman"/>
          <w:sz w:val="28"/>
          <w:szCs w:val="28"/>
          <w:shd w:val="clear" w:color="auto" w:fill="FFFFFF"/>
          <w:lang w:val="en-US"/>
        </w:rPr>
        <w:t xml:space="preserve">2013. </w:t>
      </w:r>
      <w:proofErr w:type="gramStart"/>
      <w:r w:rsidRPr="003B2A61">
        <w:rPr>
          <w:rFonts w:ascii="Times New Roman" w:hAnsi="Times New Roman" w:cs="Times New Roman"/>
          <w:sz w:val="28"/>
          <w:szCs w:val="28"/>
          <w:shd w:val="clear" w:color="auto" w:fill="FFFFFF"/>
          <w:lang w:val="en-US"/>
        </w:rPr>
        <w:t>– №</w:t>
      </w:r>
      <w:r w:rsidRPr="003B2A61">
        <w:rPr>
          <w:rStyle w:val="ref-vol"/>
          <w:rFonts w:ascii="Times New Roman" w:hAnsi="Times New Roman" w:cs="Times New Roman"/>
          <w:color w:val="auto"/>
          <w:sz w:val="28"/>
          <w:szCs w:val="28"/>
          <w:shd w:val="clear" w:color="auto" w:fill="FFFFFF"/>
          <w:lang w:val="en-US"/>
        </w:rPr>
        <w:t>28</w:t>
      </w:r>
      <w:r w:rsidRPr="003B2A61">
        <w:rPr>
          <w:rFonts w:ascii="Times New Roman" w:hAnsi="Times New Roman" w:cs="Times New Roman"/>
          <w:sz w:val="28"/>
          <w:szCs w:val="28"/>
          <w:shd w:val="clear" w:color="auto" w:fill="FFFFFF"/>
          <w:lang w:val="en-US"/>
        </w:rPr>
        <w:t>.</w:t>
      </w:r>
      <w:proofErr w:type="gramEnd"/>
      <w:r w:rsidRPr="003B2A61">
        <w:rPr>
          <w:rFonts w:ascii="Times New Roman" w:hAnsi="Times New Roman" w:cs="Times New Roman"/>
          <w:sz w:val="28"/>
          <w:szCs w:val="28"/>
          <w:shd w:val="clear" w:color="auto" w:fill="FFFFFF"/>
          <w:lang w:val="en-US"/>
        </w:rPr>
        <w:t xml:space="preserve"> – P.</w:t>
      </w:r>
      <w:r>
        <w:rPr>
          <w:rFonts w:ascii="Times New Roman" w:hAnsi="Times New Roman" w:cs="Times New Roman"/>
          <w:sz w:val="28"/>
          <w:szCs w:val="28"/>
          <w:shd w:val="clear" w:color="auto" w:fill="FFFFFF"/>
          <w:lang w:val="en-US"/>
        </w:rPr>
        <w:t xml:space="preserve"> </w:t>
      </w:r>
      <w:r w:rsidRPr="003B2A61">
        <w:rPr>
          <w:rFonts w:ascii="Times New Roman" w:hAnsi="Times New Roman" w:cs="Times New Roman"/>
          <w:sz w:val="28"/>
          <w:szCs w:val="28"/>
          <w:shd w:val="clear" w:color="auto" w:fill="FFFFFF"/>
          <w:lang w:val="en-US"/>
        </w:rPr>
        <w:t>1029–40</w:t>
      </w:r>
    </w:p>
    <w:p w:rsidR="006E2A91" w:rsidRPr="003B2A61" w:rsidRDefault="006E2A91" w:rsidP="006E2A91">
      <w:pPr>
        <w:spacing w:line="360" w:lineRule="auto"/>
        <w:jc w:val="both"/>
        <w:rPr>
          <w:rFonts w:ascii="Times New Roman" w:hAnsi="Times New Roman" w:cs="Times New Roman"/>
          <w:bCs/>
          <w:sz w:val="28"/>
          <w:szCs w:val="28"/>
          <w:lang w:val="en-US"/>
        </w:rPr>
      </w:pPr>
      <w:r>
        <w:rPr>
          <w:rFonts w:ascii="Times New Roman" w:hAnsi="Times New Roman" w:cs="Times New Roman"/>
          <w:sz w:val="28"/>
          <w:szCs w:val="28"/>
          <w:lang w:val="en-US"/>
        </w:rPr>
        <w:t>41</w:t>
      </w:r>
      <w:r w:rsidRPr="003B2A61">
        <w:rPr>
          <w:rFonts w:ascii="Times New Roman" w:hAnsi="Times New Roman" w:cs="Times New Roman"/>
          <w:sz w:val="28"/>
          <w:szCs w:val="28"/>
          <w:lang w:val="en-US"/>
        </w:rPr>
        <w:t>.</w:t>
      </w:r>
      <w:r w:rsidRPr="003B2A61">
        <w:rPr>
          <w:rFonts w:ascii="Times New Roman" w:hAnsi="Times New Roman" w:cs="Times New Roman"/>
          <w:sz w:val="28"/>
          <w:szCs w:val="28"/>
          <w:shd w:val="clear" w:color="auto" w:fill="FFFFFF"/>
          <w:lang w:val="en-US"/>
        </w:rPr>
        <w:t xml:space="preserve"> </w:t>
      </w:r>
      <w:proofErr w:type="spellStart"/>
      <w:r w:rsidRPr="003B2A61">
        <w:rPr>
          <w:rFonts w:ascii="Times New Roman" w:hAnsi="Times New Roman" w:cs="Times New Roman"/>
          <w:sz w:val="28"/>
          <w:szCs w:val="28"/>
          <w:shd w:val="clear" w:color="auto" w:fill="FFFFFF"/>
          <w:lang w:val="en-US"/>
        </w:rPr>
        <w:t>Taubman</w:t>
      </w:r>
      <w:proofErr w:type="spellEnd"/>
      <w:r w:rsidRPr="0070117E">
        <w:rPr>
          <w:rFonts w:ascii="Times New Roman" w:hAnsi="Times New Roman" w:cs="Times New Roman"/>
          <w:sz w:val="28"/>
          <w:szCs w:val="28"/>
          <w:shd w:val="clear" w:color="auto" w:fill="FFFFFF"/>
          <w:lang w:val="en-US"/>
        </w:rPr>
        <w:t xml:space="preserve"> </w:t>
      </w:r>
      <w:r w:rsidRPr="003B2A61">
        <w:rPr>
          <w:rFonts w:ascii="Times New Roman" w:hAnsi="Times New Roman" w:cs="Times New Roman"/>
          <w:sz w:val="28"/>
          <w:szCs w:val="28"/>
          <w:shd w:val="clear" w:color="auto" w:fill="FFFFFF"/>
          <w:lang w:val="en-US"/>
        </w:rPr>
        <w:t>M</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L.,</w:t>
      </w:r>
      <w:r w:rsidRPr="003B2A61">
        <w:rPr>
          <w:rStyle w:val="apple-converted-space"/>
          <w:rFonts w:ascii="Times New Roman" w:hAnsi="Times New Roman" w:cs="Times New Roman"/>
          <w:color w:val="auto"/>
          <w:sz w:val="28"/>
          <w:szCs w:val="28"/>
          <w:shd w:val="clear" w:color="auto" w:fill="FFFFFF"/>
          <w:vertAlign w:val="superscript"/>
          <w:lang w:val="en-US"/>
        </w:rPr>
        <w:t> </w:t>
      </w:r>
      <w:r w:rsidRPr="003B2A61">
        <w:rPr>
          <w:rFonts w:ascii="Times New Roman" w:hAnsi="Times New Roman" w:cs="Times New Roman"/>
          <w:sz w:val="28"/>
          <w:szCs w:val="28"/>
          <w:shd w:val="clear" w:color="auto" w:fill="FFFFFF"/>
          <w:lang w:val="en-US"/>
        </w:rPr>
        <w:t>Goldfarb</w:t>
      </w:r>
      <w:r w:rsidRPr="0070117E">
        <w:rPr>
          <w:rFonts w:ascii="Times New Roman" w:hAnsi="Times New Roman" w:cs="Times New Roman"/>
          <w:sz w:val="28"/>
          <w:szCs w:val="28"/>
          <w:shd w:val="clear" w:color="auto" w:fill="FFFFFF"/>
          <w:lang w:val="en-US"/>
        </w:rPr>
        <w:t xml:space="preserve"> </w:t>
      </w:r>
      <w:r w:rsidRPr="003B2A61">
        <w:rPr>
          <w:rFonts w:ascii="Times New Roman" w:hAnsi="Times New Roman" w:cs="Times New Roman"/>
          <w:sz w:val="28"/>
          <w:szCs w:val="28"/>
          <w:shd w:val="clear" w:color="auto" w:fill="FFFFFF"/>
          <w:lang w:val="en-US"/>
        </w:rPr>
        <w:t>M</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lang w:val="en-US"/>
        </w:rPr>
        <w:t xml:space="preserve"> Role of SPECT and SPECT/CT in the Surgical Treatment of Primary Hyperparathyroidism. – </w:t>
      </w:r>
      <w:r w:rsidRPr="003B2A61">
        <w:rPr>
          <w:rFonts w:ascii="Times New Roman" w:hAnsi="Times New Roman" w:cs="Times New Roman"/>
          <w:sz w:val="28"/>
          <w:szCs w:val="28"/>
          <w:shd w:val="clear" w:color="auto" w:fill="FFFFFF"/>
          <w:lang w:val="en-US"/>
        </w:rPr>
        <w:t>Int</w:t>
      </w:r>
      <w:r>
        <w:rPr>
          <w:rFonts w:ascii="Times New Roman" w:hAnsi="Times New Roman" w:cs="Times New Roman"/>
          <w:sz w:val="28"/>
          <w:szCs w:val="28"/>
          <w:shd w:val="clear" w:color="auto" w:fill="FFFFFF"/>
          <w:lang w:val="en-US"/>
        </w:rPr>
        <w:t>ernational</w:t>
      </w:r>
      <w:r w:rsidRPr="003B2A61">
        <w:rPr>
          <w:rFonts w:ascii="Times New Roman" w:hAnsi="Times New Roman" w:cs="Times New Roman"/>
          <w:sz w:val="28"/>
          <w:szCs w:val="28"/>
          <w:shd w:val="clear" w:color="auto" w:fill="FFFFFF"/>
          <w:lang w:val="en-US"/>
        </w:rPr>
        <w:t xml:space="preserve"> J</w:t>
      </w:r>
      <w:r>
        <w:rPr>
          <w:rFonts w:ascii="Times New Roman" w:hAnsi="Times New Roman" w:cs="Times New Roman"/>
          <w:sz w:val="28"/>
          <w:szCs w:val="28"/>
          <w:shd w:val="clear" w:color="auto" w:fill="FFFFFF"/>
          <w:lang w:val="en-US"/>
        </w:rPr>
        <w:t>ournal of</w:t>
      </w:r>
      <w:r w:rsidRPr="003B2A61">
        <w:rPr>
          <w:rFonts w:ascii="Times New Roman" w:hAnsi="Times New Roman" w:cs="Times New Roman"/>
          <w:sz w:val="28"/>
          <w:szCs w:val="28"/>
          <w:shd w:val="clear" w:color="auto" w:fill="FFFFFF"/>
          <w:lang w:val="en-US"/>
        </w:rPr>
        <w:t xml:space="preserve"> Mol</w:t>
      </w:r>
      <w:r>
        <w:rPr>
          <w:rFonts w:ascii="Times New Roman" w:hAnsi="Times New Roman" w:cs="Times New Roman"/>
          <w:sz w:val="28"/>
          <w:szCs w:val="28"/>
          <w:shd w:val="clear" w:color="auto" w:fill="FFFFFF"/>
          <w:lang w:val="en-US"/>
        </w:rPr>
        <w:t>ecular</w:t>
      </w:r>
      <w:r w:rsidRPr="003B2A61">
        <w:rPr>
          <w:rFonts w:ascii="Times New Roman" w:hAnsi="Times New Roman" w:cs="Times New Roman"/>
          <w:sz w:val="28"/>
          <w:szCs w:val="28"/>
          <w:shd w:val="clear" w:color="auto" w:fill="FFFFFF"/>
          <w:lang w:val="en-US"/>
        </w:rPr>
        <w:t xml:space="preserve"> Imaging. </w:t>
      </w:r>
      <w:r>
        <w:rPr>
          <w:rFonts w:ascii="Times New Roman" w:hAnsi="Times New Roman" w:cs="Times New Roman"/>
          <w:sz w:val="28"/>
          <w:szCs w:val="28"/>
          <w:lang w:val="en-US"/>
        </w:rPr>
        <w:t xml:space="preserve">– </w:t>
      </w:r>
      <w:r>
        <w:rPr>
          <w:rFonts w:ascii="Times New Roman" w:hAnsi="Times New Roman" w:cs="Times New Roman"/>
          <w:sz w:val="28"/>
          <w:szCs w:val="28"/>
          <w:shd w:val="clear" w:color="auto" w:fill="FFFFFF"/>
          <w:lang w:val="en-US"/>
        </w:rPr>
        <w:t>2011</w:t>
      </w:r>
      <w:r w:rsidRPr="003B2A61">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lang w:val="en-US"/>
        </w:rPr>
        <w:t>– P. 7</w:t>
      </w:r>
    </w:p>
    <w:p w:rsidR="006E2A91" w:rsidRPr="003B2A61" w:rsidRDefault="006E2A91" w:rsidP="006E2A91">
      <w:pPr>
        <w:spacing w:line="360" w:lineRule="auto"/>
        <w:jc w:val="both"/>
        <w:rPr>
          <w:rFonts w:ascii="Times New Roman" w:hAnsi="Times New Roman" w:cs="Times New Roman"/>
          <w:bCs/>
          <w:sz w:val="28"/>
          <w:szCs w:val="28"/>
          <w:lang w:val="en-US"/>
        </w:rPr>
      </w:pPr>
      <w:r w:rsidRPr="00A566A4">
        <w:rPr>
          <w:rFonts w:ascii="Times New Roman" w:hAnsi="Times New Roman" w:cs="Times New Roman"/>
          <w:sz w:val="28"/>
          <w:szCs w:val="28"/>
          <w:lang w:val="en-US"/>
        </w:rPr>
        <w:t>4</w:t>
      </w:r>
      <w:r>
        <w:rPr>
          <w:rFonts w:ascii="Times New Roman" w:hAnsi="Times New Roman" w:cs="Times New Roman"/>
          <w:sz w:val="28"/>
          <w:szCs w:val="28"/>
          <w:lang w:val="en-US"/>
        </w:rPr>
        <w:t>2</w:t>
      </w:r>
      <w:r w:rsidRPr="003B2A61">
        <w:rPr>
          <w:rFonts w:ascii="Times New Roman" w:hAnsi="Times New Roman" w:cs="Times New Roman"/>
          <w:sz w:val="28"/>
          <w:szCs w:val="28"/>
          <w:lang w:val="en-US"/>
        </w:rPr>
        <w:t xml:space="preserve">. </w:t>
      </w:r>
      <w:proofErr w:type="spellStart"/>
      <w:r w:rsidRPr="003B2A61">
        <w:rPr>
          <w:rFonts w:ascii="Times New Roman" w:hAnsi="Times New Roman" w:cs="Times New Roman"/>
          <w:sz w:val="28"/>
          <w:szCs w:val="28"/>
          <w:lang w:val="en-US"/>
        </w:rPr>
        <w:t>Vignali</w:t>
      </w:r>
      <w:proofErr w:type="spellEnd"/>
      <w:r w:rsidRPr="00A566A4">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E</w:t>
      </w:r>
      <w:r>
        <w:rPr>
          <w:rFonts w:ascii="Times New Roman" w:hAnsi="Times New Roman" w:cs="Times New Roman"/>
          <w:sz w:val="28"/>
          <w:szCs w:val="28"/>
          <w:lang w:val="en-US"/>
        </w:rPr>
        <w:t>.</w:t>
      </w:r>
      <w:r w:rsidRPr="003B2A61">
        <w:rPr>
          <w:rFonts w:ascii="Times New Roman" w:hAnsi="Times New Roman" w:cs="Times New Roman"/>
          <w:sz w:val="28"/>
          <w:szCs w:val="28"/>
          <w:lang w:val="en-US"/>
        </w:rPr>
        <w:t xml:space="preserve">, </w:t>
      </w:r>
      <w:proofErr w:type="spellStart"/>
      <w:r w:rsidRPr="003B2A61">
        <w:rPr>
          <w:rFonts w:ascii="Times New Roman" w:hAnsi="Times New Roman" w:cs="Times New Roman"/>
          <w:sz w:val="28"/>
          <w:szCs w:val="28"/>
          <w:lang w:val="en-US"/>
        </w:rPr>
        <w:t>Picone</w:t>
      </w:r>
      <w:proofErr w:type="spellEnd"/>
      <w:r w:rsidRPr="00A566A4">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A</w:t>
      </w:r>
      <w:r>
        <w:rPr>
          <w:rFonts w:ascii="Times New Roman" w:hAnsi="Times New Roman" w:cs="Times New Roman"/>
          <w:sz w:val="28"/>
          <w:szCs w:val="28"/>
          <w:lang w:val="en-US"/>
        </w:rPr>
        <w:t>.</w:t>
      </w:r>
      <w:r w:rsidRPr="003B2A61">
        <w:rPr>
          <w:rFonts w:ascii="Times New Roman" w:hAnsi="Times New Roman" w:cs="Times New Roman"/>
          <w:sz w:val="28"/>
          <w:szCs w:val="28"/>
          <w:lang w:val="en-US"/>
        </w:rPr>
        <w:t xml:space="preserve">, </w:t>
      </w:r>
      <w:proofErr w:type="spellStart"/>
      <w:r w:rsidRPr="003B2A61">
        <w:rPr>
          <w:rFonts w:ascii="Times New Roman" w:hAnsi="Times New Roman" w:cs="Times New Roman"/>
          <w:sz w:val="28"/>
          <w:szCs w:val="28"/>
          <w:lang w:val="en-US"/>
        </w:rPr>
        <w:t>Materazzi</w:t>
      </w:r>
      <w:proofErr w:type="spellEnd"/>
      <w:r w:rsidRPr="00A566A4">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G</w:t>
      </w:r>
      <w:r>
        <w:rPr>
          <w:rFonts w:ascii="Times New Roman" w:hAnsi="Times New Roman" w:cs="Times New Roman"/>
          <w:sz w:val="28"/>
          <w:szCs w:val="28"/>
          <w:lang w:val="en-US"/>
        </w:rPr>
        <w:t>.</w:t>
      </w:r>
      <w:r w:rsidRPr="003B2A61">
        <w:rPr>
          <w:rFonts w:ascii="Times New Roman" w:hAnsi="Times New Roman" w:cs="Times New Roman"/>
          <w:sz w:val="28"/>
          <w:szCs w:val="28"/>
          <w:lang w:val="en-US"/>
        </w:rPr>
        <w:t xml:space="preserve">, </w:t>
      </w:r>
      <w:proofErr w:type="spellStart"/>
      <w:r w:rsidRPr="003B2A61">
        <w:rPr>
          <w:rFonts w:ascii="Times New Roman" w:hAnsi="Times New Roman" w:cs="Times New Roman"/>
          <w:sz w:val="28"/>
          <w:szCs w:val="28"/>
          <w:lang w:val="en-US"/>
        </w:rPr>
        <w:t>Steffe</w:t>
      </w:r>
      <w:proofErr w:type="spellEnd"/>
      <w:r w:rsidRPr="003B2A61">
        <w:rPr>
          <w:rFonts w:ascii="Times New Roman" w:hAnsi="Times New Roman" w:cs="Times New Roman"/>
          <w:sz w:val="28"/>
          <w:szCs w:val="28"/>
          <w:lang w:val="en-US"/>
        </w:rPr>
        <w:t xml:space="preserve"> S</w:t>
      </w:r>
      <w:r>
        <w:rPr>
          <w:rFonts w:ascii="Times New Roman" w:hAnsi="Times New Roman" w:cs="Times New Roman"/>
          <w:sz w:val="28"/>
          <w:szCs w:val="28"/>
          <w:lang w:val="en-US"/>
        </w:rPr>
        <w:t>.</w:t>
      </w:r>
      <w:r w:rsidRPr="003B2A61">
        <w:rPr>
          <w:rFonts w:ascii="Times New Roman" w:hAnsi="Times New Roman" w:cs="Times New Roman"/>
          <w:sz w:val="28"/>
          <w:szCs w:val="28"/>
          <w:lang w:val="en-US"/>
        </w:rPr>
        <w:t xml:space="preserve"> A quick </w:t>
      </w:r>
      <w:proofErr w:type="spellStart"/>
      <w:r w:rsidRPr="003B2A61">
        <w:rPr>
          <w:rFonts w:ascii="Times New Roman" w:hAnsi="Times New Roman" w:cs="Times New Roman"/>
          <w:sz w:val="28"/>
          <w:szCs w:val="28"/>
          <w:lang w:val="en-US"/>
        </w:rPr>
        <w:t>intraoperative</w:t>
      </w:r>
      <w:proofErr w:type="spellEnd"/>
      <w:r w:rsidRPr="003B2A61">
        <w:rPr>
          <w:rFonts w:ascii="Times New Roman" w:hAnsi="Times New Roman" w:cs="Times New Roman"/>
          <w:sz w:val="28"/>
          <w:szCs w:val="28"/>
          <w:lang w:val="en-US"/>
        </w:rPr>
        <w:t xml:space="preserve"> parathyroid hormone assay in the surgical management of patients with primary hyperparathyroidism: a study of 206 consecutive cases. – European Journal of Endocrinology. – 2002. </w:t>
      </w:r>
      <w:proofErr w:type="gramStart"/>
      <w:r w:rsidRPr="003B2A61">
        <w:rPr>
          <w:rFonts w:ascii="Times New Roman" w:hAnsi="Times New Roman" w:cs="Times New Roman"/>
          <w:sz w:val="28"/>
          <w:szCs w:val="28"/>
          <w:lang w:val="en-US"/>
        </w:rPr>
        <w:t>– №146.</w:t>
      </w:r>
      <w:proofErr w:type="gramEnd"/>
      <w:r w:rsidRPr="003B2A61">
        <w:rPr>
          <w:rFonts w:ascii="Times New Roman" w:hAnsi="Times New Roman" w:cs="Times New Roman"/>
          <w:sz w:val="28"/>
          <w:szCs w:val="28"/>
          <w:lang w:val="en-US"/>
        </w:rPr>
        <w:t xml:space="preserve"> – P. 783</w:t>
      </w:r>
      <w:r w:rsidRPr="00A566A4">
        <w:rPr>
          <w:rFonts w:ascii="Times New Roman" w:hAnsi="Times New Roman" w:cs="Times New Roman"/>
          <w:sz w:val="28"/>
          <w:szCs w:val="28"/>
          <w:lang w:val="en-US"/>
        </w:rPr>
        <w:t>-</w:t>
      </w:r>
      <w:r w:rsidRPr="003B2A61">
        <w:rPr>
          <w:rFonts w:ascii="Times New Roman" w:hAnsi="Times New Roman" w:cs="Times New Roman"/>
          <w:sz w:val="28"/>
          <w:szCs w:val="28"/>
          <w:lang w:val="en-US"/>
        </w:rPr>
        <w:t>788</w:t>
      </w:r>
    </w:p>
    <w:p w:rsidR="006E2A91" w:rsidRPr="003B2A61" w:rsidRDefault="006E2A91" w:rsidP="006E2A91">
      <w:pPr>
        <w:spacing w:line="360" w:lineRule="auto"/>
        <w:jc w:val="both"/>
        <w:rPr>
          <w:rFonts w:ascii="Times New Roman" w:hAnsi="Times New Roman" w:cs="Times New Roman"/>
          <w:sz w:val="28"/>
          <w:szCs w:val="28"/>
          <w:lang w:val="en-US"/>
        </w:rPr>
      </w:pPr>
      <w:r w:rsidRPr="00A566A4">
        <w:rPr>
          <w:rFonts w:ascii="Times New Roman" w:hAnsi="Times New Roman" w:cs="Times New Roman"/>
          <w:sz w:val="28"/>
          <w:szCs w:val="28"/>
          <w:lang w:val="en-US"/>
        </w:rPr>
        <w:t>4</w:t>
      </w:r>
      <w:r>
        <w:rPr>
          <w:rFonts w:ascii="Times New Roman" w:hAnsi="Times New Roman" w:cs="Times New Roman"/>
          <w:sz w:val="28"/>
          <w:szCs w:val="28"/>
          <w:lang w:val="en-US"/>
        </w:rPr>
        <w:t>3</w:t>
      </w:r>
      <w:r w:rsidRPr="003B2A61">
        <w:rPr>
          <w:rFonts w:ascii="Times New Roman" w:hAnsi="Times New Roman" w:cs="Times New Roman"/>
          <w:sz w:val="28"/>
          <w:szCs w:val="28"/>
          <w:lang w:val="en-US"/>
        </w:rPr>
        <w:t>. Wilhelm</w:t>
      </w:r>
      <w:r w:rsidRPr="00A566A4">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S</w:t>
      </w:r>
      <w:r w:rsidRPr="00A566A4">
        <w:rPr>
          <w:rFonts w:ascii="Times New Roman" w:hAnsi="Times New Roman" w:cs="Times New Roman"/>
          <w:sz w:val="28"/>
          <w:szCs w:val="28"/>
          <w:lang w:val="en-US"/>
        </w:rPr>
        <w:t>.</w:t>
      </w:r>
      <w:r w:rsidRPr="003B2A61">
        <w:rPr>
          <w:rFonts w:ascii="Times New Roman" w:hAnsi="Times New Roman" w:cs="Times New Roman"/>
          <w:sz w:val="28"/>
          <w:szCs w:val="28"/>
          <w:lang w:val="en-US"/>
        </w:rPr>
        <w:t>M., Wang</w:t>
      </w:r>
      <w:r w:rsidRPr="00A566A4">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T</w:t>
      </w:r>
      <w:r w:rsidRPr="00A566A4">
        <w:rPr>
          <w:rFonts w:ascii="Times New Roman" w:hAnsi="Times New Roman" w:cs="Times New Roman"/>
          <w:sz w:val="28"/>
          <w:szCs w:val="28"/>
          <w:lang w:val="en-US"/>
        </w:rPr>
        <w:t>.</w:t>
      </w:r>
      <w:r w:rsidRPr="003B2A61">
        <w:rPr>
          <w:rFonts w:ascii="Times New Roman" w:hAnsi="Times New Roman" w:cs="Times New Roman"/>
          <w:sz w:val="28"/>
          <w:szCs w:val="28"/>
          <w:lang w:val="en-US"/>
        </w:rPr>
        <w:t xml:space="preserve">S., </w:t>
      </w:r>
      <w:proofErr w:type="spellStart"/>
      <w:r w:rsidRPr="003B2A61">
        <w:rPr>
          <w:rFonts w:ascii="Times New Roman" w:hAnsi="Times New Roman" w:cs="Times New Roman"/>
          <w:sz w:val="28"/>
          <w:szCs w:val="28"/>
          <w:lang w:val="en-US"/>
        </w:rPr>
        <w:t>Ruan</w:t>
      </w:r>
      <w:proofErr w:type="spellEnd"/>
      <w:r w:rsidRPr="00A566A4">
        <w:rPr>
          <w:rFonts w:ascii="Times New Roman" w:hAnsi="Times New Roman" w:cs="Times New Roman"/>
          <w:sz w:val="28"/>
          <w:szCs w:val="28"/>
          <w:lang w:val="en-US"/>
        </w:rPr>
        <w:t xml:space="preserve"> </w:t>
      </w:r>
      <w:r w:rsidRPr="003B2A61">
        <w:rPr>
          <w:rFonts w:ascii="Times New Roman" w:hAnsi="Times New Roman" w:cs="Times New Roman"/>
          <w:sz w:val="28"/>
          <w:szCs w:val="28"/>
          <w:lang w:val="en-US"/>
        </w:rPr>
        <w:t>D</w:t>
      </w:r>
      <w:r w:rsidRPr="00A566A4">
        <w:rPr>
          <w:rFonts w:ascii="Times New Roman" w:hAnsi="Times New Roman" w:cs="Times New Roman"/>
          <w:sz w:val="28"/>
          <w:szCs w:val="28"/>
          <w:lang w:val="en-US"/>
        </w:rPr>
        <w:t>.</w:t>
      </w:r>
      <w:r w:rsidRPr="003B2A61">
        <w:rPr>
          <w:rFonts w:ascii="Times New Roman" w:hAnsi="Times New Roman" w:cs="Times New Roman"/>
          <w:sz w:val="28"/>
          <w:szCs w:val="28"/>
          <w:lang w:val="en-US"/>
        </w:rPr>
        <w:t xml:space="preserve">T. </w:t>
      </w:r>
      <w:proofErr w:type="gramStart"/>
      <w:r w:rsidRPr="003B2A61">
        <w:rPr>
          <w:rFonts w:ascii="Times New Roman" w:hAnsi="Times New Roman" w:cs="Times New Roman"/>
          <w:sz w:val="28"/>
          <w:szCs w:val="28"/>
          <w:lang w:val="en-US"/>
        </w:rPr>
        <w:t>The American Association of Endocrine Surgeons Guidelines for Definitive Management of Primary Hyperparathyroidism.</w:t>
      </w:r>
      <w:proofErr w:type="gramEnd"/>
      <w:r w:rsidRPr="003B2A61">
        <w:rPr>
          <w:rFonts w:ascii="Times New Roman" w:hAnsi="Times New Roman" w:cs="Times New Roman"/>
          <w:sz w:val="28"/>
          <w:szCs w:val="28"/>
          <w:lang w:val="en-US"/>
        </w:rPr>
        <w:t xml:space="preserve"> – JAMA Surgery | Special Communication. </w:t>
      </w:r>
      <w:r>
        <w:rPr>
          <w:rFonts w:ascii="Times New Roman" w:hAnsi="Times New Roman" w:cs="Times New Roman"/>
          <w:sz w:val="28"/>
          <w:szCs w:val="28"/>
          <w:lang w:val="en-US"/>
        </w:rPr>
        <w:t>– 2016. – 151(10). – P. 959-968</w:t>
      </w:r>
    </w:p>
    <w:p w:rsidR="006E2A91" w:rsidRPr="003B2A61" w:rsidRDefault="006E2A91" w:rsidP="006E2A91">
      <w:pPr>
        <w:spacing w:line="360" w:lineRule="auto"/>
        <w:jc w:val="both"/>
        <w:rPr>
          <w:rFonts w:ascii="Times New Roman" w:eastAsia="Times New Roman" w:hAnsi="Times New Roman" w:cs="Times New Roman"/>
          <w:iCs/>
          <w:sz w:val="28"/>
          <w:szCs w:val="28"/>
          <w:lang w:val="en-US" w:eastAsia="ru-RU"/>
        </w:rPr>
      </w:pPr>
      <w:r>
        <w:rPr>
          <w:rFonts w:ascii="Times New Roman" w:eastAsia="Times New Roman" w:hAnsi="Times New Roman" w:cs="Times New Roman"/>
          <w:sz w:val="28"/>
          <w:szCs w:val="28"/>
          <w:shd w:val="clear" w:color="auto" w:fill="FFFFFF"/>
          <w:lang w:val="en-US" w:eastAsia="ru-RU"/>
        </w:rPr>
        <w:t>43</w:t>
      </w:r>
      <w:r w:rsidRPr="003B2A61">
        <w:rPr>
          <w:rFonts w:ascii="Times New Roman" w:eastAsia="Times New Roman" w:hAnsi="Times New Roman" w:cs="Times New Roman"/>
          <w:sz w:val="28"/>
          <w:szCs w:val="28"/>
          <w:shd w:val="clear" w:color="auto" w:fill="FFFFFF"/>
          <w:lang w:val="en-US" w:eastAsia="ru-RU"/>
        </w:rPr>
        <w:t xml:space="preserve">. </w:t>
      </w:r>
      <w:proofErr w:type="spellStart"/>
      <w:r w:rsidRPr="003B2A61">
        <w:rPr>
          <w:rFonts w:ascii="Times New Roman" w:eastAsia="Times New Roman" w:hAnsi="Times New Roman" w:cs="Times New Roman"/>
          <w:iCs/>
          <w:sz w:val="28"/>
          <w:szCs w:val="28"/>
          <w:lang w:val="en-US" w:eastAsia="ru-RU"/>
        </w:rPr>
        <w:t>Witteveen</w:t>
      </w:r>
      <w:proofErr w:type="spellEnd"/>
      <w:r w:rsidRPr="003B2A61">
        <w:rPr>
          <w:rFonts w:ascii="Times New Roman" w:eastAsia="Times New Roman" w:hAnsi="Times New Roman" w:cs="Times New Roman"/>
          <w:iCs/>
          <w:sz w:val="28"/>
          <w:szCs w:val="28"/>
          <w:lang w:val="en-US" w:eastAsia="ru-RU"/>
        </w:rPr>
        <w:t xml:space="preserve"> JE, </w:t>
      </w:r>
      <w:proofErr w:type="spellStart"/>
      <w:r w:rsidRPr="003B2A61">
        <w:rPr>
          <w:rFonts w:ascii="Times New Roman" w:eastAsia="Times New Roman" w:hAnsi="Times New Roman" w:cs="Times New Roman"/>
          <w:iCs/>
          <w:sz w:val="28"/>
          <w:szCs w:val="28"/>
          <w:lang w:val="en-US" w:eastAsia="ru-RU"/>
        </w:rPr>
        <w:t>Kievit</w:t>
      </w:r>
      <w:proofErr w:type="spellEnd"/>
      <w:r w:rsidRPr="003B2A61">
        <w:rPr>
          <w:rFonts w:ascii="Times New Roman" w:eastAsia="Times New Roman" w:hAnsi="Times New Roman" w:cs="Times New Roman"/>
          <w:iCs/>
          <w:sz w:val="28"/>
          <w:szCs w:val="28"/>
          <w:lang w:val="en-US" w:eastAsia="ru-RU"/>
        </w:rPr>
        <w:t xml:space="preserve"> J, van </w:t>
      </w:r>
      <w:proofErr w:type="spellStart"/>
      <w:r w:rsidRPr="003B2A61">
        <w:rPr>
          <w:rFonts w:ascii="Times New Roman" w:eastAsia="Times New Roman" w:hAnsi="Times New Roman" w:cs="Times New Roman"/>
          <w:iCs/>
          <w:sz w:val="28"/>
          <w:szCs w:val="28"/>
          <w:lang w:val="en-US" w:eastAsia="ru-RU"/>
        </w:rPr>
        <w:t>Erkel</w:t>
      </w:r>
      <w:proofErr w:type="spellEnd"/>
      <w:r w:rsidRPr="003B2A61">
        <w:rPr>
          <w:rFonts w:ascii="Times New Roman" w:eastAsia="Times New Roman" w:hAnsi="Times New Roman" w:cs="Times New Roman"/>
          <w:iCs/>
          <w:sz w:val="28"/>
          <w:szCs w:val="28"/>
          <w:lang w:val="en-US" w:eastAsia="ru-RU"/>
        </w:rPr>
        <w:t xml:space="preserve"> AR, </w:t>
      </w:r>
      <w:proofErr w:type="spellStart"/>
      <w:r w:rsidRPr="003B2A61">
        <w:rPr>
          <w:rFonts w:ascii="Times New Roman" w:eastAsia="Times New Roman" w:hAnsi="Times New Roman" w:cs="Times New Roman"/>
          <w:iCs/>
          <w:sz w:val="28"/>
          <w:szCs w:val="28"/>
          <w:lang w:val="en-US" w:eastAsia="ru-RU"/>
        </w:rPr>
        <w:t>Morreau</w:t>
      </w:r>
      <w:proofErr w:type="spellEnd"/>
      <w:r w:rsidRPr="003B2A61">
        <w:rPr>
          <w:rFonts w:ascii="Times New Roman" w:eastAsia="Times New Roman" w:hAnsi="Times New Roman" w:cs="Times New Roman"/>
          <w:iCs/>
          <w:sz w:val="28"/>
          <w:szCs w:val="28"/>
          <w:lang w:val="en-US" w:eastAsia="ru-RU"/>
        </w:rPr>
        <w:t xml:space="preserve"> H, </w:t>
      </w:r>
      <w:proofErr w:type="spellStart"/>
      <w:r w:rsidRPr="003B2A61">
        <w:rPr>
          <w:rFonts w:ascii="Times New Roman" w:eastAsia="Times New Roman" w:hAnsi="Times New Roman" w:cs="Times New Roman"/>
          <w:iCs/>
          <w:sz w:val="28"/>
          <w:szCs w:val="28"/>
          <w:lang w:val="en-US" w:eastAsia="ru-RU"/>
        </w:rPr>
        <w:t>Romijn</w:t>
      </w:r>
      <w:proofErr w:type="spellEnd"/>
      <w:r w:rsidRPr="003B2A61">
        <w:rPr>
          <w:rFonts w:ascii="Times New Roman" w:eastAsia="Times New Roman" w:hAnsi="Times New Roman" w:cs="Times New Roman"/>
          <w:iCs/>
          <w:sz w:val="28"/>
          <w:szCs w:val="28"/>
          <w:lang w:val="en-US" w:eastAsia="ru-RU"/>
        </w:rPr>
        <w:t xml:space="preserve"> JA, </w:t>
      </w:r>
      <w:proofErr w:type="spellStart"/>
      <w:r w:rsidRPr="003B2A61">
        <w:rPr>
          <w:rFonts w:ascii="Times New Roman" w:eastAsia="Times New Roman" w:hAnsi="Times New Roman" w:cs="Times New Roman"/>
          <w:iCs/>
          <w:sz w:val="28"/>
          <w:szCs w:val="28"/>
          <w:lang w:val="en-US" w:eastAsia="ru-RU"/>
        </w:rPr>
        <w:t>Hamdy</w:t>
      </w:r>
      <w:proofErr w:type="spellEnd"/>
      <w:r w:rsidRPr="003B2A61">
        <w:rPr>
          <w:rFonts w:ascii="Times New Roman" w:eastAsia="Times New Roman" w:hAnsi="Times New Roman" w:cs="Times New Roman"/>
          <w:iCs/>
          <w:sz w:val="28"/>
          <w:szCs w:val="28"/>
          <w:lang w:val="en-US" w:eastAsia="ru-RU"/>
        </w:rPr>
        <w:t xml:space="preserve"> NA.</w:t>
      </w:r>
      <w:r w:rsidRPr="003B2A61">
        <w:rPr>
          <w:rFonts w:ascii="Times New Roman" w:eastAsia="Times New Roman" w:hAnsi="Times New Roman" w:cs="Times New Roman"/>
          <w:sz w:val="28"/>
          <w:szCs w:val="28"/>
          <w:shd w:val="clear" w:color="auto" w:fill="FFFFFF"/>
          <w:lang w:val="en-US" w:eastAsia="ru-RU"/>
        </w:rPr>
        <w:t xml:space="preserve"> The role of selective venous sampling in the management of persistent hyperparathyroidism revisited. -</w:t>
      </w:r>
      <w:r w:rsidRPr="003B2A61">
        <w:rPr>
          <w:rFonts w:ascii="Times New Roman" w:eastAsia="Times New Roman" w:hAnsi="Times New Roman" w:cs="Times New Roman"/>
          <w:sz w:val="28"/>
          <w:szCs w:val="28"/>
          <w:lang w:val="en-US" w:eastAsia="ru-RU"/>
        </w:rPr>
        <w:t xml:space="preserve"> </w:t>
      </w:r>
      <w:proofErr w:type="spellStart"/>
      <w:r w:rsidRPr="003B2A61">
        <w:rPr>
          <w:rFonts w:ascii="Times New Roman" w:eastAsia="Times New Roman" w:hAnsi="Times New Roman" w:cs="Times New Roman"/>
          <w:iCs/>
          <w:sz w:val="28"/>
          <w:szCs w:val="28"/>
          <w:lang w:val="en-US" w:eastAsia="ru-RU"/>
        </w:rPr>
        <w:t>Eur</w:t>
      </w:r>
      <w:proofErr w:type="spellEnd"/>
      <w:r w:rsidRPr="003B2A61">
        <w:rPr>
          <w:rFonts w:ascii="Times New Roman" w:eastAsia="Times New Roman" w:hAnsi="Times New Roman" w:cs="Times New Roman"/>
          <w:iCs/>
          <w:sz w:val="28"/>
          <w:szCs w:val="28"/>
          <w:lang w:val="en-US" w:eastAsia="ru-RU"/>
        </w:rPr>
        <w:t xml:space="preserve"> J </w:t>
      </w:r>
      <w:proofErr w:type="spellStart"/>
      <w:r w:rsidRPr="003B2A61">
        <w:rPr>
          <w:rFonts w:ascii="Times New Roman" w:eastAsia="Times New Roman" w:hAnsi="Times New Roman" w:cs="Times New Roman"/>
          <w:iCs/>
          <w:sz w:val="28"/>
          <w:szCs w:val="28"/>
          <w:lang w:val="en-US" w:eastAsia="ru-RU"/>
        </w:rPr>
        <w:t>Endocrinol</w:t>
      </w:r>
      <w:proofErr w:type="spellEnd"/>
      <w:r w:rsidRPr="003B2A61">
        <w:rPr>
          <w:rFonts w:ascii="Times New Roman" w:eastAsia="Times New Roman" w:hAnsi="Times New Roman" w:cs="Times New Roman"/>
          <w:iCs/>
          <w:sz w:val="28"/>
          <w:szCs w:val="28"/>
          <w:lang w:val="en-US" w:eastAsia="ru-RU"/>
        </w:rPr>
        <w:t>. – 2010. - 163(6). – P.945-52</w:t>
      </w:r>
    </w:p>
    <w:p w:rsidR="006E2A91" w:rsidRPr="003B2A61" w:rsidRDefault="006E2A91" w:rsidP="006E2A91">
      <w:pPr>
        <w:spacing w:line="360" w:lineRule="auto"/>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shd w:val="clear" w:color="auto" w:fill="FFFFFF"/>
          <w:lang w:val="en-US"/>
        </w:rPr>
        <w:t>44</w:t>
      </w:r>
      <w:r w:rsidRPr="003B2A61">
        <w:rPr>
          <w:rFonts w:ascii="Times New Roman" w:hAnsi="Times New Roman" w:cs="Times New Roman"/>
          <w:sz w:val="28"/>
          <w:szCs w:val="28"/>
          <w:shd w:val="clear" w:color="auto" w:fill="FFFFFF"/>
          <w:lang w:val="en-US"/>
        </w:rPr>
        <w:t>. Wong K</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K</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Fig L</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M</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Gross M</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D</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 xml:space="preserve">, </w:t>
      </w:r>
      <w:proofErr w:type="spellStart"/>
      <w:r w:rsidRPr="003B2A61">
        <w:rPr>
          <w:rFonts w:ascii="Times New Roman" w:hAnsi="Times New Roman" w:cs="Times New Roman"/>
          <w:sz w:val="28"/>
          <w:szCs w:val="28"/>
          <w:shd w:val="clear" w:color="auto" w:fill="FFFFFF"/>
          <w:lang w:val="en-US"/>
        </w:rPr>
        <w:t>Dwamena</w:t>
      </w:r>
      <w:proofErr w:type="spellEnd"/>
      <w:r w:rsidRPr="003B2A61">
        <w:rPr>
          <w:rFonts w:ascii="Times New Roman" w:hAnsi="Times New Roman" w:cs="Times New Roman"/>
          <w:sz w:val="28"/>
          <w:szCs w:val="28"/>
          <w:shd w:val="clear" w:color="auto" w:fill="FFFFFF"/>
          <w:lang w:val="en-US"/>
        </w:rPr>
        <w:t xml:space="preserve"> B</w:t>
      </w:r>
      <w:r>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A. Parathyroid adenoma localization with 99mTc-sestamibi SPECT/CT: a meta-analysis.</w:t>
      </w:r>
      <w:r w:rsidRPr="003B2A61">
        <w:rPr>
          <w:rStyle w:val="apple-converted-space"/>
          <w:rFonts w:ascii="Times New Roman" w:hAnsi="Times New Roman" w:cs="Times New Roman"/>
          <w:color w:val="auto"/>
          <w:sz w:val="28"/>
          <w:szCs w:val="28"/>
          <w:shd w:val="clear" w:color="auto" w:fill="FFFFFF"/>
          <w:lang w:val="en-US"/>
        </w:rPr>
        <w:t> </w:t>
      </w:r>
      <w:proofErr w:type="spellStart"/>
      <w:proofErr w:type="gramStart"/>
      <w:r w:rsidRPr="003B2A61">
        <w:rPr>
          <w:rStyle w:val="ref-journal"/>
          <w:rFonts w:ascii="Times New Roman" w:hAnsi="Times New Roman" w:cs="Times New Roman"/>
          <w:color w:val="auto"/>
          <w:sz w:val="28"/>
          <w:szCs w:val="28"/>
          <w:shd w:val="clear" w:color="auto" w:fill="FFFFFF"/>
          <w:lang w:val="en-US"/>
        </w:rPr>
        <w:t>Nucl</w:t>
      </w:r>
      <w:r>
        <w:rPr>
          <w:rStyle w:val="ref-journal"/>
          <w:rFonts w:ascii="Times New Roman" w:hAnsi="Times New Roman" w:cs="Times New Roman"/>
          <w:color w:val="auto"/>
          <w:sz w:val="28"/>
          <w:szCs w:val="28"/>
          <w:shd w:val="clear" w:color="auto" w:fill="FFFFFF"/>
          <w:lang w:val="en-US"/>
        </w:rPr>
        <w:t>eal</w:t>
      </w:r>
      <w:proofErr w:type="spellEnd"/>
      <w:r w:rsidRPr="003B2A61">
        <w:rPr>
          <w:rStyle w:val="ref-journal"/>
          <w:rFonts w:ascii="Times New Roman" w:hAnsi="Times New Roman" w:cs="Times New Roman"/>
          <w:color w:val="auto"/>
          <w:sz w:val="28"/>
          <w:szCs w:val="28"/>
          <w:shd w:val="clear" w:color="auto" w:fill="FFFFFF"/>
          <w:lang w:val="en-US"/>
        </w:rPr>
        <w:t xml:space="preserve"> Med</w:t>
      </w:r>
      <w:r>
        <w:rPr>
          <w:rStyle w:val="ref-journal"/>
          <w:rFonts w:ascii="Times New Roman" w:hAnsi="Times New Roman" w:cs="Times New Roman"/>
          <w:color w:val="auto"/>
          <w:sz w:val="28"/>
          <w:szCs w:val="28"/>
          <w:shd w:val="clear" w:color="auto" w:fill="FFFFFF"/>
          <w:lang w:val="en-US"/>
        </w:rPr>
        <w:t>icine</w:t>
      </w:r>
      <w:r w:rsidRPr="003B2A61">
        <w:rPr>
          <w:rStyle w:val="ref-journal"/>
          <w:rFonts w:ascii="Times New Roman" w:hAnsi="Times New Roman" w:cs="Times New Roman"/>
          <w:color w:val="auto"/>
          <w:sz w:val="28"/>
          <w:szCs w:val="28"/>
          <w:shd w:val="clear" w:color="auto" w:fill="FFFFFF"/>
          <w:lang w:val="en-US"/>
        </w:rPr>
        <w:t xml:space="preserve"> Commun</w:t>
      </w:r>
      <w:r>
        <w:rPr>
          <w:rStyle w:val="ref-journal"/>
          <w:rFonts w:ascii="Times New Roman" w:hAnsi="Times New Roman" w:cs="Times New Roman"/>
          <w:color w:val="auto"/>
          <w:sz w:val="28"/>
          <w:szCs w:val="28"/>
          <w:shd w:val="clear" w:color="auto" w:fill="FFFFFF"/>
          <w:lang w:val="en-US"/>
        </w:rPr>
        <w:t>ications</w:t>
      </w:r>
      <w:r w:rsidRPr="003B2A61">
        <w:rPr>
          <w:rStyle w:val="ref-journal"/>
          <w:rFonts w:ascii="Times New Roman" w:hAnsi="Times New Roman" w:cs="Times New Roman"/>
          <w:color w:val="auto"/>
          <w:sz w:val="28"/>
          <w:szCs w:val="28"/>
          <w:shd w:val="clear" w:color="auto" w:fill="FFFFFF"/>
          <w:lang w:val="en-US"/>
        </w:rPr>
        <w:t>.</w:t>
      </w:r>
      <w:proofErr w:type="gramEnd"/>
      <w:r w:rsidRPr="003B2A61">
        <w:rPr>
          <w:rStyle w:val="ref-journal"/>
          <w:rFonts w:ascii="Times New Roman" w:hAnsi="Times New Roman" w:cs="Times New Roman"/>
          <w:color w:val="auto"/>
          <w:sz w:val="28"/>
          <w:szCs w:val="28"/>
          <w:shd w:val="clear" w:color="auto" w:fill="FFFFFF"/>
          <w:lang w:val="en-US"/>
        </w:rPr>
        <w:t xml:space="preserve"> –</w:t>
      </w:r>
      <w:r w:rsidRPr="003B2A61">
        <w:rPr>
          <w:rStyle w:val="apple-converted-space"/>
          <w:rFonts w:ascii="Times New Roman" w:hAnsi="Times New Roman" w:cs="Times New Roman"/>
          <w:color w:val="auto"/>
          <w:sz w:val="28"/>
          <w:szCs w:val="28"/>
          <w:shd w:val="clear" w:color="auto" w:fill="FFFFFF"/>
          <w:lang w:val="en-US"/>
        </w:rPr>
        <w:t> </w:t>
      </w:r>
      <w:r w:rsidRPr="003B2A61">
        <w:rPr>
          <w:rFonts w:ascii="Times New Roman" w:hAnsi="Times New Roman" w:cs="Times New Roman"/>
          <w:sz w:val="28"/>
          <w:szCs w:val="28"/>
          <w:shd w:val="clear" w:color="auto" w:fill="FFFFFF"/>
          <w:lang w:val="en-US"/>
        </w:rPr>
        <w:t xml:space="preserve">2015. – </w:t>
      </w:r>
      <w:r w:rsidRPr="003B2A61">
        <w:rPr>
          <w:rStyle w:val="ref-vol"/>
          <w:rFonts w:ascii="Times New Roman" w:hAnsi="Times New Roman" w:cs="Times New Roman"/>
          <w:color w:val="auto"/>
          <w:sz w:val="28"/>
          <w:szCs w:val="28"/>
          <w:shd w:val="clear" w:color="auto" w:fill="FFFFFF"/>
          <w:lang w:val="en-US"/>
        </w:rPr>
        <w:t>36</w:t>
      </w:r>
      <w:r w:rsidRPr="003B2A61">
        <w:rPr>
          <w:rFonts w:ascii="Times New Roman" w:hAnsi="Times New Roman" w:cs="Times New Roman"/>
          <w:sz w:val="28"/>
          <w:szCs w:val="28"/>
          <w:shd w:val="clear" w:color="auto" w:fill="FFFFFF"/>
          <w:lang w:val="en-US"/>
        </w:rPr>
        <w:t>. – P.</w:t>
      </w:r>
      <w:r>
        <w:rPr>
          <w:rFonts w:ascii="Times New Roman" w:hAnsi="Times New Roman" w:cs="Times New Roman"/>
          <w:sz w:val="28"/>
          <w:szCs w:val="28"/>
          <w:shd w:val="clear" w:color="auto" w:fill="FFFFFF"/>
          <w:lang w:val="en-US"/>
        </w:rPr>
        <w:t xml:space="preserve"> </w:t>
      </w:r>
      <w:r w:rsidRPr="003B2A61">
        <w:rPr>
          <w:rFonts w:ascii="Times New Roman" w:hAnsi="Times New Roman" w:cs="Times New Roman"/>
          <w:sz w:val="28"/>
          <w:szCs w:val="28"/>
          <w:shd w:val="clear" w:color="auto" w:fill="FFFFFF"/>
          <w:lang w:val="en-US"/>
        </w:rPr>
        <w:t>363–75</w:t>
      </w:r>
    </w:p>
    <w:p w:rsidR="006E2A91" w:rsidRPr="003B2A61" w:rsidRDefault="006E2A91" w:rsidP="006E2A9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46</w:t>
      </w:r>
      <w:r w:rsidRPr="003B2A61">
        <w:rPr>
          <w:rFonts w:ascii="Times New Roman" w:hAnsi="Times New Roman" w:cs="Times New Roman"/>
          <w:sz w:val="28"/>
          <w:szCs w:val="28"/>
          <w:lang w:val="en-US"/>
        </w:rPr>
        <w:t xml:space="preserve">. </w:t>
      </w:r>
      <w:proofErr w:type="spellStart"/>
      <w:r w:rsidRPr="003542DB">
        <w:rPr>
          <w:rFonts w:ascii="Times New Roman" w:hAnsi="Times New Roman" w:cs="Times New Roman"/>
          <w:sz w:val="28"/>
          <w:szCs w:val="28"/>
          <w:shd w:val="clear" w:color="auto" w:fill="FFFFFF"/>
          <w:lang w:val="en-US"/>
        </w:rPr>
        <w:t>Zajac</w:t>
      </w:r>
      <w:proofErr w:type="spellEnd"/>
      <w:r w:rsidRPr="003542DB">
        <w:rPr>
          <w:rFonts w:ascii="Times New Roman" w:hAnsi="Times New Roman" w:cs="Times New Roman"/>
          <w:sz w:val="28"/>
          <w:szCs w:val="28"/>
          <w:shd w:val="clear" w:color="auto" w:fill="FFFFFF"/>
          <w:lang w:val="en-US"/>
        </w:rPr>
        <w:t xml:space="preserve"> J</w:t>
      </w:r>
      <w:r w:rsidRPr="00A566A4">
        <w:rPr>
          <w:rFonts w:ascii="Times New Roman" w:hAnsi="Times New Roman" w:cs="Times New Roman"/>
          <w:sz w:val="28"/>
          <w:szCs w:val="28"/>
          <w:shd w:val="clear" w:color="auto" w:fill="FFFFFF"/>
          <w:lang w:val="en-US"/>
        </w:rPr>
        <w:t>.</w:t>
      </w:r>
      <w:r w:rsidRPr="003542DB">
        <w:rPr>
          <w:rFonts w:ascii="Times New Roman" w:hAnsi="Times New Roman" w:cs="Times New Roman"/>
          <w:sz w:val="28"/>
          <w:szCs w:val="28"/>
          <w:shd w:val="clear" w:color="auto" w:fill="FFFFFF"/>
          <w:lang w:val="en-US"/>
        </w:rPr>
        <w:t>D</w:t>
      </w:r>
      <w:r w:rsidRPr="00A566A4">
        <w:rPr>
          <w:rFonts w:ascii="Times New Roman" w:hAnsi="Times New Roman" w:cs="Times New Roman"/>
          <w:sz w:val="28"/>
          <w:szCs w:val="28"/>
          <w:shd w:val="clear" w:color="auto" w:fill="FFFFFF"/>
          <w:lang w:val="en-US"/>
        </w:rPr>
        <w:t>.</w:t>
      </w:r>
      <w:r w:rsidRPr="003B2A61">
        <w:rPr>
          <w:rFonts w:ascii="Times New Roman" w:hAnsi="Times New Roman" w:cs="Times New Roman"/>
          <w:sz w:val="28"/>
          <w:szCs w:val="28"/>
          <w:shd w:val="clear" w:color="auto" w:fill="FFFFFF"/>
          <w:lang w:val="en-US"/>
        </w:rPr>
        <w:t>,</w:t>
      </w:r>
      <w:r w:rsidRPr="003B2A61">
        <w:rPr>
          <w:rStyle w:val="apple-converted-space"/>
          <w:rFonts w:ascii="Times New Roman" w:hAnsi="Times New Roman" w:cs="Times New Roman"/>
          <w:color w:val="auto"/>
          <w:sz w:val="28"/>
          <w:szCs w:val="28"/>
          <w:shd w:val="clear" w:color="auto" w:fill="FFFFFF"/>
          <w:lang w:val="en-US"/>
        </w:rPr>
        <w:t> </w:t>
      </w:r>
      <w:proofErr w:type="spellStart"/>
      <w:r w:rsidRPr="003542DB">
        <w:rPr>
          <w:rFonts w:ascii="Times New Roman" w:hAnsi="Times New Roman" w:cs="Times New Roman"/>
          <w:sz w:val="28"/>
          <w:szCs w:val="28"/>
          <w:shd w:val="clear" w:color="auto" w:fill="FFFFFF"/>
          <w:lang w:val="en-US"/>
        </w:rPr>
        <w:t>Danks</w:t>
      </w:r>
      <w:proofErr w:type="spellEnd"/>
      <w:r w:rsidRPr="003542DB">
        <w:rPr>
          <w:rFonts w:ascii="Times New Roman" w:hAnsi="Times New Roman" w:cs="Times New Roman"/>
          <w:sz w:val="28"/>
          <w:szCs w:val="28"/>
          <w:shd w:val="clear" w:color="auto" w:fill="FFFFFF"/>
          <w:lang w:val="en-US"/>
        </w:rPr>
        <w:t xml:space="preserve"> J</w:t>
      </w:r>
      <w:r w:rsidRPr="00A566A4">
        <w:rPr>
          <w:rFonts w:ascii="Times New Roman" w:hAnsi="Times New Roman" w:cs="Times New Roman"/>
          <w:sz w:val="28"/>
          <w:szCs w:val="28"/>
          <w:shd w:val="clear" w:color="auto" w:fill="FFFFFF"/>
          <w:lang w:val="en-US"/>
        </w:rPr>
        <w:t>.</w:t>
      </w:r>
      <w:r w:rsidRPr="003542DB">
        <w:rPr>
          <w:rFonts w:ascii="Times New Roman" w:hAnsi="Times New Roman" w:cs="Times New Roman"/>
          <w:sz w:val="28"/>
          <w:szCs w:val="28"/>
          <w:shd w:val="clear" w:color="auto" w:fill="FFFFFF"/>
          <w:lang w:val="en-US"/>
        </w:rPr>
        <w:t>A</w:t>
      </w:r>
      <w:r w:rsidRPr="003B2A61">
        <w:rPr>
          <w:rFonts w:ascii="Times New Roman" w:hAnsi="Times New Roman" w:cs="Times New Roman"/>
          <w:sz w:val="28"/>
          <w:szCs w:val="28"/>
          <w:shd w:val="clear" w:color="auto" w:fill="FFFFFF"/>
          <w:lang w:val="en-US"/>
        </w:rPr>
        <w:t xml:space="preserve">. </w:t>
      </w:r>
      <w:r w:rsidRPr="003B2A61">
        <w:rPr>
          <w:rFonts w:ascii="Times New Roman" w:hAnsi="Times New Roman" w:cs="Times New Roman"/>
          <w:sz w:val="28"/>
          <w:szCs w:val="28"/>
          <w:lang w:val="en-US"/>
        </w:rPr>
        <w:t xml:space="preserve">The development of the parathyroid gland: from fish to human. - </w:t>
      </w:r>
      <w:r w:rsidRPr="004D344B">
        <w:rPr>
          <w:rFonts w:ascii="Times New Roman" w:hAnsi="Times New Roman" w:cs="Times New Roman"/>
          <w:sz w:val="28"/>
          <w:szCs w:val="28"/>
          <w:shd w:val="clear" w:color="auto" w:fill="FFFFFF"/>
          <w:lang w:val="en-US"/>
        </w:rPr>
        <w:t>Current Opinion in Nephrology and Hypertension.</w:t>
      </w:r>
      <w:r w:rsidRPr="003B2A61">
        <w:rPr>
          <w:rFonts w:ascii="Times New Roman" w:hAnsi="Times New Roman" w:cs="Times New Roman"/>
          <w:sz w:val="28"/>
          <w:szCs w:val="28"/>
          <w:shd w:val="clear" w:color="auto" w:fill="FFFFFF"/>
          <w:lang w:val="en-US"/>
        </w:rPr>
        <w:t xml:space="preserve"> –</w:t>
      </w:r>
      <w:r w:rsidRPr="003B2A61">
        <w:rPr>
          <w:rStyle w:val="apple-converted-space"/>
          <w:rFonts w:ascii="Times New Roman" w:hAnsi="Times New Roman" w:cs="Times New Roman"/>
          <w:color w:val="auto"/>
          <w:sz w:val="28"/>
          <w:szCs w:val="28"/>
          <w:shd w:val="clear" w:color="auto" w:fill="FFFFFF"/>
          <w:lang w:val="en-US"/>
        </w:rPr>
        <w:t> </w:t>
      </w:r>
      <w:r w:rsidRPr="003B2A61">
        <w:rPr>
          <w:rFonts w:ascii="Times New Roman" w:hAnsi="Times New Roman" w:cs="Times New Roman"/>
          <w:sz w:val="28"/>
          <w:szCs w:val="28"/>
          <w:shd w:val="clear" w:color="auto" w:fill="FFFFFF"/>
          <w:lang w:val="en-US"/>
        </w:rPr>
        <w:t>2008. – 17(4). – P.</w:t>
      </w:r>
      <w:r w:rsidRPr="0070117E">
        <w:rPr>
          <w:rFonts w:ascii="Times New Roman" w:hAnsi="Times New Roman" w:cs="Times New Roman"/>
          <w:sz w:val="28"/>
          <w:szCs w:val="28"/>
          <w:shd w:val="clear" w:color="auto" w:fill="FFFFFF"/>
          <w:lang w:val="en-US"/>
        </w:rPr>
        <w:t xml:space="preserve"> </w:t>
      </w:r>
      <w:r w:rsidRPr="003B2A61">
        <w:rPr>
          <w:rFonts w:ascii="Times New Roman" w:hAnsi="Times New Roman" w:cs="Times New Roman"/>
          <w:sz w:val="28"/>
          <w:szCs w:val="28"/>
          <w:shd w:val="clear" w:color="auto" w:fill="FFFFFF"/>
          <w:lang w:val="en-US"/>
        </w:rPr>
        <w:t>353-6</w:t>
      </w:r>
    </w:p>
    <w:p w:rsidR="006E2A91" w:rsidRPr="004D344B" w:rsidRDefault="006E2A91" w:rsidP="006E2A91">
      <w:pPr>
        <w:rPr>
          <w:lang w:val="en-US"/>
        </w:rPr>
      </w:pPr>
    </w:p>
    <w:bookmarkEnd w:id="25"/>
    <w:p w:rsidR="009B3E7F" w:rsidRDefault="009B3E7F" w:rsidP="009B3E7F">
      <w:pPr>
        <w:rPr>
          <w:lang w:val="en-US"/>
        </w:rPr>
      </w:pPr>
    </w:p>
    <w:p w:rsidR="006E2A91" w:rsidRDefault="006E2A91" w:rsidP="009B3E7F">
      <w:pPr>
        <w:rPr>
          <w:lang w:val="en-US"/>
        </w:rPr>
      </w:pPr>
    </w:p>
    <w:p w:rsidR="006E2A91" w:rsidRDefault="006E2A91" w:rsidP="009B3E7F">
      <w:pPr>
        <w:rPr>
          <w:lang w:val="en-US"/>
        </w:rPr>
      </w:pPr>
    </w:p>
    <w:p w:rsidR="006E2A91" w:rsidRDefault="006E2A91" w:rsidP="009B3E7F">
      <w:pPr>
        <w:rPr>
          <w:lang w:val="en-US"/>
        </w:rPr>
      </w:pPr>
    </w:p>
    <w:p w:rsidR="006E2A91" w:rsidRDefault="006E2A91" w:rsidP="009B3E7F">
      <w:pPr>
        <w:rPr>
          <w:lang w:val="en-US"/>
        </w:rPr>
      </w:pPr>
    </w:p>
    <w:p w:rsidR="006E2A91" w:rsidRDefault="006E2A91" w:rsidP="009B3E7F">
      <w:pPr>
        <w:rPr>
          <w:lang w:val="en-US"/>
        </w:rPr>
      </w:pPr>
    </w:p>
    <w:p w:rsidR="006E2A91" w:rsidRDefault="006E2A91" w:rsidP="009B3E7F">
      <w:pPr>
        <w:rPr>
          <w:lang w:val="en-US"/>
        </w:rPr>
      </w:pPr>
    </w:p>
    <w:p w:rsidR="006E2A91" w:rsidRDefault="006E2A91" w:rsidP="009B3E7F">
      <w:pPr>
        <w:rPr>
          <w:lang w:val="en-US"/>
        </w:rPr>
      </w:pPr>
    </w:p>
    <w:p w:rsidR="006E2A91" w:rsidRDefault="006E2A91" w:rsidP="009B3E7F">
      <w:pPr>
        <w:rPr>
          <w:lang w:val="en-US"/>
        </w:rPr>
      </w:pPr>
    </w:p>
    <w:p w:rsidR="006E2A91" w:rsidRDefault="006E2A91" w:rsidP="009B3E7F">
      <w:pPr>
        <w:rPr>
          <w:lang w:val="en-US"/>
        </w:rPr>
      </w:pPr>
    </w:p>
    <w:p w:rsidR="006E2A91" w:rsidRDefault="006E2A91" w:rsidP="009B3E7F">
      <w:pPr>
        <w:rPr>
          <w:lang w:val="en-US"/>
        </w:rPr>
      </w:pPr>
    </w:p>
    <w:p w:rsidR="006E2A91" w:rsidRDefault="006E2A91" w:rsidP="009B3E7F">
      <w:pPr>
        <w:rPr>
          <w:lang w:val="en-US"/>
        </w:rPr>
      </w:pPr>
    </w:p>
    <w:p w:rsidR="006E2A91" w:rsidRPr="00185F65" w:rsidRDefault="006E2A91" w:rsidP="009B3E7F">
      <w:pPr>
        <w:rPr>
          <w:lang w:val="en-US"/>
        </w:rPr>
      </w:pPr>
    </w:p>
    <w:p w:rsidR="009B3E7F" w:rsidRPr="00185F65" w:rsidRDefault="009B3E7F" w:rsidP="009B3E7F">
      <w:pPr>
        <w:rPr>
          <w:lang w:val="en-US"/>
        </w:rPr>
      </w:pPr>
    </w:p>
    <w:p w:rsidR="00C21E65" w:rsidRPr="00185F65" w:rsidRDefault="00C21E65" w:rsidP="00C21E65">
      <w:pPr>
        <w:rPr>
          <w:lang w:val="en-US"/>
        </w:rPr>
      </w:pPr>
    </w:p>
    <w:p w:rsidR="00C21E65" w:rsidRPr="00185F65" w:rsidRDefault="00C21E65" w:rsidP="00C21E65">
      <w:pPr>
        <w:rPr>
          <w:lang w:val="en-US"/>
        </w:rPr>
      </w:pPr>
    </w:p>
    <w:p w:rsidR="00BF0597" w:rsidRDefault="00BF0597" w:rsidP="00A812BA">
      <w:pPr>
        <w:pStyle w:val="1"/>
      </w:pPr>
      <w:bookmarkStart w:id="26" w:name="_Toc482798623"/>
      <w:r w:rsidRPr="00B17F28">
        <w:t>Приложение</w:t>
      </w:r>
      <w:bookmarkEnd w:id="26"/>
    </w:p>
    <w:p w:rsidR="00BF0597" w:rsidRDefault="00BF0597" w:rsidP="00BF0597">
      <w:pPr>
        <w:widowControl/>
        <w:shd w:val="clear" w:color="auto" w:fill="FFFFFF"/>
        <w:spacing w:after="240" w:line="360" w:lineRule="auto"/>
        <w:ind w:left="720"/>
        <w:jc w:val="both"/>
        <w:textAlignment w:val="baseline"/>
        <w:rPr>
          <w:rFonts w:ascii="Times New Roman" w:hAnsi="Times New Roman" w:cs="Times New Roman"/>
          <w:b/>
          <w:bCs/>
          <w:color w:val="auto"/>
          <w:sz w:val="28"/>
          <w:szCs w:val="28"/>
        </w:rPr>
      </w:pPr>
    </w:p>
    <w:p w:rsidR="00BF0597" w:rsidRDefault="00BF0597" w:rsidP="00BF0597">
      <w:pPr>
        <w:widowControl/>
        <w:shd w:val="clear" w:color="auto" w:fill="FFFFFF"/>
        <w:spacing w:after="240" w:line="360" w:lineRule="auto"/>
        <w:ind w:left="720"/>
        <w:jc w:val="both"/>
        <w:textAlignment w:val="baseline"/>
        <w:rPr>
          <w:rFonts w:ascii="Times New Roman" w:hAnsi="Times New Roman" w:cs="Times New Roman"/>
          <w:b/>
          <w:bCs/>
          <w:color w:val="auto"/>
          <w:sz w:val="28"/>
          <w:szCs w:val="28"/>
        </w:rPr>
      </w:pPr>
    </w:p>
    <w:p w:rsidR="00BF0597" w:rsidRDefault="00BF0597" w:rsidP="00BF0597">
      <w:pPr>
        <w:widowControl/>
        <w:shd w:val="clear" w:color="auto" w:fill="FFFFFF"/>
        <w:spacing w:after="240" w:line="360" w:lineRule="auto"/>
        <w:ind w:left="720"/>
        <w:jc w:val="both"/>
        <w:textAlignment w:val="baseline"/>
        <w:rPr>
          <w:rFonts w:ascii="Times New Roman" w:hAnsi="Times New Roman" w:cs="Times New Roman"/>
          <w:b/>
          <w:bCs/>
          <w:color w:val="auto"/>
          <w:sz w:val="28"/>
          <w:szCs w:val="28"/>
        </w:rPr>
      </w:pPr>
    </w:p>
    <w:p w:rsidR="00BF0597" w:rsidRDefault="00BF0597" w:rsidP="00BF0597">
      <w:pPr>
        <w:widowControl/>
        <w:shd w:val="clear" w:color="auto" w:fill="FFFFFF"/>
        <w:spacing w:after="240" w:line="360" w:lineRule="auto"/>
        <w:ind w:left="720"/>
        <w:jc w:val="both"/>
        <w:textAlignment w:val="baseline"/>
        <w:rPr>
          <w:rFonts w:ascii="Times New Roman" w:hAnsi="Times New Roman" w:cs="Times New Roman"/>
          <w:b/>
          <w:bCs/>
          <w:color w:val="auto"/>
          <w:sz w:val="28"/>
          <w:szCs w:val="28"/>
        </w:rPr>
      </w:pPr>
    </w:p>
    <w:p w:rsidR="00BF0597" w:rsidRDefault="00BF0597" w:rsidP="00BF0597">
      <w:pPr>
        <w:widowControl/>
        <w:shd w:val="clear" w:color="auto" w:fill="FFFFFF"/>
        <w:spacing w:after="240" w:line="360" w:lineRule="auto"/>
        <w:ind w:left="720"/>
        <w:jc w:val="both"/>
        <w:textAlignment w:val="baseline"/>
        <w:rPr>
          <w:rFonts w:ascii="Times New Roman" w:hAnsi="Times New Roman" w:cs="Times New Roman"/>
          <w:b/>
          <w:bCs/>
          <w:color w:val="auto"/>
          <w:sz w:val="28"/>
          <w:szCs w:val="28"/>
        </w:rPr>
      </w:pPr>
    </w:p>
    <w:p w:rsidR="00BF0597" w:rsidRPr="009F114A" w:rsidRDefault="00BF0597" w:rsidP="00BF0597">
      <w:pPr>
        <w:widowControl/>
        <w:autoSpaceDE w:val="0"/>
        <w:autoSpaceDN w:val="0"/>
        <w:adjustRightInd w:val="0"/>
        <w:jc w:val="center"/>
        <w:rPr>
          <w:rFonts w:ascii="MinionPro-Bold" w:hAnsi="MinionPro-Bold" w:cs="MinionPro-Bold"/>
          <w:b/>
          <w:bCs/>
          <w:color w:val="auto"/>
          <w:sz w:val="44"/>
          <w:szCs w:val="44"/>
          <w:lang w:bidi="ar-SA"/>
        </w:rPr>
      </w:pPr>
      <w:r>
        <w:rPr>
          <w:rFonts w:ascii="MinionPro-Bold" w:hAnsi="MinionPro-Bold" w:cs="MinionPro-Bold"/>
          <w:b/>
          <w:bCs/>
          <w:color w:val="auto"/>
          <w:sz w:val="44"/>
          <w:szCs w:val="44"/>
          <w:lang w:bidi="ar-SA"/>
        </w:rPr>
        <w:t>X</w:t>
      </w:r>
      <w:r w:rsidRPr="009F114A">
        <w:rPr>
          <w:rFonts w:ascii="MinionPro-Bold" w:hAnsi="MinionPro-Bold" w:cs="MinionPro-Bold"/>
          <w:b/>
          <w:bCs/>
          <w:color w:val="auto"/>
          <w:sz w:val="44"/>
          <w:szCs w:val="44"/>
          <w:lang w:bidi="ar-SA"/>
        </w:rPr>
        <w:t>X Международная</w:t>
      </w:r>
    </w:p>
    <w:p w:rsidR="00BF0597" w:rsidRPr="009F114A" w:rsidRDefault="00BF0597" w:rsidP="00BF0597">
      <w:pPr>
        <w:widowControl/>
        <w:autoSpaceDE w:val="0"/>
        <w:autoSpaceDN w:val="0"/>
        <w:adjustRightInd w:val="0"/>
        <w:jc w:val="center"/>
        <w:rPr>
          <w:rFonts w:ascii="MinionPro-Bold" w:hAnsi="MinionPro-Bold" w:cs="MinionPro-Bold"/>
          <w:b/>
          <w:bCs/>
          <w:color w:val="auto"/>
          <w:sz w:val="44"/>
          <w:szCs w:val="44"/>
          <w:lang w:bidi="ar-SA"/>
        </w:rPr>
      </w:pPr>
      <w:r w:rsidRPr="009F114A">
        <w:rPr>
          <w:rFonts w:ascii="MinionPro-Bold" w:hAnsi="MinionPro-Bold" w:cs="MinionPro-Bold"/>
          <w:b/>
          <w:bCs/>
          <w:color w:val="auto"/>
          <w:sz w:val="44"/>
          <w:szCs w:val="44"/>
          <w:lang w:bidi="ar-SA"/>
        </w:rPr>
        <w:t>медико-биологическая конференция</w:t>
      </w:r>
    </w:p>
    <w:p w:rsidR="00BF0597" w:rsidRPr="009F114A" w:rsidRDefault="00BF0597" w:rsidP="00BF0597">
      <w:pPr>
        <w:widowControl/>
        <w:autoSpaceDE w:val="0"/>
        <w:autoSpaceDN w:val="0"/>
        <w:adjustRightInd w:val="0"/>
        <w:jc w:val="center"/>
        <w:rPr>
          <w:rFonts w:ascii="MinionPro-Bold" w:hAnsi="MinionPro-Bold" w:cs="MinionPro-Bold"/>
          <w:b/>
          <w:bCs/>
          <w:color w:val="auto"/>
          <w:sz w:val="44"/>
          <w:szCs w:val="44"/>
          <w:lang w:bidi="ar-SA"/>
        </w:rPr>
      </w:pPr>
      <w:r w:rsidRPr="009F114A">
        <w:rPr>
          <w:rFonts w:ascii="MinionPro-Bold" w:hAnsi="MinionPro-Bold" w:cs="MinionPro-Bold"/>
          <w:b/>
          <w:bCs/>
          <w:color w:val="auto"/>
          <w:sz w:val="44"/>
          <w:szCs w:val="44"/>
          <w:lang w:bidi="ar-SA"/>
        </w:rPr>
        <w:t>молодых исследователей</w:t>
      </w:r>
    </w:p>
    <w:p w:rsidR="00BF0597" w:rsidRPr="009F114A" w:rsidRDefault="00BF0597" w:rsidP="00BF0597">
      <w:pPr>
        <w:widowControl/>
        <w:autoSpaceDE w:val="0"/>
        <w:autoSpaceDN w:val="0"/>
        <w:adjustRightInd w:val="0"/>
        <w:jc w:val="center"/>
        <w:rPr>
          <w:rFonts w:ascii="MinionPro-Bold" w:hAnsi="MinionPro-Bold" w:cs="MinionPro-Bold"/>
          <w:b/>
          <w:bCs/>
          <w:color w:val="auto"/>
          <w:sz w:val="44"/>
          <w:szCs w:val="44"/>
          <w:lang w:bidi="ar-SA"/>
        </w:rPr>
      </w:pPr>
      <w:r w:rsidRPr="009F114A">
        <w:rPr>
          <w:rFonts w:ascii="MinionPro-Bold" w:hAnsi="MinionPro-Bold" w:cs="MinionPro-Bold"/>
          <w:b/>
          <w:bCs/>
          <w:color w:val="auto"/>
          <w:sz w:val="44"/>
          <w:szCs w:val="44"/>
          <w:lang w:bidi="ar-SA"/>
        </w:rPr>
        <w:t>«Фундаментальная наука</w:t>
      </w:r>
    </w:p>
    <w:p w:rsidR="00BF0597" w:rsidRPr="009F114A" w:rsidRDefault="00BF0597" w:rsidP="00BF0597">
      <w:pPr>
        <w:widowControl/>
        <w:autoSpaceDE w:val="0"/>
        <w:autoSpaceDN w:val="0"/>
        <w:adjustRightInd w:val="0"/>
        <w:jc w:val="center"/>
        <w:rPr>
          <w:rFonts w:ascii="MinionPro-Bold" w:hAnsi="MinionPro-Bold" w:cs="MinionPro-Bold"/>
          <w:b/>
          <w:bCs/>
          <w:color w:val="auto"/>
          <w:sz w:val="44"/>
          <w:szCs w:val="44"/>
          <w:lang w:bidi="ar-SA"/>
        </w:rPr>
      </w:pPr>
      <w:r w:rsidRPr="009F114A">
        <w:rPr>
          <w:rFonts w:ascii="MinionPro-Bold" w:hAnsi="MinionPro-Bold" w:cs="MinionPro-Bold"/>
          <w:b/>
          <w:bCs/>
          <w:color w:val="auto"/>
          <w:sz w:val="44"/>
          <w:szCs w:val="44"/>
          <w:lang w:bidi="ar-SA"/>
        </w:rPr>
        <w:t>и клиническая медицина —</w:t>
      </w:r>
    </w:p>
    <w:p w:rsidR="00BF0597" w:rsidRDefault="00BF0597" w:rsidP="00BF0597">
      <w:pPr>
        <w:widowControl/>
        <w:autoSpaceDE w:val="0"/>
        <w:autoSpaceDN w:val="0"/>
        <w:adjustRightInd w:val="0"/>
        <w:jc w:val="center"/>
        <w:rPr>
          <w:rFonts w:ascii="MinionPro-Bold" w:hAnsi="MinionPro-Bold" w:cs="MinionPro-Bold"/>
          <w:b/>
          <w:bCs/>
          <w:color w:val="auto"/>
          <w:sz w:val="44"/>
          <w:szCs w:val="44"/>
          <w:lang w:bidi="ar-SA"/>
        </w:rPr>
      </w:pPr>
      <w:r w:rsidRPr="009F114A">
        <w:rPr>
          <w:rFonts w:ascii="MinionPro-Bold" w:hAnsi="MinionPro-Bold" w:cs="MinionPro-Bold"/>
          <w:b/>
          <w:bCs/>
          <w:color w:val="auto"/>
          <w:sz w:val="44"/>
          <w:szCs w:val="44"/>
          <w:lang w:bidi="ar-SA"/>
        </w:rPr>
        <w:t>человек и его здоровье»</w:t>
      </w:r>
    </w:p>
    <w:p w:rsidR="00BF0597" w:rsidRDefault="00BF0597" w:rsidP="00BF0597">
      <w:pPr>
        <w:widowControl/>
        <w:autoSpaceDE w:val="0"/>
        <w:autoSpaceDN w:val="0"/>
        <w:adjustRightInd w:val="0"/>
        <w:jc w:val="center"/>
        <w:rPr>
          <w:rFonts w:ascii="MinionPro-Bold" w:hAnsi="MinionPro-Bold" w:cs="MinionPro-Bold"/>
          <w:b/>
          <w:bCs/>
          <w:color w:val="auto"/>
          <w:sz w:val="44"/>
          <w:szCs w:val="44"/>
          <w:lang w:bidi="ar-SA"/>
        </w:rPr>
      </w:pPr>
    </w:p>
    <w:p w:rsidR="00BF0597" w:rsidRPr="009F114A" w:rsidRDefault="00BF0597" w:rsidP="00BF0597">
      <w:pPr>
        <w:widowControl/>
        <w:autoSpaceDE w:val="0"/>
        <w:autoSpaceDN w:val="0"/>
        <w:adjustRightInd w:val="0"/>
        <w:jc w:val="center"/>
        <w:rPr>
          <w:rFonts w:ascii="MinionPro-Bold" w:hAnsi="MinionPro-Bold" w:cs="MinionPro-Bold"/>
          <w:b/>
          <w:bCs/>
          <w:color w:val="auto"/>
          <w:sz w:val="44"/>
          <w:szCs w:val="44"/>
          <w:lang w:bidi="ar-SA"/>
        </w:rPr>
      </w:pPr>
    </w:p>
    <w:p w:rsidR="00BF0597" w:rsidRPr="009F114A" w:rsidRDefault="00BF0597" w:rsidP="00BF0597">
      <w:pPr>
        <w:widowControl/>
        <w:autoSpaceDE w:val="0"/>
        <w:autoSpaceDN w:val="0"/>
        <w:adjustRightInd w:val="0"/>
        <w:jc w:val="center"/>
        <w:rPr>
          <w:rFonts w:ascii="MinionPro-Regular" w:hAnsi="MinionPro-Regular" w:cs="MinionPro-Regular"/>
          <w:color w:val="auto"/>
          <w:sz w:val="44"/>
          <w:szCs w:val="44"/>
          <w:lang w:bidi="ar-SA"/>
        </w:rPr>
      </w:pPr>
      <w:r>
        <w:rPr>
          <w:rFonts w:ascii="MinionPro-Regular" w:hAnsi="MinionPro-Regular" w:cs="MinionPro-Regular"/>
          <w:color w:val="auto"/>
          <w:sz w:val="44"/>
          <w:szCs w:val="44"/>
          <w:lang w:bidi="ar-SA"/>
        </w:rPr>
        <w:t>22 апреля 2017</w:t>
      </w:r>
      <w:r w:rsidRPr="009F114A">
        <w:rPr>
          <w:rFonts w:ascii="MinionPro-Regular" w:hAnsi="MinionPro-Regular" w:cs="MinionPro-Regular"/>
          <w:color w:val="auto"/>
          <w:sz w:val="44"/>
          <w:szCs w:val="44"/>
          <w:lang w:bidi="ar-SA"/>
        </w:rPr>
        <w:t xml:space="preserve"> года</w:t>
      </w:r>
    </w:p>
    <w:p w:rsidR="00BF0597" w:rsidRPr="009F114A" w:rsidRDefault="00BF0597" w:rsidP="00BF0597">
      <w:pPr>
        <w:widowControl/>
        <w:jc w:val="center"/>
        <w:rPr>
          <w:rFonts w:ascii="Times New Roman" w:hAnsi="Times New Roman" w:cs="Times New Roman"/>
          <w:b/>
          <w:bCs/>
          <w:color w:val="auto"/>
          <w:sz w:val="44"/>
          <w:szCs w:val="44"/>
        </w:rPr>
      </w:pPr>
      <w:r w:rsidRPr="009F114A">
        <w:rPr>
          <w:rFonts w:ascii="MinionPro-Regular" w:hAnsi="MinionPro-Regular" w:cs="MinionPro-Regular"/>
          <w:color w:val="auto"/>
          <w:sz w:val="44"/>
          <w:szCs w:val="44"/>
          <w:lang w:bidi="ar-SA"/>
        </w:rPr>
        <w:t>Санкт-Петербургский государственный университет</w:t>
      </w:r>
    </w:p>
    <w:p w:rsidR="00BF0597" w:rsidRPr="009F114A" w:rsidRDefault="00BF0597" w:rsidP="00BF0597">
      <w:pPr>
        <w:widowControl/>
        <w:autoSpaceDE w:val="0"/>
        <w:autoSpaceDN w:val="0"/>
        <w:adjustRightInd w:val="0"/>
        <w:jc w:val="center"/>
        <w:rPr>
          <w:rFonts w:ascii="MinionPro-Bold" w:hAnsi="MinionPro-Bold" w:cs="MinionPro-Bold"/>
          <w:b/>
          <w:bCs/>
          <w:color w:val="auto"/>
          <w:sz w:val="44"/>
          <w:szCs w:val="44"/>
          <w:lang w:bidi="ar-SA"/>
        </w:rPr>
      </w:pPr>
    </w:p>
    <w:p w:rsidR="00BF0597" w:rsidRDefault="00BF0597" w:rsidP="00BF0597">
      <w:pPr>
        <w:widowControl/>
        <w:rPr>
          <w:rFonts w:ascii="MinionPro-Bold" w:hAnsi="MinionPro-Bold" w:cs="MinionPro-Bold"/>
          <w:b/>
          <w:bCs/>
          <w:color w:val="auto"/>
          <w:sz w:val="28"/>
          <w:szCs w:val="28"/>
          <w:lang w:bidi="ar-SA"/>
        </w:rPr>
      </w:pPr>
    </w:p>
    <w:p w:rsidR="00BF0597" w:rsidRDefault="00BF0597" w:rsidP="00BF0597">
      <w:pPr>
        <w:widowControl/>
        <w:rPr>
          <w:rFonts w:ascii="MinionPro-Bold" w:hAnsi="MinionPro-Bold" w:cs="MinionPro-Bold"/>
          <w:b/>
          <w:bCs/>
          <w:color w:val="auto"/>
          <w:sz w:val="28"/>
          <w:szCs w:val="28"/>
          <w:lang w:bidi="ar-SA"/>
        </w:rPr>
      </w:pPr>
      <w:r>
        <w:rPr>
          <w:rFonts w:ascii="MinionPro-Bold" w:hAnsi="MinionPro-Bold" w:cs="MinionPro-Bold"/>
          <w:b/>
          <w:bCs/>
          <w:color w:val="auto"/>
          <w:sz w:val="28"/>
          <w:szCs w:val="28"/>
          <w:lang w:bidi="ar-SA"/>
        </w:rPr>
        <w:br w:type="page"/>
      </w:r>
    </w:p>
    <w:p w:rsidR="00BF0597" w:rsidRPr="00BF0597" w:rsidRDefault="00BF0597" w:rsidP="00BF0597">
      <w:pPr>
        <w:widowControl/>
        <w:ind w:left="502"/>
        <w:rPr>
          <w:rFonts w:ascii="MinionPro-Regular" w:hAnsi="MinionPro-Regular" w:cs="Times New Roman"/>
          <w:b/>
          <w:bCs/>
          <w:color w:val="auto"/>
          <w:sz w:val="28"/>
          <w:szCs w:val="28"/>
        </w:rPr>
      </w:pPr>
      <w:r w:rsidRPr="00BF0597">
        <w:rPr>
          <w:rFonts w:ascii="MinionPro-Regular" w:hAnsi="MinionPro-Regular" w:cs="Times New Roman"/>
          <w:b/>
          <w:bCs/>
          <w:color w:val="auto"/>
          <w:sz w:val="28"/>
          <w:szCs w:val="28"/>
        </w:rPr>
        <w:t xml:space="preserve">РЕЗУЛЬТАТЫ ХИРУРГИЧЕСКОГО ЛЕЧЕНИЯ  ПЕРВИЧНОГО ГИПЕРПАРАТИРЕОЗА </w:t>
      </w:r>
    </w:p>
    <w:p w:rsidR="00BF0597" w:rsidRPr="00BF0597" w:rsidRDefault="00BF0597" w:rsidP="00BF0597">
      <w:pPr>
        <w:widowControl/>
        <w:ind w:left="502"/>
        <w:rPr>
          <w:rFonts w:ascii="MinionPro-Regular" w:hAnsi="MinionPro-Regular" w:cs="Times New Roman"/>
          <w:b/>
          <w:bCs/>
          <w:i/>
          <w:color w:val="auto"/>
          <w:sz w:val="28"/>
          <w:szCs w:val="28"/>
        </w:rPr>
      </w:pPr>
      <w:r w:rsidRPr="00BF0597">
        <w:rPr>
          <w:rFonts w:ascii="MinionPro-Regular" w:hAnsi="MinionPro-Regular" w:cs="Times New Roman"/>
          <w:b/>
          <w:bCs/>
          <w:i/>
          <w:color w:val="auto"/>
          <w:sz w:val="28"/>
          <w:szCs w:val="28"/>
        </w:rPr>
        <w:t xml:space="preserve">А. Р. Бахтиярова, студ. </w:t>
      </w:r>
    </w:p>
    <w:p w:rsidR="00BF0597" w:rsidRPr="00BF0597" w:rsidRDefault="00BF0597" w:rsidP="00BF0597">
      <w:pPr>
        <w:widowControl/>
        <w:ind w:left="502"/>
        <w:rPr>
          <w:rFonts w:ascii="MinionPro-Regular" w:hAnsi="MinionPro-Regular" w:cs="Times New Roman"/>
          <w:bCs/>
          <w:color w:val="auto"/>
          <w:sz w:val="28"/>
          <w:szCs w:val="28"/>
        </w:rPr>
      </w:pPr>
      <w:r w:rsidRPr="00BF0597">
        <w:rPr>
          <w:rFonts w:ascii="MinionPro-Regular" w:hAnsi="MinionPro-Regular" w:cs="Times New Roman"/>
          <w:bCs/>
          <w:i/>
          <w:color w:val="auto"/>
          <w:sz w:val="28"/>
          <w:szCs w:val="28"/>
        </w:rPr>
        <w:t>Санкт-Петербургский государственный университет,  кафедра факультетской хирургии. Северо-Западный центр эндокринологии</w:t>
      </w:r>
      <w:r>
        <w:rPr>
          <w:rFonts w:ascii="MinionPro-Regular" w:hAnsi="MinionPro-Regular" w:cs="Times New Roman"/>
          <w:bCs/>
          <w:i/>
          <w:color w:val="auto"/>
          <w:sz w:val="28"/>
          <w:szCs w:val="28"/>
        </w:rPr>
        <w:t xml:space="preserve"> и эндокринной хирургии</w:t>
      </w:r>
      <w:r w:rsidRPr="00BF0597">
        <w:rPr>
          <w:rFonts w:ascii="MinionPro-Regular" w:hAnsi="MinionPro-Regular" w:cs="Times New Roman"/>
          <w:bCs/>
          <w:i/>
          <w:color w:val="auto"/>
          <w:sz w:val="28"/>
          <w:szCs w:val="28"/>
        </w:rPr>
        <w:t>. Санкт-Петербург. Россия</w:t>
      </w:r>
      <w:r w:rsidRPr="00BF0597">
        <w:rPr>
          <w:rFonts w:ascii="MinionPro-Regular" w:hAnsi="MinionPro-Regular" w:cs="Times New Roman"/>
          <w:bCs/>
          <w:color w:val="auto"/>
          <w:sz w:val="28"/>
          <w:szCs w:val="28"/>
        </w:rPr>
        <w:t xml:space="preserve"> </w:t>
      </w:r>
    </w:p>
    <w:p w:rsidR="00BF0597" w:rsidRDefault="00BF0597" w:rsidP="00BF0597">
      <w:pPr>
        <w:widowControl/>
        <w:ind w:left="502"/>
        <w:rPr>
          <w:rFonts w:ascii="MinionPro-Regular" w:hAnsi="MinionPro-Regular" w:cs="Times New Roman"/>
          <w:bCs/>
          <w:color w:val="auto"/>
          <w:sz w:val="28"/>
          <w:szCs w:val="28"/>
        </w:rPr>
      </w:pPr>
      <w:proofErr w:type="gramStart"/>
      <w:r w:rsidRPr="00BF0597">
        <w:rPr>
          <w:rFonts w:ascii="MinionPro-Regular" w:hAnsi="MinionPro-Regular" w:cs="Times New Roman"/>
          <w:bCs/>
          <w:color w:val="auto"/>
          <w:sz w:val="28"/>
          <w:szCs w:val="28"/>
        </w:rPr>
        <w:t>Первичный</w:t>
      </w:r>
      <w:proofErr w:type="gramEnd"/>
      <w:r w:rsidRPr="00BF0597">
        <w:rPr>
          <w:rFonts w:ascii="MinionPro-Regular" w:hAnsi="MinionPro-Regular" w:cs="Times New Roman"/>
          <w:bCs/>
          <w:color w:val="auto"/>
          <w:sz w:val="28"/>
          <w:szCs w:val="28"/>
        </w:rPr>
        <w:t xml:space="preserve"> гиперпаратиреоз (ПГПТ)  — эндокринное заболевание, характеризующееся избыточной секрецией паратиреоидного гормона (ПТГ) вследствие первичной патологии околощитовидных желез (ОЩЖ). В связи с тем, что ни один из методов дооперационной диагностики ПГПТ не позволяет достоверно прогнозировать объем необходимого операционного вмешательства, появилась потребность определения интраоперационного ПТГ (иПТГ) для контроля адекватности удаления пораженной ткани ОЩЖ и  профилактики персистенции. Имеющийся на сегодняшний день традиционный метод определения иПТГ длится в 2 раза дольше нового модифицированного метода, ввиду этого необходим сравнительный анализ эффективности методов. </w:t>
      </w:r>
    </w:p>
    <w:p w:rsidR="00BF0597" w:rsidRDefault="00BF0597" w:rsidP="00BF0597">
      <w:pPr>
        <w:widowControl/>
        <w:ind w:left="502"/>
        <w:rPr>
          <w:rFonts w:ascii="MinionPro-Regular" w:hAnsi="MinionPro-Regular" w:cs="Times New Roman"/>
          <w:bCs/>
          <w:color w:val="auto"/>
          <w:sz w:val="28"/>
          <w:szCs w:val="28"/>
        </w:rPr>
      </w:pPr>
      <w:r w:rsidRPr="00BF0597">
        <w:rPr>
          <w:rFonts w:ascii="MinionPro-Regular" w:hAnsi="MinionPro-Regular" w:cs="Times New Roman"/>
          <w:bCs/>
          <w:color w:val="auto"/>
          <w:sz w:val="28"/>
          <w:szCs w:val="28"/>
        </w:rPr>
        <w:t>Цель работы: Сравнить возможности п</w:t>
      </w:r>
      <w:r w:rsidR="00671D6D">
        <w:rPr>
          <w:rFonts w:ascii="MinionPro-Regular" w:hAnsi="MinionPro-Regular" w:cs="Times New Roman"/>
          <w:bCs/>
          <w:color w:val="auto"/>
          <w:sz w:val="28"/>
          <w:szCs w:val="28"/>
        </w:rPr>
        <w:t>рогнозирования</w:t>
      </w:r>
      <w:r w:rsidRPr="00BF0597">
        <w:rPr>
          <w:rFonts w:ascii="MinionPro-Regular" w:hAnsi="MinionPro-Regular" w:cs="Times New Roman"/>
          <w:bCs/>
          <w:color w:val="auto"/>
          <w:sz w:val="28"/>
          <w:szCs w:val="28"/>
        </w:rPr>
        <w:t xml:space="preserve"> персистенции ПГПТ по динамике иПТГ, полученного традиционным и модифицированным методами. </w:t>
      </w:r>
    </w:p>
    <w:p w:rsidR="00BF0597" w:rsidRDefault="00BF0597" w:rsidP="00BF0597">
      <w:pPr>
        <w:widowControl/>
        <w:ind w:left="502"/>
        <w:rPr>
          <w:rFonts w:ascii="MinionPro-Regular" w:hAnsi="MinionPro-Regular" w:cs="Times New Roman"/>
          <w:bCs/>
          <w:color w:val="auto"/>
          <w:sz w:val="28"/>
          <w:szCs w:val="28"/>
        </w:rPr>
      </w:pPr>
      <w:r w:rsidRPr="00BF0597">
        <w:rPr>
          <w:rFonts w:ascii="MinionPro-Regular" w:hAnsi="MinionPro-Regular" w:cs="Times New Roman"/>
          <w:bCs/>
          <w:color w:val="auto"/>
          <w:sz w:val="28"/>
          <w:szCs w:val="28"/>
        </w:rPr>
        <w:t xml:space="preserve">Материалы и методы: Работа выполнена на основе ретроспективного анализа данных историй болезни, гистологических заключений 403 больных с ПГПТ за период 2011- 2016 гг. Пациенты были разделены на группы: с персистенцией — 39 пациентов (65±11 лет) и без персистенции — 364 пациента (59±10 лет). Статистическая обработка данных проводилась с использованием критерий Манна-Уитни, хи-квадрат и с построением ROC-кривых для определения чувствительности и специфичности методов. </w:t>
      </w:r>
    </w:p>
    <w:p w:rsidR="00BF0597" w:rsidRDefault="00BF0597" w:rsidP="00BF0597">
      <w:pPr>
        <w:widowControl/>
        <w:ind w:left="502"/>
        <w:rPr>
          <w:rFonts w:ascii="MinionPro-Regular" w:hAnsi="MinionPro-Regular" w:cs="Times New Roman"/>
          <w:bCs/>
          <w:color w:val="auto"/>
          <w:sz w:val="28"/>
          <w:szCs w:val="28"/>
        </w:rPr>
      </w:pPr>
      <w:r w:rsidRPr="00BF0597">
        <w:rPr>
          <w:rFonts w:ascii="MinionPro-Regular" w:hAnsi="MinionPro-Regular" w:cs="Times New Roman"/>
          <w:bCs/>
          <w:color w:val="auto"/>
          <w:sz w:val="28"/>
          <w:szCs w:val="28"/>
        </w:rPr>
        <w:t xml:space="preserve">Результаты: Используемые методы определения иПТГ оказались средней эффективности, значимой разницы между ними не выявлено (AUC 0,678 и 0,660, соответственно, </w:t>
      </w:r>
      <w:proofErr w:type="gramStart"/>
      <w:r w:rsidRPr="00BF0597">
        <w:rPr>
          <w:rFonts w:ascii="MinionPro-Regular" w:hAnsi="MinionPro-Regular" w:cs="Times New Roman"/>
          <w:bCs/>
          <w:color w:val="auto"/>
          <w:sz w:val="28"/>
          <w:szCs w:val="28"/>
        </w:rPr>
        <w:t>р</w:t>
      </w:r>
      <w:proofErr w:type="gramEnd"/>
      <w:r w:rsidRPr="00BF0597">
        <w:rPr>
          <w:rFonts w:ascii="MinionPro-Regular" w:hAnsi="MinionPro-Regular" w:cs="Times New Roman"/>
          <w:bCs/>
          <w:color w:val="auto"/>
          <w:sz w:val="28"/>
          <w:szCs w:val="28"/>
        </w:rPr>
        <w:t>&gt;0,05). Чувствительность традиционного метода составила 51 %, специфичность 83 %. Чувствительность модифицированного метода — 53 %, специфичность 75 %. Время, затрачиваемое на проведение тестов, различалось значимо (p&lt;0,001). Дополнительно было выявлено, что факторами риска развития персистенции являются женщины старше 60 лет (OR 2,4, 95 % ДИ 1,5–5,0) и исходные значения Са</w:t>
      </w:r>
      <w:proofErr w:type="gramStart"/>
      <w:r w:rsidRPr="00BF0597">
        <w:rPr>
          <w:rFonts w:ascii="MinionPro-Regular" w:hAnsi="MinionPro-Regular" w:cs="Times New Roman"/>
          <w:bCs/>
          <w:color w:val="auto"/>
          <w:sz w:val="28"/>
          <w:szCs w:val="28"/>
        </w:rPr>
        <w:t>2</w:t>
      </w:r>
      <w:proofErr w:type="gramEnd"/>
      <w:r w:rsidRPr="00BF0597">
        <w:rPr>
          <w:rFonts w:ascii="MinionPro-Regular" w:hAnsi="MinionPro-Regular" w:cs="Times New Roman"/>
          <w:bCs/>
          <w:color w:val="auto"/>
          <w:sz w:val="28"/>
          <w:szCs w:val="28"/>
        </w:rPr>
        <w:t xml:space="preserve">+ меньше 1,6 ммоль/л (OR 2,5, 95 % ДИ 1,03–6,20). Значимых различий в наличии дополнительных факторов риска таких, как наличие АИТ, предыдущих вмешательств в области шеи, узлов щитовидной железы и количество аденом ОЩЖ между группами выявлено не было. </w:t>
      </w:r>
    </w:p>
    <w:p w:rsidR="00BF0597" w:rsidRDefault="00BF0597" w:rsidP="00BF0597">
      <w:pPr>
        <w:widowControl/>
        <w:ind w:left="502"/>
        <w:rPr>
          <w:rFonts w:ascii="MinionPro-Regular" w:hAnsi="MinionPro-Regular" w:cs="Times New Roman"/>
          <w:bCs/>
          <w:color w:val="auto"/>
          <w:sz w:val="28"/>
          <w:szCs w:val="28"/>
        </w:rPr>
      </w:pPr>
      <w:r w:rsidRPr="00BF0597">
        <w:rPr>
          <w:rFonts w:ascii="MinionPro-Regular" w:hAnsi="MinionPro-Regular" w:cs="Times New Roman"/>
          <w:bCs/>
          <w:color w:val="auto"/>
          <w:sz w:val="28"/>
          <w:szCs w:val="28"/>
        </w:rPr>
        <w:t xml:space="preserve">Выводы: Полученные данные свидетельствуют о возможности применения модифицированного метода определения иПТГ как более быстрого и не менее эффективного. Выявленная низкая чувствительность методов определения иПТГ не подтверждает их перспективность в прогнозировании персистенции ПГПТ. </w:t>
      </w:r>
    </w:p>
    <w:p w:rsidR="00BF0597" w:rsidRPr="00BF0597" w:rsidRDefault="00BF0597" w:rsidP="00BF0597">
      <w:pPr>
        <w:widowControl/>
        <w:ind w:left="502"/>
        <w:rPr>
          <w:rFonts w:ascii="MinionPro-Regular" w:hAnsi="MinionPro-Regular" w:cs="Times New Roman"/>
          <w:bCs/>
          <w:color w:val="auto"/>
          <w:sz w:val="28"/>
          <w:szCs w:val="28"/>
        </w:rPr>
      </w:pPr>
    </w:p>
    <w:p w:rsidR="00BF0597" w:rsidRPr="00BF0597" w:rsidRDefault="00BF0597" w:rsidP="00BF0597">
      <w:pPr>
        <w:widowControl/>
        <w:ind w:left="502"/>
        <w:rPr>
          <w:rFonts w:ascii="MinionPro-Regular" w:hAnsi="MinionPro-Regular" w:cs="Times New Roman"/>
          <w:bCs/>
          <w:i/>
          <w:color w:val="auto"/>
          <w:sz w:val="28"/>
          <w:szCs w:val="28"/>
        </w:rPr>
      </w:pPr>
      <w:r w:rsidRPr="00BF0597">
        <w:rPr>
          <w:rFonts w:ascii="MinionPro-Regular" w:hAnsi="MinionPro-Regular" w:cs="Times New Roman"/>
          <w:bCs/>
          <w:i/>
          <w:color w:val="auto"/>
          <w:sz w:val="28"/>
          <w:szCs w:val="28"/>
        </w:rPr>
        <w:t>Автор выражает благодарность научному руководителю д.м.н., проф. Слепцову Илье Валерьевичу и к.м.н. Семенову Арсению Андреевичу.</w:t>
      </w:r>
    </w:p>
    <w:sectPr w:rsidR="00BF0597" w:rsidRPr="00BF0597" w:rsidSect="00691A4C">
      <w:footerReference w:type="default" r:id="rId4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F7A" w:rsidRDefault="00BC1F7A" w:rsidP="00170DA5">
      <w:r>
        <w:separator/>
      </w:r>
    </w:p>
  </w:endnote>
  <w:endnote w:type="continuationSeparator" w:id="0">
    <w:p w:rsidR="00BC1F7A" w:rsidRDefault="00BC1F7A" w:rsidP="00170D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nionPro-Bold">
    <w:altName w:val="Minion Pro"/>
    <w:panose1 w:val="00000000000000000000"/>
    <w:charset w:val="CC"/>
    <w:family w:val="roman"/>
    <w:notTrueType/>
    <w:pitch w:val="default"/>
    <w:sig w:usb0="00000201" w:usb1="00000000" w:usb2="00000000" w:usb3="00000000" w:csb0="00000004" w:csb1="00000000"/>
  </w:font>
  <w:font w:name="MinionPro-Regular">
    <w:altName w:val="Minion Pro"/>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03876"/>
      <w:docPartObj>
        <w:docPartGallery w:val="Page Numbers (Bottom of Page)"/>
        <w:docPartUnique/>
      </w:docPartObj>
    </w:sdtPr>
    <w:sdtContent>
      <w:p w:rsidR="00EC68A5" w:rsidRDefault="00EC68A5">
        <w:pPr>
          <w:pStyle w:val="aa"/>
          <w:jc w:val="center"/>
        </w:pPr>
        <w:fldSimple w:instr=" PAGE   \* MERGEFORMAT ">
          <w:r w:rsidR="00F76484">
            <w:rPr>
              <w:noProof/>
            </w:rPr>
            <w:t>2</w:t>
          </w:r>
        </w:fldSimple>
      </w:p>
    </w:sdtContent>
  </w:sdt>
  <w:p w:rsidR="00EC68A5" w:rsidRDefault="00EC68A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F7A" w:rsidRDefault="00BC1F7A" w:rsidP="00170DA5">
      <w:r>
        <w:separator/>
      </w:r>
    </w:p>
  </w:footnote>
  <w:footnote w:type="continuationSeparator" w:id="0">
    <w:p w:rsidR="00BC1F7A" w:rsidRDefault="00BC1F7A" w:rsidP="00170D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C75D6"/>
    <w:multiLevelType w:val="multilevel"/>
    <w:tmpl w:val="B8DE97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1B7CE5"/>
    <w:multiLevelType w:val="multilevel"/>
    <w:tmpl w:val="86803C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A27FEE"/>
    <w:multiLevelType w:val="multilevel"/>
    <w:tmpl w:val="3E5A54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7D336A"/>
    <w:multiLevelType w:val="multilevel"/>
    <w:tmpl w:val="37985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6E2ED3"/>
    <w:multiLevelType w:val="multilevel"/>
    <w:tmpl w:val="3BCC50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7A72AB"/>
    <w:multiLevelType w:val="multilevel"/>
    <w:tmpl w:val="BE9AA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5660E8"/>
    <w:multiLevelType w:val="multilevel"/>
    <w:tmpl w:val="C7B63F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BD441F"/>
    <w:multiLevelType w:val="multilevel"/>
    <w:tmpl w:val="4686E2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BB7AB0"/>
    <w:multiLevelType w:val="multilevel"/>
    <w:tmpl w:val="0ECCF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2"/>
  </w:num>
  <w:num w:numId="4">
    <w:abstractNumId w:val="0"/>
  </w:num>
  <w:num w:numId="5">
    <w:abstractNumId w:val="1"/>
  </w:num>
  <w:num w:numId="6">
    <w:abstractNumId w:val="5"/>
  </w:num>
  <w:num w:numId="7">
    <w:abstractNumId w:val="4"/>
  </w:num>
  <w:num w:numId="8">
    <w:abstractNumId w:val="6"/>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7262FF"/>
    <w:rsid w:val="00001EFF"/>
    <w:rsid w:val="00002046"/>
    <w:rsid w:val="00002632"/>
    <w:rsid w:val="000039CE"/>
    <w:rsid w:val="00003E8F"/>
    <w:rsid w:val="0000570E"/>
    <w:rsid w:val="00005AFB"/>
    <w:rsid w:val="00006263"/>
    <w:rsid w:val="00010994"/>
    <w:rsid w:val="0001144F"/>
    <w:rsid w:val="00013103"/>
    <w:rsid w:val="00013631"/>
    <w:rsid w:val="00013759"/>
    <w:rsid w:val="000137C1"/>
    <w:rsid w:val="000145EF"/>
    <w:rsid w:val="000206FB"/>
    <w:rsid w:val="00021C48"/>
    <w:rsid w:val="0002551B"/>
    <w:rsid w:val="0002577E"/>
    <w:rsid w:val="000308F3"/>
    <w:rsid w:val="0003296F"/>
    <w:rsid w:val="00033317"/>
    <w:rsid w:val="00034CEF"/>
    <w:rsid w:val="00036905"/>
    <w:rsid w:val="00041981"/>
    <w:rsid w:val="00042ED0"/>
    <w:rsid w:val="00046E82"/>
    <w:rsid w:val="00046FDA"/>
    <w:rsid w:val="00050D3E"/>
    <w:rsid w:val="00052A69"/>
    <w:rsid w:val="000547D6"/>
    <w:rsid w:val="00054944"/>
    <w:rsid w:val="00055718"/>
    <w:rsid w:val="00056BF1"/>
    <w:rsid w:val="00057470"/>
    <w:rsid w:val="000576CB"/>
    <w:rsid w:val="00062847"/>
    <w:rsid w:val="00062D62"/>
    <w:rsid w:val="000632B0"/>
    <w:rsid w:val="000667FD"/>
    <w:rsid w:val="0006693E"/>
    <w:rsid w:val="00066BCE"/>
    <w:rsid w:val="00071F86"/>
    <w:rsid w:val="00072015"/>
    <w:rsid w:val="00072165"/>
    <w:rsid w:val="000724BF"/>
    <w:rsid w:val="00072B4F"/>
    <w:rsid w:val="00073669"/>
    <w:rsid w:val="00074A09"/>
    <w:rsid w:val="00075194"/>
    <w:rsid w:val="0007597F"/>
    <w:rsid w:val="000778A8"/>
    <w:rsid w:val="00077B5C"/>
    <w:rsid w:val="0008207E"/>
    <w:rsid w:val="00082286"/>
    <w:rsid w:val="000828BC"/>
    <w:rsid w:val="00082FC0"/>
    <w:rsid w:val="00083266"/>
    <w:rsid w:val="0008535E"/>
    <w:rsid w:val="00085A01"/>
    <w:rsid w:val="00086D06"/>
    <w:rsid w:val="00090E27"/>
    <w:rsid w:val="000916CB"/>
    <w:rsid w:val="00091C31"/>
    <w:rsid w:val="00092568"/>
    <w:rsid w:val="00092D52"/>
    <w:rsid w:val="0009467E"/>
    <w:rsid w:val="000949F4"/>
    <w:rsid w:val="00096316"/>
    <w:rsid w:val="00097E38"/>
    <w:rsid w:val="000A0CAE"/>
    <w:rsid w:val="000A1278"/>
    <w:rsid w:val="000A1875"/>
    <w:rsid w:val="000A3279"/>
    <w:rsid w:val="000A4431"/>
    <w:rsid w:val="000A481F"/>
    <w:rsid w:val="000A55DC"/>
    <w:rsid w:val="000A574A"/>
    <w:rsid w:val="000A6F9F"/>
    <w:rsid w:val="000A797E"/>
    <w:rsid w:val="000A7DF3"/>
    <w:rsid w:val="000B1E23"/>
    <w:rsid w:val="000B388D"/>
    <w:rsid w:val="000B3899"/>
    <w:rsid w:val="000B529F"/>
    <w:rsid w:val="000B558A"/>
    <w:rsid w:val="000B67D9"/>
    <w:rsid w:val="000C10A2"/>
    <w:rsid w:val="000C22F3"/>
    <w:rsid w:val="000C29D8"/>
    <w:rsid w:val="000C4F57"/>
    <w:rsid w:val="000C60D0"/>
    <w:rsid w:val="000C6FCF"/>
    <w:rsid w:val="000D3233"/>
    <w:rsid w:val="000D3C6A"/>
    <w:rsid w:val="000D5C53"/>
    <w:rsid w:val="000D625A"/>
    <w:rsid w:val="000D7B90"/>
    <w:rsid w:val="000E1B4B"/>
    <w:rsid w:val="000E7263"/>
    <w:rsid w:val="000E7DB9"/>
    <w:rsid w:val="000E7EFB"/>
    <w:rsid w:val="000F108B"/>
    <w:rsid w:val="000F2AD0"/>
    <w:rsid w:val="000F5405"/>
    <w:rsid w:val="000F55C4"/>
    <w:rsid w:val="000F612F"/>
    <w:rsid w:val="000F7DA9"/>
    <w:rsid w:val="0010080A"/>
    <w:rsid w:val="00106124"/>
    <w:rsid w:val="00110745"/>
    <w:rsid w:val="00110C02"/>
    <w:rsid w:val="00110F6C"/>
    <w:rsid w:val="00112D1E"/>
    <w:rsid w:val="00113EDA"/>
    <w:rsid w:val="00114AE1"/>
    <w:rsid w:val="00114BAE"/>
    <w:rsid w:val="00115395"/>
    <w:rsid w:val="00115472"/>
    <w:rsid w:val="00115EE6"/>
    <w:rsid w:val="0011632B"/>
    <w:rsid w:val="00117F4A"/>
    <w:rsid w:val="00120495"/>
    <w:rsid w:val="00122056"/>
    <w:rsid w:val="00122425"/>
    <w:rsid w:val="00122490"/>
    <w:rsid w:val="00122712"/>
    <w:rsid w:val="00122DAE"/>
    <w:rsid w:val="00123126"/>
    <w:rsid w:val="00123A68"/>
    <w:rsid w:val="00124D06"/>
    <w:rsid w:val="00124D42"/>
    <w:rsid w:val="00124ED1"/>
    <w:rsid w:val="00125AEC"/>
    <w:rsid w:val="00126018"/>
    <w:rsid w:val="00127291"/>
    <w:rsid w:val="001275C0"/>
    <w:rsid w:val="00127860"/>
    <w:rsid w:val="0013082D"/>
    <w:rsid w:val="00130979"/>
    <w:rsid w:val="00131DE7"/>
    <w:rsid w:val="00132971"/>
    <w:rsid w:val="00133A39"/>
    <w:rsid w:val="00135AB9"/>
    <w:rsid w:val="0014029D"/>
    <w:rsid w:val="00140F0C"/>
    <w:rsid w:val="001441C4"/>
    <w:rsid w:val="001449BE"/>
    <w:rsid w:val="00146BA6"/>
    <w:rsid w:val="00146F47"/>
    <w:rsid w:val="001501AB"/>
    <w:rsid w:val="001509AE"/>
    <w:rsid w:val="00150A18"/>
    <w:rsid w:val="00151800"/>
    <w:rsid w:val="00153A37"/>
    <w:rsid w:val="0015480B"/>
    <w:rsid w:val="0015618A"/>
    <w:rsid w:val="001566AD"/>
    <w:rsid w:val="00156E83"/>
    <w:rsid w:val="0015741F"/>
    <w:rsid w:val="00160497"/>
    <w:rsid w:val="00162CEE"/>
    <w:rsid w:val="001644C5"/>
    <w:rsid w:val="0016495E"/>
    <w:rsid w:val="00164980"/>
    <w:rsid w:val="00165350"/>
    <w:rsid w:val="001662AD"/>
    <w:rsid w:val="00166FD9"/>
    <w:rsid w:val="00167124"/>
    <w:rsid w:val="001679C3"/>
    <w:rsid w:val="00167D34"/>
    <w:rsid w:val="00170980"/>
    <w:rsid w:val="00170DA5"/>
    <w:rsid w:val="00170DBF"/>
    <w:rsid w:val="00170E04"/>
    <w:rsid w:val="0017151D"/>
    <w:rsid w:val="00172B76"/>
    <w:rsid w:val="001730DC"/>
    <w:rsid w:val="00173404"/>
    <w:rsid w:val="00174E40"/>
    <w:rsid w:val="00176046"/>
    <w:rsid w:val="0017747B"/>
    <w:rsid w:val="00177575"/>
    <w:rsid w:val="00177B27"/>
    <w:rsid w:val="0018010B"/>
    <w:rsid w:val="0018074F"/>
    <w:rsid w:val="00181AA4"/>
    <w:rsid w:val="00183881"/>
    <w:rsid w:val="00183DD5"/>
    <w:rsid w:val="00184BD2"/>
    <w:rsid w:val="00185F65"/>
    <w:rsid w:val="00187F39"/>
    <w:rsid w:val="00190934"/>
    <w:rsid w:val="00191F74"/>
    <w:rsid w:val="00192844"/>
    <w:rsid w:val="001934BE"/>
    <w:rsid w:val="001935DB"/>
    <w:rsid w:val="00193BE9"/>
    <w:rsid w:val="001963A8"/>
    <w:rsid w:val="0019645A"/>
    <w:rsid w:val="001976DF"/>
    <w:rsid w:val="001A0128"/>
    <w:rsid w:val="001A07AD"/>
    <w:rsid w:val="001A0B1F"/>
    <w:rsid w:val="001A0D85"/>
    <w:rsid w:val="001A19DD"/>
    <w:rsid w:val="001A320D"/>
    <w:rsid w:val="001A491C"/>
    <w:rsid w:val="001A6270"/>
    <w:rsid w:val="001A6A91"/>
    <w:rsid w:val="001A70F9"/>
    <w:rsid w:val="001B0479"/>
    <w:rsid w:val="001B0582"/>
    <w:rsid w:val="001B1350"/>
    <w:rsid w:val="001B2EFB"/>
    <w:rsid w:val="001B304F"/>
    <w:rsid w:val="001B4185"/>
    <w:rsid w:val="001B442C"/>
    <w:rsid w:val="001B4AA6"/>
    <w:rsid w:val="001B54F1"/>
    <w:rsid w:val="001B594B"/>
    <w:rsid w:val="001B6C72"/>
    <w:rsid w:val="001C01E6"/>
    <w:rsid w:val="001C09EB"/>
    <w:rsid w:val="001C15D8"/>
    <w:rsid w:val="001C2937"/>
    <w:rsid w:val="001C3774"/>
    <w:rsid w:val="001C37B2"/>
    <w:rsid w:val="001C3A8E"/>
    <w:rsid w:val="001C4E05"/>
    <w:rsid w:val="001C5E95"/>
    <w:rsid w:val="001C6C42"/>
    <w:rsid w:val="001D0390"/>
    <w:rsid w:val="001D0410"/>
    <w:rsid w:val="001D1273"/>
    <w:rsid w:val="001D36B4"/>
    <w:rsid w:val="001D4B1B"/>
    <w:rsid w:val="001D513A"/>
    <w:rsid w:val="001D5219"/>
    <w:rsid w:val="001D5CD5"/>
    <w:rsid w:val="001D7552"/>
    <w:rsid w:val="001D7AC0"/>
    <w:rsid w:val="001E0B25"/>
    <w:rsid w:val="001E13B0"/>
    <w:rsid w:val="001E4DDF"/>
    <w:rsid w:val="001E4DF6"/>
    <w:rsid w:val="001F06FB"/>
    <w:rsid w:val="001F0706"/>
    <w:rsid w:val="001F0D89"/>
    <w:rsid w:val="001F1627"/>
    <w:rsid w:val="001F23AA"/>
    <w:rsid w:val="001F4377"/>
    <w:rsid w:val="001F58EF"/>
    <w:rsid w:val="001F62F4"/>
    <w:rsid w:val="00200E38"/>
    <w:rsid w:val="00202C5F"/>
    <w:rsid w:val="00202CB4"/>
    <w:rsid w:val="00203E4C"/>
    <w:rsid w:val="002043B5"/>
    <w:rsid w:val="002045E7"/>
    <w:rsid w:val="002061FB"/>
    <w:rsid w:val="00206404"/>
    <w:rsid w:val="002075AE"/>
    <w:rsid w:val="00207E2B"/>
    <w:rsid w:val="00210D11"/>
    <w:rsid w:val="002117C6"/>
    <w:rsid w:val="00211959"/>
    <w:rsid w:val="00211AA8"/>
    <w:rsid w:val="0021214E"/>
    <w:rsid w:val="002131EC"/>
    <w:rsid w:val="002133F1"/>
    <w:rsid w:val="002135C9"/>
    <w:rsid w:val="002144D0"/>
    <w:rsid w:val="00214662"/>
    <w:rsid w:val="002153BD"/>
    <w:rsid w:val="002163CB"/>
    <w:rsid w:val="0021739D"/>
    <w:rsid w:val="0021770D"/>
    <w:rsid w:val="00217EB3"/>
    <w:rsid w:val="00220C44"/>
    <w:rsid w:val="0022415C"/>
    <w:rsid w:val="00224B04"/>
    <w:rsid w:val="0023153E"/>
    <w:rsid w:val="00232669"/>
    <w:rsid w:val="00235F7C"/>
    <w:rsid w:val="00240A0D"/>
    <w:rsid w:val="002427A0"/>
    <w:rsid w:val="002429CA"/>
    <w:rsid w:val="00243204"/>
    <w:rsid w:val="00243AAF"/>
    <w:rsid w:val="00244E6D"/>
    <w:rsid w:val="0024567B"/>
    <w:rsid w:val="00246C99"/>
    <w:rsid w:val="0025023E"/>
    <w:rsid w:val="00253E9D"/>
    <w:rsid w:val="00255458"/>
    <w:rsid w:val="0025633E"/>
    <w:rsid w:val="00256A55"/>
    <w:rsid w:val="00257575"/>
    <w:rsid w:val="002578E8"/>
    <w:rsid w:val="00263A9F"/>
    <w:rsid w:val="00263CE4"/>
    <w:rsid w:val="002646DB"/>
    <w:rsid w:val="0026531D"/>
    <w:rsid w:val="00265C84"/>
    <w:rsid w:val="002732AD"/>
    <w:rsid w:val="002738E6"/>
    <w:rsid w:val="002752E4"/>
    <w:rsid w:val="00276F99"/>
    <w:rsid w:val="002805CD"/>
    <w:rsid w:val="0028138E"/>
    <w:rsid w:val="0028141B"/>
    <w:rsid w:val="00281A3C"/>
    <w:rsid w:val="00283FA5"/>
    <w:rsid w:val="00285233"/>
    <w:rsid w:val="00286A56"/>
    <w:rsid w:val="00292E7E"/>
    <w:rsid w:val="0029331B"/>
    <w:rsid w:val="00293A7C"/>
    <w:rsid w:val="002947F2"/>
    <w:rsid w:val="00295D53"/>
    <w:rsid w:val="0029633E"/>
    <w:rsid w:val="002A0045"/>
    <w:rsid w:val="002A03C3"/>
    <w:rsid w:val="002A0C85"/>
    <w:rsid w:val="002A119E"/>
    <w:rsid w:val="002A153E"/>
    <w:rsid w:val="002A18A7"/>
    <w:rsid w:val="002A208A"/>
    <w:rsid w:val="002A2868"/>
    <w:rsid w:val="002A2E1F"/>
    <w:rsid w:val="002A2ECC"/>
    <w:rsid w:val="002A3F82"/>
    <w:rsid w:val="002A4AB5"/>
    <w:rsid w:val="002A62A5"/>
    <w:rsid w:val="002A6EDC"/>
    <w:rsid w:val="002A74A0"/>
    <w:rsid w:val="002A75C9"/>
    <w:rsid w:val="002B0B90"/>
    <w:rsid w:val="002B12FB"/>
    <w:rsid w:val="002B174F"/>
    <w:rsid w:val="002B1CC3"/>
    <w:rsid w:val="002B2350"/>
    <w:rsid w:val="002B24E8"/>
    <w:rsid w:val="002B29D5"/>
    <w:rsid w:val="002B4663"/>
    <w:rsid w:val="002B4F78"/>
    <w:rsid w:val="002B61D7"/>
    <w:rsid w:val="002C0107"/>
    <w:rsid w:val="002C049C"/>
    <w:rsid w:val="002C245F"/>
    <w:rsid w:val="002C24AD"/>
    <w:rsid w:val="002C288D"/>
    <w:rsid w:val="002C3471"/>
    <w:rsid w:val="002C3DBB"/>
    <w:rsid w:val="002C5299"/>
    <w:rsid w:val="002C571C"/>
    <w:rsid w:val="002C6967"/>
    <w:rsid w:val="002C6FB2"/>
    <w:rsid w:val="002C73B9"/>
    <w:rsid w:val="002C7F94"/>
    <w:rsid w:val="002D1B3D"/>
    <w:rsid w:val="002D1CF1"/>
    <w:rsid w:val="002D2AFA"/>
    <w:rsid w:val="002D3DD0"/>
    <w:rsid w:val="002D3F09"/>
    <w:rsid w:val="002D4EF2"/>
    <w:rsid w:val="002D73D7"/>
    <w:rsid w:val="002D7577"/>
    <w:rsid w:val="002E1337"/>
    <w:rsid w:val="002E1827"/>
    <w:rsid w:val="002E5E07"/>
    <w:rsid w:val="002E6152"/>
    <w:rsid w:val="002F0BBA"/>
    <w:rsid w:val="002F152E"/>
    <w:rsid w:val="002F2496"/>
    <w:rsid w:val="002F258A"/>
    <w:rsid w:val="002F2BEF"/>
    <w:rsid w:val="002F4174"/>
    <w:rsid w:val="002F43B2"/>
    <w:rsid w:val="002F522A"/>
    <w:rsid w:val="002F6DB7"/>
    <w:rsid w:val="002F7A8C"/>
    <w:rsid w:val="003016FA"/>
    <w:rsid w:val="003020BB"/>
    <w:rsid w:val="00303EA3"/>
    <w:rsid w:val="00305BC2"/>
    <w:rsid w:val="003118E3"/>
    <w:rsid w:val="00311DCE"/>
    <w:rsid w:val="00312C05"/>
    <w:rsid w:val="00312C40"/>
    <w:rsid w:val="00313370"/>
    <w:rsid w:val="00313F4F"/>
    <w:rsid w:val="00316C01"/>
    <w:rsid w:val="003171ED"/>
    <w:rsid w:val="00317D8B"/>
    <w:rsid w:val="00323830"/>
    <w:rsid w:val="00324404"/>
    <w:rsid w:val="00324659"/>
    <w:rsid w:val="00325025"/>
    <w:rsid w:val="003312C0"/>
    <w:rsid w:val="003316AC"/>
    <w:rsid w:val="00331C55"/>
    <w:rsid w:val="00332437"/>
    <w:rsid w:val="00332F72"/>
    <w:rsid w:val="003343A4"/>
    <w:rsid w:val="003352AA"/>
    <w:rsid w:val="003353C8"/>
    <w:rsid w:val="00336A35"/>
    <w:rsid w:val="003406B1"/>
    <w:rsid w:val="00342EEF"/>
    <w:rsid w:val="00344800"/>
    <w:rsid w:val="00345C25"/>
    <w:rsid w:val="0034609B"/>
    <w:rsid w:val="00347AA6"/>
    <w:rsid w:val="003502FD"/>
    <w:rsid w:val="00350A20"/>
    <w:rsid w:val="003542DB"/>
    <w:rsid w:val="00354CCA"/>
    <w:rsid w:val="0035634E"/>
    <w:rsid w:val="0035706B"/>
    <w:rsid w:val="003619B5"/>
    <w:rsid w:val="00361FFD"/>
    <w:rsid w:val="0036263F"/>
    <w:rsid w:val="00363B74"/>
    <w:rsid w:val="003674B3"/>
    <w:rsid w:val="00367567"/>
    <w:rsid w:val="00372BBD"/>
    <w:rsid w:val="0037489B"/>
    <w:rsid w:val="00374B8E"/>
    <w:rsid w:val="00375A53"/>
    <w:rsid w:val="00376691"/>
    <w:rsid w:val="003773DF"/>
    <w:rsid w:val="003807B7"/>
    <w:rsid w:val="0038091D"/>
    <w:rsid w:val="0038395D"/>
    <w:rsid w:val="00385C74"/>
    <w:rsid w:val="003868C9"/>
    <w:rsid w:val="00391F58"/>
    <w:rsid w:val="003938F5"/>
    <w:rsid w:val="00393D6A"/>
    <w:rsid w:val="00394899"/>
    <w:rsid w:val="003979EC"/>
    <w:rsid w:val="003A238B"/>
    <w:rsid w:val="003A2449"/>
    <w:rsid w:val="003A29D7"/>
    <w:rsid w:val="003A2FB7"/>
    <w:rsid w:val="003A35D1"/>
    <w:rsid w:val="003A46ED"/>
    <w:rsid w:val="003A54B5"/>
    <w:rsid w:val="003A6445"/>
    <w:rsid w:val="003A7BB9"/>
    <w:rsid w:val="003B1F70"/>
    <w:rsid w:val="003B2A61"/>
    <w:rsid w:val="003B5217"/>
    <w:rsid w:val="003B5425"/>
    <w:rsid w:val="003B62B5"/>
    <w:rsid w:val="003C1B60"/>
    <w:rsid w:val="003C4F05"/>
    <w:rsid w:val="003C646C"/>
    <w:rsid w:val="003C6A24"/>
    <w:rsid w:val="003C6DBA"/>
    <w:rsid w:val="003C7311"/>
    <w:rsid w:val="003C7D7F"/>
    <w:rsid w:val="003D0146"/>
    <w:rsid w:val="003D0F0B"/>
    <w:rsid w:val="003D2476"/>
    <w:rsid w:val="003D39D7"/>
    <w:rsid w:val="003D4159"/>
    <w:rsid w:val="003D49D9"/>
    <w:rsid w:val="003D4CE0"/>
    <w:rsid w:val="003D4E32"/>
    <w:rsid w:val="003D7AF5"/>
    <w:rsid w:val="003E024C"/>
    <w:rsid w:val="003E1B12"/>
    <w:rsid w:val="003E2455"/>
    <w:rsid w:val="003E3AA6"/>
    <w:rsid w:val="003E3ADA"/>
    <w:rsid w:val="003E42F4"/>
    <w:rsid w:val="003E6A74"/>
    <w:rsid w:val="003E766F"/>
    <w:rsid w:val="003F102F"/>
    <w:rsid w:val="003F17BD"/>
    <w:rsid w:val="003F2858"/>
    <w:rsid w:val="003F3F0A"/>
    <w:rsid w:val="003F518D"/>
    <w:rsid w:val="003F7197"/>
    <w:rsid w:val="004008CE"/>
    <w:rsid w:val="00400F98"/>
    <w:rsid w:val="00401B5A"/>
    <w:rsid w:val="0040249B"/>
    <w:rsid w:val="00402F1B"/>
    <w:rsid w:val="00403289"/>
    <w:rsid w:val="00404E44"/>
    <w:rsid w:val="00404F51"/>
    <w:rsid w:val="004056C7"/>
    <w:rsid w:val="00407848"/>
    <w:rsid w:val="00407A94"/>
    <w:rsid w:val="00410924"/>
    <w:rsid w:val="00410BF5"/>
    <w:rsid w:val="00410F65"/>
    <w:rsid w:val="00411999"/>
    <w:rsid w:val="00414268"/>
    <w:rsid w:val="00414F87"/>
    <w:rsid w:val="00416266"/>
    <w:rsid w:val="00417DA8"/>
    <w:rsid w:val="0042045E"/>
    <w:rsid w:val="0042120A"/>
    <w:rsid w:val="00421509"/>
    <w:rsid w:val="00422384"/>
    <w:rsid w:val="00422390"/>
    <w:rsid w:val="00422694"/>
    <w:rsid w:val="004229E9"/>
    <w:rsid w:val="00424ACB"/>
    <w:rsid w:val="00425680"/>
    <w:rsid w:val="00427BFB"/>
    <w:rsid w:val="00431858"/>
    <w:rsid w:val="00433AA0"/>
    <w:rsid w:val="004344C7"/>
    <w:rsid w:val="004348B6"/>
    <w:rsid w:val="0043609B"/>
    <w:rsid w:val="00440CF2"/>
    <w:rsid w:val="00441087"/>
    <w:rsid w:val="004411FB"/>
    <w:rsid w:val="00442089"/>
    <w:rsid w:val="00443C27"/>
    <w:rsid w:val="00444A0F"/>
    <w:rsid w:val="00446C91"/>
    <w:rsid w:val="00446CB0"/>
    <w:rsid w:val="00450DF6"/>
    <w:rsid w:val="00451505"/>
    <w:rsid w:val="00451693"/>
    <w:rsid w:val="0045363D"/>
    <w:rsid w:val="00454696"/>
    <w:rsid w:val="00454A08"/>
    <w:rsid w:val="00455B32"/>
    <w:rsid w:val="00456397"/>
    <w:rsid w:val="00456A12"/>
    <w:rsid w:val="00456BED"/>
    <w:rsid w:val="00460866"/>
    <w:rsid w:val="00460AC9"/>
    <w:rsid w:val="00462038"/>
    <w:rsid w:val="004622B3"/>
    <w:rsid w:val="00462382"/>
    <w:rsid w:val="00462506"/>
    <w:rsid w:val="00462D5E"/>
    <w:rsid w:val="004637B3"/>
    <w:rsid w:val="00465015"/>
    <w:rsid w:val="00465743"/>
    <w:rsid w:val="004663BF"/>
    <w:rsid w:val="00467150"/>
    <w:rsid w:val="004713F5"/>
    <w:rsid w:val="00474415"/>
    <w:rsid w:val="00475149"/>
    <w:rsid w:val="004765DD"/>
    <w:rsid w:val="00476EC2"/>
    <w:rsid w:val="00477824"/>
    <w:rsid w:val="00477E3B"/>
    <w:rsid w:val="00480611"/>
    <w:rsid w:val="004816DD"/>
    <w:rsid w:val="004837EF"/>
    <w:rsid w:val="00486152"/>
    <w:rsid w:val="00487C3A"/>
    <w:rsid w:val="00487DFF"/>
    <w:rsid w:val="004915E3"/>
    <w:rsid w:val="00492C3A"/>
    <w:rsid w:val="00492F8B"/>
    <w:rsid w:val="004940BC"/>
    <w:rsid w:val="00494987"/>
    <w:rsid w:val="00494B4D"/>
    <w:rsid w:val="00495DCC"/>
    <w:rsid w:val="004A21BB"/>
    <w:rsid w:val="004A21CC"/>
    <w:rsid w:val="004A32ED"/>
    <w:rsid w:val="004A3615"/>
    <w:rsid w:val="004A37E6"/>
    <w:rsid w:val="004A4C7D"/>
    <w:rsid w:val="004A4D53"/>
    <w:rsid w:val="004B0C1F"/>
    <w:rsid w:val="004B13A6"/>
    <w:rsid w:val="004B16BD"/>
    <w:rsid w:val="004B2243"/>
    <w:rsid w:val="004B3348"/>
    <w:rsid w:val="004B6A93"/>
    <w:rsid w:val="004B6D4F"/>
    <w:rsid w:val="004B6DB8"/>
    <w:rsid w:val="004B7B1D"/>
    <w:rsid w:val="004C08E4"/>
    <w:rsid w:val="004C161D"/>
    <w:rsid w:val="004C212D"/>
    <w:rsid w:val="004C21B0"/>
    <w:rsid w:val="004C474C"/>
    <w:rsid w:val="004C4AC7"/>
    <w:rsid w:val="004C5063"/>
    <w:rsid w:val="004C591A"/>
    <w:rsid w:val="004C5A09"/>
    <w:rsid w:val="004C75B3"/>
    <w:rsid w:val="004C7FDB"/>
    <w:rsid w:val="004D05E0"/>
    <w:rsid w:val="004D15AF"/>
    <w:rsid w:val="004D1AEF"/>
    <w:rsid w:val="004D46F9"/>
    <w:rsid w:val="004D5857"/>
    <w:rsid w:val="004D782D"/>
    <w:rsid w:val="004E02F3"/>
    <w:rsid w:val="004E1A7F"/>
    <w:rsid w:val="004E1FC6"/>
    <w:rsid w:val="004E2BCE"/>
    <w:rsid w:val="004E2CE6"/>
    <w:rsid w:val="004E3911"/>
    <w:rsid w:val="004E4CA0"/>
    <w:rsid w:val="004E6CEB"/>
    <w:rsid w:val="004E70D5"/>
    <w:rsid w:val="004F043D"/>
    <w:rsid w:val="004F0CC7"/>
    <w:rsid w:val="004F1CFE"/>
    <w:rsid w:val="004F680D"/>
    <w:rsid w:val="005000E4"/>
    <w:rsid w:val="005024BE"/>
    <w:rsid w:val="00503C91"/>
    <w:rsid w:val="00504698"/>
    <w:rsid w:val="00504F7F"/>
    <w:rsid w:val="00505CBC"/>
    <w:rsid w:val="0050666D"/>
    <w:rsid w:val="0050780E"/>
    <w:rsid w:val="00511D96"/>
    <w:rsid w:val="0051292B"/>
    <w:rsid w:val="005136E4"/>
    <w:rsid w:val="00516CCC"/>
    <w:rsid w:val="00516D7F"/>
    <w:rsid w:val="005170B5"/>
    <w:rsid w:val="005173B7"/>
    <w:rsid w:val="00517D81"/>
    <w:rsid w:val="005207A0"/>
    <w:rsid w:val="00520BFC"/>
    <w:rsid w:val="005213D4"/>
    <w:rsid w:val="00522922"/>
    <w:rsid w:val="00522BFD"/>
    <w:rsid w:val="00523957"/>
    <w:rsid w:val="00523B7F"/>
    <w:rsid w:val="00525883"/>
    <w:rsid w:val="00525FEC"/>
    <w:rsid w:val="00526F46"/>
    <w:rsid w:val="00527582"/>
    <w:rsid w:val="00527FF7"/>
    <w:rsid w:val="00530D66"/>
    <w:rsid w:val="00531136"/>
    <w:rsid w:val="00531337"/>
    <w:rsid w:val="00531DF1"/>
    <w:rsid w:val="005339D2"/>
    <w:rsid w:val="0053402E"/>
    <w:rsid w:val="005346FC"/>
    <w:rsid w:val="00535557"/>
    <w:rsid w:val="00535940"/>
    <w:rsid w:val="005371FC"/>
    <w:rsid w:val="005377AA"/>
    <w:rsid w:val="00540AFC"/>
    <w:rsid w:val="00540F40"/>
    <w:rsid w:val="00541CD5"/>
    <w:rsid w:val="005439C9"/>
    <w:rsid w:val="0054612D"/>
    <w:rsid w:val="00546722"/>
    <w:rsid w:val="00551657"/>
    <w:rsid w:val="005533C5"/>
    <w:rsid w:val="00554CBE"/>
    <w:rsid w:val="005605B5"/>
    <w:rsid w:val="00561611"/>
    <w:rsid w:val="005652DB"/>
    <w:rsid w:val="00565DA6"/>
    <w:rsid w:val="00566447"/>
    <w:rsid w:val="00567228"/>
    <w:rsid w:val="00567D06"/>
    <w:rsid w:val="00570DAF"/>
    <w:rsid w:val="005719B1"/>
    <w:rsid w:val="00574E57"/>
    <w:rsid w:val="00575355"/>
    <w:rsid w:val="00575611"/>
    <w:rsid w:val="00575B1D"/>
    <w:rsid w:val="00575D8B"/>
    <w:rsid w:val="0057722D"/>
    <w:rsid w:val="00580412"/>
    <w:rsid w:val="00580E2D"/>
    <w:rsid w:val="0058129C"/>
    <w:rsid w:val="005825FA"/>
    <w:rsid w:val="00583182"/>
    <w:rsid w:val="0058327E"/>
    <w:rsid w:val="00583F74"/>
    <w:rsid w:val="005840AA"/>
    <w:rsid w:val="005865B9"/>
    <w:rsid w:val="0058660A"/>
    <w:rsid w:val="0059003E"/>
    <w:rsid w:val="00591247"/>
    <w:rsid w:val="005919DE"/>
    <w:rsid w:val="00592F5E"/>
    <w:rsid w:val="00592F69"/>
    <w:rsid w:val="0059530F"/>
    <w:rsid w:val="00597693"/>
    <w:rsid w:val="005A0F0E"/>
    <w:rsid w:val="005A2A17"/>
    <w:rsid w:val="005A3882"/>
    <w:rsid w:val="005A5201"/>
    <w:rsid w:val="005A6948"/>
    <w:rsid w:val="005A6C46"/>
    <w:rsid w:val="005B0AE1"/>
    <w:rsid w:val="005B1C75"/>
    <w:rsid w:val="005B2251"/>
    <w:rsid w:val="005B27D0"/>
    <w:rsid w:val="005B2A63"/>
    <w:rsid w:val="005B3409"/>
    <w:rsid w:val="005B4141"/>
    <w:rsid w:val="005B7224"/>
    <w:rsid w:val="005C182F"/>
    <w:rsid w:val="005C2607"/>
    <w:rsid w:val="005C35F2"/>
    <w:rsid w:val="005C4951"/>
    <w:rsid w:val="005C77B6"/>
    <w:rsid w:val="005D15D3"/>
    <w:rsid w:val="005D1980"/>
    <w:rsid w:val="005D3241"/>
    <w:rsid w:val="005D4DE6"/>
    <w:rsid w:val="005D60CF"/>
    <w:rsid w:val="005D6698"/>
    <w:rsid w:val="005E0591"/>
    <w:rsid w:val="005E096F"/>
    <w:rsid w:val="005E0CF6"/>
    <w:rsid w:val="005E15F3"/>
    <w:rsid w:val="005E30C3"/>
    <w:rsid w:val="005E3F22"/>
    <w:rsid w:val="005E4582"/>
    <w:rsid w:val="005E4B0D"/>
    <w:rsid w:val="005E4B60"/>
    <w:rsid w:val="005E5CB7"/>
    <w:rsid w:val="005E65A7"/>
    <w:rsid w:val="005E6878"/>
    <w:rsid w:val="005E68E4"/>
    <w:rsid w:val="005E7572"/>
    <w:rsid w:val="005F0232"/>
    <w:rsid w:val="005F040C"/>
    <w:rsid w:val="005F0714"/>
    <w:rsid w:val="005F295C"/>
    <w:rsid w:val="005F4140"/>
    <w:rsid w:val="005F48CD"/>
    <w:rsid w:val="005F79BE"/>
    <w:rsid w:val="005F7A5B"/>
    <w:rsid w:val="005F7FFD"/>
    <w:rsid w:val="006008EA"/>
    <w:rsid w:val="00601B5C"/>
    <w:rsid w:val="006029A9"/>
    <w:rsid w:val="00602FCB"/>
    <w:rsid w:val="00603C2D"/>
    <w:rsid w:val="00604422"/>
    <w:rsid w:val="006054C4"/>
    <w:rsid w:val="00606FDA"/>
    <w:rsid w:val="00607CA0"/>
    <w:rsid w:val="0061068D"/>
    <w:rsid w:val="00610C0F"/>
    <w:rsid w:val="0061159D"/>
    <w:rsid w:val="00611E27"/>
    <w:rsid w:val="00613145"/>
    <w:rsid w:val="0061337C"/>
    <w:rsid w:val="00615CA6"/>
    <w:rsid w:val="00615CC4"/>
    <w:rsid w:val="006168AA"/>
    <w:rsid w:val="0061740C"/>
    <w:rsid w:val="006205D7"/>
    <w:rsid w:val="00620C4B"/>
    <w:rsid w:val="00622C80"/>
    <w:rsid w:val="00623764"/>
    <w:rsid w:val="00623AA5"/>
    <w:rsid w:val="00624FBB"/>
    <w:rsid w:val="006258A6"/>
    <w:rsid w:val="00626DDC"/>
    <w:rsid w:val="00632F15"/>
    <w:rsid w:val="00635492"/>
    <w:rsid w:val="00636A72"/>
    <w:rsid w:val="00640838"/>
    <w:rsid w:val="00640884"/>
    <w:rsid w:val="00640A5F"/>
    <w:rsid w:val="00641D40"/>
    <w:rsid w:val="00642062"/>
    <w:rsid w:val="00643ECE"/>
    <w:rsid w:val="0064429B"/>
    <w:rsid w:val="00645687"/>
    <w:rsid w:val="006469E0"/>
    <w:rsid w:val="00646D78"/>
    <w:rsid w:val="00647398"/>
    <w:rsid w:val="00651DEA"/>
    <w:rsid w:val="006523FE"/>
    <w:rsid w:val="006533FB"/>
    <w:rsid w:val="00654BBD"/>
    <w:rsid w:val="00655D77"/>
    <w:rsid w:val="00655E2C"/>
    <w:rsid w:val="00656FE4"/>
    <w:rsid w:val="00660A6E"/>
    <w:rsid w:val="006610A6"/>
    <w:rsid w:val="006612C2"/>
    <w:rsid w:val="00661C51"/>
    <w:rsid w:val="0066579D"/>
    <w:rsid w:val="0066657E"/>
    <w:rsid w:val="00667654"/>
    <w:rsid w:val="00667F2C"/>
    <w:rsid w:val="00670B54"/>
    <w:rsid w:val="00671D6D"/>
    <w:rsid w:val="00672115"/>
    <w:rsid w:val="0067265F"/>
    <w:rsid w:val="00672D34"/>
    <w:rsid w:val="006742F7"/>
    <w:rsid w:val="00675721"/>
    <w:rsid w:val="00676862"/>
    <w:rsid w:val="00677433"/>
    <w:rsid w:val="006776AC"/>
    <w:rsid w:val="00682492"/>
    <w:rsid w:val="0068298E"/>
    <w:rsid w:val="00682C38"/>
    <w:rsid w:val="006836C0"/>
    <w:rsid w:val="00684930"/>
    <w:rsid w:val="006856DE"/>
    <w:rsid w:val="006861DC"/>
    <w:rsid w:val="00687EE4"/>
    <w:rsid w:val="00691982"/>
    <w:rsid w:val="00691A4C"/>
    <w:rsid w:val="00692455"/>
    <w:rsid w:val="0069306D"/>
    <w:rsid w:val="00696E7B"/>
    <w:rsid w:val="00697864"/>
    <w:rsid w:val="006A2250"/>
    <w:rsid w:val="006A2C3B"/>
    <w:rsid w:val="006A32D2"/>
    <w:rsid w:val="006A46B6"/>
    <w:rsid w:val="006A4C89"/>
    <w:rsid w:val="006A5187"/>
    <w:rsid w:val="006A5E9E"/>
    <w:rsid w:val="006B156C"/>
    <w:rsid w:val="006B212D"/>
    <w:rsid w:val="006B2A22"/>
    <w:rsid w:val="006B2E89"/>
    <w:rsid w:val="006B4108"/>
    <w:rsid w:val="006B4320"/>
    <w:rsid w:val="006B563F"/>
    <w:rsid w:val="006B5855"/>
    <w:rsid w:val="006B6D25"/>
    <w:rsid w:val="006C039C"/>
    <w:rsid w:val="006C08DF"/>
    <w:rsid w:val="006C0D1B"/>
    <w:rsid w:val="006C31C3"/>
    <w:rsid w:val="006C4067"/>
    <w:rsid w:val="006C426A"/>
    <w:rsid w:val="006C4FE6"/>
    <w:rsid w:val="006C55E5"/>
    <w:rsid w:val="006C5CD3"/>
    <w:rsid w:val="006C6276"/>
    <w:rsid w:val="006C660E"/>
    <w:rsid w:val="006C7635"/>
    <w:rsid w:val="006C7E4D"/>
    <w:rsid w:val="006D2F9F"/>
    <w:rsid w:val="006D32EA"/>
    <w:rsid w:val="006D344D"/>
    <w:rsid w:val="006D408D"/>
    <w:rsid w:val="006D4387"/>
    <w:rsid w:val="006D6631"/>
    <w:rsid w:val="006D66AD"/>
    <w:rsid w:val="006E0A2F"/>
    <w:rsid w:val="006E2A91"/>
    <w:rsid w:val="006E3248"/>
    <w:rsid w:val="006E5C52"/>
    <w:rsid w:val="006E5EF9"/>
    <w:rsid w:val="006E683A"/>
    <w:rsid w:val="006E6E53"/>
    <w:rsid w:val="006E7700"/>
    <w:rsid w:val="006F1041"/>
    <w:rsid w:val="006F1416"/>
    <w:rsid w:val="006F19F6"/>
    <w:rsid w:val="006F35CE"/>
    <w:rsid w:val="006F3E69"/>
    <w:rsid w:val="006F4DD5"/>
    <w:rsid w:val="006F6A3E"/>
    <w:rsid w:val="006F77F4"/>
    <w:rsid w:val="00700DF7"/>
    <w:rsid w:val="0070117E"/>
    <w:rsid w:val="00705B16"/>
    <w:rsid w:val="00707100"/>
    <w:rsid w:val="00710802"/>
    <w:rsid w:val="00711340"/>
    <w:rsid w:val="0071218F"/>
    <w:rsid w:val="007136A9"/>
    <w:rsid w:val="00715819"/>
    <w:rsid w:val="00716CE9"/>
    <w:rsid w:val="00717165"/>
    <w:rsid w:val="00717309"/>
    <w:rsid w:val="007212EE"/>
    <w:rsid w:val="00722181"/>
    <w:rsid w:val="007221C6"/>
    <w:rsid w:val="0072421B"/>
    <w:rsid w:val="00725143"/>
    <w:rsid w:val="0072624E"/>
    <w:rsid w:val="007262FF"/>
    <w:rsid w:val="00726880"/>
    <w:rsid w:val="00727F2C"/>
    <w:rsid w:val="00730788"/>
    <w:rsid w:val="00736C60"/>
    <w:rsid w:val="00737105"/>
    <w:rsid w:val="0073797E"/>
    <w:rsid w:val="007410C3"/>
    <w:rsid w:val="007434B4"/>
    <w:rsid w:val="00744300"/>
    <w:rsid w:val="00745F41"/>
    <w:rsid w:val="00746D7C"/>
    <w:rsid w:val="00746F32"/>
    <w:rsid w:val="00747068"/>
    <w:rsid w:val="00747F4C"/>
    <w:rsid w:val="007514EC"/>
    <w:rsid w:val="007534A9"/>
    <w:rsid w:val="007556B9"/>
    <w:rsid w:val="007560B7"/>
    <w:rsid w:val="00756BF6"/>
    <w:rsid w:val="0076150A"/>
    <w:rsid w:val="007615C4"/>
    <w:rsid w:val="00761638"/>
    <w:rsid w:val="00762212"/>
    <w:rsid w:val="0076409C"/>
    <w:rsid w:val="0076533E"/>
    <w:rsid w:val="00766B2A"/>
    <w:rsid w:val="00766D49"/>
    <w:rsid w:val="00770E7C"/>
    <w:rsid w:val="0077124F"/>
    <w:rsid w:val="00771F3F"/>
    <w:rsid w:val="00772212"/>
    <w:rsid w:val="00772991"/>
    <w:rsid w:val="00773076"/>
    <w:rsid w:val="00773249"/>
    <w:rsid w:val="00773953"/>
    <w:rsid w:val="00773F04"/>
    <w:rsid w:val="007757A6"/>
    <w:rsid w:val="00776713"/>
    <w:rsid w:val="0077708B"/>
    <w:rsid w:val="007775A3"/>
    <w:rsid w:val="00777B6B"/>
    <w:rsid w:val="0078007E"/>
    <w:rsid w:val="00781356"/>
    <w:rsid w:val="007830AC"/>
    <w:rsid w:val="007840B5"/>
    <w:rsid w:val="0079124D"/>
    <w:rsid w:val="0079129A"/>
    <w:rsid w:val="00792485"/>
    <w:rsid w:val="007928FF"/>
    <w:rsid w:val="007932C4"/>
    <w:rsid w:val="00793AA0"/>
    <w:rsid w:val="0079403E"/>
    <w:rsid w:val="007966F0"/>
    <w:rsid w:val="0079683D"/>
    <w:rsid w:val="00797397"/>
    <w:rsid w:val="007A11D1"/>
    <w:rsid w:val="007A2A62"/>
    <w:rsid w:val="007A2C70"/>
    <w:rsid w:val="007A49BE"/>
    <w:rsid w:val="007A5885"/>
    <w:rsid w:val="007A72A4"/>
    <w:rsid w:val="007A7487"/>
    <w:rsid w:val="007B069A"/>
    <w:rsid w:val="007B0D50"/>
    <w:rsid w:val="007B1E23"/>
    <w:rsid w:val="007B2560"/>
    <w:rsid w:val="007B2C1C"/>
    <w:rsid w:val="007B3AAF"/>
    <w:rsid w:val="007B59E2"/>
    <w:rsid w:val="007B631A"/>
    <w:rsid w:val="007B631D"/>
    <w:rsid w:val="007B6D02"/>
    <w:rsid w:val="007B7148"/>
    <w:rsid w:val="007B75E5"/>
    <w:rsid w:val="007B7EF2"/>
    <w:rsid w:val="007C0816"/>
    <w:rsid w:val="007C127A"/>
    <w:rsid w:val="007C16FA"/>
    <w:rsid w:val="007C1CE5"/>
    <w:rsid w:val="007C1DA6"/>
    <w:rsid w:val="007C239F"/>
    <w:rsid w:val="007C2626"/>
    <w:rsid w:val="007C2852"/>
    <w:rsid w:val="007C2FD7"/>
    <w:rsid w:val="007C3A01"/>
    <w:rsid w:val="007C6155"/>
    <w:rsid w:val="007C6507"/>
    <w:rsid w:val="007C6834"/>
    <w:rsid w:val="007D0A49"/>
    <w:rsid w:val="007D1691"/>
    <w:rsid w:val="007D1D63"/>
    <w:rsid w:val="007D1EA7"/>
    <w:rsid w:val="007D3366"/>
    <w:rsid w:val="007D6ECA"/>
    <w:rsid w:val="007E1083"/>
    <w:rsid w:val="007E26D9"/>
    <w:rsid w:val="007E3A09"/>
    <w:rsid w:val="007E3F6C"/>
    <w:rsid w:val="007E41B6"/>
    <w:rsid w:val="007E6E04"/>
    <w:rsid w:val="007F0AE3"/>
    <w:rsid w:val="007F1070"/>
    <w:rsid w:val="007F16DE"/>
    <w:rsid w:val="007F1791"/>
    <w:rsid w:val="007F1ABE"/>
    <w:rsid w:val="007F1EF0"/>
    <w:rsid w:val="007F32DD"/>
    <w:rsid w:val="007F38EB"/>
    <w:rsid w:val="007F39BD"/>
    <w:rsid w:val="007F3C80"/>
    <w:rsid w:val="007F61AB"/>
    <w:rsid w:val="007F7031"/>
    <w:rsid w:val="007F785A"/>
    <w:rsid w:val="008010A4"/>
    <w:rsid w:val="0080270C"/>
    <w:rsid w:val="00803179"/>
    <w:rsid w:val="00804C0F"/>
    <w:rsid w:val="00805F59"/>
    <w:rsid w:val="00807AC2"/>
    <w:rsid w:val="00807EB3"/>
    <w:rsid w:val="00807F9D"/>
    <w:rsid w:val="008107C9"/>
    <w:rsid w:val="0081290C"/>
    <w:rsid w:val="00813FC7"/>
    <w:rsid w:val="0081429A"/>
    <w:rsid w:val="00814871"/>
    <w:rsid w:val="00815DCA"/>
    <w:rsid w:val="00815F03"/>
    <w:rsid w:val="00816A01"/>
    <w:rsid w:val="00817704"/>
    <w:rsid w:val="008247FA"/>
    <w:rsid w:val="00827A11"/>
    <w:rsid w:val="0083097D"/>
    <w:rsid w:val="008329F2"/>
    <w:rsid w:val="00832A38"/>
    <w:rsid w:val="008339F3"/>
    <w:rsid w:val="00835BF3"/>
    <w:rsid w:val="00840532"/>
    <w:rsid w:val="00840F4C"/>
    <w:rsid w:val="00841D26"/>
    <w:rsid w:val="00843240"/>
    <w:rsid w:val="00844135"/>
    <w:rsid w:val="00844538"/>
    <w:rsid w:val="00845B43"/>
    <w:rsid w:val="00845E92"/>
    <w:rsid w:val="00845F90"/>
    <w:rsid w:val="008464AB"/>
    <w:rsid w:val="008468C3"/>
    <w:rsid w:val="008476E7"/>
    <w:rsid w:val="00850AC4"/>
    <w:rsid w:val="008515FC"/>
    <w:rsid w:val="0085357C"/>
    <w:rsid w:val="0085382A"/>
    <w:rsid w:val="00854300"/>
    <w:rsid w:val="0085543F"/>
    <w:rsid w:val="00855BCC"/>
    <w:rsid w:val="00860771"/>
    <w:rsid w:val="00861BAD"/>
    <w:rsid w:val="0086288C"/>
    <w:rsid w:val="008635DC"/>
    <w:rsid w:val="00865B9D"/>
    <w:rsid w:val="008664D8"/>
    <w:rsid w:val="0086743F"/>
    <w:rsid w:val="00870F15"/>
    <w:rsid w:val="00871F97"/>
    <w:rsid w:val="0087359F"/>
    <w:rsid w:val="0087558D"/>
    <w:rsid w:val="00880599"/>
    <w:rsid w:val="00880908"/>
    <w:rsid w:val="008810B0"/>
    <w:rsid w:val="008814B7"/>
    <w:rsid w:val="00881C44"/>
    <w:rsid w:val="0088316B"/>
    <w:rsid w:val="00884347"/>
    <w:rsid w:val="008844B8"/>
    <w:rsid w:val="00885EAC"/>
    <w:rsid w:val="00887427"/>
    <w:rsid w:val="00887462"/>
    <w:rsid w:val="00887920"/>
    <w:rsid w:val="00887C65"/>
    <w:rsid w:val="00891C78"/>
    <w:rsid w:val="00891E82"/>
    <w:rsid w:val="00892B40"/>
    <w:rsid w:val="00893894"/>
    <w:rsid w:val="00894972"/>
    <w:rsid w:val="00894B03"/>
    <w:rsid w:val="008960A9"/>
    <w:rsid w:val="0089611C"/>
    <w:rsid w:val="008A235F"/>
    <w:rsid w:val="008A2795"/>
    <w:rsid w:val="008A4B24"/>
    <w:rsid w:val="008A6FB6"/>
    <w:rsid w:val="008A7A1C"/>
    <w:rsid w:val="008B0051"/>
    <w:rsid w:val="008B005E"/>
    <w:rsid w:val="008B0A76"/>
    <w:rsid w:val="008B0EFD"/>
    <w:rsid w:val="008B1368"/>
    <w:rsid w:val="008B1812"/>
    <w:rsid w:val="008B2695"/>
    <w:rsid w:val="008B3751"/>
    <w:rsid w:val="008B5795"/>
    <w:rsid w:val="008B7723"/>
    <w:rsid w:val="008B7DE4"/>
    <w:rsid w:val="008C1000"/>
    <w:rsid w:val="008C117D"/>
    <w:rsid w:val="008C1EB5"/>
    <w:rsid w:val="008C35ED"/>
    <w:rsid w:val="008C3977"/>
    <w:rsid w:val="008C466A"/>
    <w:rsid w:val="008C4906"/>
    <w:rsid w:val="008C4BD0"/>
    <w:rsid w:val="008C67CD"/>
    <w:rsid w:val="008C716C"/>
    <w:rsid w:val="008C73BE"/>
    <w:rsid w:val="008D07FA"/>
    <w:rsid w:val="008D40A6"/>
    <w:rsid w:val="008D70AB"/>
    <w:rsid w:val="008E1237"/>
    <w:rsid w:val="008E152B"/>
    <w:rsid w:val="008E1A8C"/>
    <w:rsid w:val="008E296C"/>
    <w:rsid w:val="008E41EF"/>
    <w:rsid w:val="008E420D"/>
    <w:rsid w:val="008E4307"/>
    <w:rsid w:val="008E4629"/>
    <w:rsid w:val="008E5A7A"/>
    <w:rsid w:val="008E5E34"/>
    <w:rsid w:val="008E68CF"/>
    <w:rsid w:val="008E69C3"/>
    <w:rsid w:val="008F04FD"/>
    <w:rsid w:val="008F11BF"/>
    <w:rsid w:val="008F16B5"/>
    <w:rsid w:val="008F16D0"/>
    <w:rsid w:val="008F1A92"/>
    <w:rsid w:val="008F1FBA"/>
    <w:rsid w:val="008F3363"/>
    <w:rsid w:val="008F3A35"/>
    <w:rsid w:val="008F6D7E"/>
    <w:rsid w:val="008F7B62"/>
    <w:rsid w:val="00900151"/>
    <w:rsid w:val="00900D95"/>
    <w:rsid w:val="0090109E"/>
    <w:rsid w:val="00901303"/>
    <w:rsid w:val="00901713"/>
    <w:rsid w:val="00905B71"/>
    <w:rsid w:val="00905BCA"/>
    <w:rsid w:val="009076A6"/>
    <w:rsid w:val="00907B01"/>
    <w:rsid w:val="00910588"/>
    <w:rsid w:val="0091075D"/>
    <w:rsid w:val="009111C0"/>
    <w:rsid w:val="00911CAA"/>
    <w:rsid w:val="0091202A"/>
    <w:rsid w:val="0091243E"/>
    <w:rsid w:val="009124C7"/>
    <w:rsid w:val="00912B8E"/>
    <w:rsid w:val="00917D97"/>
    <w:rsid w:val="009216B0"/>
    <w:rsid w:val="00922297"/>
    <w:rsid w:val="009231BB"/>
    <w:rsid w:val="00923A40"/>
    <w:rsid w:val="0092561E"/>
    <w:rsid w:val="009261E2"/>
    <w:rsid w:val="00926613"/>
    <w:rsid w:val="00926FE4"/>
    <w:rsid w:val="0092745B"/>
    <w:rsid w:val="009276F7"/>
    <w:rsid w:val="00927F1B"/>
    <w:rsid w:val="00931B3B"/>
    <w:rsid w:val="009321E5"/>
    <w:rsid w:val="009329DF"/>
    <w:rsid w:val="00934AB3"/>
    <w:rsid w:val="00935D9A"/>
    <w:rsid w:val="00936108"/>
    <w:rsid w:val="00940F99"/>
    <w:rsid w:val="00941183"/>
    <w:rsid w:val="00941E18"/>
    <w:rsid w:val="00942168"/>
    <w:rsid w:val="009423FE"/>
    <w:rsid w:val="00942454"/>
    <w:rsid w:val="00943A91"/>
    <w:rsid w:val="00943D08"/>
    <w:rsid w:val="0094407F"/>
    <w:rsid w:val="00944E79"/>
    <w:rsid w:val="00944F57"/>
    <w:rsid w:val="00946CCC"/>
    <w:rsid w:val="009473DD"/>
    <w:rsid w:val="00951008"/>
    <w:rsid w:val="00951C29"/>
    <w:rsid w:val="009520E1"/>
    <w:rsid w:val="0095393F"/>
    <w:rsid w:val="009571EF"/>
    <w:rsid w:val="00960726"/>
    <w:rsid w:val="00962571"/>
    <w:rsid w:val="00962B8D"/>
    <w:rsid w:val="00963550"/>
    <w:rsid w:val="00963955"/>
    <w:rsid w:val="00964698"/>
    <w:rsid w:val="00966502"/>
    <w:rsid w:val="009669A4"/>
    <w:rsid w:val="00966DD1"/>
    <w:rsid w:val="009673C8"/>
    <w:rsid w:val="00970ED5"/>
    <w:rsid w:val="0097292E"/>
    <w:rsid w:val="00974AB3"/>
    <w:rsid w:val="00975450"/>
    <w:rsid w:val="00975D22"/>
    <w:rsid w:val="00976164"/>
    <w:rsid w:val="009766F6"/>
    <w:rsid w:val="00976D83"/>
    <w:rsid w:val="00977F86"/>
    <w:rsid w:val="00977F9F"/>
    <w:rsid w:val="00981CEE"/>
    <w:rsid w:val="00981DC8"/>
    <w:rsid w:val="009839C8"/>
    <w:rsid w:val="0098540E"/>
    <w:rsid w:val="0098591A"/>
    <w:rsid w:val="00987BE1"/>
    <w:rsid w:val="00993750"/>
    <w:rsid w:val="00993E2C"/>
    <w:rsid w:val="00994936"/>
    <w:rsid w:val="00997146"/>
    <w:rsid w:val="009A0D12"/>
    <w:rsid w:val="009A4CC1"/>
    <w:rsid w:val="009A578F"/>
    <w:rsid w:val="009A6422"/>
    <w:rsid w:val="009A7BE7"/>
    <w:rsid w:val="009B3762"/>
    <w:rsid w:val="009B3E7F"/>
    <w:rsid w:val="009B400E"/>
    <w:rsid w:val="009B486B"/>
    <w:rsid w:val="009B5130"/>
    <w:rsid w:val="009B6FAC"/>
    <w:rsid w:val="009C0EE7"/>
    <w:rsid w:val="009C147F"/>
    <w:rsid w:val="009C3E9A"/>
    <w:rsid w:val="009C6CA4"/>
    <w:rsid w:val="009D009F"/>
    <w:rsid w:val="009D13E8"/>
    <w:rsid w:val="009D41AD"/>
    <w:rsid w:val="009D41E7"/>
    <w:rsid w:val="009D511E"/>
    <w:rsid w:val="009D555E"/>
    <w:rsid w:val="009D57C8"/>
    <w:rsid w:val="009D5955"/>
    <w:rsid w:val="009D6088"/>
    <w:rsid w:val="009D6BBB"/>
    <w:rsid w:val="009E0663"/>
    <w:rsid w:val="009E2B65"/>
    <w:rsid w:val="009E4ED9"/>
    <w:rsid w:val="009E5AFF"/>
    <w:rsid w:val="009E6BBC"/>
    <w:rsid w:val="009E7158"/>
    <w:rsid w:val="009E7174"/>
    <w:rsid w:val="009E79E5"/>
    <w:rsid w:val="009F02CF"/>
    <w:rsid w:val="009F0C37"/>
    <w:rsid w:val="009F1262"/>
    <w:rsid w:val="009F1277"/>
    <w:rsid w:val="009F1390"/>
    <w:rsid w:val="009F185A"/>
    <w:rsid w:val="009F2B3D"/>
    <w:rsid w:val="009F2F1D"/>
    <w:rsid w:val="009F324E"/>
    <w:rsid w:val="009F4BE0"/>
    <w:rsid w:val="009F7DEB"/>
    <w:rsid w:val="00A00B6C"/>
    <w:rsid w:val="00A00C3B"/>
    <w:rsid w:val="00A01599"/>
    <w:rsid w:val="00A01BDB"/>
    <w:rsid w:val="00A03A3A"/>
    <w:rsid w:val="00A05447"/>
    <w:rsid w:val="00A05F22"/>
    <w:rsid w:val="00A06EEC"/>
    <w:rsid w:val="00A07A14"/>
    <w:rsid w:val="00A10115"/>
    <w:rsid w:val="00A10238"/>
    <w:rsid w:val="00A1046E"/>
    <w:rsid w:val="00A10624"/>
    <w:rsid w:val="00A10BD4"/>
    <w:rsid w:val="00A12D40"/>
    <w:rsid w:val="00A13D90"/>
    <w:rsid w:val="00A145DB"/>
    <w:rsid w:val="00A14C9B"/>
    <w:rsid w:val="00A16572"/>
    <w:rsid w:val="00A20521"/>
    <w:rsid w:val="00A234AE"/>
    <w:rsid w:val="00A23DE1"/>
    <w:rsid w:val="00A243D6"/>
    <w:rsid w:val="00A25D07"/>
    <w:rsid w:val="00A25DDF"/>
    <w:rsid w:val="00A261BC"/>
    <w:rsid w:val="00A2624C"/>
    <w:rsid w:val="00A26310"/>
    <w:rsid w:val="00A26EC5"/>
    <w:rsid w:val="00A30343"/>
    <w:rsid w:val="00A30A11"/>
    <w:rsid w:val="00A31EB8"/>
    <w:rsid w:val="00A322FB"/>
    <w:rsid w:val="00A34822"/>
    <w:rsid w:val="00A3492A"/>
    <w:rsid w:val="00A36626"/>
    <w:rsid w:val="00A3729F"/>
    <w:rsid w:val="00A372C8"/>
    <w:rsid w:val="00A37D7E"/>
    <w:rsid w:val="00A41CB6"/>
    <w:rsid w:val="00A45099"/>
    <w:rsid w:val="00A45428"/>
    <w:rsid w:val="00A46A93"/>
    <w:rsid w:val="00A50E2A"/>
    <w:rsid w:val="00A51292"/>
    <w:rsid w:val="00A531B0"/>
    <w:rsid w:val="00A533AB"/>
    <w:rsid w:val="00A5362A"/>
    <w:rsid w:val="00A55457"/>
    <w:rsid w:val="00A55498"/>
    <w:rsid w:val="00A566A4"/>
    <w:rsid w:val="00A56774"/>
    <w:rsid w:val="00A56F85"/>
    <w:rsid w:val="00A57FF2"/>
    <w:rsid w:val="00A601D9"/>
    <w:rsid w:val="00A62915"/>
    <w:rsid w:val="00A62D17"/>
    <w:rsid w:val="00A62E17"/>
    <w:rsid w:val="00A636E6"/>
    <w:rsid w:val="00A642C4"/>
    <w:rsid w:val="00A6475E"/>
    <w:rsid w:val="00A64C58"/>
    <w:rsid w:val="00A6727F"/>
    <w:rsid w:val="00A672E5"/>
    <w:rsid w:val="00A67495"/>
    <w:rsid w:val="00A711A0"/>
    <w:rsid w:val="00A726D2"/>
    <w:rsid w:val="00A72E08"/>
    <w:rsid w:val="00A74B49"/>
    <w:rsid w:val="00A76FCB"/>
    <w:rsid w:val="00A77339"/>
    <w:rsid w:val="00A77A2D"/>
    <w:rsid w:val="00A80882"/>
    <w:rsid w:val="00A8089B"/>
    <w:rsid w:val="00A80B0E"/>
    <w:rsid w:val="00A811AE"/>
    <w:rsid w:val="00A812BA"/>
    <w:rsid w:val="00A81FD3"/>
    <w:rsid w:val="00A82594"/>
    <w:rsid w:val="00A8373E"/>
    <w:rsid w:val="00A906C9"/>
    <w:rsid w:val="00A90C51"/>
    <w:rsid w:val="00A90D5D"/>
    <w:rsid w:val="00A918FC"/>
    <w:rsid w:val="00A91CE6"/>
    <w:rsid w:val="00A930AA"/>
    <w:rsid w:val="00A93C42"/>
    <w:rsid w:val="00A94F6A"/>
    <w:rsid w:val="00A95310"/>
    <w:rsid w:val="00A974E1"/>
    <w:rsid w:val="00AA003D"/>
    <w:rsid w:val="00AA1512"/>
    <w:rsid w:val="00AA20DD"/>
    <w:rsid w:val="00AA386A"/>
    <w:rsid w:val="00AA39A2"/>
    <w:rsid w:val="00AA469B"/>
    <w:rsid w:val="00AA47B2"/>
    <w:rsid w:val="00AA48B9"/>
    <w:rsid w:val="00AA5E5D"/>
    <w:rsid w:val="00AA60E2"/>
    <w:rsid w:val="00AA619A"/>
    <w:rsid w:val="00AB13D2"/>
    <w:rsid w:val="00AB242A"/>
    <w:rsid w:val="00AB338C"/>
    <w:rsid w:val="00AB4A23"/>
    <w:rsid w:val="00AB50EF"/>
    <w:rsid w:val="00AB519E"/>
    <w:rsid w:val="00AB544A"/>
    <w:rsid w:val="00AB61AE"/>
    <w:rsid w:val="00AB6B2B"/>
    <w:rsid w:val="00AC01BD"/>
    <w:rsid w:val="00AC03F9"/>
    <w:rsid w:val="00AC1201"/>
    <w:rsid w:val="00AC310D"/>
    <w:rsid w:val="00AC49FB"/>
    <w:rsid w:val="00AC5B76"/>
    <w:rsid w:val="00AC74F1"/>
    <w:rsid w:val="00AD0A3F"/>
    <w:rsid w:val="00AD20A9"/>
    <w:rsid w:val="00AD2500"/>
    <w:rsid w:val="00AD467E"/>
    <w:rsid w:val="00AD4CD7"/>
    <w:rsid w:val="00AD75BE"/>
    <w:rsid w:val="00AD7FFD"/>
    <w:rsid w:val="00AE0423"/>
    <w:rsid w:val="00AE08F8"/>
    <w:rsid w:val="00AE18C2"/>
    <w:rsid w:val="00AE1918"/>
    <w:rsid w:val="00AE3086"/>
    <w:rsid w:val="00AE308F"/>
    <w:rsid w:val="00AE41AF"/>
    <w:rsid w:val="00AE67C8"/>
    <w:rsid w:val="00AE6B4C"/>
    <w:rsid w:val="00AF072C"/>
    <w:rsid w:val="00AF0D91"/>
    <w:rsid w:val="00AF28B4"/>
    <w:rsid w:val="00AF3313"/>
    <w:rsid w:val="00AF4385"/>
    <w:rsid w:val="00AF575F"/>
    <w:rsid w:val="00AF5AA3"/>
    <w:rsid w:val="00AF6F6B"/>
    <w:rsid w:val="00AF70D0"/>
    <w:rsid w:val="00AF7177"/>
    <w:rsid w:val="00B0060A"/>
    <w:rsid w:val="00B03C58"/>
    <w:rsid w:val="00B0554F"/>
    <w:rsid w:val="00B07BF2"/>
    <w:rsid w:val="00B100A9"/>
    <w:rsid w:val="00B11419"/>
    <w:rsid w:val="00B12582"/>
    <w:rsid w:val="00B12B89"/>
    <w:rsid w:val="00B12BD8"/>
    <w:rsid w:val="00B135B4"/>
    <w:rsid w:val="00B13617"/>
    <w:rsid w:val="00B15EE1"/>
    <w:rsid w:val="00B15FA5"/>
    <w:rsid w:val="00B16F8C"/>
    <w:rsid w:val="00B1721F"/>
    <w:rsid w:val="00B176B8"/>
    <w:rsid w:val="00B17BAB"/>
    <w:rsid w:val="00B20A8B"/>
    <w:rsid w:val="00B219BF"/>
    <w:rsid w:val="00B226D9"/>
    <w:rsid w:val="00B2355C"/>
    <w:rsid w:val="00B2464C"/>
    <w:rsid w:val="00B25B32"/>
    <w:rsid w:val="00B2778E"/>
    <w:rsid w:val="00B27BAC"/>
    <w:rsid w:val="00B31914"/>
    <w:rsid w:val="00B32BBC"/>
    <w:rsid w:val="00B32D7E"/>
    <w:rsid w:val="00B3308D"/>
    <w:rsid w:val="00B34B5C"/>
    <w:rsid w:val="00B35244"/>
    <w:rsid w:val="00B357B8"/>
    <w:rsid w:val="00B37DFE"/>
    <w:rsid w:val="00B4083E"/>
    <w:rsid w:val="00B4107B"/>
    <w:rsid w:val="00B422DB"/>
    <w:rsid w:val="00B439A7"/>
    <w:rsid w:val="00B44B71"/>
    <w:rsid w:val="00B47135"/>
    <w:rsid w:val="00B5010C"/>
    <w:rsid w:val="00B503AD"/>
    <w:rsid w:val="00B50E8A"/>
    <w:rsid w:val="00B5230D"/>
    <w:rsid w:val="00B53BF7"/>
    <w:rsid w:val="00B54DD0"/>
    <w:rsid w:val="00B55887"/>
    <w:rsid w:val="00B5624B"/>
    <w:rsid w:val="00B56CF5"/>
    <w:rsid w:val="00B57430"/>
    <w:rsid w:val="00B61337"/>
    <w:rsid w:val="00B635C6"/>
    <w:rsid w:val="00B64C5A"/>
    <w:rsid w:val="00B66185"/>
    <w:rsid w:val="00B667D5"/>
    <w:rsid w:val="00B6778F"/>
    <w:rsid w:val="00B67F06"/>
    <w:rsid w:val="00B67F98"/>
    <w:rsid w:val="00B70FBD"/>
    <w:rsid w:val="00B711B8"/>
    <w:rsid w:val="00B714F3"/>
    <w:rsid w:val="00B73381"/>
    <w:rsid w:val="00B73D3A"/>
    <w:rsid w:val="00B74337"/>
    <w:rsid w:val="00B7536E"/>
    <w:rsid w:val="00B75606"/>
    <w:rsid w:val="00B75C01"/>
    <w:rsid w:val="00B75D69"/>
    <w:rsid w:val="00B776E6"/>
    <w:rsid w:val="00B77DDC"/>
    <w:rsid w:val="00B815A2"/>
    <w:rsid w:val="00B827ED"/>
    <w:rsid w:val="00B82E1B"/>
    <w:rsid w:val="00B85526"/>
    <w:rsid w:val="00B85744"/>
    <w:rsid w:val="00B85A76"/>
    <w:rsid w:val="00B864A9"/>
    <w:rsid w:val="00B86A89"/>
    <w:rsid w:val="00B90749"/>
    <w:rsid w:val="00B91C85"/>
    <w:rsid w:val="00B920F2"/>
    <w:rsid w:val="00B9458D"/>
    <w:rsid w:val="00B94AE4"/>
    <w:rsid w:val="00B971AF"/>
    <w:rsid w:val="00B9760A"/>
    <w:rsid w:val="00BA0AEB"/>
    <w:rsid w:val="00BA10F2"/>
    <w:rsid w:val="00BA2428"/>
    <w:rsid w:val="00BA2769"/>
    <w:rsid w:val="00BA32F8"/>
    <w:rsid w:val="00BA376A"/>
    <w:rsid w:val="00BA3D90"/>
    <w:rsid w:val="00BA5429"/>
    <w:rsid w:val="00BA5599"/>
    <w:rsid w:val="00BA6495"/>
    <w:rsid w:val="00BA7334"/>
    <w:rsid w:val="00BA7B32"/>
    <w:rsid w:val="00BA7F43"/>
    <w:rsid w:val="00BB0F66"/>
    <w:rsid w:val="00BB11A7"/>
    <w:rsid w:val="00BB1A45"/>
    <w:rsid w:val="00BB2655"/>
    <w:rsid w:val="00BB3785"/>
    <w:rsid w:val="00BB475D"/>
    <w:rsid w:val="00BB47C2"/>
    <w:rsid w:val="00BC0228"/>
    <w:rsid w:val="00BC0C5F"/>
    <w:rsid w:val="00BC16FA"/>
    <w:rsid w:val="00BC1CC2"/>
    <w:rsid w:val="00BC1F7A"/>
    <w:rsid w:val="00BC20C4"/>
    <w:rsid w:val="00BC2C8A"/>
    <w:rsid w:val="00BC3314"/>
    <w:rsid w:val="00BC3C73"/>
    <w:rsid w:val="00BC4AD6"/>
    <w:rsid w:val="00BC54BD"/>
    <w:rsid w:val="00BC5986"/>
    <w:rsid w:val="00BC6097"/>
    <w:rsid w:val="00BC610C"/>
    <w:rsid w:val="00BC773D"/>
    <w:rsid w:val="00BC7EF3"/>
    <w:rsid w:val="00BD0144"/>
    <w:rsid w:val="00BD07B6"/>
    <w:rsid w:val="00BD2341"/>
    <w:rsid w:val="00BD32AB"/>
    <w:rsid w:val="00BD3BDF"/>
    <w:rsid w:val="00BD40BD"/>
    <w:rsid w:val="00BD67AC"/>
    <w:rsid w:val="00BD7E17"/>
    <w:rsid w:val="00BD7EA0"/>
    <w:rsid w:val="00BE0065"/>
    <w:rsid w:val="00BE02A2"/>
    <w:rsid w:val="00BE1B51"/>
    <w:rsid w:val="00BE378A"/>
    <w:rsid w:val="00BE4F41"/>
    <w:rsid w:val="00BE5CF9"/>
    <w:rsid w:val="00BE653D"/>
    <w:rsid w:val="00BE7BE8"/>
    <w:rsid w:val="00BF0597"/>
    <w:rsid w:val="00BF404C"/>
    <w:rsid w:val="00BF41B2"/>
    <w:rsid w:val="00BF44F5"/>
    <w:rsid w:val="00BF54CD"/>
    <w:rsid w:val="00BF6C03"/>
    <w:rsid w:val="00BF7EDB"/>
    <w:rsid w:val="00C00CF1"/>
    <w:rsid w:val="00C018F5"/>
    <w:rsid w:val="00C032DD"/>
    <w:rsid w:val="00C03895"/>
    <w:rsid w:val="00C04F18"/>
    <w:rsid w:val="00C04F5A"/>
    <w:rsid w:val="00C06565"/>
    <w:rsid w:val="00C073FE"/>
    <w:rsid w:val="00C11C8A"/>
    <w:rsid w:val="00C14482"/>
    <w:rsid w:val="00C14670"/>
    <w:rsid w:val="00C15F31"/>
    <w:rsid w:val="00C16472"/>
    <w:rsid w:val="00C17B26"/>
    <w:rsid w:val="00C2074E"/>
    <w:rsid w:val="00C210A6"/>
    <w:rsid w:val="00C213A1"/>
    <w:rsid w:val="00C215FF"/>
    <w:rsid w:val="00C21E65"/>
    <w:rsid w:val="00C2270C"/>
    <w:rsid w:val="00C22A88"/>
    <w:rsid w:val="00C2466D"/>
    <w:rsid w:val="00C251BA"/>
    <w:rsid w:val="00C26234"/>
    <w:rsid w:val="00C2664A"/>
    <w:rsid w:val="00C268A6"/>
    <w:rsid w:val="00C26F04"/>
    <w:rsid w:val="00C30A6C"/>
    <w:rsid w:val="00C317EB"/>
    <w:rsid w:val="00C31C06"/>
    <w:rsid w:val="00C31C91"/>
    <w:rsid w:val="00C3213E"/>
    <w:rsid w:val="00C32E55"/>
    <w:rsid w:val="00C33368"/>
    <w:rsid w:val="00C34BA5"/>
    <w:rsid w:val="00C35801"/>
    <w:rsid w:val="00C36113"/>
    <w:rsid w:val="00C37356"/>
    <w:rsid w:val="00C3764E"/>
    <w:rsid w:val="00C4096D"/>
    <w:rsid w:val="00C41F9C"/>
    <w:rsid w:val="00C44775"/>
    <w:rsid w:val="00C46B7F"/>
    <w:rsid w:val="00C46E19"/>
    <w:rsid w:val="00C50663"/>
    <w:rsid w:val="00C526BE"/>
    <w:rsid w:val="00C529CD"/>
    <w:rsid w:val="00C538FB"/>
    <w:rsid w:val="00C542FD"/>
    <w:rsid w:val="00C5442D"/>
    <w:rsid w:val="00C5655A"/>
    <w:rsid w:val="00C6075A"/>
    <w:rsid w:val="00C60A57"/>
    <w:rsid w:val="00C619B5"/>
    <w:rsid w:val="00C619E0"/>
    <w:rsid w:val="00C61C96"/>
    <w:rsid w:val="00C61ED7"/>
    <w:rsid w:val="00C63ACC"/>
    <w:rsid w:val="00C645D4"/>
    <w:rsid w:val="00C658D2"/>
    <w:rsid w:val="00C67045"/>
    <w:rsid w:val="00C672C1"/>
    <w:rsid w:val="00C67571"/>
    <w:rsid w:val="00C679D5"/>
    <w:rsid w:val="00C71394"/>
    <w:rsid w:val="00C7589B"/>
    <w:rsid w:val="00C80D03"/>
    <w:rsid w:val="00C814CB"/>
    <w:rsid w:val="00C81A8E"/>
    <w:rsid w:val="00C82231"/>
    <w:rsid w:val="00C82717"/>
    <w:rsid w:val="00C847B5"/>
    <w:rsid w:val="00C8547B"/>
    <w:rsid w:val="00C85683"/>
    <w:rsid w:val="00C856EB"/>
    <w:rsid w:val="00C86C1B"/>
    <w:rsid w:val="00C86DCC"/>
    <w:rsid w:val="00C875AD"/>
    <w:rsid w:val="00C87E62"/>
    <w:rsid w:val="00C90644"/>
    <w:rsid w:val="00C92CDA"/>
    <w:rsid w:val="00C93E58"/>
    <w:rsid w:val="00C94209"/>
    <w:rsid w:val="00C94CAA"/>
    <w:rsid w:val="00C95AF7"/>
    <w:rsid w:val="00C96279"/>
    <w:rsid w:val="00CA06AF"/>
    <w:rsid w:val="00CA071E"/>
    <w:rsid w:val="00CA0C93"/>
    <w:rsid w:val="00CA264F"/>
    <w:rsid w:val="00CA371E"/>
    <w:rsid w:val="00CA4161"/>
    <w:rsid w:val="00CA46B3"/>
    <w:rsid w:val="00CA53EA"/>
    <w:rsid w:val="00CA573F"/>
    <w:rsid w:val="00CA6AFA"/>
    <w:rsid w:val="00CA6D8D"/>
    <w:rsid w:val="00CB0011"/>
    <w:rsid w:val="00CB1155"/>
    <w:rsid w:val="00CB2193"/>
    <w:rsid w:val="00CB2E40"/>
    <w:rsid w:val="00CB3480"/>
    <w:rsid w:val="00CB38DD"/>
    <w:rsid w:val="00CB69FE"/>
    <w:rsid w:val="00CC02A8"/>
    <w:rsid w:val="00CC1AB8"/>
    <w:rsid w:val="00CC1C5E"/>
    <w:rsid w:val="00CC200A"/>
    <w:rsid w:val="00CC2459"/>
    <w:rsid w:val="00CC2817"/>
    <w:rsid w:val="00CC3EDA"/>
    <w:rsid w:val="00CC435D"/>
    <w:rsid w:val="00CC63F2"/>
    <w:rsid w:val="00CC7802"/>
    <w:rsid w:val="00CC7C96"/>
    <w:rsid w:val="00CD1A12"/>
    <w:rsid w:val="00CD1D9D"/>
    <w:rsid w:val="00CD2D17"/>
    <w:rsid w:val="00CD37C9"/>
    <w:rsid w:val="00CD3C47"/>
    <w:rsid w:val="00CD58F9"/>
    <w:rsid w:val="00CD5CE7"/>
    <w:rsid w:val="00CE05BE"/>
    <w:rsid w:val="00CE0D55"/>
    <w:rsid w:val="00CE23FA"/>
    <w:rsid w:val="00CE2649"/>
    <w:rsid w:val="00CE4B65"/>
    <w:rsid w:val="00CE5CDF"/>
    <w:rsid w:val="00CE5F3A"/>
    <w:rsid w:val="00CE7FB9"/>
    <w:rsid w:val="00CF119B"/>
    <w:rsid w:val="00CF1CCD"/>
    <w:rsid w:val="00CF2903"/>
    <w:rsid w:val="00CF29E6"/>
    <w:rsid w:val="00CF29F9"/>
    <w:rsid w:val="00CF4CF1"/>
    <w:rsid w:val="00CF5350"/>
    <w:rsid w:val="00CF59E7"/>
    <w:rsid w:val="00CF5BDB"/>
    <w:rsid w:val="00CF666B"/>
    <w:rsid w:val="00CF6B96"/>
    <w:rsid w:val="00D0041D"/>
    <w:rsid w:val="00D0046A"/>
    <w:rsid w:val="00D004DC"/>
    <w:rsid w:val="00D00BA2"/>
    <w:rsid w:val="00D01229"/>
    <w:rsid w:val="00D04736"/>
    <w:rsid w:val="00D059F8"/>
    <w:rsid w:val="00D06CE2"/>
    <w:rsid w:val="00D12B38"/>
    <w:rsid w:val="00D131C0"/>
    <w:rsid w:val="00D132A6"/>
    <w:rsid w:val="00D1521E"/>
    <w:rsid w:val="00D15DF3"/>
    <w:rsid w:val="00D16A7D"/>
    <w:rsid w:val="00D175AF"/>
    <w:rsid w:val="00D1780D"/>
    <w:rsid w:val="00D20E1D"/>
    <w:rsid w:val="00D221C1"/>
    <w:rsid w:val="00D22948"/>
    <w:rsid w:val="00D22C03"/>
    <w:rsid w:val="00D22C32"/>
    <w:rsid w:val="00D2490F"/>
    <w:rsid w:val="00D24C0A"/>
    <w:rsid w:val="00D25050"/>
    <w:rsid w:val="00D277A0"/>
    <w:rsid w:val="00D277A8"/>
    <w:rsid w:val="00D27ACA"/>
    <w:rsid w:val="00D301B1"/>
    <w:rsid w:val="00D303D3"/>
    <w:rsid w:val="00D3232B"/>
    <w:rsid w:val="00D326B0"/>
    <w:rsid w:val="00D33953"/>
    <w:rsid w:val="00D36230"/>
    <w:rsid w:val="00D4049B"/>
    <w:rsid w:val="00D45571"/>
    <w:rsid w:val="00D4657C"/>
    <w:rsid w:val="00D46B90"/>
    <w:rsid w:val="00D50355"/>
    <w:rsid w:val="00D51192"/>
    <w:rsid w:val="00D51537"/>
    <w:rsid w:val="00D558CF"/>
    <w:rsid w:val="00D56F2A"/>
    <w:rsid w:val="00D57720"/>
    <w:rsid w:val="00D57F39"/>
    <w:rsid w:val="00D60B1E"/>
    <w:rsid w:val="00D639F0"/>
    <w:rsid w:val="00D66B6F"/>
    <w:rsid w:val="00D67BD7"/>
    <w:rsid w:val="00D729A0"/>
    <w:rsid w:val="00D733F2"/>
    <w:rsid w:val="00D737D5"/>
    <w:rsid w:val="00D762ED"/>
    <w:rsid w:val="00D76B87"/>
    <w:rsid w:val="00D779C4"/>
    <w:rsid w:val="00D8163B"/>
    <w:rsid w:val="00D83334"/>
    <w:rsid w:val="00D87628"/>
    <w:rsid w:val="00D8799D"/>
    <w:rsid w:val="00D87AB1"/>
    <w:rsid w:val="00D91472"/>
    <w:rsid w:val="00D921FD"/>
    <w:rsid w:val="00D93DD4"/>
    <w:rsid w:val="00D947A4"/>
    <w:rsid w:val="00D959BD"/>
    <w:rsid w:val="00D97698"/>
    <w:rsid w:val="00D979D8"/>
    <w:rsid w:val="00DA1E28"/>
    <w:rsid w:val="00DA283F"/>
    <w:rsid w:val="00DA4691"/>
    <w:rsid w:val="00DA64F4"/>
    <w:rsid w:val="00DA7B02"/>
    <w:rsid w:val="00DB0A2C"/>
    <w:rsid w:val="00DB0AA9"/>
    <w:rsid w:val="00DB0AF1"/>
    <w:rsid w:val="00DB1283"/>
    <w:rsid w:val="00DB137F"/>
    <w:rsid w:val="00DB3C33"/>
    <w:rsid w:val="00DB5800"/>
    <w:rsid w:val="00DC06A2"/>
    <w:rsid w:val="00DC0B15"/>
    <w:rsid w:val="00DC11C6"/>
    <w:rsid w:val="00DC1997"/>
    <w:rsid w:val="00DC1BEB"/>
    <w:rsid w:val="00DC26AF"/>
    <w:rsid w:val="00DC28D5"/>
    <w:rsid w:val="00DC2D93"/>
    <w:rsid w:val="00DC48E2"/>
    <w:rsid w:val="00DC58BA"/>
    <w:rsid w:val="00DC6C63"/>
    <w:rsid w:val="00DC6D35"/>
    <w:rsid w:val="00DC71E5"/>
    <w:rsid w:val="00DD0073"/>
    <w:rsid w:val="00DD191E"/>
    <w:rsid w:val="00DD2F1B"/>
    <w:rsid w:val="00DD3B57"/>
    <w:rsid w:val="00DD4705"/>
    <w:rsid w:val="00DD4A7F"/>
    <w:rsid w:val="00DD5168"/>
    <w:rsid w:val="00DD6336"/>
    <w:rsid w:val="00DD73D9"/>
    <w:rsid w:val="00DE001A"/>
    <w:rsid w:val="00DE0A31"/>
    <w:rsid w:val="00DE16BA"/>
    <w:rsid w:val="00DE214F"/>
    <w:rsid w:val="00DE349D"/>
    <w:rsid w:val="00DE3974"/>
    <w:rsid w:val="00DE4B80"/>
    <w:rsid w:val="00DF073E"/>
    <w:rsid w:val="00DF193D"/>
    <w:rsid w:val="00DF1D64"/>
    <w:rsid w:val="00DF29B7"/>
    <w:rsid w:val="00DF3B58"/>
    <w:rsid w:val="00DF3C81"/>
    <w:rsid w:val="00DF491F"/>
    <w:rsid w:val="00DF6089"/>
    <w:rsid w:val="00E003DB"/>
    <w:rsid w:val="00E00E1E"/>
    <w:rsid w:val="00E02230"/>
    <w:rsid w:val="00E04490"/>
    <w:rsid w:val="00E065F8"/>
    <w:rsid w:val="00E073E2"/>
    <w:rsid w:val="00E07661"/>
    <w:rsid w:val="00E10107"/>
    <w:rsid w:val="00E11AA0"/>
    <w:rsid w:val="00E12CDE"/>
    <w:rsid w:val="00E13670"/>
    <w:rsid w:val="00E1483E"/>
    <w:rsid w:val="00E15212"/>
    <w:rsid w:val="00E157E7"/>
    <w:rsid w:val="00E16BAD"/>
    <w:rsid w:val="00E20267"/>
    <w:rsid w:val="00E20FD4"/>
    <w:rsid w:val="00E21865"/>
    <w:rsid w:val="00E22226"/>
    <w:rsid w:val="00E224AD"/>
    <w:rsid w:val="00E2253D"/>
    <w:rsid w:val="00E2269C"/>
    <w:rsid w:val="00E22E86"/>
    <w:rsid w:val="00E22FDC"/>
    <w:rsid w:val="00E235A1"/>
    <w:rsid w:val="00E25EE1"/>
    <w:rsid w:val="00E2627A"/>
    <w:rsid w:val="00E26A4B"/>
    <w:rsid w:val="00E26E5D"/>
    <w:rsid w:val="00E30C24"/>
    <w:rsid w:val="00E30DAE"/>
    <w:rsid w:val="00E30EF6"/>
    <w:rsid w:val="00E33E9E"/>
    <w:rsid w:val="00E3669D"/>
    <w:rsid w:val="00E367BB"/>
    <w:rsid w:val="00E36F1E"/>
    <w:rsid w:val="00E37526"/>
    <w:rsid w:val="00E37F10"/>
    <w:rsid w:val="00E40FCA"/>
    <w:rsid w:val="00E410FD"/>
    <w:rsid w:val="00E44ADE"/>
    <w:rsid w:val="00E44E46"/>
    <w:rsid w:val="00E45A87"/>
    <w:rsid w:val="00E461E4"/>
    <w:rsid w:val="00E46B89"/>
    <w:rsid w:val="00E47FC2"/>
    <w:rsid w:val="00E53959"/>
    <w:rsid w:val="00E542F2"/>
    <w:rsid w:val="00E55C54"/>
    <w:rsid w:val="00E5602C"/>
    <w:rsid w:val="00E5750D"/>
    <w:rsid w:val="00E57F6F"/>
    <w:rsid w:val="00E611AE"/>
    <w:rsid w:val="00E613A4"/>
    <w:rsid w:val="00E6182D"/>
    <w:rsid w:val="00E623C6"/>
    <w:rsid w:val="00E62C8D"/>
    <w:rsid w:val="00E6436C"/>
    <w:rsid w:val="00E64F07"/>
    <w:rsid w:val="00E64FF7"/>
    <w:rsid w:val="00E67769"/>
    <w:rsid w:val="00E6789B"/>
    <w:rsid w:val="00E7151E"/>
    <w:rsid w:val="00E72DEB"/>
    <w:rsid w:val="00E7386D"/>
    <w:rsid w:val="00E73A15"/>
    <w:rsid w:val="00E753A1"/>
    <w:rsid w:val="00E77646"/>
    <w:rsid w:val="00E803C0"/>
    <w:rsid w:val="00E80588"/>
    <w:rsid w:val="00E82911"/>
    <w:rsid w:val="00E84E91"/>
    <w:rsid w:val="00E8559F"/>
    <w:rsid w:val="00E8636D"/>
    <w:rsid w:val="00E86791"/>
    <w:rsid w:val="00E90BFA"/>
    <w:rsid w:val="00E90DDC"/>
    <w:rsid w:val="00E91292"/>
    <w:rsid w:val="00E92EC2"/>
    <w:rsid w:val="00E94503"/>
    <w:rsid w:val="00E95101"/>
    <w:rsid w:val="00E96364"/>
    <w:rsid w:val="00EA0141"/>
    <w:rsid w:val="00EA18FE"/>
    <w:rsid w:val="00EA298E"/>
    <w:rsid w:val="00EA482E"/>
    <w:rsid w:val="00EA4CAA"/>
    <w:rsid w:val="00EA4FFD"/>
    <w:rsid w:val="00EA6853"/>
    <w:rsid w:val="00EA6889"/>
    <w:rsid w:val="00EA7D69"/>
    <w:rsid w:val="00EA7F5C"/>
    <w:rsid w:val="00EB07D3"/>
    <w:rsid w:val="00EB0F12"/>
    <w:rsid w:val="00EB10B5"/>
    <w:rsid w:val="00EB112C"/>
    <w:rsid w:val="00EB2967"/>
    <w:rsid w:val="00EB2C48"/>
    <w:rsid w:val="00EB331C"/>
    <w:rsid w:val="00EB687C"/>
    <w:rsid w:val="00EB6B4B"/>
    <w:rsid w:val="00EB6F1E"/>
    <w:rsid w:val="00EB7DD9"/>
    <w:rsid w:val="00EC0448"/>
    <w:rsid w:val="00EC2015"/>
    <w:rsid w:val="00EC2630"/>
    <w:rsid w:val="00EC2AB4"/>
    <w:rsid w:val="00EC302C"/>
    <w:rsid w:val="00EC3500"/>
    <w:rsid w:val="00EC36EE"/>
    <w:rsid w:val="00EC4093"/>
    <w:rsid w:val="00EC47D2"/>
    <w:rsid w:val="00EC68A5"/>
    <w:rsid w:val="00EC7B1A"/>
    <w:rsid w:val="00ED18DD"/>
    <w:rsid w:val="00ED1CA4"/>
    <w:rsid w:val="00ED3794"/>
    <w:rsid w:val="00ED5869"/>
    <w:rsid w:val="00ED59F6"/>
    <w:rsid w:val="00ED7058"/>
    <w:rsid w:val="00EE03F5"/>
    <w:rsid w:val="00EE1C13"/>
    <w:rsid w:val="00EE2393"/>
    <w:rsid w:val="00EE2AEA"/>
    <w:rsid w:val="00EE2DFC"/>
    <w:rsid w:val="00EE62E2"/>
    <w:rsid w:val="00EE7052"/>
    <w:rsid w:val="00EE7A1B"/>
    <w:rsid w:val="00EF0103"/>
    <w:rsid w:val="00EF10D0"/>
    <w:rsid w:val="00EF2B5B"/>
    <w:rsid w:val="00EF6344"/>
    <w:rsid w:val="00F0245F"/>
    <w:rsid w:val="00F02891"/>
    <w:rsid w:val="00F02A81"/>
    <w:rsid w:val="00F030B8"/>
    <w:rsid w:val="00F048CC"/>
    <w:rsid w:val="00F050DE"/>
    <w:rsid w:val="00F10226"/>
    <w:rsid w:val="00F10F93"/>
    <w:rsid w:val="00F1156E"/>
    <w:rsid w:val="00F117C4"/>
    <w:rsid w:val="00F12E1E"/>
    <w:rsid w:val="00F136C3"/>
    <w:rsid w:val="00F14211"/>
    <w:rsid w:val="00F14EA3"/>
    <w:rsid w:val="00F14F4E"/>
    <w:rsid w:val="00F1518E"/>
    <w:rsid w:val="00F153B6"/>
    <w:rsid w:val="00F155DC"/>
    <w:rsid w:val="00F15664"/>
    <w:rsid w:val="00F156B2"/>
    <w:rsid w:val="00F15E31"/>
    <w:rsid w:val="00F16146"/>
    <w:rsid w:val="00F207B7"/>
    <w:rsid w:val="00F2150B"/>
    <w:rsid w:val="00F21A85"/>
    <w:rsid w:val="00F2295C"/>
    <w:rsid w:val="00F23026"/>
    <w:rsid w:val="00F271CD"/>
    <w:rsid w:val="00F3179C"/>
    <w:rsid w:val="00F32098"/>
    <w:rsid w:val="00F33B0A"/>
    <w:rsid w:val="00F33EFD"/>
    <w:rsid w:val="00F34A0A"/>
    <w:rsid w:val="00F34D49"/>
    <w:rsid w:val="00F367DB"/>
    <w:rsid w:val="00F373B6"/>
    <w:rsid w:val="00F404C1"/>
    <w:rsid w:val="00F41A59"/>
    <w:rsid w:val="00F449B5"/>
    <w:rsid w:val="00F4541C"/>
    <w:rsid w:val="00F45A78"/>
    <w:rsid w:val="00F45B38"/>
    <w:rsid w:val="00F45C58"/>
    <w:rsid w:val="00F46408"/>
    <w:rsid w:val="00F52B7D"/>
    <w:rsid w:val="00F53652"/>
    <w:rsid w:val="00F53D84"/>
    <w:rsid w:val="00F54B81"/>
    <w:rsid w:val="00F560E2"/>
    <w:rsid w:val="00F57B56"/>
    <w:rsid w:val="00F604C6"/>
    <w:rsid w:val="00F6144F"/>
    <w:rsid w:val="00F615DA"/>
    <w:rsid w:val="00F623E1"/>
    <w:rsid w:val="00F635CF"/>
    <w:rsid w:val="00F63C85"/>
    <w:rsid w:val="00F65080"/>
    <w:rsid w:val="00F66280"/>
    <w:rsid w:val="00F66314"/>
    <w:rsid w:val="00F6706D"/>
    <w:rsid w:val="00F67283"/>
    <w:rsid w:val="00F67790"/>
    <w:rsid w:val="00F708B4"/>
    <w:rsid w:val="00F711EB"/>
    <w:rsid w:val="00F7338B"/>
    <w:rsid w:val="00F7362D"/>
    <w:rsid w:val="00F737A3"/>
    <w:rsid w:val="00F76484"/>
    <w:rsid w:val="00F76750"/>
    <w:rsid w:val="00F76E31"/>
    <w:rsid w:val="00F77D5A"/>
    <w:rsid w:val="00F8188D"/>
    <w:rsid w:val="00F86B41"/>
    <w:rsid w:val="00F91199"/>
    <w:rsid w:val="00F943B5"/>
    <w:rsid w:val="00F944AB"/>
    <w:rsid w:val="00F9506D"/>
    <w:rsid w:val="00F9507B"/>
    <w:rsid w:val="00F97A1D"/>
    <w:rsid w:val="00F97AFC"/>
    <w:rsid w:val="00FA0AF8"/>
    <w:rsid w:val="00FA130E"/>
    <w:rsid w:val="00FA57CF"/>
    <w:rsid w:val="00FA66B7"/>
    <w:rsid w:val="00FA7241"/>
    <w:rsid w:val="00FB00D8"/>
    <w:rsid w:val="00FB0F7A"/>
    <w:rsid w:val="00FB2672"/>
    <w:rsid w:val="00FB2817"/>
    <w:rsid w:val="00FB3116"/>
    <w:rsid w:val="00FB5255"/>
    <w:rsid w:val="00FB5657"/>
    <w:rsid w:val="00FB600E"/>
    <w:rsid w:val="00FB636F"/>
    <w:rsid w:val="00FC06CD"/>
    <w:rsid w:val="00FC36DA"/>
    <w:rsid w:val="00FC3BC5"/>
    <w:rsid w:val="00FC41A1"/>
    <w:rsid w:val="00FC5283"/>
    <w:rsid w:val="00FC69EA"/>
    <w:rsid w:val="00FC7667"/>
    <w:rsid w:val="00FD2658"/>
    <w:rsid w:val="00FD33A5"/>
    <w:rsid w:val="00FD55DA"/>
    <w:rsid w:val="00FD5C23"/>
    <w:rsid w:val="00FE0E73"/>
    <w:rsid w:val="00FE14E3"/>
    <w:rsid w:val="00FE2453"/>
    <w:rsid w:val="00FE2819"/>
    <w:rsid w:val="00FE4DF5"/>
    <w:rsid w:val="00FE725E"/>
    <w:rsid w:val="00FF1FE1"/>
    <w:rsid w:val="00FF2D1E"/>
    <w:rsid w:val="00FF303F"/>
    <w:rsid w:val="00FF34E1"/>
    <w:rsid w:val="00FF35FA"/>
    <w:rsid w:val="00FF366A"/>
    <w:rsid w:val="00FF42EF"/>
    <w:rsid w:val="00FF4B21"/>
    <w:rsid w:val="00FF6269"/>
    <w:rsid w:val="00FF6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FF"/>
    <w:pPr>
      <w:widowControl w:val="0"/>
      <w:spacing w:after="0" w:line="240" w:lineRule="auto"/>
    </w:pPr>
    <w:rPr>
      <w:rFonts w:ascii="Liberation Serif" w:eastAsia="SimSun" w:hAnsi="Liberation Serif" w:cs="Mangal"/>
      <w:color w:val="00000A"/>
      <w:sz w:val="24"/>
      <w:szCs w:val="24"/>
      <w:lang w:eastAsia="zh-CN" w:bidi="hi-IN"/>
    </w:rPr>
  </w:style>
  <w:style w:type="paragraph" w:styleId="1">
    <w:name w:val="heading 1"/>
    <w:basedOn w:val="a"/>
    <w:next w:val="a"/>
    <w:link w:val="10"/>
    <w:uiPriority w:val="9"/>
    <w:qFormat/>
    <w:rsid w:val="00A812BA"/>
    <w:pPr>
      <w:keepNext/>
      <w:keepLines/>
      <w:spacing w:before="120" w:after="120" w:line="360" w:lineRule="auto"/>
      <w:jc w:val="center"/>
      <w:outlineLvl w:val="0"/>
    </w:pPr>
    <w:rPr>
      <w:rFonts w:ascii="Times New Roman" w:eastAsiaTheme="majorEastAsia" w:hAnsi="Times New Roman"/>
      <w:b/>
      <w:bCs/>
      <w:color w:val="auto"/>
      <w:sz w:val="28"/>
      <w:szCs w:val="25"/>
    </w:rPr>
  </w:style>
  <w:style w:type="paragraph" w:styleId="2">
    <w:name w:val="heading 2"/>
    <w:basedOn w:val="a"/>
    <w:next w:val="a"/>
    <w:link w:val="20"/>
    <w:uiPriority w:val="9"/>
    <w:unhideWhenUsed/>
    <w:qFormat/>
    <w:rsid w:val="00A812BA"/>
    <w:pPr>
      <w:keepNext/>
      <w:keepLines/>
      <w:widowControl/>
      <w:spacing w:before="120" w:after="120" w:line="360" w:lineRule="auto"/>
      <w:outlineLvl w:val="1"/>
    </w:pPr>
    <w:rPr>
      <w:rFonts w:ascii="Times New Roman" w:eastAsiaTheme="majorEastAsia" w:hAnsi="Times New Roman" w:cstheme="majorBidi"/>
      <w:b/>
      <w:bCs/>
      <w:color w:val="auto"/>
      <w:sz w:val="28"/>
      <w:szCs w:val="26"/>
      <w:lang w:eastAsia="en-US" w:bidi="ar-SA"/>
    </w:rPr>
  </w:style>
  <w:style w:type="paragraph" w:styleId="3">
    <w:name w:val="heading 3"/>
    <w:basedOn w:val="a"/>
    <w:next w:val="a"/>
    <w:link w:val="30"/>
    <w:uiPriority w:val="9"/>
    <w:unhideWhenUsed/>
    <w:qFormat/>
    <w:rsid w:val="00A812BA"/>
    <w:pPr>
      <w:keepNext/>
      <w:keepLines/>
      <w:widowControl/>
      <w:spacing w:before="120" w:after="120" w:line="360" w:lineRule="auto"/>
      <w:ind w:left="708"/>
      <w:outlineLvl w:val="2"/>
    </w:pPr>
    <w:rPr>
      <w:rFonts w:ascii="Times New Roman" w:eastAsiaTheme="majorEastAsia" w:hAnsi="Times New Roman" w:cstheme="majorBidi"/>
      <w:b/>
      <w:bCs/>
      <w:color w:val="auto"/>
      <w:sz w:val="28"/>
      <w:szCs w:val="22"/>
      <w:lang w:eastAsia="en-US" w:bidi="ar-SA"/>
    </w:rPr>
  </w:style>
  <w:style w:type="paragraph" w:styleId="4">
    <w:name w:val="heading 4"/>
    <w:basedOn w:val="a"/>
    <w:next w:val="a"/>
    <w:link w:val="40"/>
    <w:uiPriority w:val="9"/>
    <w:unhideWhenUsed/>
    <w:qFormat/>
    <w:rsid w:val="00E44ADE"/>
    <w:pPr>
      <w:keepNext/>
      <w:keepLines/>
      <w:widowControl/>
      <w:spacing w:before="200" w:line="276" w:lineRule="auto"/>
      <w:outlineLvl w:val="3"/>
    </w:pPr>
    <w:rPr>
      <w:rFonts w:asciiTheme="majorHAnsi" w:eastAsiaTheme="majorEastAsia" w:hAnsiTheme="majorHAnsi" w:cstheme="majorBidi"/>
      <w:b/>
      <w:bCs/>
      <w:i/>
      <w:iCs/>
      <w:color w:val="4F81BD" w:themeColor="accent1"/>
      <w:sz w:val="22"/>
      <w:szCs w:val="22"/>
      <w:lang w:eastAsia="en-US" w:bidi="ar-SA"/>
    </w:rPr>
  </w:style>
  <w:style w:type="paragraph" w:styleId="5">
    <w:name w:val="heading 5"/>
    <w:basedOn w:val="a"/>
    <w:next w:val="a"/>
    <w:link w:val="50"/>
    <w:uiPriority w:val="9"/>
    <w:unhideWhenUsed/>
    <w:qFormat/>
    <w:rsid w:val="00E44ADE"/>
    <w:pPr>
      <w:keepNext/>
      <w:keepLines/>
      <w:widowControl/>
      <w:spacing w:before="200" w:line="276" w:lineRule="auto"/>
      <w:outlineLvl w:val="4"/>
    </w:pPr>
    <w:rPr>
      <w:rFonts w:asciiTheme="majorHAnsi" w:eastAsiaTheme="majorEastAsia" w:hAnsiTheme="majorHAnsi" w:cstheme="majorBidi"/>
      <w:color w:val="243F60" w:themeColor="accent1" w:themeShade="7F"/>
      <w:sz w:val="22"/>
      <w:szCs w:val="22"/>
      <w:lang w:eastAsia="en-US" w:bidi="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2BA"/>
    <w:rPr>
      <w:rFonts w:ascii="Times New Roman" w:eastAsiaTheme="majorEastAsia" w:hAnsi="Times New Roman" w:cs="Mangal"/>
      <w:b/>
      <w:bCs/>
      <w:sz w:val="28"/>
      <w:szCs w:val="25"/>
      <w:lang w:eastAsia="zh-CN" w:bidi="hi-IN"/>
    </w:rPr>
  </w:style>
  <w:style w:type="character" w:customStyle="1" w:styleId="20">
    <w:name w:val="Заголовок 2 Знак"/>
    <w:basedOn w:val="a0"/>
    <w:link w:val="2"/>
    <w:uiPriority w:val="9"/>
    <w:rsid w:val="00A812BA"/>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A812BA"/>
    <w:rPr>
      <w:rFonts w:ascii="Times New Roman" w:eastAsiaTheme="majorEastAsia" w:hAnsi="Times New Roman" w:cstheme="majorBidi"/>
      <w:b/>
      <w:bCs/>
      <w:sz w:val="28"/>
    </w:rPr>
  </w:style>
  <w:style w:type="character" w:customStyle="1" w:styleId="40">
    <w:name w:val="Заголовок 4 Знак"/>
    <w:basedOn w:val="a0"/>
    <w:link w:val="4"/>
    <w:uiPriority w:val="9"/>
    <w:rsid w:val="00E44AD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4ADE"/>
    <w:rPr>
      <w:rFonts w:asciiTheme="majorHAnsi" w:eastAsiaTheme="majorEastAsia" w:hAnsiTheme="majorHAnsi" w:cstheme="majorBidi"/>
      <w:color w:val="243F60" w:themeColor="accent1" w:themeShade="7F"/>
    </w:rPr>
  </w:style>
  <w:style w:type="table" w:styleId="a3">
    <w:name w:val="Table Grid"/>
    <w:basedOn w:val="a1"/>
    <w:uiPriority w:val="59"/>
    <w:rsid w:val="00726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262FF"/>
    <w:rPr>
      <w:rFonts w:ascii="Tahoma" w:hAnsi="Tahoma"/>
      <w:sz w:val="16"/>
      <w:szCs w:val="14"/>
    </w:rPr>
  </w:style>
  <w:style w:type="character" w:customStyle="1" w:styleId="a5">
    <w:name w:val="Текст выноски Знак"/>
    <w:basedOn w:val="a0"/>
    <w:link w:val="a4"/>
    <w:uiPriority w:val="99"/>
    <w:semiHidden/>
    <w:rsid w:val="007262FF"/>
    <w:rPr>
      <w:rFonts w:ascii="Tahoma" w:eastAsia="SimSun" w:hAnsi="Tahoma" w:cs="Mangal"/>
      <w:color w:val="00000A"/>
      <w:sz w:val="16"/>
      <w:szCs w:val="14"/>
      <w:lang w:eastAsia="zh-CN" w:bidi="hi-IN"/>
    </w:rPr>
  </w:style>
  <w:style w:type="paragraph" w:styleId="a6">
    <w:name w:val="List Paragraph"/>
    <w:basedOn w:val="a"/>
    <w:uiPriority w:val="34"/>
    <w:qFormat/>
    <w:rsid w:val="00F15E31"/>
    <w:pPr>
      <w:ind w:left="720"/>
      <w:contextualSpacing/>
    </w:pPr>
    <w:rPr>
      <w:szCs w:val="21"/>
    </w:rPr>
  </w:style>
  <w:style w:type="paragraph" w:styleId="a7">
    <w:name w:val="Normal (Web)"/>
    <w:basedOn w:val="a"/>
    <w:uiPriority w:val="99"/>
    <w:unhideWhenUsed/>
    <w:rsid w:val="00F15E31"/>
    <w:pPr>
      <w:widowControl/>
    </w:pPr>
    <w:rPr>
      <w:rFonts w:ascii="Arial" w:eastAsia="Times New Roman" w:hAnsi="Arial" w:cs="Arial"/>
      <w:color w:val="auto"/>
      <w:sz w:val="20"/>
      <w:szCs w:val="20"/>
      <w:lang w:eastAsia="ru-RU" w:bidi="ar-SA"/>
    </w:rPr>
  </w:style>
  <w:style w:type="character" w:customStyle="1" w:styleId="result">
    <w:name w:val="result"/>
    <w:basedOn w:val="a0"/>
    <w:rsid w:val="00F15E31"/>
    <w:rPr>
      <w:color w:val="000080"/>
    </w:rPr>
  </w:style>
  <w:style w:type="paragraph" w:styleId="a8">
    <w:name w:val="header"/>
    <w:basedOn w:val="a"/>
    <w:link w:val="a9"/>
    <w:uiPriority w:val="99"/>
    <w:semiHidden/>
    <w:unhideWhenUsed/>
    <w:rsid w:val="00170DA5"/>
    <w:pPr>
      <w:tabs>
        <w:tab w:val="center" w:pos="4677"/>
        <w:tab w:val="right" w:pos="9355"/>
      </w:tabs>
    </w:pPr>
    <w:rPr>
      <w:szCs w:val="21"/>
    </w:rPr>
  </w:style>
  <w:style w:type="character" w:customStyle="1" w:styleId="a9">
    <w:name w:val="Верхний колонтитул Знак"/>
    <w:basedOn w:val="a0"/>
    <w:link w:val="a8"/>
    <w:uiPriority w:val="99"/>
    <w:semiHidden/>
    <w:rsid w:val="00170DA5"/>
    <w:rPr>
      <w:rFonts w:ascii="Liberation Serif" w:eastAsia="SimSun" w:hAnsi="Liberation Serif" w:cs="Mangal"/>
      <w:color w:val="00000A"/>
      <w:sz w:val="24"/>
      <w:szCs w:val="21"/>
      <w:lang w:eastAsia="zh-CN" w:bidi="hi-IN"/>
    </w:rPr>
  </w:style>
  <w:style w:type="paragraph" w:styleId="aa">
    <w:name w:val="footer"/>
    <w:basedOn w:val="a"/>
    <w:link w:val="ab"/>
    <w:uiPriority w:val="99"/>
    <w:unhideWhenUsed/>
    <w:rsid w:val="00170DA5"/>
    <w:pPr>
      <w:tabs>
        <w:tab w:val="center" w:pos="4677"/>
        <w:tab w:val="right" w:pos="9355"/>
      </w:tabs>
    </w:pPr>
    <w:rPr>
      <w:szCs w:val="21"/>
    </w:rPr>
  </w:style>
  <w:style w:type="character" w:customStyle="1" w:styleId="ab">
    <w:name w:val="Нижний колонтитул Знак"/>
    <w:basedOn w:val="a0"/>
    <w:link w:val="aa"/>
    <w:uiPriority w:val="99"/>
    <w:rsid w:val="00170DA5"/>
    <w:rPr>
      <w:rFonts w:ascii="Liberation Serif" w:eastAsia="SimSun" w:hAnsi="Liberation Serif" w:cs="Mangal"/>
      <w:color w:val="00000A"/>
      <w:sz w:val="24"/>
      <w:szCs w:val="21"/>
      <w:lang w:eastAsia="zh-CN" w:bidi="hi-IN"/>
    </w:rPr>
  </w:style>
  <w:style w:type="paragraph" w:styleId="ac">
    <w:name w:val="Subtitle"/>
    <w:basedOn w:val="a"/>
    <w:link w:val="ad"/>
    <w:qFormat/>
    <w:rsid w:val="009D41AD"/>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 w:val="28"/>
      <w:szCs w:val="20"/>
      <w:lang w:eastAsia="ru-RU" w:bidi="ar-SA"/>
    </w:rPr>
  </w:style>
  <w:style w:type="character" w:customStyle="1" w:styleId="ad">
    <w:name w:val="Подзаголовок Знак"/>
    <w:basedOn w:val="a0"/>
    <w:link w:val="ac"/>
    <w:rsid w:val="009D41AD"/>
    <w:rPr>
      <w:rFonts w:ascii="Times New Roman" w:eastAsia="Times New Roman" w:hAnsi="Times New Roman" w:cs="Times New Roman"/>
      <w:sz w:val="28"/>
      <w:szCs w:val="20"/>
      <w:lang w:eastAsia="ru-RU"/>
    </w:rPr>
  </w:style>
  <w:style w:type="character" w:customStyle="1" w:styleId="normal1">
    <w:name w:val="normal1"/>
    <w:basedOn w:val="a0"/>
    <w:rsid w:val="004C21B0"/>
    <w:rPr>
      <w:rFonts w:ascii="Arial" w:hAnsi="Arial" w:cs="Arial" w:hint="default"/>
      <w:color w:val="000000"/>
      <w:sz w:val="20"/>
      <w:szCs w:val="20"/>
    </w:rPr>
  </w:style>
  <w:style w:type="character" w:styleId="ae">
    <w:name w:val="Strong"/>
    <w:basedOn w:val="a0"/>
    <w:uiPriority w:val="22"/>
    <w:qFormat/>
    <w:rsid w:val="00E44ADE"/>
    <w:rPr>
      <w:b/>
      <w:bCs/>
    </w:rPr>
  </w:style>
  <w:style w:type="character" w:styleId="af">
    <w:name w:val="Hyperlink"/>
    <w:basedOn w:val="a0"/>
    <w:uiPriority w:val="99"/>
    <w:unhideWhenUsed/>
    <w:rsid w:val="00E44ADE"/>
    <w:rPr>
      <w:color w:val="0000FF" w:themeColor="hyperlink"/>
      <w:u w:val="single"/>
    </w:rPr>
  </w:style>
  <w:style w:type="character" w:customStyle="1" w:styleId="apple-converted-space">
    <w:name w:val="apple-converted-space"/>
    <w:basedOn w:val="a0"/>
    <w:rsid w:val="00E44ADE"/>
  </w:style>
  <w:style w:type="paragraph" w:styleId="HTML">
    <w:name w:val="HTML Preformatted"/>
    <w:basedOn w:val="a"/>
    <w:link w:val="HTML0"/>
    <w:uiPriority w:val="99"/>
    <w:unhideWhenUsed/>
    <w:rsid w:val="00E44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ru-RU" w:bidi="ar-SA"/>
    </w:rPr>
  </w:style>
  <w:style w:type="character" w:customStyle="1" w:styleId="HTML0">
    <w:name w:val="Стандартный HTML Знак"/>
    <w:basedOn w:val="a0"/>
    <w:link w:val="HTML"/>
    <w:uiPriority w:val="99"/>
    <w:rsid w:val="00E44ADE"/>
    <w:rPr>
      <w:rFonts w:ascii="Courier New" w:eastAsia="Times New Roman" w:hAnsi="Courier New" w:cs="Courier New"/>
      <w:sz w:val="20"/>
      <w:szCs w:val="20"/>
      <w:lang w:eastAsia="ru-RU"/>
    </w:rPr>
  </w:style>
  <w:style w:type="character" w:styleId="af0">
    <w:name w:val="Emphasis"/>
    <w:basedOn w:val="a0"/>
    <w:uiPriority w:val="20"/>
    <w:qFormat/>
    <w:rsid w:val="00E44ADE"/>
    <w:rPr>
      <w:i/>
      <w:iCs/>
    </w:rPr>
  </w:style>
  <w:style w:type="character" w:customStyle="1" w:styleId="hl">
    <w:name w:val="hl"/>
    <w:basedOn w:val="a0"/>
    <w:rsid w:val="00E44ADE"/>
  </w:style>
  <w:style w:type="character" w:customStyle="1" w:styleId="slug-pub-date">
    <w:name w:val="slug-pub-date"/>
    <w:basedOn w:val="a0"/>
    <w:rsid w:val="00E44ADE"/>
  </w:style>
  <w:style w:type="character" w:customStyle="1" w:styleId="slug-vol">
    <w:name w:val="slug-vol"/>
    <w:basedOn w:val="a0"/>
    <w:rsid w:val="00E44ADE"/>
  </w:style>
  <w:style w:type="character" w:customStyle="1" w:styleId="slug-pages">
    <w:name w:val="slug-pages"/>
    <w:basedOn w:val="a0"/>
    <w:rsid w:val="00E44ADE"/>
  </w:style>
  <w:style w:type="character" w:customStyle="1" w:styleId="name">
    <w:name w:val="name"/>
    <w:basedOn w:val="a0"/>
    <w:rsid w:val="00E44ADE"/>
  </w:style>
  <w:style w:type="paragraph" w:styleId="af1">
    <w:name w:val="Body Text"/>
    <w:basedOn w:val="a"/>
    <w:link w:val="af2"/>
    <w:uiPriority w:val="99"/>
    <w:rsid w:val="00E44ADE"/>
    <w:pPr>
      <w:overflowPunct w:val="0"/>
      <w:autoSpaceDE w:val="0"/>
      <w:jc w:val="both"/>
      <w:textAlignment w:val="baseline"/>
    </w:pPr>
    <w:rPr>
      <w:rFonts w:ascii="Times New Roman" w:eastAsia="Times New Roman" w:hAnsi="Times New Roman" w:cs="Times New Roman"/>
      <w:color w:val="auto"/>
      <w:sz w:val="28"/>
      <w:szCs w:val="20"/>
      <w:lang w:eastAsia="ru-RU" w:bidi="ar-SA"/>
    </w:rPr>
  </w:style>
  <w:style w:type="character" w:customStyle="1" w:styleId="af2">
    <w:name w:val="Основной текст Знак"/>
    <w:basedOn w:val="a0"/>
    <w:link w:val="af1"/>
    <w:uiPriority w:val="99"/>
    <w:rsid w:val="00E44ADE"/>
    <w:rPr>
      <w:rFonts w:ascii="Times New Roman" w:eastAsia="Times New Roman" w:hAnsi="Times New Roman" w:cs="Times New Roman"/>
      <w:sz w:val="28"/>
      <w:szCs w:val="20"/>
      <w:lang w:eastAsia="ru-RU"/>
    </w:rPr>
  </w:style>
  <w:style w:type="paragraph" w:customStyle="1" w:styleId="BodyText21">
    <w:name w:val="Body Text 21"/>
    <w:basedOn w:val="a"/>
    <w:uiPriority w:val="99"/>
    <w:rsid w:val="00E44ADE"/>
    <w:pPr>
      <w:overflowPunct w:val="0"/>
      <w:autoSpaceDE w:val="0"/>
      <w:ind w:firstLine="720"/>
      <w:jc w:val="both"/>
      <w:textAlignment w:val="baseline"/>
    </w:pPr>
    <w:rPr>
      <w:rFonts w:ascii="Times New Roman" w:eastAsia="Times New Roman" w:hAnsi="Times New Roman" w:cs="Times New Roman"/>
      <w:color w:val="auto"/>
      <w:sz w:val="28"/>
      <w:szCs w:val="20"/>
      <w:lang w:eastAsia="ru-RU" w:bidi="ar-SA"/>
    </w:rPr>
  </w:style>
  <w:style w:type="paragraph" w:customStyle="1" w:styleId="21">
    <w:name w:val="Обычный2"/>
    <w:uiPriority w:val="99"/>
    <w:rsid w:val="00E44ADE"/>
    <w:pPr>
      <w:spacing w:after="0" w:line="240" w:lineRule="auto"/>
    </w:pPr>
    <w:rPr>
      <w:rFonts w:ascii="Times New Roman" w:eastAsia="Times New Roman" w:hAnsi="Times New Roman" w:cs="Times New Roman"/>
      <w:sz w:val="24"/>
      <w:szCs w:val="20"/>
      <w:lang w:eastAsia="ru-RU"/>
    </w:rPr>
  </w:style>
  <w:style w:type="character" w:styleId="HTML1">
    <w:name w:val="HTML Cite"/>
    <w:basedOn w:val="a0"/>
    <w:uiPriority w:val="99"/>
    <w:semiHidden/>
    <w:unhideWhenUsed/>
    <w:rsid w:val="00E44ADE"/>
    <w:rPr>
      <w:i/>
      <w:iCs/>
    </w:rPr>
  </w:style>
  <w:style w:type="character" w:customStyle="1" w:styleId="mw-cite-backlink">
    <w:name w:val="mw-cite-backlink"/>
    <w:basedOn w:val="a0"/>
    <w:rsid w:val="00E44ADE"/>
  </w:style>
  <w:style w:type="character" w:customStyle="1" w:styleId="cite-accessibility-label">
    <w:name w:val="cite-accessibility-label"/>
    <w:basedOn w:val="a0"/>
    <w:rsid w:val="00E44ADE"/>
  </w:style>
  <w:style w:type="character" w:customStyle="1" w:styleId="search-hl">
    <w:name w:val="search-hl"/>
    <w:basedOn w:val="a0"/>
    <w:rsid w:val="00E44ADE"/>
  </w:style>
  <w:style w:type="paragraph" w:customStyle="1" w:styleId="210">
    <w:name w:val="Основной текст 21"/>
    <w:basedOn w:val="a"/>
    <w:rsid w:val="00E44ADE"/>
    <w:pPr>
      <w:overflowPunct w:val="0"/>
      <w:autoSpaceDE w:val="0"/>
      <w:autoSpaceDN w:val="0"/>
      <w:adjustRightInd w:val="0"/>
      <w:ind w:firstLine="720"/>
      <w:jc w:val="both"/>
      <w:textAlignment w:val="baseline"/>
    </w:pPr>
    <w:rPr>
      <w:rFonts w:ascii="Times New Roman" w:eastAsia="Times New Roman" w:hAnsi="Times New Roman" w:cs="Times New Roman"/>
      <w:color w:val="auto"/>
      <w:sz w:val="28"/>
      <w:szCs w:val="20"/>
      <w:lang w:eastAsia="ru-RU" w:bidi="ar-SA"/>
    </w:rPr>
  </w:style>
  <w:style w:type="paragraph" w:styleId="af3">
    <w:name w:val="TOC Heading"/>
    <w:basedOn w:val="1"/>
    <w:next w:val="a"/>
    <w:uiPriority w:val="39"/>
    <w:unhideWhenUsed/>
    <w:qFormat/>
    <w:rsid w:val="00E44ADE"/>
    <w:pPr>
      <w:widowControl/>
      <w:spacing w:line="276" w:lineRule="auto"/>
      <w:outlineLvl w:val="9"/>
    </w:pPr>
    <w:rPr>
      <w:rFonts w:cstheme="majorBidi"/>
      <w:szCs w:val="28"/>
      <w:lang w:eastAsia="en-US" w:bidi="ar-SA"/>
    </w:rPr>
  </w:style>
  <w:style w:type="paragraph" w:styleId="11">
    <w:name w:val="toc 1"/>
    <w:basedOn w:val="a"/>
    <w:next w:val="a"/>
    <w:autoRedefine/>
    <w:uiPriority w:val="39"/>
    <w:unhideWhenUsed/>
    <w:rsid w:val="008C4BD0"/>
    <w:pPr>
      <w:tabs>
        <w:tab w:val="right" w:leader="dot" w:pos="9345"/>
      </w:tabs>
      <w:spacing w:after="100" w:line="276" w:lineRule="auto"/>
      <w:jc w:val="both"/>
    </w:pPr>
    <w:rPr>
      <w:szCs w:val="21"/>
    </w:rPr>
  </w:style>
  <w:style w:type="paragraph" w:styleId="22">
    <w:name w:val="toc 2"/>
    <w:basedOn w:val="a"/>
    <w:next w:val="a"/>
    <w:autoRedefine/>
    <w:uiPriority w:val="39"/>
    <w:unhideWhenUsed/>
    <w:rsid w:val="008C4BD0"/>
    <w:pPr>
      <w:tabs>
        <w:tab w:val="right" w:leader="dot" w:pos="9345"/>
      </w:tabs>
      <w:spacing w:after="100" w:line="360" w:lineRule="auto"/>
      <w:ind w:left="708"/>
    </w:pPr>
    <w:rPr>
      <w:rFonts w:ascii="Times New Roman" w:hAnsi="Times New Roman" w:cs="Times New Roman"/>
      <w:sz w:val="28"/>
      <w:szCs w:val="28"/>
    </w:rPr>
  </w:style>
  <w:style w:type="paragraph" w:styleId="31">
    <w:name w:val="toc 3"/>
    <w:basedOn w:val="a"/>
    <w:next w:val="a"/>
    <w:autoRedefine/>
    <w:uiPriority w:val="39"/>
    <w:unhideWhenUsed/>
    <w:rsid w:val="00A812BA"/>
    <w:pPr>
      <w:tabs>
        <w:tab w:val="right" w:leader="dot" w:pos="9345"/>
      </w:tabs>
      <w:spacing w:after="100"/>
      <w:ind w:left="1416"/>
    </w:pPr>
    <w:rPr>
      <w:szCs w:val="21"/>
    </w:rPr>
  </w:style>
  <w:style w:type="character" w:customStyle="1" w:styleId="highlight">
    <w:name w:val="highlight"/>
    <w:basedOn w:val="a0"/>
    <w:rsid w:val="00E44ADE"/>
  </w:style>
  <w:style w:type="character" w:customStyle="1" w:styleId="atricleauthorwork">
    <w:name w:val="atricle_author_work"/>
    <w:basedOn w:val="a0"/>
    <w:rsid w:val="00E44ADE"/>
  </w:style>
  <w:style w:type="character" w:customStyle="1" w:styleId="articlepages">
    <w:name w:val="article_pages"/>
    <w:basedOn w:val="a0"/>
    <w:rsid w:val="00E44ADE"/>
  </w:style>
  <w:style w:type="character" w:customStyle="1" w:styleId="12">
    <w:name w:val="Название1"/>
    <w:basedOn w:val="a0"/>
    <w:rsid w:val="00E44ADE"/>
  </w:style>
  <w:style w:type="character" w:customStyle="1" w:styleId="edition">
    <w:name w:val="edition"/>
    <w:basedOn w:val="a0"/>
    <w:rsid w:val="00E44ADE"/>
  </w:style>
  <w:style w:type="character" w:customStyle="1" w:styleId="num">
    <w:name w:val="num"/>
    <w:basedOn w:val="a0"/>
    <w:rsid w:val="00E44ADE"/>
  </w:style>
  <w:style w:type="character" w:customStyle="1" w:styleId="cit">
    <w:name w:val="cit"/>
    <w:basedOn w:val="a0"/>
    <w:rsid w:val="00E44ADE"/>
  </w:style>
  <w:style w:type="character" w:customStyle="1" w:styleId="element-citation">
    <w:name w:val="element-citation"/>
    <w:basedOn w:val="a0"/>
    <w:rsid w:val="00773249"/>
  </w:style>
  <w:style w:type="character" w:customStyle="1" w:styleId="ref-journal">
    <w:name w:val="ref-journal"/>
    <w:basedOn w:val="a0"/>
    <w:rsid w:val="00773249"/>
  </w:style>
  <w:style w:type="character" w:customStyle="1" w:styleId="ref-vol">
    <w:name w:val="ref-vol"/>
    <w:basedOn w:val="a0"/>
    <w:rsid w:val="00773249"/>
  </w:style>
  <w:style w:type="character" w:styleId="af4">
    <w:name w:val="FollowedHyperlink"/>
    <w:basedOn w:val="a0"/>
    <w:uiPriority w:val="99"/>
    <w:semiHidden/>
    <w:unhideWhenUsed/>
    <w:rsid w:val="00021C48"/>
    <w:rPr>
      <w:color w:val="800080" w:themeColor="followedHyperlink"/>
      <w:u w:val="single"/>
    </w:rPr>
  </w:style>
  <w:style w:type="table" w:customStyle="1" w:styleId="13">
    <w:name w:val="Светлая заливка1"/>
    <w:basedOn w:val="a1"/>
    <w:uiPriority w:val="60"/>
    <w:rsid w:val="00F14F4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lug-issue">
    <w:name w:val="slug-issue"/>
    <w:basedOn w:val="a0"/>
    <w:rsid w:val="003406B1"/>
  </w:style>
  <w:style w:type="character" w:customStyle="1" w:styleId="journalname">
    <w:name w:val="journalname"/>
    <w:basedOn w:val="a0"/>
    <w:rsid w:val="00C619B5"/>
  </w:style>
  <w:style w:type="character" w:customStyle="1" w:styleId="journalnumber">
    <w:name w:val="journalnumber"/>
    <w:basedOn w:val="a0"/>
    <w:rsid w:val="00C619B5"/>
  </w:style>
  <w:style w:type="character" w:customStyle="1" w:styleId="cite-pages">
    <w:name w:val="cite-pages"/>
    <w:basedOn w:val="a0"/>
    <w:rsid w:val="00C619B5"/>
  </w:style>
  <w:style w:type="character" w:customStyle="1" w:styleId="cite-month-year">
    <w:name w:val="cite-month-year"/>
    <w:basedOn w:val="a0"/>
    <w:rsid w:val="00C619B5"/>
  </w:style>
  <w:style w:type="character" w:customStyle="1" w:styleId="divider">
    <w:name w:val="divider"/>
    <w:basedOn w:val="a0"/>
    <w:rsid w:val="00C619B5"/>
  </w:style>
  <w:style w:type="character" w:customStyle="1" w:styleId="doi">
    <w:name w:val="doi"/>
    <w:basedOn w:val="a0"/>
    <w:rsid w:val="00C619B5"/>
  </w:style>
</w:styles>
</file>

<file path=word/webSettings.xml><?xml version="1.0" encoding="utf-8"?>
<w:webSettings xmlns:r="http://schemas.openxmlformats.org/officeDocument/2006/relationships" xmlns:w="http://schemas.openxmlformats.org/wordprocessingml/2006/main">
  <w:divs>
    <w:div w:id="28529959">
      <w:bodyDiv w:val="1"/>
      <w:marLeft w:val="0"/>
      <w:marRight w:val="0"/>
      <w:marTop w:val="0"/>
      <w:marBottom w:val="0"/>
      <w:divBdr>
        <w:top w:val="none" w:sz="0" w:space="0" w:color="auto"/>
        <w:left w:val="none" w:sz="0" w:space="0" w:color="auto"/>
        <w:bottom w:val="none" w:sz="0" w:space="0" w:color="auto"/>
        <w:right w:val="none" w:sz="0" w:space="0" w:color="auto"/>
      </w:divBdr>
    </w:div>
    <w:div w:id="51345248">
      <w:bodyDiv w:val="1"/>
      <w:marLeft w:val="0"/>
      <w:marRight w:val="0"/>
      <w:marTop w:val="0"/>
      <w:marBottom w:val="0"/>
      <w:divBdr>
        <w:top w:val="none" w:sz="0" w:space="0" w:color="auto"/>
        <w:left w:val="none" w:sz="0" w:space="0" w:color="auto"/>
        <w:bottom w:val="none" w:sz="0" w:space="0" w:color="auto"/>
        <w:right w:val="none" w:sz="0" w:space="0" w:color="auto"/>
      </w:divBdr>
    </w:div>
    <w:div w:id="156268141">
      <w:bodyDiv w:val="1"/>
      <w:marLeft w:val="0"/>
      <w:marRight w:val="0"/>
      <w:marTop w:val="0"/>
      <w:marBottom w:val="0"/>
      <w:divBdr>
        <w:top w:val="none" w:sz="0" w:space="0" w:color="auto"/>
        <w:left w:val="none" w:sz="0" w:space="0" w:color="auto"/>
        <w:bottom w:val="none" w:sz="0" w:space="0" w:color="auto"/>
        <w:right w:val="none" w:sz="0" w:space="0" w:color="auto"/>
      </w:divBdr>
    </w:div>
    <w:div w:id="391471177">
      <w:bodyDiv w:val="1"/>
      <w:marLeft w:val="0"/>
      <w:marRight w:val="0"/>
      <w:marTop w:val="0"/>
      <w:marBottom w:val="0"/>
      <w:divBdr>
        <w:top w:val="none" w:sz="0" w:space="0" w:color="auto"/>
        <w:left w:val="none" w:sz="0" w:space="0" w:color="auto"/>
        <w:bottom w:val="none" w:sz="0" w:space="0" w:color="auto"/>
        <w:right w:val="none" w:sz="0" w:space="0" w:color="auto"/>
      </w:divBdr>
    </w:div>
    <w:div w:id="779840470">
      <w:bodyDiv w:val="1"/>
      <w:marLeft w:val="0"/>
      <w:marRight w:val="0"/>
      <w:marTop w:val="0"/>
      <w:marBottom w:val="0"/>
      <w:divBdr>
        <w:top w:val="none" w:sz="0" w:space="0" w:color="auto"/>
        <w:left w:val="none" w:sz="0" w:space="0" w:color="auto"/>
        <w:bottom w:val="none" w:sz="0" w:space="0" w:color="auto"/>
        <w:right w:val="none" w:sz="0" w:space="0" w:color="auto"/>
      </w:divBdr>
    </w:div>
    <w:div w:id="848568393">
      <w:bodyDiv w:val="1"/>
      <w:marLeft w:val="0"/>
      <w:marRight w:val="0"/>
      <w:marTop w:val="0"/>
      <w:marBottom w:val="0"/>
      <w:divBdr>
        <w:top w:val="none" w:sz="0" w:space="0" w:color="auto"/>
        <w:left w:val="none" w:sz="0" w:space="0" w:color="auto"/>
        <w:bottom w:val="none" w:sz="0" w:space="0" w:color="auto"/>
        <w:right w:val="none" w:sz="0" w:space="0" w:color="auto"/>
      </w:divBdr>
    </w:div>
    <w:div w:id="1305429293">
      <w:bodyDiv w:val="1"/>
      <w:marLeft w:val="0"/>
      <w:marRight w:val="0"/>
      <w:marTop w:val="0"/>
      <w:marBottom w:val="0"/>
      <w:divBdr>
        <w:top w:val="none" w:sz="0" w:space="0" w:color="auto"/>
        <w:left w:val="none" w:sz="0" w:space="0" w:color="auto"/>
        <w:bottom w:val="none" w:sz="0" w:space="0" w:color="auto"/>
        <w:right w:val="none" w:sz="0" w:space="0" w:color="auto"/>
      </w:divBdr>
    </w:div>
    <w:div w:id="1579292113">
      <w:bodyDiv w:val="1"/>
      <w:marLeft w:val="0"/>
      <w:marRight w:val="0"/>
      <w:marTop w:val="0"/>
      <w:marBottom w:val="0"/>
      <w:divBdr>
        <w:top w:val="none" w:sz="0" w:space="0" w:color="auto"/>
        <w:left w:val="none" w:sz="0" w:space="0" w:color="auto"/>
        <w:bottom w:val="none" w:sz="0" w:space="0" w:color="auto"/>
        <w:right w:val="none" w:sz="0" w:space="0" w:color="auto"/>
      </w:divBdr>
    </w:div>
    <w:div w:id="183089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5.gif"/><Relationship Id="rId26" Type="http://schemas.openxmlformats.org/officeDocument/2006/relationships/image" Target="media/image11.emf"/><Relationship Id="rId39"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15.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7.emf"/><Relationship Id="rId29" Type="http://schemas.openxmlformats.org/officeDocument/2006/relationships/oleObject" Target="embeddings/oleObject8.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2.bin"/><Relationship Id="rId40" Type="http://schemas.openxmlformats.org/officeDocument/2006/relationships/hyperlink" Target="https://www.ncbi.nlm.nih.gov/pmc/articles/PMC5206263/"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5.bin"/><Relationship Id="rId28" Type="http://schemas.openxmlformats.org/officeDocument/2006/relationships/image" Target="media/image12.emf"/><Relationship Id="rId36" Type="http://schemas.openxmlformats.org/officeDocument/2006/relationships/image" Target="media/image16.emf"/><Relationship Id="rId10" Type="http://schemas.openxmlformats.org/officeDocument/2006/relationships/image" Target="media/image2.png"/><Relationship Id="rId19" Type="http://schemas.openxmlformats.org/officeDocument/2006/relationships/image" Target="media/image6.emf"/><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9.emf"/><Relationship Id="rId27" Type="http://schemas.openxmlformats.org/officeDocument/2006/relationships/oleObject" Target="embeddings/oleObject7.bin"/><Relationship Id="rId30" Type="http://schemas.openxmlformats.org/officeDocument/2006/relationships/image" Target="media/image13.emf"/><Relationship Id="rId35" Type="http://schemas.openxmlformats.org/officeDocument/2006/relationships/oleObject" Target="embeddings/oleObject11.bin"/><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пациенты</c:v>
                </c:pt>
              </c:strCache>
            </c:strRef>
          </c:tx>
          <c:explosion val="25"/>
          <c:dLbls>
            <c:spPr>
              <a:noFill/>
              <a:ln>
                <a:noFill/>
              </a:ln>
              <a:effectLst/>
            </c:spPr>
            <c:showPercent val="1"/>
            <c:showLeaderLines val="1"/>
            <c:extLst>
              <c:ext xmlns:c15="http://schemas.microsoft.com/office/drawing/2012/chart" uri="{CE6537A1-D6FC-4f65-9D91-7224C49458BB}"/>
            </c:extLst>
          </c:dLbls>
          <c:cat>
            <c:strRef>
              <c:f>Лист1!$A$2:$A$3</c:f>
              <c:strCache>
                <c:ptCount val="2"/>
                <c:pt idx="0">
                  <c:v>неблагоприятный прогноз</c:v>
                </c:pt>
                <c:pt idx="1">
                  <c:v>благоприятный прогноз</c:v>
                </c:pt>
              </c:strCache>
            </c:strRef>
          </c:cat>
          <c:val>
            <c:numRef>
              <c:f>Лист1!$B$2:$B$3</c:f>
              <c:numCache>
                <c:formatCode>General</c:formatCode>
                <c:ptCount val="2"/>
                <c:pt idx="0">
                  <c:v>39</c:v>
                </c:pt>
                <c:pt idx="1">
                  <c:v>364</c:v>
                </c:pt>
              </c:numCache>
            </c:numRef>
          </c:val>
        </c:ser>
        <c:dLbls>
          <c:showPercent val="1"/>
        </c:dLbls>
      </c:pie3DChart>
    </c:plotArea>
    <c:legend>
      <c:legendPos val="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мужчины</c:v>
                </c:pt>
              </c:strCache>
            </c:strRef>
          </c:tx>
          <c:dLbls>
            <c:dLbl>
              <c:idx val="0"/>
              <c:tx>
                <c:rich>
                  <a:bodyPr/>
                  <a:lstStyle/>
                  <a:p>
                    <a:r>
                      <a:rPr lang="mr-IN" smtClean="0"/>
                      <a:t>5,1%</a:t>
                    </a:r>
                    <a:endParaRPr lang="mr-IN"/>
                  </a:p>
                </c:rich>
              </c:tx>
              <c:showVal val="1"/>
              <c:extLst>
                <c:ext xmlns:c15="http://schemas.microsoft.com/office/drawing/2012/chart" uri="{CE6537A1-D6FC-4f65-9D91-7224C49458BB}"/>
              </c:extLst>
            </c:dLbl>
            <c:dLbl>
              <c:idx val="1"/>
              <c:tx>
                <c:rich>
                  <a:bodyPr/>
                  <a:lstStyle/>
                  <a:p>
                    <a:r>
                      <a:rPr lang="mr-IN" smtClean="0"/>
                      <a:t>6,8%</a:t>
                    </a:r>
                    <a:endParaRPr lang="mr-IN"/>
                  </a:p>
                </c:rich>
              </c:tx>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'Лист1'!$A$2:$A$3</c:f>
              <c:strCache>
                <c:ptCount val="2"/>
                <c:pt idx="0">
                  <c:v>неблагоприятный прогноз</c:v>
                </c:pt>
                <c:pt idx="1">
                  <c:v>благоприятный прогноз</c:v>
                </c:pt>
              </c:strCache>
            </c:strRef>
          </c:cat>
          <c:val>
            <c:numRef>
              <c:f>'Лист1'!$B$2:$B$3</c:f>
              <c:numCache>
                <c:formatCode>General</c:formatCode>
                <c:ptCount val="2"/>
                <c:pt idx="0">
                  <c:v>5.0999999999999996</c:v>
                </c:pt>
                <c:pt idx="1">
                  <c:v>6.8</c:v>
                </c:pt>
              </c:numCache>
            </c:numRef>
          </c:val>
        </c:ser>
        <c:ser>
          <c:idx val="1"/>
          <c:order val="1"/>
          <c:tx>
            <c:strRef>
              <c:f>'Лист1'!$C$1</c:f>
              <c:strCache>
                <c:ptCount val="1"/>
                <c:pt idx="0">
                  <c:v>женщины</c:v>
                </c:pt>
              </c:strCache>
            </c:strRef>
          </c:tx>
          <c:dLbls>
            <c:dLbl>
              <c:idx val="0"/>
              <c:tx>
                <c:rich>
                  <a:bodyPr/>
                  <a:lstStyle/>
                  <a:p>
                    <a:r>
                      <a:rPr lang="mr-IN" smtClean="0"/>
                      <a:t>94,9%</a:t>
                    </a:r>
                    <a:endParaRPr lang="mr-IN" dirty="0"/>
                  </a:p>
                </c:rich>
              </c:tx>
              <c:showVal val="1"/>
              <c:extLst>
                <c:ext xmlns:c15="http://schemas.microsoft.com/office/drawing/2012/chart" uri="{CE6537A1-D6FC-4f65-9D91-7224C49458BB}"/>
              </c:extLst>
            </c:dLbl>
            <c:dLbl>
              <c:idx val="1"/>
              <c:tx>
                <c:rich>
                  <a:bodyPr/>
                  <a:lstStyle/>
                  <a:p>
                    <a:r>
                      <a:rPr lang="mr-IN" smtClean="0"/>
                      <a:t>93,2%</a:t>
                    </a:r>
                    <a:endParaRPr lang="mr-IN"/>
                  </a:p>
                </c:rich>
              </c:tx>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'Лист1'!$A$2:$A$3</c:f>
              <c:strCache>
                <c:ptCount val="2"/>
                <c:pt idx="0">
                  <c:v>неблагоприятный прогноз</c:v>
                </c:pt>
                <c:pt idx="1">
                  <c:v>благоприятный прогноз</c:v>
                </c:pt>
              </c:strCache>
            </c:strRef>
          </c:cat>
          <c:val>
            <c:numRef>
              <c:f>'Лист1'!$C$2:$C$3</c:f>
              <c:numCache>
                <c:formatCode>General</c:formatCode>
                <c:ptCount val="2"/>
                <c:pt idx="0">
                  <c:v>94.9</c:v>
                </c:pt>
                <c:pt idx="1">
                  <c:v>93.2</c:v>
                </c:pt>
              </c:numCache>
            </c:numRef>
          </c:val>
        </c:ser>
        <c:dLbls>
          <c:showVal val="1"/>
        </c:dLbls>
        <c:gapWidth val="75"/>
        <c:axId val="141276288"/>
        <c:axId val="141277824"/>
      </c:barChart>
      <c:catAx>
        <c:axId val="141276288"/>
        <c:scaling>
          <c:orientation val="minMax"/>
        </c:scaling>
        <c:axPos val="b"/>
        <c:numFmt formatCode="General" sourceLinked="0"/>
        <c:majorTickMark val="none"/>
        <c:tickLblPos val="nextTo"/>
        <c:crossAx val="141277824"/>
        <c:crosses val="autoZero"/>
        <c:auto val="1"/>
        <c:lblAlgn val="ctr"/>
        <c:lblOffset val="100"/>
      </c:catAx>
      <c:valAx>
        <c:axId val="141277824"/>
        <c:scaling>
          <c:orientation val="minMax"/>
        </c:scaling>
        <c:axPos val="l"/>
        <c:numFmt formatCode="General" sourceLinked="1"/>
        <c:majorTickMark val="none"/>
        <c:tickLblPos val="nextTo"/>
        <c:crossAx val="141276288"/>
        <c:crosses val="autoZero"/>
        <c:crossBetween val="between"/>
      </c:valAx>
    </c:plotArea>
    <c:legend>
      <c:legendPos val="b"/>
    </c:legend>
    <c:plotVisOnly val="1"/>
    <c:dispBlanksAs val="gap"/>
  </c:chart>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костная форма</c:v>
                </c:pt>
              </c:strCache>
            </c:strRef>
          </c:tx>
          <c:dLbls>
            <c:spPr>
              <a:noFill/>
              <a:ln>
                <a:noFill/>
              </a:ln>
              <a:effectLst/>
            </c:spPr>
            <c:showVal val="1"/>
            <c:extLst>
              <c:ext xmlns:c15="http://schemas.microsoft.com/office/drawing/2012/chart" uri="{CE6537A1-D6FC-4f65-9D91-7224C49458BB}">
                <c15:showLeaderLines val="0"/>
              </c:ext>
            </c:extLst>
          </c:dLbls>
          <c:cat>
            <c:strRef>
              <c:f>Лист1!$A$2:$A$3</c:f>
              <c:strCache>
                <c:ptCount val="2"/>
                <c:pt idx="0">
                  <c:v>младше 50 лет</c:v>
                </c:pt>
                <c:pt idx="1">
                  <c:v>старше 50 лет</c:v>
                </c:pt>
              </c:strCache>
            </c:strRef>
          </c:cat>
          <c:val>
            <c:numRef>
              <c:f>Лист1!$B$2:$B$3</c:f>
              <c:numCache>
                <c:formatCode>0%</c:formatCode>
                <c:ptCount val="2"/>
                <c:pt idx="0">
                  <c:v>0.11</c:v>
                </c:pt>
                <c:pt idx="1">
                  <c:v>0.28000000000000008</c:v>
                </c:pt>
              </c:numCache>
            </c:numRef>
          </c:val>
        </c:ser>
        <c:ser>
          <c:idx val="1"/>
          <c:order val="1"/>
          <c:tx>
            <c:strRef>
              <c:f>Лист1!$C$1</c:f>
              <c:strCache>
                <c:ptCount val="1"/>
                <c:pt idx="0">
                  <c:v>смешанная форма</c:v>
                </c:pt>
              </c:strCache>
            </c:strRef>
          </c:tx>
          <c:dLbls>
            <c:spPr>
              <a:noFill/>
              <a:ln>
                <a:noFill/>
              </a:ln>
              <a:effectLst/>
            </c:spPr>
            <c:showVal val="1"/>
            <c:extLst>
              <c:ext xmlns:c15="http://schemas.microsoft.com/office/drawing/2012/chart" uri="{CE6537A1-D6FC-4f65-9D91-7224C49458BB}">
                <c15:showLeaderLines val="0"/>
              </c:ext>
            </c:extLst>
          </c:dLbls>
          <c:cat>
            <c:strRef>
              <c:f>Лист1!$A$2:$A$3</c:f>
              <c:strCache>
                <c:ptCount val="2"/>
                <c:pt idx="0">
                  <c:v>младше 50 лет</c:v>
                </c:pt>
                <c:pt idx="1">
                  <c:v>старше 50 лет</c:v>
                </c:pt>
              </c:strCache>
            </c:strRef>
          </c:cat>
          <c:val>
            <c:numRef>
              <c:f>Лист1!$C$2:$C$3</c:f>
              <c:numCache>
                <c:formatCode>0%</c:formatCode>
                <c:ptCount val="2"/>
                <c:pt idx="0">
                  <c:v>0.41000000000000009</c:v>
                </c:pt>
                <c:pt idx="1">
                  <c:v>0.51</c:v>
                </c:pt>
              </c:numCache>
            </c:numRef>
          </c:val>
        </c:ser>
        <c:ser>
          <c:idx val="2"/>
          <c:order val="2"/>
          <c:tx>
            <c:strRef>
              <c:f>Лист1!$D$1</c:f>
              <c:strCache>
                <c:ptCount val="1"/>
                <c:pt idx="0">
                  <c:v>бессимптомная форма</c:v>
                </c:pt>
              </c:strCache>
            </c:strRef>
          </c:tx>
          <c:dLbls>
            <c:spPr>
              <a:noFill/>
              <a:ln>
                <a:noFill/>
              </a:ln>
              <a:effectLst/>
            </c:spPr>
            <c:showVal val="1"/>
            <c:extLst>
              <c:ext xmlns:c15="http://schemas.microsoft.com/office/drawing/2012/chart" uri="{CE6537A1-D6FC-4f65-9D91-7224C49458BB}">
                <c15:showLeaderLines val="0"/>
              </c:ext>
            </c:extLst>
          </c:dLbls>
          <c:cat>
            <c:strRef>
              <c:f>Лист1!$A$2:$A$3</c:f>
              <c:strCache>
                <c:ptCount val="2"/>
                <c:pt idx="0">
                  <c:v>младше 50 лет</c:v>
                </c:pt>
                <c:pt idx="1">
                  <c:v>старше 50 лет</c:v>
                </c:pt>
              </c:strCache>
            </c:strRef>
          </c:cat>
          <c:val>
            <c:numRef>
              <c:f>Лист1!$D$2:$D$3</c:f>
              <c:numCache>
                <c:formatCode>0%</c:formatCode>
                <c:ptCount val="2"/>
                <c:pt idx="0">
                  <c:v>0.11</c:v>
                </c:pt>
                <c:pt idx="1">
                  <c:v>6.0000000000000019E-2</c:v>
                </c:pt>
              </c:numCache>
            </c:numRef>
          </c:val>
        </c:ser>
        <c:ser>
          <c:idx val="3"/>
          <c:order val="3"/>
          <c:tx>
            <c:strRef>
              <c:f>Лист1!$E$1</c:f>
              <c:strCache>
                <c:ptCount val="1"/>
                <c:pt idx="0">
                  <c:v>висцеральная форма</c:v>
                </c:pt>
              </c:strCache>
            </c:strRef>
          </c:tx>
          <c:dLbls>
            <c:spPr>
              <a:noFill/>
              <a:ln>
                <a:noFill/>
              </a:ln>
              <a:effectLst/>
            </c:spPr>
            <c:showVal val="1"/>
            <c:extLst>
              <c:ext xmlns:c15="http://schemas.microsoft.com/office/drawing/2012/chart" uri="{CE6537A1-D6FC-4f65-9D91-7224C49458BB}">
                <c15:showLeaderLines val="0"/>
              </c:ext>
            </c:extLst>
          </c:dLbls>
          <c:cat>
            <c:strRef>
              <c:f>Лист1!$A$2:$A$3</c:f>
              <c:strCache>
                <c:ptCount val="2"/>
                <c:pt idx="0">
                  <c:v>младше 50 лет</c:v>
                </c:pt>
                <c:pt idx="1">
                  <c:v>старше 50 лет</c:v>
                </c:pt>
              </c:strCache>
            </c:strRef>
          </c:cat>
          <c:val>
            <c:numRef>
              <c:f>Лист1!$E$2:$E$3</c:f>
              <c:numCache>
                <c:formatCode>0%</c:formatCode>
                <c:ptCount val="2"/>
                <c:pt idx="0">
                  <c:v>0.32000000000000112</c:v>
                </c:pt>
                <c:pt idx="1">
                  <c:v>0.14000000000000001</c:v>
                </c:pt>
              </c:numCache>
            </c:numRef>
          </c:val>
        </c:ser>
        <c:ser>
          <c:idx val="4"/>
          <c:order val="4"/>
          <c:tx>
            <c:strRef>
              <c:f>Лист1!$F$1</c:f>
              <c:strCache>
                <c:ptCount val="1"/>
                <c:pt idx="0">
                  <c:v>метаболическая форма</c:v>
                </c:pt>
              </c:strCache>
            </c:strRef>
          </c:tx>
          <c:dLbls>
            <c:spPr>
              <a:noFill/>
              <a:ln>
                <a:noFill/>
              </a:ln>
              <a:effectLst/>
            </c:spPr>
            <c:showVal val="1"/>
            <c:extLst>
              <c:ext xmlns:c15="http://schemas.microsoft.com/office/drawing/2012/chart" uri="{CE6537A1-D6FC-4f65-9D91-7224C49458BB}">
                <c15:showLeaderLines val="0"/>
              </c:ext>
            </c:extLst>
          </c:dLbls>
          <c:cat>
            <c:strRef>
              <c:f>Лист1!$A$2:$A$3</c:f>
              <c:strCache>
                <c:ptCount val="2"/>
                <c:pt idx="0">
                  <c:v>младше 50 лет</c:v>
                </c:pt>
                <c:pt idx="1">
                  <c:v>старше 50 лет</c:v>
                </c:pt>
              </c:strCache>
            </c:strRef>
          </c:cat>
          <c:val>
            <c:numRef>
              <c:f>Лист1!$F$2:$F$3</c:f>
              <c:numCache>
                <c:formatCode>0%</c:formatCode>
                <c:ptCount val="2"/>
                <c:pt idx="0">
                  <c:v>0.05</c:v>
                </c:pt>
                <c:pt idx="1">
                  <c:v>1.0000000000000004E-2</c:v>
                </c:pt>
              </c:numCache>
            </c:numRef>
          </c:val>
        </c:ser>
        <c:dLbls>
          <c:showVal val="1"/>
        </c:dLbls>
        <c:gapWidth val="75"/>
        <c:axId val="141293440"/>
        <c:axId val="141294976"/>
      </c:barChart>
      <c:catAx>
        <c:axId val="141293440"/>
        <c:scaling>
          <c:orientation val="minMax"/>
        </c:scaling>
        <c:axPos val="b"/>
        <c:numFmt formatCode="General" sourceLinked="0"/>
        <c:majorTickMark val="none"/>
        <c:tickLblPos val="nextTo"/>
        <c:crossAx val="141294976"/>
        <c:crosses val="autoZero"/>
        <c:auto val="1"/>
        <c:lblAlgn val="ctr"/>
        <c:lblOffset val="100"/>
      </c:catAx>
      <c:valAx>
        <c:axId val="141294976"/>
        <c:scaling>
          <c:orientation val="minMax"/>
        </c:scaling>
        <c:axPos val="l"/>
        <c:numFmt formatCode="0%" sourceLinked="1"/>
        <c:majorTickMark val="none"/>
        <c:tickLblPos val="nextTo"/>
        <c:crossAx val="141293440"/>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81396-466A-4736-B2FF-EA046CD62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51</Pages>
  <Words>10464</Words>
  <Characters>59650</Characters>
  <Application>Microsoft Office Word</Application>
  <DocSecurity>0</DocSecurity>
  <Lines>497</Lines>
  <Paragraphs>139</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Список сокращений</vt:lpstr>
      <vt:lpstr/>
      <vt:lpstr/>
      <vt:lpstr/>
      <vt:lpstr/>
      <vt:lpstr/>
      <vt:lpstr/>
      <vt:lpstr>Введение</vt:lpstr>
      <vt:lpstr>Глава 1. Современное представление о первичном гиперпаратиреозе</vt:lpstr>
      <vt:lpstr>    1.1 Развитие и особенности локализации ОЩЖ</vt:lpstr>
      <vt:lpstr>    1.2 Паратиреоидный гормон в норме</vt:lpstr>
      <vt:lpstr>    1.3 Первичный гиперпратиреоз. Этиология и патогенез</vt:lpstr>
      <vt:lpstr>    1.4. Клиническая картина ПГПТ</vt:lpstr>
      <vt:lpstr>    1.5. Современные принципы диагностики ПГПТ</vt:lpstr>
      <vt:lpstr>    1.6. Лечение ПГПТ</vt:lpstr>
      <vt:lpstr>    1.7 Интраоперационное определение ПТГ (иПТГ)</vt:lpstr>
      <vt:lpstr/>
      <vt:lpstr>Глава 2. Материалы и методы</vt:lpstr>
      <vt:lpstr>    2.1 Материалы исследования</vt:lpstr>
      <vt:lpstr>    2.2 Методы исследования</vt:lpstr>
      <vt:lpstr>        2.2.1 Методы определения иПТГ</vt:lpstr>
      <vt:lpstr>        2.2.2 Статистическая обработка</vt:lpstr>
      <vt:lpstr>Глава 3. Результаты исследования</vt:lpstr>
      <vt:lpstr>    3.1 Определение чувствительности и специфичности традиционного метода интраопера</vt:lpstr>
      <vt:lpstr>    3.2 Определение чувствительности и специфичности модифицированного метода интрао</vt:lpstr>
      <vt:lpstr>    3.3 Сравнительный анализ ROC кривых </vt:lpstr>
      <vt:lpstr>    3.4 Распределение пациентов по исходным данным и прогнозу</vt:lpstr>
      <vt:lpstr>    3.5. Определение наличие связи между дополнительными факторами риска персистенци</vt:lpstr>
      <vt:lpstr>Список литературы</vt:lpstr>
      <vt:lpstr>Приложение</vt:lpstr>
    </vt:vector>
  </TitlesOfParts>
  <Company>RePack by SPecialiST</Company>
  <LinksUpToDate>false</LinksUpToDate>
  <CharactersWithSpaces>69975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Алюза Бахтиярова</dc:creator>
  <cp:lastModifiedBy>Алюза Бахтиярова</cp:lastModifiedBy>
  <cp:revision>16</cp:revision>
  <dcterms:created xsi:type="dcterms:W3CDTF">2017-05-06T15:58:00Z</dcterms:created>
  <dcterms:modified xsi:type="dcterms:W3CDTF">2017-05-17T14:20:00Z</dcterms:modified>
</cp:coreProperties>
</file>