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9.xml" ContentType="application/vnd.openxmlformats-officedocument.wordprocessingml.header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CA406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4"/>
      <w:bookmarkStart w:id="1" w:name="OLE_LINK5"/>
      <w:r w:rsidRPr="00126AB6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6B6D190C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6DB45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6C4DA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AB06B" w14:textId="73B8E6D6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Синяпкина Евгения Юрьевна</w:t>
      </w:r>
    </w:p>
    <w:p w14:paraId="2A7ECED1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C73E9C" w14:textId="1C43D271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оценка бренда</w:t>
      </w:r>
    </w:p>
    <w:p w14:paraId="41B9D019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1185D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073FC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E8056" w14:textId="57193579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AB6">
        <w:rPr>
          <w:rFonts w:ascii="Times New Roman" w:hAnsi="Times New Roman" w:cs="Times New Roman"/>
          <w:sz w:val="28"/>
          <w:szCs w:val="28"/>
        </w:rPr>
        <w:t xml:space="preserve">  Направление</w:t>
      </w:r>
      <w:r w:rsidR="003B123B">
        <w:rPr>
          <w:rFonts w:ascii="Times New Roman" w:hAnsi="Times New Roman" w:cs="Times New Roman"/>
          <w:sz w:val="28"/>
          <w:szCs w:val="28"/>
        </w:rPr>
        <w:t xml:space="preserve"> </w:t>
      </w:r>
      <w:r w:rsidR="003B123B" w:rsidRPr="007B5DFD">
        <w:rPr>
          <w:rFonts w:ascii="Times New Roman" w:hAnsi="Times New Roman" w:cs="Times New Roman"/>
          <w:sz w:val="28"/>
          <w:szCs w:val="28"/>
        </w:rPr>
        <w:t>080100 – «Экономика»</w:t>
      </w:r>
    </w:p>
    <w:p w14:paraId="01FE2B67" w14:textId="42D66E34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AB6">
        <w:rPr>
          <w:rFonts w:ascii="Times New Roman" w:hAnsi="Times New Roman" w:cs="Times New Roman"/>
          <w:sz w:val="28"/>
          <w:szCs w:val="28"/>
        </w:rPr>
        <w:t>Магистерская программа</w:t>
      </w:r>
      <w:r w:rsidR="003B123B">
        <w:rPr>
          <w:rFonts w:ascii="Times New Roman" w:hAnsi="Times New Roman" w:cs="Times New Roman"/>
          <w:sz w:val="28"/>
          <w:szCs w:val="28"/>
        </w:rPr>
        <w:t xml:space="preserve"> Маркетинг и управление брендами</w:t>
      </w:r>
    </w:p>
    <w:p w14:paraId="0ED3BED3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4C652A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441C6A" w14:textId="77777777" w:rsidR="00126AB6" w:rsidRDefault="00126AB6" w:rsidP="00126AB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AB6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7B5DFD">
        <w:rPr>
          <w:rFonts w:ascii="Times New Roman" w:hAnsi="Times New Roman" w:cs="Times New Roman"/>
          <w:sz w:val="28"/>
          <w:szCs w:val="28"/>
        </w:rPr>
        <w:t xml:space="preserve">доцент, к.э.н., </w:t>
      </w:r>
    </w:p>
    <w:p w14:paraId="34C9EA6B" w14:textId="5402F6E2" w:rsidR="00126AB6" w:rsidRPr="007B5DFD" w:rsidRDefault="00126AB6" w:rsidP="00126AB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Крылова Юлия Владимировна</w:t>
      </w:r>
    </w:p>
    <w:p w14:paraId="49D1FC29" w14:textId="74427686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AB6">
        <w:rPr>
          <w:rFonts w:ascii="Times New Roman" w:hAnsi="Times New Roman" w:cs="Times New Roman"/>
          <w:sz w:val="28"/>
          <w:szCs w:val="28"/>
        </w:rPr>
        <w:tab/>
      </w:r>
      <w:r w:rsidRPr="00126AB6">
        <w:rPr>
          <w:rFonts w:ascii="Times New Roman" w:hAnsi="Times New Roman" w:cs="Times New Roman"/>
          <w:sz w:val="28"/>
          <w:szCs w:val="28"/>
        </w:rPr>
        <w:tab/>
      </w:r>
      <w:r w:rsidRPr="00126AB6">
        <w:rPr>
          <w:rFonts w:ascii="Times New Roman" w:hAnsi="Times New Roman" w:cs="Times New Roman"/>
          <w:sz w:val="28"/>
          <w:szCs w:val="28"/>
        </w:rPr>
        <w:tab/>
      </w:r>
    </w:p>
    <w:p w14:paraId="440A1BD5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DA82FC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FD7C3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521FD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D5D210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8598D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C0305F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AB6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680C5E30" w14:textId="77777777" w:rsidR="00126AB6" w:rsidRPr="00126AB6" w:rsidRDefault="00126AB6" w:rsidP="00126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AB6">
        <w:rPr>
          <w:rFonts w:ascii="Times New Roman" w:hAnsi="Times New Roman" w:cs="Times New Roman"/>
          <w:sz w:val="28"/>
          <w:szCs w:val="28"/>
        </w:rPr>
        <w:t>2017</w:t>
      </w:r>
    </w:p>
    <w:p w14:paraId="442D311F" w14:textId="77777777" w:rsidR="00126AB6" w:rsidRPr="007B5DFD" w:rsidRDefault="00126AB6" w:rsidP="00581F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289004292"/>
        <w:docPartObj>
          <w:docPartGallery w:val="Table of Contents"/>
          <w:docPartUnique/>
        </w:docPartObj>
      </w:sdtPr>
      <w:sdtContent>
        <w:p w14:paraId="23A04601" w14:textId="77777777" w:rsidR="00581F33" w:rsidRPr="005C22E4" w:rsidRDefault="00581F33" w:rsidP="00581F3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C22E4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14:paraId="24A21FD2" w14:textId="77777777" w:rsidR="005C22E4" w:rsidRPr="005C22E4" w:rsidRDefault="00581F33">
          <w:pPr>
            <w:pStyle w:val="12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r w:rsidRPr="005C22E4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Pr="005C22E4">
            <w:rPr>
              <w:rFonts w:ascii="Times New Roman" w:hAnsi="Times New Roman" w:cs="Times New Roman"/>
              <w:b w:val="0"/>
              <w:sz w:val="28"/>
              <w:szCs w:val="28"/>
            </w:rPr>
            <w:instrText xml:space="preserve"> TOC \o "1-3" \h \z \u </w:instrText>
          </w:r>
          <w:r w:rsidRPr="005C22E4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481137244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Введение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_Toc481137244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B83E4" w14:textId="77777777" w:rsidR="005C22E4" w:rsidRPr="005C22E4" w:rsidRDefault="007E0728">
          <w:pPr>
            <w:pStyle w:val="12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45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Глава 1 Бренд как фактор роста стоимости компании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_Toc481137245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EFC268" w14:textId="77777777" w:rsidR="005C22E4" w:rsidRPr="005C22E4" w:rsidRDefault="007E0728">
          <w:pPr>
            <w:pStyle w:val="22"/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46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1.1 Концепции бренда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_Toc481137246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01DDEF" w14:textId="77777777" w:rsidR="005C22E4" w:rsidRPr="005C22E4" w:rsidRDefault="007E0728">
          <w:pPr>
            <w:pStyle w:val="22"/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47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1.2 Цели и необходимость оценки стоимости бренда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_Toc481137247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15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ABDE9C" w14:textId="77777777" w:rsidR="005C22E4" w:rsidRPr="005C22E4" w:rsidRDefault="007E0728">
          <w:pPr>
            <w:pStyle w:val="22"/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48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1.3 Влияние стоимости бренда на стоимость бизнеса компании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_Toc481137248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19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87D6C6" w14:textId="77777777" w:rsidR="005C22E4" w:rsidRPr="005C22E4" w:rsidRDefault="007E0728">
          <w:pPr>
            <w:pStyle w:val="22"/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49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1.4 Особенности и проблемы оценки стоимости брендов в России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_Toc481137249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27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472414" w14:textId="77777777" w:rsidR="005C22E4" w:rsidRPr="005C22E4" w:rsidRDefault="007E0728">
          <w:pPr>
            <w:pStyle w:val="12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50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Глава 2 Анализ подходов и методов оценки стоимости бренда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_Toc481137250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34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3FC4F1" w14:textId="77777777" w:rsidR="005C22E4" w:rsidRPr="005C22E4" w:rsidRDefault="007E0728">
          <w:pPr>
            <w:pStyle w:val="22"/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51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2.1 Ставка дисконтирования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_Toc481137251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40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733BCD" w14:textId="77777777" w:rsidR="005C22E4" w:rsidRPr="005C22E4" w:rsidRDefault="007E0728">
          <w:pPr>
            <w:pStyle w:val="22"/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52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2.2 Затратный подход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_Toc481137252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46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C9F0AD" w14:textId="77777777" w:rsidR="005C22E4" w:rsidRPr="005C22E4" w:rsidRDefault="007E0728">
          <w:pPr>
            <w:pStyle w:val="22"/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53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2.3 Доходный подход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_Toc481137253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51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230872" w14:textId="77777777" w:rsidR="005C22E4" w:rsidRPr="005C22E4" w:rsidRDefault="007E0728">
          <w:pPr>
            <w:pStyle w:val="22"/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54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2.4 Рыночный (сравнительный) подход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_Toc481137254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64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07D0F5" w14:textId="77777777" w:rsidR="005C22E4" w:rsidRPr="005C22E4" w:rsidRDefault="007E0728">
          <w:pPr>
            <w:pStyle w:val="12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55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Глава 3 Финансовая оценка бренда «Сбербанк»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_Toc481137255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73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E83527" w14:textId="77777777" w:rsidR="005C22E4" w:rsidRPr="005C22E4" w:rsidRDefault="007E0728">
          <w:pPr>
            <w:pStyle w:val="22"/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56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3.1 Обоснование выбора «Сбербанка»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_Toc481137256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74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4BCD3D" w14:textId="77777777" w:rsidR="005C22E4" w:rsidRPr="005C22E4" w:rsidRDefault="007E0728">
          <w:pPr>
            <w:pStyle w:val="22"/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57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3.2 Выбор метода финансовой оценки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_Toc481137257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81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0DA695" w14:textId="77777777" w:rsidR="005C22E4" w:rsidRPr="005C22E4" w:rsidRDefault="007E0728">
          <w:pPr>
            <w:pStyle w:val="22"/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58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3.3 Расчет стоимости бренда «Сбербанк» методом освобождения от роялти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_Toc481137258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84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BC5AB2" w14:textId="77777777" w:rsidR="005C22E4" w:rsidRPr="005C22E4" w:rsidRDefault="007E0728">
          <w:pPr>
            <w:pStyle w:val="12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59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Заключение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_Toc481137259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103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F0642F" w14:textId="77777777" w:rsidR="005C22E4" w:rsidRPr="005C22E4" w:rsidRDefault="007E0728">
          <w:pPr>
            <w:pStyle w:val="12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481137260" w:history="1">
            <w:r w:rsidR="005C22E4" w:rsidRPr="005C22E4">
              <w:rPr>
                <w:rStyle w:val="a9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Список использованной литературы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_Toc481137260 \h </w:instrTex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89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105</w:t>
            </w:r>
            <w:r w:rsidR="005C22E4" w:rsidRPr="005C22E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F3FF6D" w14:textId="77777777" w:rsidR="00581F33" w:rsidRPr="007B5DFD" w:rsidRDefault="00581F33" w:rsidP="00581F3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C22E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89ADA01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C82D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1418" w:right="567" w:bottom="1418" w:left="1701" w:header="709" w:footer="709" w:gutter="0"/>
          <w:cols w:space="708"/>
          <w:titlePg/>
          <w:docGrid w:type="lines" w:linePitch="360"/>
        </w:sectPr>
      </w:pPr>
    </w:p>
    <w:p w14:paraId="17AA374D" w14:textId="77777777" w:rsidR="00581F33" w:rsidRPr="00CE4AE0" w:rsidRDefault="00581F33" w:rsidP="00581F33">
      <w:pPr>
        <w:pStyle w:val="10"/>
        <w:rPr>
          <w:lang w:val="ru-RU"/>
        </w:rPr>
      </w:pPr>
      <w:bookmarkStart w:id="4" w:name="_Toc481137244"/>
      <w:r w:rsidRPr="00CE4AE0">
        <w:rPr>
          <w:lang w:val="ru-RU"/>
        </w:rPr>
        <w:lastRenderedPageBreak/>
        <w:t>Введение</w:t>
      </w:r>
      <w:bookmarkEnd w:id="4"/>
    </w:p>
    <w:p w14:paraId="78183DC4" w14:textId="5DA95F2E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широко признано, что бренды играю</w:t>
      </w:r>
      <w:r w:rsidR="00FB2D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важную роль в создании и поддержании финансовой деятельности компаний. На фоне высокой конкуренции и практич</w:t>
      </w:r>
      <w:r w:rsidR="007E0728">
        <w:rPr>
          <w:rFonts w:ascii="Times New Roman" w:hAnsi="Times New Roman" w:cs="Times New Roman"/>
          <w:sz w:val="28"/>
          <w:szCs w:val="28"/>
        </w:rPr>
        <w:t>ески неограниченных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бизнеса, сильные бренды помогают компаниям дифференцироваться на целевом рынке и донести до потребителя, почему именно их продукт способен удовлетворить потребности клиентов. В условиях, когда функциональные различия между продуктами сведены до минимума (в т.</w:t>
      </w:r>
      <w:r w:rsidR="0003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благодаря введению Всеобщего управления качеством</w:t>
      </w:r>
      <w:r w:rsidR="00FB2D2A">
        <w:rPr>
          <w:rFonts w:ascii="Times New Roman" w:hAnsi="Times New Roman" w:cs="Times New Roman"/>
          <w:sz w:val="28"/>
          <w:szCs w:val="28"/>
        </w:rPr>
        <w:t>, Total Quality Management</w:t>
      </w:r>
      <w:r>
        <w:rPr>
          <w:rFonts w:ascii="Times New Roman" w:hAnsi="Times New Roman" w:cs="Times New Roman"/>
          <w:sz w:val="28"/>
          <w:szCs w:val="28"/>
        </w:rPr>
        <w:t xml:space="preserve">), бренды создают основу для установления различий между схожими предложениями. Способность брендов наделять товар, услугу или компанию эмоциональной ценностью сверх функциональной является источником создания стоимости. </w:t>
      </w:r>
    </w:p>
    <w:p w14:paraId="55067C44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30 лет произошел сдвиг в источниках создания стоимости от материальных активов (здания, земля, оборудования) к нематериальным (квалифицированный персонал, патенты, бренд). </w:t>
      </w:r>
    </w:p>
    <w:p w14:paraId="74DA247A" w14:textId="77777777" w:rsidR="00581F33" w:rsidRPr="001B4270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Актуальное значение коэффициента </w:t>
      </w:r>
      <w:r w:rsidRPr="00CE4AE0">
        <w:rPr>
          <w:rFonts w:ascii="Times New Roman" w:hAnsi="Times New Roman" w:cs="Times New Roman"/>
          <w:sz w:val="28"/>
          <w:szCs w:val="28"/>
        </w:rPr>
        <w:t>Цена/Балансовая стоимость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E4A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), равное 4,5, подразумевает, что материальные активы компаний составляют менее 25</w:t>
      </w:r>
      <w:r w:rsidRPr="00CE4AE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 Остальные 75</w:t>
      </w:r>
      <w:r w:rsidRPr="00CE4AE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составляют нематериальные активы. В этом контексте не удивительно, что тема финансовой оценки бренда вызывает существенный интерес.</w:t>
      </w:r>
    </w:p>
    <w:p w14:paraId="6FB64C1C" w14:textId="400582BB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В последние </w:t>
      </w:r>
      <w:r w:rsidR="00840BB0">
        <w:rPr>
          <w:rFonts w:ascii="Times New Roman" w:hAnsi="Times New Roman" w:cs="Times New Roman"/>
          <w:sz w:val="28"/>
          <w:szCs w:val="28"/>
        </w:rPr>
        <w:t>годы все большее число компаний и</w:t>
      </w:r>
      <w:r w:rsidRPr="007B5DFD">
        <w:rPr>
          <w:rFonts w:ascii="Times New Roman" w:hAnsi="Times New Roman" w:cs="Times New Roman"/>
          <w:sz w:val="28"/>
          <w:szCs w:val="28"/>
        </w:rPr>
        <w:t xml:space="preserve"> экспертов пытаются найти адекватную модель оценки бренда. Было разработано множество методов, некоторые из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7B5DFD">
        <w:rPr>
          <w:rFonts w:ascii="Times New Roman" w:hAnsi="Times New Roman" w:cs="Times New Roman"/>
          <w:sz w:val="28"/>
          <w:szCs w:val="28"/>
        </w:rPr>
        <w:t xml:space="preserve"> являются интеллектуальной собственностью. Однако из-за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 xml:space="preserve">субъективного и неосязаемого характера брендов ни один метод не предоставляет пользователям достаточной уверенности в точности оценки. Не все методы универсальны, и применение различных подходов к оценке одного бренда приводит к значительной диспропорции результатов. Следствием этого стало то, что заинтересованные лица, особенно руководство и инвесторы, все больше осознают важность получения адекватной </w:t>
      </w:r>
      <w:bookmarkStart w:id="5" w:name="OLE_LINK1"/>
      <w:bookmarkStart w:id="6" w:name="OLE_LINK2"/>
      <w:bookmarkStart w:id="7" w:name="OLE_LINK3"/>
      <w:r w:rsidRPr="007B5DFD">
        <w:rPr>
          <w:rFonts w:ascii="Times New Roman" w:hAnsi="Times New Roman" w:cs="Times New Roman"/>
          <w:sz w:val="28"/>
          <w:szCs w:val="28"/>
        </w:rPr>
        <w:t>денежной оценки бренда.</w:t>
      </w:r>
    </w:p>
    <w:p w14:paraId="3F92CEAD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Точные и объективные методы крайне важны для понимания эффективности и прибыльности бренда. Исследование ценности бренда помогает руководству и инвесторам оптимально распределять ресурсы, отслеживать выполнение стратегических целей, управлять расходами на маркетинг, принимать управленческие решения и т.д. </w:t>
      </w:r>
    </w:p>
    <w:p w14:paraId="7E0F8A1A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стоимость бренда в денежном выражении.</w:t>
      </w:r>
    </w:p>
    <w:p w14:paraId="14067BA0" w14:textId="304F4E84" w:rsidR="00E42705" w:rsidRPr="00E42705" w:rsidRDefault="00581F33" w:rsidP="00E427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Цель исследования – </w:t>
      </w:r>
      <w:r w:rsidR="00E42705" w:rsidRPr="00E42705">
        <w:rPr>
          <w:rFonts w:ascii="Times New Roman" w:hAnsi="Times New Roman"/>
          <w:sz w:val="28"/>
          <w:szCs w:val="28"/>
        </w:rPr>
        <w:t>анализ методов оценки стоимости бренда и их применение на примере бренда «Сбербанк»</w:t>
      </w:r>
      <w:r w:rsidR="00E42705">
        <w:rPr>
          <w:rFonts w:ascii="Times New Roman" w:hAnsi="Times New Roman"/>
          <w:sz w:val="28"/>
          <w:szCs w:val="28"/>
        </w:rPr>
        <w:t>.</w:t>
      </w:r>
    </w:p>
    <w:p w14:paraId="59DDEE53" w14:textId="71F9B7A0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Для достижения цели были выполнены следующие задачи:</w:t>
      </w:r>
    </w:p>
    <w:p w14:paraId="320CD87E" w14:textId="77777777" w:rsidR="00581F33" w:rsidRPr="00A23ED4" w:rsidRDefault="00581F33" w:rsidP="00581F33">
      <w:pPr>
        <w:pStyle w:val="a4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раскрытие понятия «бренд»: эволюция определения, драйверы роста стоимости;</w:t>
      </w:r>
    </w:p>
    <w:p w14:paraId="31DA3AA8" w14:textId="72112470" w:rsidR="00581F33" w:rsidRPr="00A23ED4" w:rsidRDefault="00581F33" w:rsidP="00581F33">
      <w:pPr>
        <w:pStyle w:val="a4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 xml:space="preserve">анализ академической </w:t>
      </w:r>
      <w:r w:rsidR="00CE4AE0">
        <w:rPr>
          <w:rFonts w:ascii="Times New Roman" w:hAnsi="Times New Roman" w:cs="Times New Roman"/>
          <w:sz w:val="28"/>
          <w:szCs w:val="28"/>
        </w:rPr>
        <w:t xml:space="preserve">литературы по </w:t>
      </w:r>
      <w:r w:rsidRPr="00CE4AE0">
        <w:rPr>
          <w:rFonts w:ascii="Times New Roman" w:hAnsi="Times New Roman" w:cs="Times New Roman"/>
          <w:sz w:val="28"/>
          <w:szCs w:val="28"/>
        </w:rPr>
        <w:t xml:space="preserve">финансовой оценке </w:t>
      </w:r>
      <w:r w:rsidRPr="00A23ED4">
        <w:rPr>
          <w:rFonts w:ascii="Times New Roman" w:hAnsi="Times New Roman" w:cs="Times New Roman"/>
          <w:sz w:val="28"/>
          <w:szCs w:val="28"/>
        </w:rPr>
        <w:t>нематериальных активов (в т.</w:t>
      </w:r>
      <w:r w:rsidR="000362C0">
        <w:rPr>
          <w:rFonts w:ascii="Times New Roman" w:hAnsi="Times New Roman" w:cs="Times New Roman"/>
          <w:sz w:val="28"/>
          <w:szCs w:val="28"/>
        </w:rPr>
        <w:t xml:space="preserve"> </w:t>
      </w:r>
      <w:r w:rsidRPr="00A23ED4">
        <w:rPr>
          <w:rFonts w:ascii="Times New Roman" w:hAnsi="Times New Roman" w:cs="Times New Roman"/>
          <w:sz w:val="28"/>
          <w:szCs w:val="28"/>
        </w:rPr>
        <w:t>ч. брендов);</w:t>
      </w:r>
    </w:p>
    <w:p w14:paraId="1C09138E" w14:textId="77777777" w:rsidR="00581F33" w:rsidRPr="00A23ED4" w:rsidRDefault="00581F33" w:rsidP="00581F33">
      <w:pPr>
        <w:pStyle w:val="a4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 xml:space="preserve">классификация и описание изученных методов, </w:t>
      </w:r>
      <w:r>
        <w:rPr>
          <w:rFonts w:ascii="Times New Roman" w:hAnsi="Times New Roman" w:cs="Times New Roman"/>
          <w:sz w:val="28"/>
          <w:szCs w:val="28"/>
        </w:rPr>
        <w:t>выявление достоинств и недостатков, границ</w:t>
      </w:r>
      <w:r w:rsidRPr="00A23ED4">
        <w:rPr>
          <w:rFonts w:ascii="Times New Roman" w:hAnsi="Times New Roman" w:cs="Times New Roman"/>
          <w:sz w:val="28"/>
          <w:szCs w:val="28"/>
        </w:rPr>
        <w:t xml:space="preserve"> применимости;</w:t>
      </w:r>
    </w:p>
    <w:p w14:paraId="233FDDDE" w14:textId="4FA16C94" w:rsidR="00581F33" w:rsidRPr="00A23ED4" w:rsidRDefault="00581F33" w:rsidP="00581F33">
      <w:pPr>
        <w:pStyle w:val="a4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 xml:space="preserve">апробация результатов исследования на примере бренда </w:t>
      </w:r>
      <w:r w:rsidR="004D0BA0">
        <w:rPr>
          <w:rFonts w:ascii="Times New Roman" w:hAnsi="Times New Roman" w:cs="Times New Roman"/>
          <w:sz w:val="28"/>
          <w:szCs w:val="28"/>
        </w:rPr>
        <w:t>«Сбербанк»</w:t>
      </w:r>
      <w:r w:rsidRPr="00A23ED4">
        <w:rPr>
          <w:rFonts w:ascii="Times New Roman" w:hAnsi="Times New Roman" w:cs="Times New Roman"/>
          <w:sz w:val="28"/>
          <w:szCs w:val="28"/>
        </w:rPr>
        <w:t>.</w:t>
      </w:r>
    </w:p>
    <w:p w14:paraId="642F58B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Исследование научной литературы послужило базой для применения и проверки инструментов оценки в рамках практической части работы.  </w:t>
      </w:r>
    </w:p>
    <w:p w14:paraId="076BB190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headerReference w:type="first" r:id="rId13"/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49879A8F" w14:textId="77777777" w:rsidR="00581F33" w:rsidRPr="00CE4AE0" w:rsidRDefault="00581F33" w:rsidP="00581F33">
      <w:pPr>
        <w:pStyle w:val="10"/>
        <w:rPr>
          <w:lang w:val="ru-RU"/>
        </w:rPr>
      </w:pPr>
      <w:bookmarkStart w:id="10" w:name="_Toc481137245"/>
      <w:r w:rsidRPr="00CE4AE0">
        <w:rPr>
          <w:lang w:val="ru-RU"/>
        </w:rPr>
        <w:lastRenderedPageBreak/>
        <w:t>Глава 1 Бренд как фактор роста стоимости компании</w:t>
      </w:r>
      <w:bookmarkEnd w:id="10"/>
      <w:r w:rsidRPr="00CE4AE0">
        <w:rPr>
          <w:lang w:val="ru-RU"/>
        </w:rPr>
        <w:t xml:space="preserve"> </w:t>
      </w:r>
    </w:p>
    <w:p w14:paraId="72413118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В условиях становления бренда как одного из ключевых стратегических активов компании резко возросла потребность в его оценке с финансовой стороны. Однако, несмотря на всю значимость и актуальность проблематики, в профессиональной литературе не всегда можно встретить целостный и взвешенный подход к изучению проблемы как финансовой оценки бренда, так и самого понятия «бренд».  </w:t>
      </w:r>
    </w:p>
    <w:p w14:paraId="4A055B0E" w14:textId="5D09C295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Бренд – наиболее </w:t>
      </w:r>
      <w:r>
        <w:rPr>
          <w:rFonts w:ascii="Times New Roman" w:hAnsi="Times New Roman" w:cs="Times New Roman"/>
          <w:sz w:val="28"/>
          <w:szCs w:val="28"/>
        </w:rPr>
        <w:t>ценный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нематериальный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актив многих компаний, который составляет</w:t>
      </w:r>
      <w:r>
        <w:rPr>
          <w:rFonts w:ascii="Times New Roman" w:hAnsi="Times New Roman" w:cs="Times New Roman"/>
          <w:sz w:val="28"/>
          <w:szCs w:val="28"/>
        </w:rPr>
        <w:t xml:space="preserve"> значительную часть их рыночной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стоимости. С точки зрения компании в</w:t>
      </w:r>
      <w:r>
        <w:rPr>
          <w:rFonts w:ascii="Times New Roman" w:hAnsi="Times New Roman" w:cs="Times New Roman"/>
          <w:sz w:val="28"/>
          <w:szCs w:val="28"/>
        </w:rPr>
        <w:t xml:space="preserve"> числе важных показателей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денежная стоимость бренда, включающая в с</w:t>
      </w:r>
      <w:r>
        <w:rPr>
          <w:rFonts w:ascii="Times New Roman" w:hAnsi="Times New Roman" w:cs="Times New Roman"/>
          <w:sz w:val="28"/>
          <w:szCs w:val="28"/>
        </w:rPr>
        <w:t>ебя воздей</w:t>
      </w:r>
      <w:r w:rsidRPr="007B5DFD">
        <w:rPr>
          <w:rFonts w:ascii="Times New Roman" w:hAnsi="Times New Roman" w:cs="Times New Roman"/>
          <w:sz w:val="28"/>
          <w:szCs w:val="28"/>
        </w:rPr>
        <w:t>ствие бренда на продажи и методы получения прибыли. Результатом процесса оценки бренда является определение экономическо</w:t>
      </w:r>
      <w:r>
        <w:rPr>
          <w:rFonts w:ascii="Times New Roman" w:hAnsi="Times New Roman" w:cs="Times New Roman"/>
          <w:sz w:val="28"/>
          <w:szCs w:val="28"/>
        </w:rPr>
        <w:t>й (выраженной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в денежных единицах) стоимости бренда. Подходы к определению капитала бренда основаны на потребительском восприятии и количественных установка</w:t>
      </w:r>
      <w:r>
        <w:rPr>
          <w:rFonts w:ascii="Times New Roman" w:hAnsi="Times New Roman" w:cs="Times New Roman"/>
          <w:sz w:val="28"/>
          <w:szCs w:val="28"/>
        </w:rPr>
        <w:t>х. Каждый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подход отличается своими масшта</w:t>
      </w:r>
      <w:r w:rsidR="007255B4">
        <w:rPr>
          <w:rFonts w:ascii="Times New Roman" w:hAnsi="Times New Roman" w:cs="Times New Roman"/>
          <w:sz w:val="28"/>
          <w:szCs w:val="28"/>
        </w:rPr>
        <w:t>бом применения, базой сравнения и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показателями. </w:t>
      </w:r>
    </w:p>
    <w:p w14:paraId="4A83134F" w14:textId="3EF9770E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Вместе с тем остаются слабо изуче</w:t>
      </w:r>
      <w:r w:rsidR="00CE4AE0">
        <w:rPr>
          <w:rFonts w:ascii="Times New Roman" w:hAnsi="Times New Roman" w:cs="Times New Roman"/>
          <w:sz w:val="28"/>
          <w:szCs w:val="28"/>
        </w:rPr>
        <w:t>нными методологические вопросы оценки бренда</w:t>
      </w:r>
      <w:r w:rsidRPr="007B5DF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8894C5" w14:textId="77777777" w:rsidR="00581F33" w:rsidRPr="00FB0A51" w:rsidRDefault="00581F33" w:rsidP="00581F33">
      <w:pPr>
        <w:pStyle w:val="a4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0A51">
        <w:rPr>
          <w:rFonts w:ascii="Times New Roman" w:hAnsi="Times New Roman" w:cs="Times New Roman"/>
          <w:sz w:val="28"/>
          <w:szCs w:val="28"/>
        </w:rPr>
        <w:t>как выделить доход (прибыль), генерируемый брендом?</w:t>
      </w:r>
    </w:p>
    <w:p w14:paraId="0FBFFF98" w14:textId="5A7AAD70" w:rsidR="00581F33" w:rsidRDefault="00581F33" w:rsidP="00581F33">
      <w:pPr>
        <w:pStyle w:val="a4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0A51">
        <w:rPr>
          <w:rFonts w:ascii="Times New Roman" w:hAnsi="Times New Roman" w:cs="Times New Roman"/>
          <w:sz w:val="28"/>
          <w:szCs w:val="28"/>
        </w:rPr>
        <w:t xml:space="preserve">какую ставку использовать при дисконтировании денежных потоков, связанных с брендом? </w:t>
      </w:r>
    </w:p>
    <w:p w14:paraId="2F5C7D53" w14:textId="20E67866" w:rsidR="007255B4" w:rsidRPr="00FB0A51" w:rsidRDefault="007255B4" w:rsidP="00581F33">
      <w:pPr>
        <w:pStyle w:val="a4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долю в рыночной стоимости занимает бренд?</w:t>
      </w:r>
    </w:p>
    <w:p w14:paraId="53BD1C4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headerReference w:type="first" r:id="rId14"/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  <w:r w:rsidRPr="007B5DF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сегодняшний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день существует порядка 50 различн</w:t>
      </w:r>
      <w:r>
        <w:rPr>
          <w:rFonts w:ascii="Times New Roman" w:hAnsi="Times New Roman" w:cs="Times New Roman"/>
          <w:sz w:val="28"/>
          <w:szCs w:val="28"/>
        </w:rPr>
        <w:t>ых моделей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и методов оценки стоимости брендов, разработанных исследователями, школами, компаниями. </w:t>
      </w:r>
      <w:r>
        <w:rPr>
          <w:rFonts w:ascii="Times New Roman" w:hAnsi="Times New Roman" w:cs="Times New Roman"/>
          <w:sz w:val="28"/>
          <w:szCs w:val="28"/>
        </w:rPr>
        <w:t>Большой научный и практический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интерес к определению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стоимости бренда обуславливается</w:t>
      </w:r>
      <w:r>
        <w:rPr>
          <w:rFonts w:ascii="Times New Roman" w:hAnsi="Times New Roman" w:cs="Times New Roman"/>
          <w:sz w:val="28"/>
          <w:szCs w:val="28"/>
        </w:rPr>
        <w:t xml:space="preserve"> тем, что он является важней</w:t>
      </w:r>
      <w:r w:rsidRPr="007B5DFD">
        <w:rPr>
          <w:rFonts w:ascii="Times New Roman" w:hAnsi="Times New Roman" w:cs="Times New Roman"/>
          <w:sz w:val="28"/>
          <w:szCs w:val="28"/>
        </w:rPr>
        <w:t>шим нематериальным активом, повышающим рыночную стоимость компании и обеспечивающим ее капитализацию. В то же время принадлежность бренда к нематериальным активам обусловливает и проблемы его оценки, к числу которых можно отнести сложность идентификации.</w:t>
      </w:r>
    </w:p>
    <w:p w14:paraId="18F269CC" w14:textId="77777777" w:rsidR="00581F33" w:rsidRPr="007B5DFD" w:rsidRDefault="00581F33" w:rsidP="00581F33">
      <w:pPr>
        <w:pStyle w:val="20"/>
      </w:pPr>
      <w:bookmarkStart w:id="13" w:name="_Toc481137246"/>
      <w:r w:rsidRPr="007B5DFD">
        <w:lastRenderedPageBreak/>
        <w:t>1.1 Концепции бренда</w:t>
      </w:r>
      <w:bookmarkEnd w:id="13"/>
      <w:r w:rsidRPr="007B5DFD">
        <w:t xml:space="preserve"> </w:t>
      </w:r>
    </w:p>
    <w:p w14:paraId="26D16BB6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В теории бренд-менеджмента нет однозначного определения понятия «бренд». Многочисленные трактовки подчас диаметрально противоположны по своему содержанию. </w:t>
      </w:r>
    </w:p>
    <w:p w14:paraId="4B1DEC39" w14:textId="34996626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 Таблице 1 рассмотрены наиболее широко используемые понятия, в которых делается а</w:t>
      </w:r>
      <w:r w:rsidR="00AA3DDE">
        <w:rPr>
          <w:rFonts w:ascii="Times New Roman" w:hAnsi="Times New Roman" w:cs="Times New Roman"/>
          <w:sz w:val="28"/>
          <w:szCs w:val="28"/>
        </w:rPr>
        <w:t>кцент</w:t>
      </w:r>
      <w:r w:rsidRPr="007B5DFD">
        <w:rPr>
          <w:rFonts w:ascii="Times New Roman" w:hAnsi="Times New Roman" w:cs="Times New Roman"/>
          <w:sz w:val="28"/>
          <w:szCs w:val="28"/>
        </w:rPr>
        <w:t xml:space="preserve"> на различных свойствах бренда. </w:t>
      </w:r>
    </w:p>
    <w:p w14:paraId="55FC2F02" w14:textId="77777777" w:rsidR="00581F33" w:rsidRPr="007B5DFD" w:rsidRDefault="00581F33" w:rsidP="009A35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Таблица 1 Акценты в определениях понятия «бренд»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815"/>
        <w:gridCol w:w="2869"/>
        <w:gridCol w:w="2092"/>
      </w:tblGrid>
      <w:tr w:rsidR="00581F33" w:rsidRPr="007B5DFD" w14:paraId="3B059336" w14:textId="77777777" w:rsidTr="004B15ED">
        <w:trPr>
          <w:trHeight w:val="542"/>
          <w:tblHeader/>
        </w:trPr>
        <w:tc>
          <w:tcPr>
            <w:tcW w:w="4815" w:type="dxa"/>
          </w:tcPr>
          <w:p w14:paraId="46A43392" w14:textId="77777777" w:rsidR="00581F33" w:rsidRPr="007B5DFD" w:rsidRDefault="00581F33" w:rsidP="004B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869" w:type="dxa"/>
          </w:tcPr>
          <w:p w14:paraId="245B4BB2" w14:textId="77777777" w:rsidR="00581F33" w:rsidRPr="007B5DFD" w:rsidRDefault="00581F33" w:rsidP="004B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Акцент</w:t>
            </w:r>
          </w:p>
        </w:tc>
        <w:tc>
          <w:tcPr>
            <w:tcW w:w="2092" w:type="dxa"/>
          </w:tcPr>
          <w:p w14:paraId="5D73B578" w14:textId="77777777" w:rsidR="00581F33" w:rsidRPr="007B5DFD" w:rsidRDefault="00581F33" w:rsidP="004B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581F33" w:rsidRPr="007B5DFD" w14:paraId="5FC69B73" w14:textId="77777777" w:rsidTr="000B4FAC">
        <w:tc>
          <w:tcPr>
            <w:tcW w:w="4815" w:type="dxa"/>
          </w:tcPr>
          <w:p w14:paraId="5FED578E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«Бренд – это имя или символ, которые идентифицируют продукт. Успешный бренд идентифицирует продукт, который имеет неоспоримое конкурентное преимущество.»</w:t>
            </w:r>
          </w:p>
        </w:tc>
        <w:tc>
          <w:tcPr>
            <w:tcW w:w="2869" w:type="dxa"/>
          </w:tcPr>
          <w:p w14:paraId="2F44D3BB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Идентификация товара и его отличия от конкурентов</w:t>
            </w:r>
          </w:p>
        </w:tc>
        <w:tc>
          <w:tcPr>
            <w:tcW w:w="2092" w:type="dxa"/>
          </w:tcPr>
          <w:p w14:paraId="7E7B6B0C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МакДональд, 1999</w:t>
            </w:r>
          </w:p>
        </w:tc>
      </w:tr>
      <w:tr w:rsidR="00581F33" w:rsidRPr="007B5DFD" w14:paraId="69786EED" w14:textId="77777777" w:rsidTr="000B4FAC">
        <w:tc>
          <w:tcPr>
            <w:tcW w:w="4815" w:type="dxa"/>
          </w:tcPr>
          <w:p w14:paraId="614680CA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«Бренд – это набор восприятий в глазах потребителя.»</w:t>
            </w:r>
          </w:p>
        </w:tc>
        <w:tc>
          <w:tcPr>
            <w:tcW w:w="2869" w:type="dxa"/>
            <w:vMerge w:val="restart"/>
          </w:tcPr>
          <w:p w14:paraId="68C7A271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Восприятие товара потребителем</w:t>
            </w:r>
          </w:p>
        </w:tc>
        <w:tc>
          <w:tcPr>
            <w:tcW w:w="2092" w:type="dxa"/>
          </w:tcPr>
          <w:p w14:paraId="4DAFB9D1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Фелдвик, 1999</w:t>
            </w:r>
          </w:p>
        </w:tc>
      </w:tr>
      <w:tr w:rsidR="00581F33" w:rsidRPr="007B5DFD" w14:paraId="69C92B87" w14:textId="77777777" w:rsidTr="000B4FAC">
        <w:tc>
          <w:tcPr>
            <w:tcW w:w="4815" w:type="dxa"/>
          </w:tcPr>
          <w:p w14:paraId="4C44586F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«Это неосязаемая сумма свойств продукта: его имени, упаковки и цены, его истории, репутации и способа рекламирования. Бренд также является сочетанием впечатления, которое он производит на потребителей, и результатом их опыта в использовании бренда.»</w:t>
            </w:r>
          </w:p>
        </w:tc>
        <w:tc>
          <w:tcPr>
            <w:tcW w:w="2869" w:type="dxa"/>
            <w:vMerge/>
          </w:tcPr>
          <w:p w14:paraId="75016819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520375C0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Огилви, 2001</w:t>
            </w:r>
          </w:p>
        </w:tc>
      </w:tr>
      <w:tr w:rsidR="00581F33" w:rsidRPr="007B5DFD" w14:paraId="37BF7ED9" w14:textId="77777777" w:rsidTr="000B4FAC">
        <w:tc>
          <w:tcPr>
            <w:tcW w:w="4815" w:type="dxa"/>
          </w:tcPr>
          <w:p w14:paraId="6597BFA5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«Бренд – это совокупность названия и других символов, используемых для идентификации продукта, и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«обещание», которое дается покупателю.»</w:t>
            </w:r>
          </w:p>
        </w:tc>
        <w:tc>
          <w:tcPr>
            <w:tcW w:w="2869" w:type="dxa"/>
            <w:vMerge w:val="restart"/>
          </w:tcPr>
          <w:p w14:paraId="09A00279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Обещание производителю потребителю</w:t>
            </w:r>
          </w:p>
        </w:tc>
        <w:tc>
          <w:tcPr>
            <w:tcW w:w="2092" w:type="dxa"/>
          </w:tcPr>
          <w:p w14:paraId="5A8B9427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Даулинг, 2006</w:t>
            </w:r>
          </w:p>
        </w:tc>
      </w:tr>
      <w:tr w:rsidR="00581F33" w:rsidRPr="007B5DFD" w14:paraId="2B81B9E0" w14:textId="77777777" w:rsidTr="000B4FAC">
        <w:tc>
          <w:tcPr>
            <w:tcW w:w="4815" w:type="dxa"/>
          </w:tcPr>
          <w:p w14:paraId="48722D23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«Бренд – это в некотором смысле обещание того, что предлагаемый товар обладает набором положительных качеств и не обманет ожиданий покупателей.»</w:t>
            </w:r>
          </w:p>
        </w:tc>
        <w:tc>
          <w:tcPr>
            <w:tcW w:w="2869" w:type="dxa"/>
            <w:vMerge/>
          </w:tcPr>
          <w:p w14:paraId="5F3A7D8A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1EF1190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Кретов, Карягин, 2005</w:t>
            </w:r>
          </w:p>
        </w:tc>
      </w:tr>
      <w:tr w:rsidR="00581F33" w:rsidRPr="007B5DFD" w14:paraId="088997D4" w14:textId="77777777" w:rsidTr="000B4FAC">
        <w:tc>
          <w:tcPr>
            <w:tcW w:w="4815" w:type="dxa"/>
          </w:tcPr>
          <w:p w14:paraId="2AC483D1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«Бренд – это товар, отвечающий функциональным потребностям некоторых пользователей и предоставляющий им некую дополнительную ценность, способную удовлетворить определенные психологические потребности и побудить к покупке.»</w:t>
            </w:r>
          </w:p>
        </w:tc>
        <w:tc>
          <w:tcPr>
            <w:tcW w:w="2869" w:type="dxa"/>
            <w:vMerge w:val="restart"/>
          </w:tcPr>
          <w:p w14:paraId="5001C0AB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Добавленная стоимость</w:t>
            </w:r>
          </w:p>
        </w:tc>
        <w:tc>
          <w:tcPr>
            <w:tcW w:w="2092" w:type="dxa"/>
          </w:tcPr>
          <w:p w14:paraId="6E492E7E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Джоунс, 2006</w:t>
            </w:r>
          </w:p>
        </w:tc>
      </w:tr>
      <w:tr w:rsidR="00581F33" w:rsidRPr="007B5DFD" w14:paraId="0C199102" w14:textId="77777777" w:rsidTr="000B4FAC">
        <w:tc>
          <w:tcPr>
            <w:tcW w:w="4815" w:type="dxa"/>
          </w:tcPr>
          <w:p w14:paraId="219263D4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«Бренд – индивидуализированный продукт, которому покупатель приписывает повышенную ценность.»</w:t>
            </w:r>
          </w:p>
        </w:tc>
        <w:tc>
          <w:tcPr>
            <w:tcW w:w="2869" w:type="dxa"/>
            <w:vMerge/>
          </w:tcPr>
          <w:p w14:paraId="080C7E42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2544CF7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Амблер, 1999</w:t>
            </w:r>
          </w:p>
          <w:p w14:paraId="57199943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DCC242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Таким образом, эволюцию понятия «бренд» можно проследить на временной шкале на Рисунке 1:</w:t>
      </w:r>
    </w:p>
    <w:p w14:paraId="6F153138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headerReference w:type="first" r:id="rId15"/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1B0E29FB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FC895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86D33C" wp14:editId="1C627D11">
            <wp:extent cx="9253220" cy="2842642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9FEC2A2" w14:textId="77777777" w:rsidR="00581F33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538FE" w14:textId="77777777" w:rsidR="009A35A2" w:rsidRPr="007B5DFD" w:rsidRDefault="009A35A2" w:rsidP="00780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Рисунок 1 Эволюция понятия «бренд»</w:t>
      </w:r>
    </w:p>
    <w:p w14:paraId="0E443DD8" w14:textId="77777777" w:rsidR="009A35A2" w:rsidRPr="007B5DFD" w:rsidRDefault="009A35A2" w:rsidP="00780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A35A2" w:rsidRPr="007B5DFD" w:rsidSect="000B4FAC">
          <w:headerReference w:type="first" r:id="rId21"/>
          <w:pgSz w:w="16840" w:h="11900" w:orient="landscape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6D7DBE2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Если взглянуть на упомянутые выше определения пристальн</w:t>
      </w:r>
      <w:r>
        <w:rPr>
          <w:rFonts w:ascii="Times New Roman" w:hAnsi="Times New Roman" w:cs="Times New Roman"/>
          <w:sz w:val="28"/>
          <w:szCs w:val="28"/>
        </w:rPr>
        <w:t>о, можно проследить общую идею:</w:t>
      </w:r>
      <w:r w:rsidRPr="007B5DFD">
        <w:rPr>
          <w:rFonts w:ascii="Times New Roman" w:hAnsi="Times New Roman" w:cs="Times New Roman"/>
          <w:sz w:val="28"/>
          <w:szCs w:val="28"/>
        </w:rPr>
        <w:t xml:space="preserve"> авторы перестали отождествлять бренд только с уникальным дизайном, символикой, шрифтом и т.д. Бренд стал ассоциироваться с уровнем доверия, набором ожиданий пользователя, имеющими экономическую ценно</w:t>
      </w:r>
      <w:r>
        <w:rPr>
          <w:rFonts w:ascii="Times New Roman" w:hAnsi="Times New Roman" w:cs="Times New Roman"/>
          <w:sz w:val="28"/>
          <w:szCs w:val="28"/>
        </w:rPr>
        <w:t>сть для компании. В отечественной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же практике до сих пор принято отождествлять понятия «бренд» и «торговая марка». </w:t>
      </w:r>
    </w:p>
    <w:p w14:paraId="27D05535" w14:textId="14A53FE9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взгляд на понятие «бренд» выразим через определение:</w:t>
      </w:r>
      <w:r w:rsidRPr="007B5DFD">
        <w:rPr>
          <w:rFonts w:ascii="Times New Roman" w:hAnsi="Times New Roman" w:cs="Times New Roman"/>
          <w:sz w:val="28"/>
          <w:szCs w:val="28"/>
        </w:rPr>
        <w:t xml:space="preserve"> бренд – </w:t>
      </w:r>
      <w:r>
        <w:rPr>
          <w:rFonts w:ascii="Times New Roman" w:hAnsi="Times New Roman" w:cs="Times New Roman"/>
          <w:sz w:val="28"/>
          <w:szCs w:val="28"/>
        </w:rPr>
        <w:t xml:space="preserve">маркетинговый </w:t>
      </w:r>
      <w:r w:rsidRPr="007B5DFD">
        <w:rPr>
          <w:rFonts w:ascii="Times New Roman" w:hAnsi="Times New Roman" w:cs="Times New Roman"/>
          <w:sz w:val="28"/>
          <w:szCs w:val="28"/>
        </w:rPr>
        <w:t>нематериальный актив, включающий (но не ограничивающийся</w:t>
      </w:r>
      <w:r w:rsidR="005C3128">
        <w:rPr>
          <w:rFonts w:ascii="Times New Roman" w:hAnsi="Times New Roman" w:cs="Times New Roman"/>
          <w:sz w:val="28"/>
          <w:szCs w:val="28"/>
        </w:rPr>
        <w:t xml:space="preserve"> ими</w:t>
      </w:r>
      <w:r w:rsidRPr="007B5DFD">
        <w:rPr>
          <w:rFonts w:ascii="Times New Roman" w:hAnsi="Times New Roman" w:cs="Times New Roman"/>
          <w:sz w:val="28"/>
          <w:szCs w:val="28"/>
        </w:rPr>
        <w:t xml:space="preserve">) названия, знаки, символы, логотипы и дизайн, или их комбинацию, предназначенный для </w:t>
      </w:r>
      <w:r w:rsidR="00314407">
        <w:rPr>
          <w:rFonts w:ascii="Times New Roman" w:hAnsi="Times New Roman" w:cs="Times New Roman"/>
          <w:sz w:val="28"/>
          <w:szCs w:val="28"/>
        </w:rPr>
        <w:t>идентификации товаров, услуг и</w:t>
      </w:r>
      <w:r w:rsidR="00793E2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и создания образов и ассоциаций у заинтересованных лиц (стейкхолдеров), и таким образом создающий экономическую ценность.</w:t>
      </w:r>
    </w:p>
    <w:p w14:paraId="7E6198D5" w14:textId="15BAF0D6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Аспекты бренда с позиции компании:</w:t>
      </w:r>
    </w:p>
    <w:p w14:paraId="013127A2" w14:textId="77777777" w:rsidR="00581F33" w:rsidRPr="00EF39A2" w:rsidRDefault="00581F33" w:rsidP="00581F33">
      <w:pPr>
        <w:pStyle w:val="a4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9A2">
        <w:rPr>
          <w:rFonts w:ascii="Times New Roman" w:hAnsi="Times New Roman" w:cs="Times New Roman"/>
          <w:i/>
          <w:sz w:val="28"/>
          <w:szCs w:val="28"/>
        </w:rPr>
        <w:t xml:space="preserve">бренд как идентификатор </w:t>
      </w:r>
    </w:p>
    <w:p w14:paraId="55CA15E4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Бренд изначально был предназначен для «идентификации товаров или услуг одного продавца или группы продавцов и для отличия их от товаров или услуг конкурентов»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7B5DFD">
        <w:rPr>
          <w:rFonts w:ascii="Times New Roman" w:hAnsi="Times New Roman" w:cs="Times New Roman"/>
          <w:sz w:val="28"/>
          <w:szCs w:val="28"/>
        </w:rPr>
        <w:t>. При этом стоит понимать, что внимание уже не сфокусировано только на внешних идентификаторах бренда. Главное отличие бренда состоит прежде всего не в элементах внешней узнаваемости, а в содержании бренда, доставляющего уникальные ценности до целевого потребителя.</w:t>
      </w:r>
    </w:p>
    <w:p w14:paraId="44B6B3D4" w14:textId="77777777" w:rsidR="00581F33" w:rsidRPr="00EF39A2" w:rsidRDefault="00581F33" w:rsidP="00581F33">
      <w:pPr>
        <w:pStyle w:val="a4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9A2">
        <w:rPr>
          <w:rFonts w:ascii="Times New Roman" w:hAnsi="Times New Roman" w:cs="Times New Roman"/>
          <w:i/>
          <w:sz w:val="28"/>
          <w:szCs w:val="28"/>
        </w:rPr>
        <w:t>бренд как инструмент снижения риска</w:t>
      </w:r>
    </w:p>
    <w:p w14:paraId="301DB5D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Выбирая тот или иной бренд, потребители рискуют. Под предполагаемым риском следует понимать «неуверенность потребителей в том, что приобретение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товара определенного бренда приведет к ожидаемому результату»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7B5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Специалисты минимизируют ожидаемые риски с помощью выявления характеристик, по которым потребители принимают решения в пользу того или иного продукта и оценивают предполагаемый риск.</w:t>
      </w:r>
    </w:p>
    <w:p w14:paraId="7ED4D8AE" w14:textId="77777777" w:rsidR="00581F33" w:rsidRPr="00EF39A2" w:rsidRDefault="00581F33" w:rsidP="00581F33">
      <w:pPr>
        <w:pStyle w:val="a4"/>
        <w:numPr>
          <w:ilvl w:val="0"/>
          <w:numId w:val="6"/>
        </w:numPr>
        <w:spacing w:line="36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9A2">
        <w:rPr>
          <w:rFonts w:ascii="Times New Roman" w:hAnsi="Times New Roman" w:cs="Times New Roman"/>
          <w:i/>
          <w:sz w:val="28"/>
          <w:szCs w:val="28"/>
        </w:rPr>
        <w:t>бренд как добавленная ценность</w:t>
      </w:r>
    </w:p>
    <w:p w14:paraId="46898F89" w14:textId="686C89EC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 данном аспекте бренда учитываются дополнительные (относительно самого продукта) преимущества, ценные для потребителя. Добавленная ценность подразумевает, что бренд обладает определенными выгодами по сравнению с конкурентами и это мотивирует потребителей совершать покупки. При этом брендовый товар может обладать воспринимаемыми преимуществами, не связанными с его функциональными выгод</w:t>
      </w:r>
      <w:r w:rsidR="003C6D57">
        <w:rPr>
          <w:rFonts w:ascii="Times New Roman" w:hAnsi="Times New Roman" w:cs="Times New Roman"/>
          <w:sz w:val="28"/>
          <w:szCs w:val="28"/>
        </w:rPr>
        <w:t>ами.</w:t>
      </w:r>
    </w:p>
    <w:p w14:paraId="26544C38" w14:textId="77777777" w:rsidR="00581F33" w:rsidRPr="00EF39A2" w:rsidRDefault="00581F33" w:rsidP="00581F33">
      <w:pPr>
        <w:pStyle w:val="a4"/>
        <w:numPr>
          <w:ilvl w:val="0"/>
          <w:numId w:val="6"/>
        </w:numPr>
        <w:spacing w:line="360" w:lineRule="auto"/>
        <w:ind w:left="426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9A2">
        <w:rPr>
          <w:rFonts w:ascii="Times New Roman" w:hAnsi="Times New Roman" w:cs="Times New Roman"/>
          <w:i/>
          <w:sz w:val="28"/>
          <w:szCs w:val="28"/>
        </w:rPr>
        <w:t>бренд как марочный контракт (обещание)</w:t>
      </w:r>
    </w:p>
    <w:p w14:paraId="0AFCC4D5" w14:textId="071F7FC4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Согласно определению американского специалиста Скотта Дэвиса, марочный контракт — «это перечень всех обещаний (обязательств), которые принимает на себя марка, выполнение которых целиком и полностью ложится на плечи фирмы, однако составляется и оценивается он во внешней среде, т. е. на рынке»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  <w:r w:rsidRPr="007B5DFD">
        <w:rPr>
          <w:rFonts w:ascii="Times New Roman" w:hAnsi="Times New Roman" w:cs="Times New Roman"/>
          <w:sz w:val="28"/>
          <w:szCs w:val="28"/>
        </w:rPr>
        <w:t xml:space="preserve"> Бренд – важнейшая компонента нематериальных активов, удельный вес которой может быть преобладающим в стоимости компании. По правилам МСФО (38) бренд</w:t>
      </w:r>
      <w:r w:rsidR="002A051B">
        <w:rPr>
          <w:rFonts w:ascii="Times New Roman" w:hAnsi="Times New Roman" w:cs="Times New Roman"/>
          <w:sz w:val="28"/>
          <w:szCs w:val="28"/>
        </w:rPr>
        <w:t>, созданный внутри компании,</w:t>
      </w:r>
      <w:r w:rsidRPr="007B5DFD">
        <w:rPr>
          <w:rFonts w:ascii="Times New Roman" w:hAnsi="Times New Roman" w:cs="Times New Roman"/>
          <w:sz w:val="28"/>
          <w:szCs w:val="28"/>
        </w:rPr>
        <w:t xml:space="preserve"> не может быть отражен в балансе предприятия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7B5DF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4684945" w14:textId="58CA24A0" w:rsidR="00F34B63" w:rsidRDefault="00581F33" w:rsidP="00D457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На Рисунке 2 представлен мировой тренд показателя Цена/Балансовая стоимость (Price/Book) за последние десять лет</w:t>
      </w:r>
      <w:r w:rsidR="009A35A2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7B5DFD">
        <w:rPr>
          <w:rFonts w:ascii="Times New Roman" w:hAnsi="Times New Roman" w:cs="Times New Roman"/>
          <w:sz w:val="28"/>
          <w:szCs w:val="28"/>
        </w:rPr>
        <w:t xml:space="preserve">. Данные актуальны на 18 ноября 2016 года. График отражает увеличивающийся разрыв между рыночной стоимостью компаний, котирующихся на мировых фондовых биржах, и их балансовой стоимостью. На конец </w:t>
      </w:r>
      <w:r w:rsidR="0089633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B5DFD">
        <w:rPr>
          <w:rFonts w:ascii="Times New Roman" w:hAnsi="Times New Roman" w:cs="Times New Roman"/>
          <w:sz w:val="28"/>
          <w:szCs w:val="28"/>
        </w:rPr>
        <w:t xml:space="preserve">2016 года значение коэффициента Price/Book достигло отметки 4,483. </w:t>
      </w:r>
    </w:p>
    <w:p w14:paraId="7459ECBA" w14:textId="77777777" w:rsidR="00581F33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4A79B" wp14:editId="757EA226">
            <wp:extent cx="6173812" cy="3120385"/>
            <wp:effectExtent l="0" t="0" r="0" b="4445"/>
            <wp:docPr id="5" name="Picture 1" descr="Macintosh HD:Users:evgenia:Downloads:GD_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vgenia:Downloads:GD_chart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348" cy="312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EA153" w14:textId="53BFFCF3" w:rsidR="009A35A2" w:rsidRDefault="009A35A2" w:rsidP="00780AFA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Рисунок 2 Динамика коэффициента Цена/Балансовая стоимость </w:t>
      </w:r>
    </w:p>
    <w:p w14:paraId="0757C927" w14:textId="5DA8CB5A" w:rsidR="00780AFA" w:rsidRPr="00780AFA" w:rsidRDefault="00780AFA" w:rsidP="00780AF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80AFA">
        <w:rPr>
          <w:rFonts w:ascii="Times New Roman" w:hAnsi="Times New Roman" w:cs="Times New Roman"/>
          <w:i/>
          <w:sz w:val="28"/>
          <w:szCs w:val="28"/>
        </w:rPr>
        <w:t>Источник</w:t>
      </w:r>
      <w:r w:rsidRPr="00780AFA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780AFA">
        <w:rPr>
          <w:i/>
          <w:lang w:val="en-US"/>
        </w:rPr>
        <w:t xml:space="preserve"> </w:t>
      </w:r>
      <w:r w:rsidRPr="00780AFA">
        <w:rPr>
          <w:rFonts w:ascii="Times New Roman" w:hAnsi="Times New Roman" w:cs="Times New Roman"/>
          <w:i/>
          <w:sz w:val="28"/>
          <w:szCs w:val="28"/>
          <w:lang w:val="en-US"/>
        </w:rPr>
        <w:t>General Dynamics Price to Book Value // Ycharts URL: https://ycharts.com/companies/GD/price_to_book_value (дата обращения: 20.11.2016).</w:t>
      </w:r>
    </w:p>
    <w:p w14:paraId="5AC5FA54" w14:textId="73AF7998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Более того, известны сделки, когда компания платила только за бренд. Известный пример – приобретение в 1991 г. у Seagram Company семи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алкогольных брендов за 372,5 млн долларов компанией American Brands Inc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CE4AE0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7B5DFD">
        <w:rPr>
          <w:rFonts w:ascii="Times New Roman" w:hAnsi="Times New Roman" w:cs="Times New Roman"/>
          <w:sz w:val="28"/>
          <w:szCs w:val="28"/>
        </w:rPr>
        <w:t>одна из крупнейших подобного рода сделок.</w:t>
      </w:r>
    </w:p>
    <w:p w14:paraId="78215A8E" w14:textId="09C63573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Логично утверждать, что с ростом стоимости бренда, выступающего в качестве нематериальн</w:t>
      </w:r>
      <w:r w:rsidR="00CE4AE0">
        <w:rPr>
          <w:rFonts w:ascii="Times New Roman" w:hAnsi="Times New Roman" w:cs="Times New Roman"/>
          <w:sz w:val="28"/>
          <w:szCs w:val="28"/>
        </w:rPr>
        <w:t xml:space="preserve">ого актива, адекватным образом </w:t>
      </w:r>
      <w:r w:rsidRPr="007B5DFD">
        <w:rPr>
          <w:rFonts w:ascii="Times New Roman" w:hAnsi="Times New Roman" w:cs="Times New Roman"/>
          <w:sz w:val="28"/>
          <w:szCs w:val="28"/>
        </w:rPr>
        <w:t>будет возрастать и капитализированная стоимость компании.</w:t>
      </w:r>
    </w:p>
    <w:p w14:paraId="1E6168D9" w14:textId="72961933" w:rsidR="005B4CC7" w:rsidRDefault="00581F33" w:rsidP="005B4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Владелец бренда, как правило, получает дополнительную прибыль (именуемую премией) также за счет меньших по сравнению с конкурентами </w:t>
      </w:r>
      <w:r w:rsidR="005D5C1E">
        <w:rPr>
          <w:rFonts w:ascii="Times New Roman" w:hAnsi="Times New Roman" w:cs="Times New Roman"/>
          <w:sz w:val="28"/>
          <w:szCs w:val="28"/>
        </w:rPr>
        <w:t>маркетинговых</w:t>
      </w:r>
      <w:r w:rsidRPr="007B5DFD">
        <w:rPr>
          <w:rFonts w:ascii="Times New Roman" w:hAnsi="Times New Roman" w:cs="Times New Roman"/>
          <w:sz w:val="28"/>
          <w:szCs w:val="28"/>
        </w:rPr>
        <w:t xml:space="preserve"> расходов на рекламу и сравнительно большей привлекательности товара. </w:t>
      </w:r>
      <w:r w:rsidR="005D5C1E">
        <w:rPr>
          <w:rFonts w:ascii="Times New Roman" w:hAnsi="Times New Roman" w:cs="Times New Roman"/>
          <w:sz w:val="28"/>
          <w:szCs w:val="28"/>
        </w:rPr>
        <w:t>М</w:t>
      </w:r>
      <w:r w:rsidRPr="007B5DFD">
        <w:rPr>
          <w:rFonts w:ascii="Times New Roman" w:hAnsi="Times New Roman" w:cs="Times New Roman"/>
          <w:sz w:val="28"/>
          <w:szCs w:val="28"/>
        </w:rPr>
        <w:t xml:space="preserve">агазины </w:t>
      </w:r>
      <w:r w:rsidR="005D5C1E">
        <w:rPr>
          <w:rFonts w:ascii="Times New Roman" w:hAnsi="Times New Roman" w:cs="Times New Roman"/>
          <w:sz w:val="28"/>
          <w:szCs w:val="28"/>
        </w:rPr>
        <w:t>предпочитают выделять</w:t>
      </w:r>
      <w:r w:rsidRPr="007B5DFD">
        <w:rPr>
          <w:rFonts w:ascii="Times New Roman" w:hAnsi="Times New Roman" w:cs="Times New Roman"/>
          <w:sz w:val="28"/>
          <w:szCs w:val="28"/>
        </w:rPr>
        <w:t xml:space="preserve"> фирме с хорошо брендированным товаром лучшие места на полке (в сети Интернет – на часто посещаемой веб-странице), надеясь больше на нем заработать.</w:t>
      </w:r>
      <w:r w:rsidR="005B4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FF882" w14:textId="7E916328" w:rsidR="00581F33" w:rsidRPr="007B5DFD" w:rsidRDefault="00581F33" w:rsidP="005B4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Затраты на формирование хорошо узнаваемого бренда достаточно велики. По мнению Б. Карлова из компании TGP Aurora, </w:t>
      </w:r>
      <w:r w:rsidR="00635D6C">
        <w:rPr>
          <w:rFonts w:ascii="Times New Roman" w:hAnsi="Times New Roman" w:cs="Times New Roman"/>
          <w:sz w:val="28"/>
          <w:szCs w:val="28"/>
        </w:rPr>
        <w:t>«</w:t>
      </w:r>
      <w:r w:rsidRPr="007B5DFD">
        <w:rPr>
          <w:rFonts w:ascii="Times New Roman" w:hAnsi="Times New Roman" w:cs="Times New Roman"/>
          <w:sz w:val="28"/>
          <w:szCs w:val="28"/>
        </w:rPr>
        <w:t>для того чтобы создать полноценный бренд в России нужно потратить 3 – 7 млн долл</w:t>
      </w:r>
      <w:r w:rsidR="00635D6C">
        <w:rPr>
          <w:rFonts w:ascii="Times New Roman" w:hAnsi="Times New Roman" w:cs="Times New Roman"/>
          <w:sz w:val="28"/>
          <w:szCs w:val="28"/>
        </w:rPr>
        <w:t>»</w:t>
      </w:r>
      <w:r w:rsidR="00FE74B5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7B5D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4D6D98" w14:textId="3B239602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Располагая информацией о стоимости бренда, инвесторы могут:</w:t>
      </w:r>
    </w:p>
    <w:p w14:paraId="357215F1" w14:textId="77777777" w:rsidR="00581F33" w:rsidRPr="00C93537" w:rsidRDefault="00581F33" w:rsidP="00581F33">
      <w:pPr>
        <w:pStyle w:val="a4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3537">
        <w:rPr>
          <w:rFonts w:ascii="Times New Roman" w:hAnsi="Times New Roman" w:cs="Times New Roman"/>
          <w:sz w:val="28"/>
          <w:szCs w:val="28"/>
        </w:rPr>
        <w:t>определять справедливую цену при трансфертных сделках (франчайзинг, слияния и поглощения);</w:t>
      </w:r>
    </w:p>
    <w:p w14:paraId="74C0A174" w14:textId="083DE84C" w:rsidR="00581F33" w:rsidRPr="00C93537" w:rsidRDefault="00581F33" w:rsidP="00581F33">
      <w:pPr>
        <w:pStyle w:val="a4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3537">
        <w:rPr>
          <w:rFonts w:ascii="Times New Roman" w:hAnsi="Times New Roman" w:cs="Times New Roman"/>
          <w:sz w:val="28"/>
          <w:szCs w:val="28"/>
        </w:rPr>
        <w:t xml:space="preserve">рационально распределять располагаемый </w:t>
      </w:r>
      <w:r w:rsidR="00E10FCB">
        <w:rPr>
          <w:rFonts w:ascii="Times New Roman" w:hAnsi="Times New Roman" w:cs="Times New Roman"/>
          <w:sz w:val="28"/>
          <w:szCs w:val="28"/>
        </w:rPr>
        <w:t xml:space="preserve">маркетинговый </w:t>
      </w:r>
      <w:r w:rsidRPr="00C93537">
        <w:rPr>
          <w:rFonts w:ascii="Times New Roman" w:hAnsi="Times New Roman" w:cs="Times New Roman"/>
          <w:sz w:val="28"/>
          <w:szCs w:val="28"/>
        </w:rPr>
        <w:t>бюджет по перспективным брендам;</w:t>
      </w:r>
    </w:p>
    <w:p w14:paraId="1CFEE4BE" w14:textId="77777777" w:rsidR="00581F33" w:rsidRPr="00C93537" w:rsidRDefault="00581F33" w:rsidP="00581F33">
      <w:pPr>
        <w:pStyle w:val="a4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3537">
        <w:rPr>
          <w:rFonts w:ascii="Times New Roman" w:hAnsi="Times New Roman" w:cs="Times New Roman"/>
          <w:sz w:val="28"/>
          <w:szCs w:val="28"/>
        </w:rPr>
        <w:t xml:space="preserve">приобретать готовый бренд при наличии развитого целевого рынка. </w:t>
      </w:r>
    </w:p>
    <w:p w14:paraId="2495F038" w14:textId="77777777" w:rsidR="005D5C1E" w:rsidRDefault="005D5C1E" w:rsidP="00581F33">
      <w:pPr>
        <w:pStyle w:val="20"/>
        <w:sectPr w:rsidR="005D5C1E" w:rsidSect="000B4FAC">
          <w:headerReference w:type="first" r:id="rId23"/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  <w:bookmarkStart w:id="20" w:name="_Toc481137247"/>
    </w:p>
    <w:p w14:paraId="2BBB4646" w14:textId="6E5DEE90" w:rsidR="00581F33" w:rsidRPr="007B5DFD" w:rsidRDefault="00581F33" w:rsidP="00581F33">
      <w:pPr>
        <w:pStyle w:val="20"/>
      </w:pPr>
      <w:r w:rsidRPr="007B5DFD">
        <w:lastRenderedPageBreak/>
        <w:t>1.2 Цели и необходимость оценки стоимости бренда</w:t>
      </w:r>
      <w:bookmarkEnd w:id="20"/>
      <w:r w:rsidRPr="007B5DFD">
        <w:t> </w:t>
      </w:r>
    </w:p>
    <w:p w14:paraId="4A83B8FB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 настоящее время бизнес-сообщества осознают важность и ценность сильных брендов и их способность вносить вклад в бизнес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Это привело к широкому спектру применений оценки бренда:</w:t>
      </w:r>
    </w:p>
    <w:p w14:paraId="3A5C4EF3" w14:textId="77777777" w:rsidR="00581F33" w:rsidRPr="00C93537" w:rsidRDefault="00581F33" w:rsidP="00581F33">
      <w:pPr>
        <w:pStyle w:val="a4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93537">
        <w:rPr>
          <w:rFonts w:ascii="Times New Roman" w:hAnsi="Times New Roman" w:cs="Times New Roman"/>
          <w:sz w:val="28"/>
          <w:szCs w:val="28"/>
        </w:rPr>
        <w:t>бренд-менеджмент;</w:t>
      </w:r>
    </w:p>
    <w:p w14:paraId="024D8AFC" w14:textId="77777777" w:rsidR="00581F33" w:rsidRPr="00C93537" w:rsidRDefault="00581F33" w:rsidP="00581F33">
      <w:pPr>
        <w:pStyle w:val="a4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93537">
        <w:rPr>
          <w:rFonts w:ascii="Times New Roman" w:hAnsi="Times New Roman" w:cs="Times New Roman"/>
          <w:sz w:val="28"/>
          <w:szCs w:val="28"/>
        </w:rPr>
        <w:t>стратегические цели;</w:t>
      </w:r>
    </w:p>
    <w:p w14:paraId="73D99CB1" w14:textId="77777777" w:rsidR="00581F33" w:rsidRPr="00C93537" w:rsidRDefault="00581F33" w:rsidP="00581F33">
      <w:pPr>
        <w:pStyle w:val="a4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93537">
        <w:rPr>
          <w:rFonts w:ascii="Times New Roman" w:hAnsi="Times New Roman" w:cs="Times New Roman"/>
          <w:sz w:val="28"/>
          <w:szCs w:val="28"/>
        </w:rPr>
        <w:t>финансовые цели.</w:t>
      </w:r>
    </w:p>
    <w:p w14:paraId="7E5D268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 точки зрения бренд-менеджмента, оценка бренда является стратегическим инструментом, который объединяет рынок, бренд, конкурента и финансовые данные в единую систему ценностей, в рамках которой могут быть оценена эффективность бренда, выявлены области для улучшения, измерен вклад бренда в результативность бизнеса. Создание экономической ценности становится центром бренд-менеджмента.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Данные оценки стоимости бренда все чаще используются для экономического обоснования различных вариантов развития стратегии.</w:t>
      </w:r>
    </w:p>
    <w:p w14:paraId="569B7C3B" w14:textId="370F9014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Признание экономической ценности брендов повысило спрос на эффективное управление активом бренда в рамках обозначенной стратегии. Оценка бренда представляет экономическое обоснование для стратегических решений.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Наконец, широкий спектр финансовых приложений для оценки бренда, который обусловлен целым рядом факторов:</w:t>
      </w:r>
    </w:p>
    <w:p w14:paraId="25F9BB07" w14:textId="77777777" w:rsidR="00581F33" w:rsidRPr="00AF45D7" w:rsidRDefault="00581F33" w:rsidP="00581F33">
      <w:pPr>
        <w:pStyle w:val="a4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45D7">
        <w:rPr>
          <w:rFonts w:ascii="Times New Roman" w:hAnsi="Times New Roman" w:cs="Times New Roman"/>
          <w:sz w:val="28"/>
          <w:szCs w:val="28"/>
        </w:rPr>
        <w:t>постоянно растущее внимание инвесторов на бренды и их стоимость;</w:t>
      </w:r>
    </w:p>
    <w:p w14:paraId="7888BBFA" w14:textId="77777777" w:rsidR="00581F33" w:rsidRPr="00AF45D7" w:rsidRDefault="00581F33" w:rsidP="00581F33">
      <w:pPr>
        <w:pStyle w:val="a4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45D7">
        <w:rPr>
          <w:rFonts w:ascii="Times New Roman" w:hAnsi="Times New Roman" w:cs="Times New Roman"/>
          <w:sz w:val="28"/>
          <w:szCs w:val="28"/>
        </w:rPr>
        <w:t>повышенный интерес на отчетность таких компаний как Interbrand и BrandFinance, составляющих рейтинги мировых брендов;</w:t>
      </w:r>
    </w:p>
    <w:p w14:paraId="30A06E1E" w14:textId="77777777" w:rsidR="00581F33" w:rsidRPr="00AF45D7" w:rsidRDefault="00581F33" w:rsidP="00581F33">
      <w:pPr>
        <w:pStyle w:val="a4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45D7">
        <w:rPr>
          <w:rFonts w:ascii="Times New Roman" w:hAnsi="Times New Roman" w:cs="Times New Roman"/>
          <w:sz w:val="28"/>
          <w:szCs w:val="28"/>
        </w:rPr>
        <w:t>бренд как драйвер в сделках слияния и поглощения (M&amp;A);</w:t>
      </w:r>
    </w:p>
    <w:p w14:paraId="15AD37F6" w14:textId="77777777" w:rsidR="00581F33" w:rsidRPr="00AF45D7" w:rsidRDefault="00581F33" w:rsidP="00581F33">
      <w:pPr>
        <w:pStyle w:val="a4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45D7">
        <w:rPr>
          <w:rFonts w:ascii="Times New Roman" w:hAnsi="Times New Roman" w:cs="Times New Roman"/>
          <w:sz w:val="28"/>
          <w:szCs w:val="28"/>
        </w:rPr>
        <w:t>развитие франчайзинга требует оценки бренда и определение соответствующих ставок роялти;</w:t>
      </w:r>
    </w:p>
    <w:p w14:paraId="3148A1A6" w14:textId="77777777" w:rsidR="00581F33" w:rsidRPr="00AF45D7" w:rsidRDefault="00581F33" w:rsidP="00581F33">
      <w:pPr>
        <w:pStyle w:val="a4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45D7">
        <w:rPr>
          <w:rFonts w:ascii="Times New Roman" w:hAnsi="Times New Roman" w:cs="Times New Roman"/>
          <w:sz w:val="28"/>
          <w:szCs w:val="28"/>
        </w:rPr>
        <w:lastRenderedPageBreak/>
        <w:t>актив бренда все чаще рассматривается в качестве приемлемого обеспечения (залога) для финансирования.</w:t>
      </w:r>
    </w:p>
    <w:p w14:paraId="4A6E2982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 Таблице 2 приведены примеры применения оценки бренда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>ствии с различными целями.</w:t>
      </w:r>
    </w:p>
    <w:p w14:paraId="7F3B2FA6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1C9FE1D4" w14:textId="77777777" w:rsidR="00581F33" w:rsidRPr="007B5DFD" w:rsidRDefault="00581F33" w:rsidP="009A35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Таблица 2 Применение стоимостной оценки бренда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1588"/>
        <w:gridCol w:w="4616"/>
        <w:gridCol w:w="4394"/>
        <w:gridCol w:w="3998"/>
      </w:tblGrid>
      <w:tr w:rsidR="00581F33" w:rsidRPr="001D1A70" w14:paraId="20FDE5AE" w14:textId="77777777" w:rsidTr="000B4FAC">
        <w:trPr>
          <w:tblHeader/>
        </w:trPr>
        <w:tc>
          <w:tcPr>
            <w:tcW w:w="1588" w:type="dxa"/>
          </w:tcPr>
          <w:p w14:paraId="3CA7327F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14:paraId="7548F99E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Бренд-Менеджмент</w:t>
            </w:r>
          </w:p>
        </w:tc>
        <w:tc>
          <w:tcPr>
            <w:tcW w:w="4394" w:type="dxa"/>
          </w:tcPr>
          <w:p w14:paraId="0B9D072E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Стратегические цели</w:t>
            </w:r>
          </w:p>
        </w:tc>
        <w:tc>
          <w:tcPr>
            <w:tcW w:w="3998" w:type="dxa"/>
          </w:tcPr>
          <w:p w14:paraId="22292F07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Финансовые цели</w:t>
            </w:r>
          </w:p>
        </w:tc>
      </w:tr>
      <w:tr w:rsidR="00581F33" w:rsidRPr="001D1A70" w14:paraId="070BB463" w14:textId="77777777" w:rsidTr="000B4FAC">
        <w:tc>
          <w:tcPr>
            <w:tcW w:w="1588" w:type="dxa"/>
          </w:tcPr>
          <w:p w14:paraId="4760F849" w14:textId="77777777" w:rsidR="00581F33" w:rsidRPr="001D1A70" w:rsidRDefault="00581F33" w:rsidP="000B4FAC">
            <w:pPr>
              <w:spacing w:line="360" w:lineRule="auto"/>
              <w:ind w:right="-108" w:hanging="113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Применение</w:t>
            </w:r>
          </w:p>
        </w:tc>
        <w:tc>
          <w:tcPr>
            <w:tcW w:w="4616" w:type="dxa"/>
          </w:tcPr>
          <w:p w14:paraId="6E21EB92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Управление эффективностью деятельности бренда;</w:t>
            </w:r>
          </w:p>
          <w:p w14:paraId="26574530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управление портфелем бренда;</w:t>
            </w:r>
          </w:p>
          <w:p w14:paraId="7D0613BB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разработка дорожных карт бренда;</w:t>
            </w:r>
          </w:p>
          <w:p w14:paraId="6D2FF035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распределение ресурсов;</w:t>
            </w:r>
          </w:p>
          <w:p w14:paraId="631F0415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отслеживание бренда;</w:t>
            </w:r>
          </w:p>
          <w:p w14:paraId="37EC89F2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анализ эффективности маркетинговых активностей;</w:t>
            </w:r>
          </w:p>
          <w:p w14:paraId="0874ED79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оценка спонсорства;</w:t>
            </w:r>
          </w:p>
          <w:p w14:paraId="08C6E54C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KPI высшего руководства;</w:t>
            </w:r>
          </w:p>
          <w:p w14:paraId="515739C6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оценка кобрендинга согласно их экономическим выгодам и рискам репутации бренда компании</w:t>
            </w:r>
          </w:p>
        </w:tc>
        <w:tc>
          <w:tcPr>
            <w:tcW w:w="4394" w:type="dxa"/>
          </w:tcPr>
          <w:p w14:paraId="1A503E5E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Позиционирование бренда;</w:t>
            </w:r>
          </w:p>
          <w:p w14:paraId="13756309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архитектура бренда;</w:t>
            </w:r>
          </w:p>
          <w:p w14:paraId="1964FD4E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развитие бренда;</w:t>
            </w:r>
          </w:p>
          <w:p w14:paraId="5256532E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запуск бренда;</w:t>
            </w:r>
          </w:p>
          <w:p w14:paraId="54C1EE3E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экономическая модель бренда</w:t>
            </w:r>
          </w:p>
          <w:p w14:paraId="2EDD94E5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для привлечения инвестиций;</w:t>
            </w:r>
          </w:p>
          <w:p w14:paraId="05A5DCE7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измерение возврата на инвестиции;</w:t>
            </w:r>
          </w:p>
          <w:p w14:paraId="471836E0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 xml:space="preserve">принятие решений по покупке/ продаже бренда </w:t>
            </w:r>
          </w:p>
        </w:tc>
        <w:tc>
          <w:tcPr>
            <w:tcW w:w="3998" w:type="dxa"/>
          </w:tcPr>
          <w:p w14:paraId="06FE089E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Отношения с инвесторами;</w:t>
            </w:r>
          </w:p>
          <w:p w14:paraId="5A9D55B0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слияния и поглощения;</w:t>
            </w:r>
          </w:p>
          <w:p w14:paraId="60ED14EE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установление норм лицензирования/ лицензионного платежа;</w:t>
            </w:r>
          </w:p>
          <w:p w14:paraId="0248E00E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налоговые оценки/ трансфертное ценообразование;</w:t>
            </w:r>
          </w:p>
          <w:p w14:paraId="5C7EC9AC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бренд как объект обеспечения финансирования (залог)</w:t>
            </w:r>
          </w:p>
        </w:tc>
      </w:tr>
      <w:tr w:rsidR="00581F33" w:rsidRPr="001D1A70" w14:paraId="3A417F0A" w14:textId="77777777" w:rsidTr="000B4FAC">
        <w:tc>
          <w:tcPr>
            <w:tcW w:w="1588" w:type="dxa"/>
          </w:tcPr>
          <w:p w14:paraId="6713F8D4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Частота</w:t>
            </w:r>
          </w:p>
        </w:tc>
        <w:tc>
          <w:tcPr>
            <w:tcW w:w="4616" w:type="dxa"/>
          </w:tcPr>
          <w:p w14:paraId="043DC612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4394" w:type="dxa"/>
          </w:tcPr>
          <w:p w14:paraId="50E446FA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3998" w:type="dxa"/>
          </w:tcPr>
          <w:p w14:paraId="6083C5A0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581F33" w:rsidRPr="001D1A70" w14:paraId="02372F02" w14:textId="77777777" w:rsidTr="000B4FAC">
        <w:tc>
          <w:tcPr>
            <w:tcW w:w="1588" w:type="dxa"/>
          </w:tcPr>
          <w:p w14:paraId="7DB37C65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Главная цель</w:t>
            </w:r>
          </w:p>
        </w:tc>
        <w:tc>
          <w:tcPr>
            <w:tcW w:w="4616" w:type="dxa"/>
          </w:tcPr>
          <w:p w14:paraId="69B81FC2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Текущее управление брендом (бренд-менеджмент), ведущее к росту стоимости бренда и бизнеса в целом</w:t>
            </w:r>
          </w:p>
        </w:tc>
        <w:tc>
          <w:tcPr>
            <w:tcW w:w="4394" w:type="dxa"/>
          </w:tcPr>
          <w:p w14:paraId="57A73310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Устойчивая бизнес-модель, направленная на достижение финансовых результатов с помощью бренда</w:t>
            </w:r>
          </w:p>
        </w:tc>
        <w:tc>
          <w:tcPr>
            <w:tcW w:w="3998" w:type="dxa"/>
          </w:tcPr>
          <w:p w14:paraId="445EC1A2" w14:textId="77777777" w:rsidR="00581F33" w:rsidRPr="001D1A7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A70">
              <w:rPr>
                <w:rFonts w:ascii="Times New Roman" w:hAnsi="Times New Roman" w:cs="Times New Roman"/>
              </w:rPr>
              <w:t>Рост рыночной стоимости (капитализации) компании</w:t>
            </w:r>
          </w:p>
        </w:tc>
      </w:tr>
    </w:tbl>
    <w:p w14:paraId="1A131A53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pgSz w:w="16840" w:h="11900" w:orient="landscape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69E59747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С ростом значимости бренда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B5DFD">
        <w:rPr>
          <w:rFonts w:ascii="Times New Roman" w:hAnsi="Times New Roman" w:cs="Times New Roman"/>
          <w:sz w:val="28"/>
          <w:szCs w:val="28"/>
        </w:rPr>
        <w:t xml:space="preserve"> границы применения его оценки с каждым годом расширяются. Результаты оценки стоимости бренда необходимы как внутренним сотрудникам компании для анализа и принятия стратегических бизнес-решений, так и внешним пользователям: банкам, инвесторам.</w:t>
      </w:r>
    </w:p>
    <w:p w14:paraId="27E96752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402D772D" w14:textId="77777777" w:rsidR="00581F33" w:rsidRPr="007B5DFD" w:rsidRDefault="00581F33" w:rsidP="00581F33">
      <w:pPr>
        <w:pStyle w:val="20"/>
      </w:pPr>
      <w:bookmarkStart w:id="21" w:name="_Toc481137248"/>
      <w:r w:rsidRPr="007B5DFD">
        <w:lastRenderedPageBreak/>
        <w:t>1.3 Влияние стоимости бренда на стоимость бизнеса компании</w:t>
      </w:r>
      <w:bookmarkEnd w:id="21"/>
    </w:p>
    <w:p w14:paraId="16EDEE82" w14:textId="338CC75D" w:rsidR="00581F33" w:rsidRPr="007B5DFD" w:rsidRDefault="00581F33" w:rsidP="00FE4A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Стоимость бренда выражает его способность приносить дополнительные доходы в будущем за счет эффективной эксплуатации актива.</w:t>
      </w:r>
      <w:r w:rsidR="00FE4AF6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В связи с этим возникает необходимость в разработке точных и объективных методов оценки стоимости бренда, применение которых позволит обосновать экономический эффект брендинга.</w:t>
      </w:r>
    </w:p>
    <w:p w14:paraId="40E3BD47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Бренд является ключевым элементом структуры нематериальных активов компании. Зачастую их ценность превышает многие другие активы компании, а стоимость исчисляется в миллиардах долларов. Это связано с потенциалом экономического воздействия брендов. Они влияют на выбор, который делают потребители, сотрудники организаций, инвесторы и представители власти. Интересно в этой связи высказывание Дж. Стюарта, бывшего председателя совета директоров Quaker Oats Ltd: «Если бы этой компании суждено было разделиться, я взял бы себе бренд и репутацию, а вам оставил бы кирпичи и строительный раствор – и я оказался бы в более выигрышной ситуации, чем вы»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5D6ED5B2" w14:textId="10264394" w:rsidR="00581F33" w:rsidRPr="007B5DFD" w:rsidRDefault="00581F33" w:rsidP="000509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Если значение нематериальных активов неуклонно возрастает, то, напротив, роль материальных в обеспечении коммерческого успеха компании на рынке устойчиво снижается. Американский инвестиционный банк, специализирующийся на интеллектуальной собственности, Ocean Tomo опубликовал результаты исследования рыночной сто</w:t>
      </w:r>
      <w:r w:rsidR="00CE4AE0">
        <w:rPr>
          <w:rFonts w:ascii="Times New Roman" w:hAnsi="Times New Roman" w:cs="Times New Roman"/>
          <w:sz w:val="28"/>
          <w:szCs w:val="28"/>
        </w:rPr>
        <w:t>имости компаний, входящих в S&amp;P</w:t>
      </w:r>
      <w:r w:rsidRPr="007B5DFD">
        <w:rPr>
          <w:rFonts w:ascii="Times New Roman" w:hAnsi="Times New Roman" w:cs="Times New Roman"/>
          <w:sz w:val="28"/>
          <w:szCs w:val="28"/>
        </w:rPr>
        <w:t xml:space="preserve"> (S&amp;P 500 — фондовый индекс, в корзину которого включено 500 избранных акционерных компаний США, имеющих наибольшую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капитализацию)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Pr="007B5DFD">
        <w:rPr>
          <w:rFonts w:ascii="Times New Roman" w:hAnsi="Times New Roman" w:cs="Times New Roman"/>
          <w:sz w:val="28"/>
          <w:szCs w:val="28"/>
        </w:rPr>
        <w:t>.</w:t>
      </w:r>
      <w:r w:rsidR="00050960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 xml:space="preserve">Согласно исследованию,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представленному на Рисунке 3, </w:t>
      </w:r>
      <w:r w:rsidRPr="007B5DFD">
        <w:rPr>
          <w:rFonts w:ascii="Times New Roman" w:hAnsi="Times New Roman" w:cs="Times New Roman"/>
          <w:sz w:val="28"/>
          <w:szCs w:val="28"/>
        </w:rPr>
        <w:t>вклад нематериальных активов в рыночную стоимость компаний за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DFD">
        <w:rPr>
          <w:rFonts w:ascii="Times New Roman" w:hAnsi="Times New Roman" w:cs="Times New Roman"/>
          <w:sz w:val="28"/>
          <w:szCs w:val="28"/>
        </w:rPr>
        <w:t>ледние 40 лет увеличился на 70 п.</w:t>
      </w:r>
      <w:r w:rsidR="000B404D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п. с 17% до 87%.</w:t>
      </w:r>
    </w:p>
    <w:p w14:paraId="74B3C2D8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1F7887" wp14:editId="505F9C19">
            <wp:extent cx="6261735" cy="2655570"/>
            <wp:effectExtent l="0" t="0" r="12065" b="114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ADBBDBA" w14:textId="77777777" w:rsidR="009A35A2" w:rsidRDefault="009A35A2" w:rsidP="00187B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Рисунок 3 Компоненты рыночной стоимости S&amp;P 500</w:t>
      </w:r>
    </w:p>
    <w:p w14:paraId="5283A32A" w14:textId="44C1F46C" w:rsidR="00187B56" w:rsidRPr="00187B56" w:rsidRDefault="00187B56" w:rsidP="00187B5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87B56">
        <w:rPr>
          <w:rFonts w:ascii="Times New Roman" w:hAnsi="Times New Roman" w:cs="Times New Roman"/>
          <w:i/>
          <w:sz w:val="28"/>
          <w:szCs w:val="28"/>
        </w:rPr>
        <w:t>Источник</w:t>
      </w:r>
      <w:r w:rsidRPr="00187B56">
        <w:rPr>
          <w:rFonts w:ascii="Times New Roman" w:hAnsi="Times New Roman" w:cs="Times New Roman"/>
          <w:i/>
          <w:sz w:val="28"/>
          <w:szCs w:val="28"/>
          <w:lang w:val="en-US"/>
        </w:rPr>
        <w:t>: Annual Study of Intangible Asset Market Value from Ocean Tomo, LLC // Ocean Tomo URL: http://www.oceantomo.com/2015/03/04/2015-intangible-asset-market-value-study/ (дата обращения: 21.09.2016).</w:t>
      </w:r>
    </w:p>
    <w:p w14:paraId="4D26B01B" w14:textId="2E0A6ABD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Несмотря на столь оптимистичную оценку доли нематериальных активов в стоимос</w:t>
      </w:r>
      <w:r w:rsidR="008C3E4D">
        <w:rPr>
          <w:rFonts w:ascii="Times New Roman" w:hAnsi="Times New Roman" w:cs="Times New Roman"/>
          <w:sz w:val="28"/>
          <w:szCs w:val="28"/>
        </w:rPr>
        <w:t>ти компаний</w:t>
      </w:r>
      <w:r w:rsidRPr="007B5DFD">
        <w:rPr>
          <w:rFonts w:ascii="Times New Roman" w:hAnsi="Times New Roman" w:cs="Times New Roman"/>
          <w:sz w:val="28"/>
          <w:szCs w:val="28"/>
        </w:rPr>
        <w:t>, тренд остается очевидным.</w:t>
      </w:r>
    </w:p>
    <w:p w14:paraId="753AECAC" w14:textId="77777777" w:rsidR="009A35A2" w:rsidRDefault="00581F33" w:rsidP="009A35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Рост признания ценности нематериальных активов происходит параллельно с увеличением разницы между балансовой стоимостью активов и их оценкой фондовой биржей. Сегодня можно утверждать, что ценность бизнеса по большей части обеспечивается именно нематериальными активами.</w:t>
      </w:r>
    </w:p>
    <w:p w14:paraId="334F9A59" w14:textId="1D92A089" w:rsidR="00CE4AE0" w:rsidRDefault="00581F33" w:rsidP="009A35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На Рисунке 4 представлен анализ рыночной стоимости из отчета GIFT (Global Intangible Financial Tracker) за 2016</w:t>
      </w:r>
      <w:r w:rsidR="000B404D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г</w:t>
      </w:r>
      <w:r w:rsidR="004D5C57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20519F20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F448BD" wp14:editId="0FE12240">
            <wp:extent cx="6172835" cy="4223288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0F23F9E" w14:textId="77777777" w:rsidR="004D5C57" w:rsidRDefault="004D5C57" w:rsidP="00187B5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Рисунок 4 Распределение рыночной стоимости компаний, %</w:t>
      </w:r>
    </w:p>
    <w:p w14:paraId="5FCAA50E" w14:textId="12889B93" w:rsidR="00187B56" w:rsidRPr="00187B56" w:rsidRDefault="00187B56" w:rsidP="00187B5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87B56">
        <w:rPr>
          <w:rFonts w:ascii="Times New Roman" w:hAnsi="Times New Roman" w:cs="Times New Roman"/>
          <w:i/>
          <w:sz w:val="28"/>
          <w:szCs w:val="28"/>
        </w:rPr>
        <w:t>Источник</w:t>
      </w:r>
      <w:r w:rsidRPr="00187B56">
        <w:rPr>
          <w:rFonts w:ascii="Times New Roman" w:hAnsi="Times New Roman" w:cs="Times New Roman"/>
          <w:i/>
          <w:sz w:val="28"/>
          <w:szCs w:val="28"/>
          <w:lang w:val="en-US"/>
        </w:rPr>
        <w:t>: Global Intangible Financial Tracker 2016 An annual review of the world’s intangible value // BrandFinance URL: http://brandfinance.com/images/upload/gift_report_2016_for_print.pdf (дата обращения: 30.08.2016).</w:t>
      </w:r>
    </w:p>
    <w:p w14:paraId="50146AB5" w14:textId="285B1EED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Данные BrandFinance свидетельствуют о том, что 53% рыночной стоимости 58 000 компаний, котирующихся на 120 фондовых биржах,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обеспечивают нематериальные активы, из которых 71% – нераскрытые не</w:t>
      </w:r>
      <w:r>
        <w:rPr>
          <w:rFonts w:ascii="Times New Roman" w:hAnsi="Times New Roman" w:cs="Times New Roman"/>
          <w:sz w:val="28"/>
          <w:szCs w:val="28"/>
        </w:rPr>
        <w:t>материальные активы (не учтенные</w:t>
      </w:r>
      <w:r w:rsidRPr="007B5DFD">
        <w:rPr>
          <w:rFonts w:ascii="Times New Roman" w:hAnsi="Times New Roman" w:cs="Times New Roman"/>
          <w:sz w:val="28"/>
          <w:szCs w:val="28"/>
        </w:rPr>
        <w:t xml:space="preserve"> в балансе).</w:t>
      </w:r>
    </w:p>
    <w:p w14:paraId="3A4E7EE4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Вместе с тем при анализе изменения структуры активов компании необходимо учитывать отраслевой аспект. В число секторов с наименьшей долей материальных активов (до 20%) входят: Реклама и медиа, Биотехнологии, Фармацевтика, Косметика и персональный уход, Продукты для здоровья, Напитки, Программное обеспечение и Интернет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7066C23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Сектора с наиболее быстрорастущей стоимостью брендов за 2016 год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 w:rsidRPr="007B5DFD">
        <w:rPr>
          <w:rFonts w:ascii="Times New Roman" w:hAnsi="Times New Roman" w:cs="Times New Roman"/>
          <w:sz w:val="28"/>
          <w:szCs w:val="28"/>
        </w:rPr>
        <w:t>:</w:t>
      </w:r>
    </w:p>
    <w:p w14:paraId="31350268" w14:textId="77777777" w:rsidR="00581F33" w:rsidRPr="00795A04" w:rsidRDefault="00581F33" w:rsidP="00581F33">
      <w:pPr>
        <w:pStyle w:val="a4"/>
        <w:numPr>
          <w:ilvl w:val="0"/>
          <w:numId w:val="11"/>
        </w:numPr>
        <w:spacing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A04">
        <w:rPr>
          <w:rFonts w:ascii="Times New Roman" w:hAnsi="Times New Roman" w:cs="Times New Roman"/>
          <w:sz w:val="28"/>
          <w:szCs w:val="28"/>
        </w:rPr>
        <w:t>розничная торговля +18,8% к прошлому году;</w:t>
      </w:r>
    </w:p>
    <w:p w14:paraId="59AA2E90" w14:textId="77777777" w:rsidR="00581F33" w:rsidRPr="00795A04" w:rsidRDefault="00581F33" w:rsidP="00581F33">
      <w:pPr>
        <w:pStyle w:val="a4"/>
        <w:numPr>
          <w:ilvl w:val="0"/>
          <w:numId w:val="11"/>
        </w:numPr>
        <w:spacing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A04">
        <w:rPr>
          <w:rFonts w:ascii="Times New Roman" w:hAnsi="Times New Roman" w:cs="Times New Roman"/>
          <w:sz w:val="28"/>
          <w:szCs w:val="28"/>
        </w:rPr>
        <w:t>предметы роскоши (бренды класса люкс) +10,4% к прошлому году;</w:t>
      </w:r>
    </w:p>
    <w:p w14:paraId="70C941E5" w14:textId="77777777" w:rsidR="00581F33" w:rsidRPr="00795A04" w:rsidRDefault="00581F33" w:rsidP="00581F33">
      <w:pPr>
        <w:pStyle w:val="a4"/>
        <w:numPr>
          <w:ilvl w:val="0"/>
          <w:numId w:val="11"/>
        </w:numPr>
        <w:spacing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A04">
        <w:rPr>
          <w:rFonts w:ascii="Times New Roman" w:hAnsi="Times New Roman" w:cs="Times New Roman"/>
          <w:sz w:val="28"/>
          <w:szCs w:val="28"/>
        </w:rPr>
        <w:t>товары для спорта, фитнес +10,2% к прошлому году;</w:t>
      </w:r>
    </w:p>
    <w:p w14:paraId="73F1EA7F" w14:textId="77777777" w:rsidR="00581F33" w:rsidRPr="00795A04" w:rsidRDefault="00581F33" w:rsidP="00581F33">
      <w:pPr>
        <w:pStyle w:val="a4"/>
        <w:numPr>
          <w:ilvl w:val="0"/>
          <w:numId w:val="11"/>
        </w:numPr>
        <w:spacing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A04">
        <w:rPr>
          <w:rFonts w:ascii="Times New Roman" w:hAnsi="Times New Roman" w:cs="Times New Roman"/>
          <w:sz w:val="28"/>
          <w:szCs w:val="28"/>
        </w:rPr>
        <w:t>автомобильная отрасль +9,5% к прошлому году;</w:t>
      </w:r>
    </w:p>
    <w:p w14:paraId="22BDF12A" w14:textId="77777777" w:rsidR="00581F33" w:rsidRPr="00795A04" w:rsidRDefault="00581F33" w:rsidP="00581F33">
      <w:pPr>
        <w:pStyle w:val="a4"/>
        <w:numPr>
          <w:ilvl w:val="0"/>
          <w:numId w:val="11"/>
        </w:numPr>
        <w:spacing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A04">
        <w:rPr>
          <w:rFonts w:ascii="Times New Roman" w:hAnsi="Times New Roman" w:cs="Times New Roman"/>
          <w:sz w:val="28"/>
          <w:szCs w:val="28"/>
        </w:rPr>
        <w:t>технологии и инновации +8,3% к прошлому году.</w:t>
      </w:r>
    </w:p>
    <w:p w14:paraId="6BD9A8CE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Однако удельный вес бренда в структуре</w:t>
      </w:r>
      <w:r>
        <w:rPr>
          <w:rFonts w:ascii="Times New Roman" w:hAnsi="Times New Roman" w:cs="Times New Roman"/>
          <w:sz w:val="28"/>
          <w:szCs w:val="28"/>
        </w:rPr>
        <w:t xml:space="preserve"> нематериальных активов определ</w:t>
      </w:r>
      <w:r w:rsidRPr="007B5DFD">
        <w:rPr>
          <w:rFonts w:ascii="Times New Roman" w:hAnsi="Times New Roman" w:cs="Times New Roman"/>
          <w:sz w:val="28"/>
          <w:szCs w:val="28"/>
        </w:rPr>
        <w:t xml:space="preserve">яется не только отраслевой принадлежностью. Во многом он обусловлен тем, какую роль играет бренд в стратегическом развитии компании. По этой причине в одной и той же отрасли имеются существенные различия в структуре стоимости между конкурирующими фирмами. </w:t>
      </w:r>
    </w:p>
    <w:p w14:paraId="2FC98D36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Точная финансовая оценка стоимости бренда в случае купли-продажи бизнеса позволяет принять правильное решение относительно целесообразности приобретения или продажи активов.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 xml:space="preserve">В Таблице 3 приведены примеры 10 самых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крупных сделок купли-продажи известных мировых брендов (все приобретенные бренды оценивались отдельно, в соответствии с правилами оценки):</w:t>
      </w:r>
    </w:p>
    <w:p w14:paraId="623B24AF" w14:textId="4CED4750" w:rsidR="00581F33" w:rsidRPr="007B5DFD" w:rsidRDefault="00581F33" w:rsidP="00884547">
      <w:pPr>
        <w:tabs>
          <w:tab w:val="left" w:pos="3686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Таблиц</w:t>
      </w:r>
      <w:r w:rsidR="00CE4AE0">
        <w:rPr>
          <w:rFonts w:ascii="Times New Roman" w:hAnsi="Times New Roman" w:cs="Times New Roman"/>
          <w:sz w:val="28"/>
          <w:szCs w:val="28"/>
        </w:rPr>
        <w:t>а</w:t>
      </w:r>
      <w:r w:rsidRPr="007B5DFD">
        <w:rPr>
          <w:rFonts w:ascii="Times New Roman" w:hAnsi="Times New Roman" w:cs="Times New Roman"/>
          <w:sz w:val="28"/>
          <w:szCs w:val="28"/>
        </w:rPr>
        <w:t xml:space="preserve"> 3 ТОП-10 крупнейших приобретений брендов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3"/>
        <w:gridCol w:w="4260"/>
        <w:gridCol w:w="2103"/>
        <w:gridCol w:w="1878"/>
      </w:tblGrid>
      <w:tr w:rsidR="00581F33" w:rsidRPr="007B5DFD" w14:paraId="0B16EF79" w14:textId="77777777" w:rsidTr="000B4FAC">
        <w:trPr>
          <w:tblHeader/>
        </w:trPr>
        <w:tc>
          <w:tcPr>
            <w:tcW w:w="1276" w:type="dxa"/>
          </w:tcPr>
          <w:p w14:paraId="11FB4623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Год покупки</w:t>
            </w:r>
          </w:p>
        </w:tc>
        <w:tc>
          <w:tcPr>
            <w:tcW w:w="4394" w:type="dxa"/>
          </w:tcPr>
          <w:p w14:paraId="6FBE6A27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Бренды</w:t>
            </w:r>
          </w:p>
        </w:tc>
        <w:tc>
          <w:tcPr>
            <w:tcW w:w="2127" w:type="dxa"/>
          </w:tcPr>
          <w:p w14:paraId="76FB5845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Покупатель</w:t>
            </w:r>
          </w:p>
        </w:tc>
        <w:tc>
          <w:tcPr>
            <w:tcW w:w="1842" w:type="dxa"/>
          </w:tcPr>
          <w:p w14:paraId="237643E2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Цена приобретения</w:t>
            </w:r>
          </w:p>
        </w:tc>
      </w:tr>
      <w:tr w:rsidR="00581F33" w:rsidRPr="007B5DFD" w14:paraId="21B60FCD" w14:textId="77777777" w:rsidTr="000B4FAC">
        <w:tc>
          <w:tcPr>
            <w:tcW w:w="1276" w:type="dxa"/>
          </w:tcPr>
          <w:p w14:paraId="09EDBB8B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394" w:type="dxa"/>
          </w:tcPr>
          <w:p w14:paraId="00407B06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Kraft, Oscar Mayer, Philadephia</w:t>
            </w:r>
          </w:p>
        </w:tc>
        <w:tc>
          <w:tcPr>
            <w:tcW w:w="2127" w:type="dxa"/>
          </w:tcPr>
          <w:p w14:paraId="44BC3925" w14:textId="77777777" w:rsidR="00581F33" w:rsidRPr="007B5DFD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Kraft Heinz Co.</w:t>
            </w:r>
          </w:p>
        </w:tc>
        <w:tc>
          <w:tcPr>
            <w:tcW w:w="1842" w:type="dxa"/>
          </w:tcPr>
          <w:p w14:paraId="03E9217B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$41,3 млрд</w:t>
            </w:r>
          </w:p>
        </w:tc>
      </w:tr>
      <w:tr w:rsidR="00581F33" w:rsidRPr="007B5DFD" w14:paraId="6ED3619A" w14:textId="77777777" w:rsidTr="000B4FAC">
        <w:tc>
          <w:tcPr>
            <w:tcW w:w="1276" w:type="dxa"/>
          </w:tcPr>
          <w:p w14:paraId="6088F414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394" w:type="dxa"/>
          </w:tcPr>
          <w:p w14:paraId="01087D7C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Newport, Kent</w:t>
            </w:r>
          </w:p>
        </w:tc>
        <w:tc>
          <w:tcPr>
            <w:tcW w:w="2127" w:type="dxa"/>
          </w:tcPr>
          <w:p w14:paraId="3DC2A5D6" w14:textId="77777777" w:rsidR="00581F33" w:rsidRPr="007B5DFD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Reynolds American</w:t>
            </w:r>
          </w:p>
        </w:tc>
        <w:tc>
          <w:tcPr>
            <w:tcW w:w="1842" w:type="dxa"/>
          </w:tcPr>
          <w:p w14:paraId="6F60C786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$27,2 млрд</w:t>
            </w:r>
          </w:p>
        </w:tc>
      </w:tr>
      <w:tr w:rsidR="00581F33" w:rsidRPr="007B5DFD" w14:paraId="50CFB318" w14:textId="77777777" w:rsidTr="000B4FAC">
        <w:tc>
          <w:tcPr>
            <w:tcW w:w="1276" w:type="dxa"/>
          </w:tcPr>
          <w:p w14:paraId="3E544FF3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4394" w:type="dxa"/>
          </w:tcPr>
          <w:p w14:paraId="438BF29F" w14:textId="77777777" w:rsidR="00581F33" w:rsidRPr="00CE4AE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Gillette, Duracell, Oral B, Braun</w:t>
            </w:r>
          </w:p>
        </w:tc>
        <w:tc>
          <w:tcPr>
            <w:tcW w:w="2127" w:type="dxa"/>
          </w:tcPr>
          <w:p w14:paraId="6AE79354" w14:textId="77777777" w:rsidR="00581F33" w:rsidRPr="007B5DFD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Procter &amp; Gamble</w:t>
            </w:r>
          </w:p>
        </w:tc>
        <w:tc>
          <w:tcPr>
            <w:tcW w:w="1842" w:type="dxa"/>
          </w:tcPr>
          <w:p w14:paraId="510BE7FD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$25,56 млрд</w:t>
            </w:r>
          </w:p>
        </w:tc>
      </w:tr>
      <w:tr w:rsidR="00581F33" w:rsidRPr="007B5DFD" w14:paraId="1FA0E568" w14:textId="77777777" w:rsidTr="000B4FAC">
        <w:tc>
          <w:tcPr>
            <w:tcW w:w="1276" w:type="dxa"/>
          </w:tcPr>
          <w:p w14:paraId="4B1685EC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4394" w:type="dxa"/>
          </w:tcPr>
          <w:p w14:paraId="3A1C7F48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Budweiser, Michelob, Busch</w:t>
            </w:r>
          </w:p>
        </w:tc>
        <w:tc>
          <w:tcPr>
            <w:tcW w:w="2127" w:type="dxa"/>
          </w:tcPr>
          <w:p w14:paraId="724BD11C" w14:textId="77777777" w:rsidR="00581F33" w:rsidRPr="007B5DFD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InBev</w:t>
            </w:r>
          </w:p>
        </w:tc>
        <w:tc>
          <w:tcPr>
            <w:tcW w:w="1842" w:type="dxa"/>
          </w:tcPr>
          <w:p w14:paraId="61A204D9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$24,23 млрд</w:t>
            </w:r>
          </w:p>
        </w:tc>
      </w:tr>
      <w:tr w:rsidR="00581F33" w:rsidRPr="007B5DFD" w14:paraId="3F010EBE" w14:textId="77777777" w:rsidTr="000B4FAC">
        <w:tc>
          <w:tcPr>
            <w:tcW w:w="1276" w:type="dxa"/>
          </w:tcPr>
          <w:p w14:paraId="7A8D81D2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394" w:type="dxa"/>
          </w:tcPr>
          <w:p w14:paraId="21BA5A97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Porsche</w:t>
            </w:r>
          </w:p>
        </w:tc>
        <w:tc>
          <w:tcPr>
            <w:tcW w:w="2127" w:type="dxa"/>
          </w:tcPr>
          <w:p w14:paraId="05320BBB" w14:textId="77777777" w:rsidR="00581F33" w:rsidRPr="007B5DFD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Volkswagen</w:t>
            </w:r>
          </w:p>
        </w:tc>
        <w:tc>
          <w:tcPr>
            <w:tcW w:w="1842" w:type="dxa"/>
          </w:tcPr>
          <w:p w14:paraId="6BF8B33D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$17,76 млрд</w:t>
            </w:r>
          </w:p>
        </w:tc>
      </w:tr>
      <w:tr w:rsidR="00581F33" w:rsidRPr="007B5DFD" w14:paraId="21886737" w14:textId="77777777" w:rsidTr="000B4FAC">
        <w:tc>
          <w:tcPr>
            <w:tcW w:w="1276" w:type="dxa"/>
          </w:tcPr>
          <w:p w14:paraId="269F51F0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394" w:type="dxa"/>
          </w:tcPr>
          <w:p w14:paraId="49171F88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Heinz, Quero</w:t>
            </w:r>
          </w:p>
        </w:tc>
        <w:tc>
          <w:tcPr>
            <w:tcW w:w="2127" w:type="dxa"/>
          </w:tcPr>
          <w:p w14:paraId="172178DA" w14:textId="77777777" w:rsidR="00581F33" w:rsidRPr="007B5DFD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Berkshire Hathaway / 3G</w:t>
            </w:r>
          </w:p>
        </w:tc>
        <w:tc>
          <w:tcPr>
            <w:tcW w:w="1842" w:type="dxa"/>
          </w:tcPr>
          <w:p w14:paraId="7A2611DE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$12,13 млрд</w:t>
            </w:r>
          </w:p>
        </w:tc>
      </w:tr>
      <w:tr w:rsidR="00581F33" w:rsidRPr="007B5DFD" w14:paraId="36600E5A" w14:textId="77777777" w:rsidTr="000B4FAC">
        <w:tc>
          <w:tcPr>
            <w:tcW w:w="1276" w:type="dxa"/>
          </w:tcPr>
          <w:p w14:paraId="08EC5C4F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4394" w:type="dxa"/>
          </w:tcPr>
          <w:p w14:paraId="6E9E066F" w14:textId="77777777" w:rsidR="00581F33" w:rsidRPr="00CE4AE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Oreo, Ritz, Nutter Butter, Planters</w:t>
            </w:r>
          </w:p>
        </w:tc>
        <w:tc>
          <w:tcPr>
            <w:tcW w:w="2127" w:type="dxa"/>
          </w:tcPr>
          <w:p w14:paraId="3F69B1F5" w14:textId="77777777" w:rsidR="00581F33" w:rsidRPr="007B5DFD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Philip Morris / Kraft</w:t>
            </w:r>
          </w:p>
        </w:tc>
        <w:tc>
          <w:tcPr>
            <w:tcW w:w="1842" w:type="dxa"/>
          </w:tcPr>
          <w:p w14:paraId="54DCD18E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$11,7 млрд</w:t>
            </w:r>
          </w:p>
        </w:tc>
      </w:tr>
      <w:tr w:rsidR="00581F33" w:rsidRPr="007B5DFD" w14:paraId="71911928" w14:textId="77777777" w:rsidTr="000B4FAC">
        <w:tc>
          <w:tcPr>
            <w:tcW w:w="1276" w:type="dxa"/>
          </w:tcPr>
          <w:p w14:paraId="1E135D67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4394" w:type="dxa"/>
          </w:tcPr>
          <w:p w14:paraId="67F2EF90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Cadbury, Trident, Hollywood, Halls</w:t>
            </w:r>
          </w:p>
        </w:tc>
        <w:tc>
          <w:tcPr>
            <w:tcW w:w="2127" w:type="dxa"/>
          </w:tcPr>
          <w:p w14:paraId="6DDD5B86" w14:textId="77777777" w:rsidR="00581F33" w:rsidRPr="007B5DFD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Kraft Foods</w:t>
            </w:r>
          </w:p>
        </w:tc>
        <w:tc>
          <w:tcPr>
            <w:tcW w:w="1842" w:type="dxa"/>
          </w:tcPr>
          <w:p w14:paraId="600D1951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$10,3 млрд</w:t>
            </w:r>
          </w:p>
        </w:tc>
      </w:tr>
      <w:tr w:rsidR="00581F33" w:rsidRPr="007B5DFD" w14:paraId="43A479C2" w14:textId="77777777" w:rsidTr="000B4FAC">
        <w:tc>
          <w:tcPr>
            <w:tcW w:w="1276" w:type="dxa"/>
          </w:tcPr>
          <w:p w14:paraId="667F007A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4394" w:type="dxa"/>
          </w:tcPr>
          <w:p w14:paraId="3142265B" w14:textId="77777777" w:rsidR="00581F33" w:rsidRPr="00CE4AE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Wyeth, Efexor, Prevnar, Enbrel, Gold, Protonix, Zosyn, Torisel</w:t>
            </w:r>
          </w:p>
        </w:tc>
        <w:tc>
          <w:tcPr>
            <w:tcW w:w="2127" w:type="dxa"/>
          </w:tcPr>
          <w:p w14:paraId="51C64953" w14:textId="77777777" w:rsidR="00581F33" w:rsidRPr="007B5DFD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Pfizer</w:t>
            </w:r>
          </w:p>
        </w:tc>
        <w:tc>
          <w:tcPr>
            <w:tcW w:w="1842" w:type="dxa"/>
          </w:tcPr>
          <w:p w14:paraId="3EF7CDF1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$10,24 млрд</w:t>
            </w:r>
          </w:p>
        </w:tc>
      </w:tr>
      <w:tr w:rsidR="00581F33" w:rsidRPr="007B5DFD" w14:paraId="610AFCC2" w14:textId="77777777" w:rsidTr="000B4FAC">
        <w:tc>
          <w:tcPr>
            <w:tcW w:w="1276" w:type="dxa"/>
          </w:tcPr>
          <w:p w14:paraId="17DFCDD6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4394" w:type="dxa"/>
          </w:tcPr>
          <w:p w14:paraId="7FE853B8" w14:textId="77777777" w:rsidR="00581F33" w:rsidRPr="00CE4AE0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Gauloises, Gitanes, Fortuna, Montecristo, Dutch Masters, Cohiba</w:t>
            </w:r>
          </w:p>
        </w:tc>
        <w:tc>
          <w:tcPr>
            <w:tcW w:w="2127" w:type="dxa"/>
          </w:tcPr>
          <w:p w14:paraId="0EE0B6E7" w14:textId="77777777" w:rsidR="00581F33" w:rsidRPr="007B5DFD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Imperial Tobacco</w:t>
            </w:r>
          </w:p>
        </w:tc>
        <w:tc>
          <w:tcPr>
            <w:tcW w:w="1842" w:type="dxa"/>
          </w:tcPr>
          <w:p w14:paraId="5DD57589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$9,38 млрд</w:t>
            </w:r>
          </w:p>
        </w:tc>
      </w:tr>
    </w:tbl>
    <w:p w14:paraId="7D8F7F35" w14:textId="28B9F879" w:rsidR="00581F33" w:rsidRPr="006A4C2B" w:rsidRDefault="00581F33" w:rsidP="00225C1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A03CE">
        <w:rPr>
          <w:rFonts w:ascii="Times New Roman" w:hAnsi="Times New Roman" w:cs="Times New Roman"/>
          <w:i/>
          <w:sz w:val="28"/>
          <w:szCs w:val="28"/>
        </w:rPr>
        <w:t>Источник</w:t>
      </w:r>
      <w:r w:rsidRPr="006A4C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6A4C2B" w:rsidRPr="006A4C2B">
        <w:rPr>
          <w:rFonts w:ascii="Times New Roman" w:hAnsi="Times New Roman" w:cs="Times New Roman"/>
          <w:i/>
          <w:sz w:val="28"/>
          <w:szCs w:val="28"/>
          <w:lang w:val="en-US"/>
        </w:rPr>
        <w:t>The 20 most valuable brands ever acquired // Business Insider URL: http://www.businessinsider.com/brand-names-are-in-demand-like-never-before-here-are-the-20-most-valuable-ever-acquired-2016-1/#kraft-foods-1 (</w:t>
      </w:r>
      <w:r w:rsidR="006A4C2B" w:rsidRPr="006A4C2B">
        <w:rPr>
          <w:rFonts w:ascii="Times New Roman" w:hAnsi="Times New Roman" w:cs="Times New Roman"/>
          <w:i/>
          <w:sz w:val="28"/>
          <w:szCs w:val="28"/>
        </w:rPr>
        <w:t>дата</w:t>
      </w:r>
      <w:r w:rsidR="006A4C2B" w:rsidRPr="006A4C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A4C2B" w:rsidRPr="006A4C2B">
        <w:rPr>
          <w:rFonts w:ascii="Times New Roman" w:hAnsi="Times New Roman" w:cs="Times New Roman"/>
          <w:i/>
          <w:sz w:val="28"/>
          <w:szCs w:val="28"/>
        </w:rPr>
        <w:t>обращения</w:t>
      </w:r>
      <w:r w:rsidR="006A4C2B" w:rsidRPr="006A4C2B">
        <w:rPr>
          <w:rFonts w:ascii="Times New Roman" w:hAnsi="Times New Roman" w:cs="Times New Roman"/>
          <w:i/>
          <w:sz w:val="28"/>
          <w:szCs w:val="28"/>
          <w:lang w:val="en-US"/>
        </w:rPr>
        <w:t>: 22.11.2016).</w:t>
      </w:r>
    </w:p>
    <w:p w14:paraId="05100134" w14:textId="77777777" w:rsidR="00581F33" w:rsidRPr="007B6BA4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самые дорогие бренды принадлежат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-компаниям: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E4A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CE4A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CE4AE0">
        <w:rPr>
          <w:rFonts w:ascii="Times New Roman" w:hAnsi="Times New Roman" w:cs="Times New Roman"/>
          <w:sz w:val="28"/>
          <w:szCs w:val="28"/>
        </w:rPr>
        <w:t>. На Рисунке 5 видна разница между суммарной стоимостью брендов в 2008 и 2017 годах в разрезе отраслей.</w:t>
      </w:r>
    </w:p>
    <w:p w14:paraId="062F6F95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BFEAB" wp14:editId="74E7B891">
            <wp:extent cx="6172835" cy="43180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41B0393" w14:textId="77777777" w:rsidR="00187B56" w:rsidRPr="007B5DFD" w:rsidRDefault="00187B56" w:rsidP="00187B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Рисунок 5 Суммарная стоимость брендов в ТОП-5 секторах (2008 и 2017 гг.)</w:t>
      </w:r>
    </w:p>
    <w:p w14:paraId="64D8598E" w14:textId="58B5BC94" w:rsidR="00581F33" w:rsidRPr="0031473B" w:rsidRDefault="00581F33" w:rsidP="00187B5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A03CE">
        <w:rPr>
          <w:rFonts w:ascii="Times New Roman" w:hAnsi="Times New Roman" w:cs="Times New Roman"/>
          <w:i/>
          <w:sz w:val="28"/>
          <w:szCs w:val="28"/>
        </w:rPr>
        <w:t>Источник</w:t>
      </w:r>
      <w:r w:rsidRPr="003147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31473B" w:rsidRPr="0031473B">
        <w:rPr>
          <w:rFonts w:ascii="Times New Roman" w:hAnsi="Times New Roman" w:cs="Times New Roman"/>
          <w:i/>
          <w:sz w:val="28"/>
          <w:szCs w:val="28"/>
          <w:lang w:val="en-US"/>
        </w:rPr>
        <w:t>Global 500 2017 The annual report on the world’s most valuable brands // BrandFinance URL: http://brandfinance.com/images/upload/global_500_2017_locked_website.pdf (</w:t>
      </w:r>
      <w:r w:rsidR="0031473B" w:rsidRPr="0031473B">
        <w:rPr>
          <w:rFonts w:ascii="Times New Roman" w:hAnsi="Times New Roman" w:cs="Times New Roman"/>
          <w:i/>
          <w:sz w:val="28"/>
          <w:szCs w:val="28"/>
        </w:rPr>
        <w:t>дата</w:t>
      </w:r>
      <w:r w:rsidR="0031473B" w:rsidRPr="003147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473B" w:rsidRPr="0031473B">
        <w:rPr>
          <w:rFonts w:ascii="Times New Roman" w:hAnsi="Times New Roman" w:cs="Times New Roman"/>
          <w:i/>
          <w:sz w:val="28"/>
          <w:szCs w:val="28"/>
        </w:rPr>
        <w:t>обращения</w:t>
      </w:r>
      <w:r w:rsidR="0031473B" w:rsidRPr="0031473B">
        <w:rPr>
          <w:rFonts w:ascii="Times New Roman" w:hAnsi="Times New Roman" w:cs="Times New Roman"/>
          <w:i/>
          <w:sz w:val="28"/>
          <w:szCs w:val="28"/>
          <w:lang w:val="en-US"/>
        </w:rPr>
        <w:t>: 19.03.2017).</w:t>
      </w:r>
    </w:p>
    <w:p w14:paraId="5AF07FCA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В России также известны случаи крупных покупок брендов. Например, компания «Нидан-Фудс» выкупила для производства сока бренд «Моя семья» у одноименной телепередачи, заказав оценку стоимости у «НЭО Центр» и PricewaterhouseCoopers. Одной из самых знаменательных сделок 2007 года стала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покупка 80% компании «А.Коркунов» американской компании Wrigley. По мнению экспертов, чистая стоимость сделки составила примерно три годовых оборота компании «А. Коркунов», которая в 2006 г. заработала около $100 млн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5763551A" w14:textId="77777777" w:rsidR="00581F33" w:rsidRDefault="00581F33" w:rsidP="00581F33">
      <w:pPr>
        <w:rPr>
          <w:rFonts w:ascii="Times New Roman" w:eastAsiaTheme="majorEastAsia" w:hAnsi="Times New Roman" w:cstheme="majorBidi"/>
          <w:bCs/>
          <w:color w:val="000000" w:themeColor="text1"/>
          <w:sz w:val="30"/>
          <w:szCs w:val="26"/>
        </w:rPr>
      </w:pPr>
      <w:r>
        <w:br w:type="page"/>
      </w:r>
    </w:p>
    <w:p w14:paraId="18C4B5CB" w14:textId="77777777" w:rsidR="00581F33" w:rsidRPr="007B5DFD" w:rsidRDefault="00581F33" w:rsidP="00581F33">
      <w:pPr>
        <w:pStyle w:val="20"/>
      </w:pPr>
      <w:bookmarkStart w:id="22" w:name="_Toc481137249"/>
      <w:r w:rsidRPr="007B5DFD">
        <w:lastRenderedPageBreak/>
        <w:t>1.4 Особенности и проблемы оценки стоимости брендов в России</w:t>
      </w:r>
      <w:bookmarkEnd w:id="22"/>
    </w:p>
    <w:p w14:paraId="4D7EDD1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Для российской практики оценка бренда постепенно переходит из разряда «экзотики» в типичные задачи бренд-менеджмента, финансового и стратегического управления.</w:t>
      </w:r>
    </w:p>
    <w:p w14:paraId="16F401D0" w14:textId="3A0FDBD9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Практически проблема соотнесения понятий товарный знак и бренд возникает всякий р</w:t>
      </w:r>
      <w:r>
        <w:rPr>
          <w:rFonts w:ascii="Times New Roman" w:hAnsi="Times New Roman" w:cs="Times New Roman"/>
          <w:sz w:val="28"/>
          <w:szCs w:val="28"/>
        </w:rPr>
        <w:t xml:space="preserve">аз при оценке </w:t>
      </w:r>
      <w:r w:rsidR="008F2C03">
        <w:rPr>
          <w:rFonts w:ascii="Times New Roman" w:hAnsi="Times New Roman" w:cs="Times New Roman"/>
          <w:sz w:val="28"/>
          <w:szCs w:val="28"/>
        </w:rPr>
        <w:t>актива</w:t>
      </w:r>
      <w:r>
        <w:rPr>
          <w:rFonts w:ascii="Times New Roman" w:hAnsi="Times New Roman" w:cs="Times New Roman"/>
          <w:sz w:val="28"/>
          <w:szCs w:val="28"/>
        </w:rPr>
        <w:t>. Между тем</w:t>
      </w:r>
      <w:r w:rsidRPr="007B5DFD">
        <w:rPr>
          <w:rFonts w:ascii="Times New Roman" w:hAnsi="Times New Roman" w:cs="Times New Roman"/>
          <w:sz w:val="28"/>
          <w:szCs w:val="28"/>
        </w:rPr>
        <w:t xml:space="preserve"> оценка товарного знака не такой уж редкий случай в практике оценочных компаний.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B5DFD">
        <w:rPr>
          <w:rFonts w:ascii="Times New Roman" w:hAnsi="Times New Roman" w:cs="Times New Roman"/>
          <w:sz w:val="28"/>
          <w:szCs w:val="28"/>
        </w:rPr>
        <w:t xml:space="preserve"> точки зрения финансового менеджмента не менее значимой задачей является оценка и выявление составляющих стоимости бренда, а также бизнес-драйверов, т.</w:t>
      </w:r>
      <w:r w:rsidR="002031D0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е. ресурсов, которые создают эту стоимость.</w:t>
      </w:r>
    </w:p>
    <w:p w14:paraId="29F64F3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Основная статья доходов оценочных компании в России сейчас – это оценка бизнеса, имущества и недвижимости – материальных активов компании. </w:t>
      </w:r>
    </w:p>
    <w:p w14:paraId="6949FC32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Согласно исследованию рэнкингового 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>ства Эксперт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7B5DFD">
        <w:rPr>
          <w:rFonts w:ascii="Times New Roman" w:hAnsi="Times New Roman" w:cs="Times New Roman"/>
          <w:sz w:val="28"/>
          <w:szCs w:val="28"/>
        </w:rPr>
        <w:t>, представленного на Рисунке 6, оценка нематериальных активов и интеллектуальной собственности занимает всего 3</w:t>
      </w:r>
      <w:r>
        <w:rPr>
          <w:rFonts w:ascii="Times New Roman" w:hAnsi="Times New Roman" w:cs="Times New Roman"/>
          <w:sz w:val="28"/>
          <w:szCs w:val="28"/>
        </w:rPr>
        <w:t>% в выручке оценочных компаний.</w:t>
      </w:r>
    </w:p>
    <w:p w14:paraId="45D596AA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1BFFD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F2AA6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3DEB2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33BF1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F47F8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8D082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3D5C7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D293C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39286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26BB4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4FB8F4" wp14:editId="6A7721CF">
            <wp:extent cx="6174105" cy="567238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2E51948" w14:textId="354B6B89" w:rsidR="00CC726B" w:rsidRPr="007B5DFD" w:rsidRDefault="00CC726B" w:rsidP="00CC726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Рисунок 6 Распределение выручки оценочных компаний</w:t>
      </w:r>
      <w:r w:rsidR="00D10A9D">
        <w:rPr>
          <w:rFonts w:ascii="Times New Roman" w:hAnsi="Times New Roman" w:cs="Times New Roman"/>
          <w:sz w:val="28"/>
          <w:szCs w:val="28"/>
        </w:rPr>
        <w:t xml:space="preserve"> по видам оценки за 2015 г.</w:t>
      </w:r>
    </w:p>
    <w:p w14:paraId="0B9AB754" w14:textId="0B324CE5" w:rsidR="00581F33" w:rsidRPr="009A03CE" w:rsidRDefault="00581F33" w:rsidP="00CC72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3CE">
        <w:rPr>
          <w:rFonts w:ascii="Times New Roman" w:hAnsi="Times New Roman" w:cs="Times New Roman"/>
          <w:i/>
          <w:sz w:val="28"/>
          <w:szCs w:val="28"/>
        </w:rPr>
        <w:t xml:space="preserve">Источник: </w:t>
      </w:r>
      <w:r w:rsidR="00166673" w:rsidRPr="00166673">
        <w:rPr>
          <w:rFonts w:ascii="Times New Roman" w:hAnsi="Times New Roman" w:cs="Times New Roman"/>
          <w:i/>
          <w:sz w:val="28"/>
          <w:szCs w:val="28"/>
        </w:rPr>
        <w:t>Рэнкинги оценочных компаний России, 2015 // Эксперт URL: http://raexpert.ru/ratings/appraising_potential/2015/ (дата обращения: 17.03.2017).</w:t>
      </w:r>
    </w:p>
    <w:p w14:paraId="4977CA50" w14:textId="0D71E283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Часто встречающимся принципом расчета стоимости в отечественной практике является имущественный (затратный) подход к оценке. Об этом говорят требования оценочных компаний, предъявляемых к клиентам: сведения о понесенных затратах на создание и сопровождение объекта оценки. Это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достаточно простой, прозрачный и дешевый способ оценки, который имеет ограниченное применение, т.</w:t>
      </w:r>
      <w:r w:rsidR="002031D0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к. обычно понесенные затраты не совпадают со справедливой стоимостью актива. Однако для российского бизнеса, который в большей степени сосредоточен на вопросах затрат и бюджетирования – наиболее объективный метод. Использование имущественного подхода как в оценке недвижимого имущества (земельных участков, предметов строительства), так и в оценке нематериальных активов (объектов интеллектуальной собственности, патентов на изобретения, гудвилла и бренда) обусловлено несовершенством российского рынка оценки.</w:t>
      </w:r>
    </w:p>
    <w:p w14:paraId="13992CC4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До недавнего времени российский бизнес не придавал должной значимости бренду как нематериальному активу в структуре фирмы.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 xml:space="preserve">На Рисунке 7 представлена динамика инвестиций в объекты интеллектуальной собственности </w:t>
      </w:r>
      <w:r>
        <w:rPr>
          <w:rFonts w:ascii="Times New Roman" w:hAnsi="Times New Roman" w:cs="Times New Roman"/>
          <w:sz w:val="28"/>
          <w:szCs w:val="28"/>
        </w:rPr>
        <w:t>(куда включены затраты на приоб</w:t>
      </w:r>
      <w:r w:rsidRPr="007B5DFD">
        <w:rPr>
          <w:rFonts w:ascii="Times New Roman" w:hAnsi="Times New Roman" w:cs="Times New Roman"/>
          <w:sz w:val="28"/>
          <w:szCs w:val="28"/>
        </w:rPr>
        <w:t>ретение лицензий, деловой репутации («гудвилла»), деловых связей, маркетинговых активов) в абсолютном выражении и в долях от суммарных инвестиций в нефинансовые активы российских компаний. Начиная с 2013 г., согласно новым методологическим указаниям федеральной службы государст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5DFD">
        <w:rPr>
          <w:rFonts w:ascii="Times New Roman" w:hAnsi="Times New Roman" w:cs="Times New Roman"/>
          <w:sz w:val="28"/>
          <w:szCs w:val="28"/>
        </w:rPr>
        <w:t>енной статистики, инвестиции в объекты интеллектуальной стоимости включены в инвестиции в основной капитал, что делает невозможным отследить текущую структуру.</w:t>
      </w:r>
    </w:p>
    <w:p w14:paraId="5C691391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0894D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030D4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E1765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46A7C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60D5C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B5512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EC2F6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58F2BD" wp14:editId="6B087BE1">
            <wp:extent cx="6173470" cy="393954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8B9B101" w14:textId="1F65DD1F" w:rsidR="00166673" w:rsidRPr="00166673" w:rsidRDefault="00166673" w:rsidP="0016667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Рисунок 7 Динамика инвестиций в объекты интеллектуальной собственности в Российской Федерации</w:t>
      </w:r>
    </w:p>
    <w:p w14:paraId="10BA0F58" w14:textId="06A5A6A9" w:rsidR="00581F33" w:rsidRPr="009A03CE" w:rsidRDefault="00581F33" w:rsidP="001666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3CE">
        <w:rPr>
          <w:rFonts w:ascii="Times New Roman" w:hAnsi="Times New Roman" w:cs="Times New Roman"/>
          <w:i/>
          <w:sz w:val="28"/>
          <w:szCs w:val="28"/>
        </w:rPr>
        <w:t xml:space="preserve">Рассчитано по: </w:t>
      </w:r>
      <w:r w:rsidR="005B2CE8" w:rsidRPr="005B2CE8">
        <w:rPr>
          <w:rFonts w:ascii="Times New Roman" w:hAnsi="Times New Roman" w:cs="Times New Roman"/>
          <w:i/>
          <w:sz w:val="28"/>
          <w:szCs w:val="28"/>
        </w:rPr>
        <w:t xml:space="preserve">Инвестиции в России. 2015: Стат.сб./ Росстат. - М., И58 2015. – </w:t>
      </w:r>
      <w:r w:rsidR="005B2CE8">
        <w:rPr>
          <w:rFonts w:ascii="Times New Roman" w:hAnsi="Times New Roman" w:cs="Times New Roman"/>
          <w:i/>
          <w:sz w:val="28"/>
          <w:szCs w:val="28"/>
        </w:rPr>
        <w:t>С. 38.</w:t>
      </w:r>
    </w:p>
    <w:p w14:paraId="4CEB4A6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Несмотря на абсолютный рост интеллектуальных инвестиций, относительная доля показывает негативный тренд. Это обуславливается предпочтением инвестировать основной капитал, который хоть и обеспечивает невысокую доходность, зато с низкой степенью риска. Такое поведение присуще консервативным инвесторам.</w:t>
      </w:r>
    </w:p>
    <w:p w14:paraId="799159E7" w14:textId="4A236F6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Согласно данным исследования консалтингового 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>ства BrandFinance за 2016 г. Россия занимает 61 место среди 69 стран, участвующих в рейтинге</w:t>
      </w:r>
      <w:r w:rsidR="00032C36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«Самые «нематериальные» страны»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 w:rsidRPr="007B5DFD">
        <w:rPr>
          <w:rFonts w:ascii="Times New Roman" w:hAnsi="Times New Roman" w:cs="Times New Roman"/>
          <w:sz w:val="28"/>
          <w:szCs w:val="28"/>
        </w:rPr>
        <w:t xml:space="preserve">. Материальные активы российских компаний занимают более </w:t>
      </w:r>
      <w:r w:rsidR="00CE4AE0">
        <w:rPr>
          <w:rFonts w:ascii="Times New Roman" w:hAnsi="Times New Roman" w:cs="Times New Roman"/>
          <w:sz w:val="28"/>
          <w:szCs w:val="28"/>
        </w:rPr>
        <w:t>75%</w:t>
      </w:r>
      <w:r w:rsidRPr="007B5DFD">
        <w:rPr>
          <w:rFonts w:ascii="Times New Roman" w:hAnsi="Times New Roman" w:cs="Times New Roman"/>
          <w:sz w:val="28"/>
          <w:szCs w:val="28"/>
        </w:rPr>
        <w:t xml:space="preserve"> в рыночной стоимости.</w:t>
      </w:r>
    </w:p>
    <w:p w14:paraId="5832FDFC" w14:textId="66CA4EC8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Несмотря на говорящую статистику, рынок финансовой оценки бренда в России начинает формироваться. Факт доказывает существенный рост спроса на услуги оценки интеллектуальной собственности </w:t>
      </w:r>
      <w:r w:rsidR="000F3646">
        <w:rPr>
          <w:rFonts w:ascii="Times New Roman" w:hAnsi="Times New Roman" w:cs="Times New Roman"/>
          <w:sz w:val="28"/>
          <w:szCs w:val="28"/>
        </w:rPr>
        <w:t xml:space="preserve">и </w:t>
      </w:r>
      <w:r w:rsidRPr="007B5DFD">
        <w:rPr>
          <w:rFonts w:ascii="Times New Roman" w:hAnsi="Times New Roman" w:cs="Times New Roman"/>
          <w:sz w:val="28"/>
          <w:szCs w:val="28"/>
        </w:rPr>
        <w:t>нематериальных активов крупнейшими российскими оценочными компаниями. В последнее время в связи с усилиями государства по развитию инновационной системы и обеспечению лидерства российских компаний на высокотехнологичных рынках наблюдается рост объема сделок с правами на интеллектуальную собственность. Соответственно необходима оценка таких прав. Наконец, не менее важный мотив – возможность залога объектов интеллектуальной собственности как следствие развития заемного и венчурного финансирования инновационных проектов, что также влияет на рынок оценочных услуг.</w:t>
      </w:r>
    </w:p>
    <w:p w14:paraId="37468B2F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Данные на Рисунке 8 иллюстрируют рост выручки за оценку нематериальных активов и интеллектуальной собственности на 30% по итогам 2015 года.</w:t>
      </w:r>
    </w:p>
    <w:p w14:paraId="63A54D71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8D2F9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27C04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6BF6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69348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D25F9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67BC0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bookmarkEnd w:id="6"/>
    <w:bookmarkEnd w:id="7"/>
    <w:p w14:paraId="11E2A09C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91D3F7" wp14:editId="3A7D4E3F">
            <wp:extent cx="6173470" cy="3971109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90171E1" w14:textId="0599C4CB" w:rsidR="005B2CE8" w:rsidRPr="005B2CE8" w:rsidRDefault="005B2CE8" w:rsidP="005B2C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Рисунок 8 Темпы роста выручки </w:t>
      </w:r>
      <w:r w:rsidR="006536E9">
        <w:rPr>
          <w:rFonts w:ascii="Times New Roman" w:hAnsi="Times New Roman" w:cs="Times New Roman"/>
          <w:sz w:val="28"/>
          <w:szCs w:val="28"/>
        </w:rPr>
        <w:t>компаний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по видам оценки за 2015 год (%)</w:t>
      </w:r>
    </w:p>
    <w:p w14:paraId="3E384083" w14:textId="47CD4EF2" w:rsidR="00581F33" w:rsidRPr="009A03CE" w:rsidRDefault="00581F33" w:rsidP="005B2CE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3CE">
        <w:rPr>
          <w:rFonts w:ascii="Times New Roman" w:hAnsi="Times New Roman" w:cs="Times New Roman"/>
          <w:i/>
          <w:sz w:val="28"/>
          <w:szCs w:val="28"/>
        </w:rPr>
        <w:t xml:space="preserve">Источник: </w:t>
      </w:r>
      <w:r w:rsidR="00F72B2E" w:rsidRPr="00F72B2E">
        <w:rPr>
          <w:rFonts w:ascii="Times New Roman" w:hAnsi="Times New Roman" w:cs="Times New Roman"/>
          <w:i/>
          <w:sz w:val="28"/>
          <w:szCs w:val="28"/>
        </w:rPr>
        <w:t>Оценка стоит выделки // Коммерсант URL: http://www.kommersant.ru/doc/3051920 (дата обращения: 15.03.2017).</w:t>
      </w:r>
    </w:p>
    <w:p w14:paraId="0F0FB224" w14:textId="16B17DB5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С 2015 года Россия является членом </w:t>
      </w:r>
      <w:r>
        <w:rPr>
          <w:rFonts w:ascii="Times New Roman" w:hAnsi="Times New Roman" w:cs="Times New Roman"/>
          <w:sz w:val="28"/>
          <w:szCs w:val="28"/>
        </w:rPr>
        <w:t xml:space="preserve">с правом голоса </w:t>
      </w:r>
      <w:r w:rsidRPr="007B5DFD">
        <w:rPr>
          <w:rFonts w:ascii="Times New Roman" w:hAnsi="Times New Roman" w:cs="Times New Roman"/>
          <w:sz w:val="28"/>
          <w:szCs w:val="28"/>
        </w:rPr>
        <w:t>Международного технического комитета ISO/TC 289 «Оценка бренда»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  <w:r w:rsidRPr="007B5DFD">
        <w:rPr>
          <w:rFonts w:ascii="Times New Roman" w:hAnsi="Times New Roman" w:cs="Times New Roman"/>
          <w:sz w:val="28"/>
          <w:szCs w:val="28"/>
        </w:rPr>
        <w:t xml:space="preserve">. Технический комитет занимается стандартизацией оценки </w:t>
      </w:r>
      <w:r w:rsidR="00CE4AE0">
        <w:rPr>
          <w:rFonts w:ascii="Times New Roman" w:hAnsi="Times New Roman" w:cs="Times New Roman"/>
          <w:sz w:val="28"/>
          <w:szCs w:val="28"/>
        </w:rPr>
        <w:t xml:space="preserve">брендов. Российские эксперты и </w:t>
      </w:r>
      <w:r w:rsidRPr="007B5DFD">
        <w:rPr>
          <w:rFonts w:ascii="Times New Roman" w:hAnsi="Times New Roman" w:cs="Times New Roman"/>
          <w:sz w:val="28"/>
          <w:szCs w:val="28"/>
        </w:rPr>
        <w:t>практики также движутся в этом направлении, предлагая собственные наработки. Окончательную редакцию стандарта члены комитета планируют опубликовать уже в 2018 году. Начало разработки документов,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5DFD">
        <w:rPr>
          <w:rFonts w:ascii="Times New Roman" w:hAnsi="Times New Roman" w:cs="Times New Roman"/>
          <w:sz w:val="28"/>
          <w:szCs w:val="28"/>
        </w:rPr>
        <w:t xml:space="preserve">тированных федеральным законом «О Стандартизации», работа экспертов в области оценки стоимости брендов – следствие смещения интересов в сторону оценки влияния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бренда н</w:t>
      </w:r>
      <w:r w:rsidR="00CE4AE0">
        <w:rPr>
          <w:rFonts w:ascii="Times New Roman" w:hAnsi="Times New Roman" w:cs="Times New Roman"/>
          <w:sz w:val="28"/>
          <w:szCs w:val="28"/>
        </w:rPr>
        <w:t>а показатели стоимости компаний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не только представителей бизнеса, но и российского экспертного сообщества.</w:t>
      </w:r>
    </w:p>
    <w:p w14:paraId="6831CCAB" w14:textId="77777777" w:rsidR="00581F33" w:rsidRPr="00E529B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9BD">
        <w:rPr>
          <w:rFonts w:ascii="Times New Roman" w:hAnsi="Times New Roman" w:cs="Times New Roman"/>
          <w:i/>
          <w:sz w:val="28"/>
          <w:szCs w:val="28"/>
        </w:rPr>
        <w:t>Выводы по главе</w:t>
      </w:r>
    </w:p>
    <w:p w14:paraId="5985A1CC" w14:textId="3354885C" w:rsidR="00581F33" w:rsidRPr="00E529B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BD">
        <w:rPr>
          <w:rFonts w:ascii="Times New Roman" w:hAnsi="Times New Roman" w:cs="Times New Roman"/>
          <w:sz w:val="28"/>
          <w:szCs w:val="28"/>
        </w:rPr>
        <w:t xml:space="preserve">Одна из главных проблем маркетинга заключается в том, что нет единого определения бренда: этот термин по-разному используется авторами для охвата широкого круга характеристик. В главе представлены основные концепции   определений «бренда», а также была сделана попытка обобщить ключевые идеи в систематизированном понятии. </w:t>
      </w:r>
    </w:p>
    <w:p w14:paraId="769CFB9A" w14:textId="77777777" w:rsidR="00581F33" w:rsidRPr="00E529B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BD">
        <w:rPr>
          <w:rFonts w:ascii="Times New Roman" w:hAnsi="Times New Roman" w:cs="Times New Roman"/>
          <w:sz w:val="28"/>
          <w:szCs w:val="28"/>
        </w:rPr>
        <w:t xml:space="preserve">Сильные бренды вызывают эмоциональную привязанность потребителей, являясь, тем самым, причиной устойчивого роста и снижения рисков. Анализ стоимости бренда имеет решающую роль в управлении рыночной стоимостью всего бизнеса.  </w:t>
      </w:r>
    </w:p>
    <w:p w14:paraId="7F6D43BE" w14:textId="77777777" w:rsidR="00581F33" w:rsidRPr="00B07407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B07407" w:rsidSect="000B4FAC"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1DCCD985" w14:textId="77777777" w:rsidR="00581F33" w:rsidRPr="00CE4AE0" w:rsidRDefault="00581F33" w:rsidP="00581F33">
      <w:pPr>
        <w:pStyle w:val="10"/>
        <w:rPr>
          <w:lang w:val="ru-RU"/>
        </w:rPr>
      </w:pPr>
      <w:bookmarkStart w:id="23" w:name="_Toc481137250"/>
      <w:r w:rsidRPr="00CE4AE0">
        <w:rPr>
          <w:lang w:val="ru-RU"/>
        </w:rPr>
        <w:lastRenderedPageBreak/>
        <w:t>Глава 2 Анализ подходов и методов оценки стоимости бренда</w:t>
      </w:r>
      <w:bookmarkEnd w:id="23"/>
    </w:p>
    <w:p w14:paraId="56C182C8" w14:textId="54F2DCAA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В настоящее время общеизвестно, что оценка бизнеса не сводится к оценке </w:t>
      </w:r>
      <w:r w:rsidR="008E3797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B5DFD">
        <w:rPr>
          <w:rFonts w:ascii="Times New Roman" w:hAnsi="Times New Roman" w:cs="Times New Roman"/>
          <w:sz w:val="28"/>
          <w:szCs w:val="28"/>
        </w:rPr>
        <w:t>имущественного комплекса и именно нематериальные активы создают добавочную стоимость. Отсюда появляются и новые направления развития компании, такие как ценностно-ориентированный менеджмент, бренд-менеджмент и маркетинг, ориентированный на стоимость.</w:t>
      </w:r>
    </w:p>
    <w:p w14:paraId="58C306B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Бренды рассматриваются как стратегические активы, стоимость которых сильно коррелирует с рыночной стоимостью компаний. Трудность оценки бренда начинается с его определения. Каждая компания имеет имя, но не каждая выходит за рамки простой идентичности и становится брендом.</w:t>
      </w:r>
    </w:p>
    <w:p w14:paraId="4CE5DFC4" w14:textId="0889E235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Преимущества в расчете стоимости бренда не ограничиваются получением справедливой цены сделки слияния и поглощения. Оценка стоимости бренда – необходимое условие для создания сильного бренда, а также является гарантией того, что ресурсы будут надлежащим образом эффективно использованы. </w:t>
      </w:r>
    </w:p>
    <w:p w14:paraId="29C64602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Учитывая, что результаты оценки могут различаться в зависимости от целей и задач, не может существовать единое, уникальное значение для бренда. В зависимости от цели оценки и используемого метода, конечный результат будет более или менее достоверным, более или менее субъективным, основанным на исторических или прогнозных вводных.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Для получения наиболее точного и справедливого результата оценки бренда (как и любого другого маркетингового актива) следует придерживаться принципов:</w:t>
      </w:r>
    </w:p>
    <w:p w14:paraId="36789278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1.   применяемый метод должен быть как можно более простым, а значит, легко объясняемым;</w:t>
      </w:r>
    </w:p>
    <w:p w14:paraId="4A97D3F8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2. применяемый метод должен опираться на как можно более проверяемую и понятную исходную информацию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3DABAAC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Стоимость бренда складывается под воздействием следующих пяти элементов:</w:t>
      </w:r>
    </w:p>
    <w:p w14:paraId="7DC3A4C0" w14:textId="77777777" w:rsidR="00581F33" w:rsidRPr="009A03CE" w:rsidRDefault="00581F33" w:rsidP="00581F33">
      <w:pPr>
        <w:pStyle w:val="a4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разницы в цене товара-бренда и аналогичного товара, не являющегося брендом, и объемом продаж за определенный период;</w:t>
      </w:r>
    </w:p>
    <w:p w14:paraId="559461BE" w14:textId="77777777" w:rsidR="00581F33" w:rsidRPr="009A03CE" w:rsidRDefault="00581F33" w:rsidP="00581F33">
      <w:pPr>
        <w:pStyle w:val="a4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экономии на затратах, связанных с продвижением на рынок товара (маркетинговые коммуникации);</w:t>
      </w:r>
    </w:p>
    <w:p w14:paraId="3876A9F0" w14:textId="77777777" w:rsidR="00581F33" w:rsidRPr="009A03CE" w:rsidRDefault="00581F33" w:rsidP="00581F33">
      <w:pPr>
        <w:pStyle w:val="a4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наличия наиболее благоприятной возможности для входа в новые рынки с более низкими затратами (например, на реализацию товара);</w:t>
      </w:r>
    </w:p>
    <w:p w14:paraId="3B6235F4" w14:textId="77777777" w:rsidR="00581F33" w:rsidRPr="009A03CE" w:rsidRDefault="00581F33" w:rsidP="00581F33">
      <w:pPr>
        <w:pStyle w:val="a4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создание серьезных барьеров для входа в соответствующую отрасль;</w:t>
      </w:r>
    </w:p>
    <w:p w14:paraId="41BC9C58" w14:textId="77777777" w:rsidR="00581F33" w:rsidRPr="009A03CE" w:rsidRDefault="00581F33" w:rsidP="00581F33">
      <w:pPr>
        <w:pStyle w:val="a4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благоприятной возможности использования торговых рычагов, выражающейся в том, что каналы распределения намного более позитивно реагируют на известные марочные товары.</w:t>
      </w:r>
    </w:p>
    <w:p w14:paraId="7BC6B97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драйвера роста бренда:</w:t>
      </w:r>
    </w:p>
    <w:p w14:paraId="11C6718A" w14:textId="77777777" w:rsidR="00581F33" w:rsidRPr="009A03CE" w:rsidRDefault="00581F33" w:rsidP="00581F33">
      <w:pPr>
        <w:pStyle w:val="a4"/>
        <w:numPr>
          <w:ilvl w:val="0"/>
          <w:numId w:val="13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правовая поддержка;</w:t>
      </w:r>
    </w:p>
    <w:p w14:paraId="04FE641F" w14:textId="77777777" w:rsidR="00581F33" w:rsidRPr="009A03CE" w:rsidRDefault="00581F33" w:rsidP="00581F33">
      <w:pPr>
        <w:pStyle w:val="a4"/>
        <w:numPr>
          <w:ilvl w:val="0"/>
          <w:numId w:val="13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стабильность продуктовой категории;</w:t>
      </w:r>
    </w:p>
    <w:p w14:paraId="2E53BA73" w14:textId="77777777" w:rsidR="00581F33" w:rsidRPr="009A03CE" w:rsidRDefault="00581F33" w:rsidP="00581F33">
      <w:pPr>
        <w:pStyle w:val="a4"/>
        <w:numPr>
          <w:ilvl w:val="0"/>
          <w:numId w:val="13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период присутствия фирмы на целевом рынке;</w:t>
      </w:r>
    </w:p>
    <w:p w14:paraId="5D24A8AA" w14:textId="77777777" w:rsidR="00581F33" w:rsidRPr="009A03CE" w:rsidRDefault="00581F33" w:rsidP="00581F33">
      <w:pPr>
        <w:pStyle w:val="a4"/>
        <w:numPr>
          <w:ilvl w:val="0"/>
          <w:numId w:val="13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рекламная и имидже</w:t>
      </w:r>
      <w:r w:rsidRPr="009A03CE">
        <w:rPr>
          <w:rFonts w:ascii="Times New Roman" w:hAnsi="Times New Roman" w:cs="Times New Roman"/>
          <w:sz w:val="28"/>
          <w:szCs w:val="28"/>
        </w:rPr>
        <w:t>вая активность;</w:t>
      </w:r>
    </w:p>
    <w:p w14:paraId="62676842" w14:textId="77777777" w:rsidR="00581F33" w:rsidRPr="009A03CE" w:rsidRDefault="00581F33" w:rsidP="00581F33">
      <w:pPr>
        <w:pStyle w:val="a4"/>
        <w:numPr>
          <w:ilvl w:val="0"/>
          <w:numId w:val="13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уровень конкуренции;</w:t>
      </w:r>
    </w:p>
    <w:p w14:paraId="34179866" w14:textId="77777777" w:rsidR="00581F33" w:rsidRPr="009A03CE" w:rsidRDefault="00581F33" w:rsidP="00581F33">
      <w:pPr>
        <w:pStyle w:val="a4"/>
        <w:numPr>
          <w:ilvl w:val="0"/>
          <w:numId w:val="13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занимаемая доля на целевом рынке;</w:t>
      </w:r>
    </w:p>
    <w:p w14:paraId="083E5487" w14:textId="77777777" w:rsidR="00581F33" w:rsidRPr="009A03CE" w:rsidRDefault="00581F33" w:rsidP="00581F33">
      <w:pPr>
        <w:pStyle w:val="a4"/>
        <w:numPr>
          <w:ilvl w:val="0"/>
          <w:numId w:val="13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стабильность или динамичность объема продаж;</w:t>
      </w:r>
    </w:p>
    <w:p w14:paraId="5A3D7FDB" w14:textId="77777777" w:rsidR="00581F33" w:rsidRPr="009A03CE" w:rsidRDefault="00581F33" w:rsidP="00581F33">
      <w:pPr>
        <w:pStyle w:val="a4"/>
        <w:numPr>
          <w:ilvl w:val="0"/>
          <w:numId w:val="13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продолжительность периода деловой активности;</w:t>
      </w:r>
    </w:p>
    <w:p w14:paraId="045ED2F9" w14:textId="77777777" w:rsidR="00581F33" w:rsidRPr="009A03CE" w:rsidRDefault="00581F33" w:rsidP="00581F33">
      <w:pPr>
        <w:pStyle w:val="a4"/>
        <w:numPr>
          <w:ilvl w:val="0"/>
          <w:numId w:val="13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перспективы развития отрасли.</w:t>
      </w:r>
    </w:p>
    <w:p w14:paraId="44D048D6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Управляя ключевыми факторами роста, менеджер не только способствует укреплению бренда на рынке, но и повышает тем самым капитализацию всего бизнеса.</w:t>
      </w:r>
    </w:p>
    <w:p w14:paraId="0587244B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Процесс оценки стоимости товарных брендов представл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5DFD">
        <w:rPr>
          <w:rFonts w:ascii="Times New Roman" w:hAnsi="Times New Roman" w:cs="Times New Roman"/>
          <w:sz w:val="28"/>
          <w:szCs w:val="28"/>
        </w:rPr>
        <w:t>ет собой сложную теоретическую и методологическую задачу. Это обусловлено тем, что бренд относится к категории трудно оцениваемых нематериальных активов. Кроме того, требуется наличие достоверной ретроспективной и прогнозной информации, касающейся объема продаж брендированного товара и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>ствующего ему уровня цен на достаточно продолжительную перспективу (5 – 10 лет), числовых оценок разных видов рисков (юридические риски – незащищенность бренда, несогласованность портфеля брендов – канибализация и др.), норм дисконта,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>ствующих определенным периодам времени, и др.</w:t>
      </w:r>
    </w:p>
    <w:p w14:paraId="2C880FF6" w14:textId="348EDF3F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Для получения достоверной статистической информации об объемах продаж, об</w:t>
      </w:r>
      <w:r>
        <w:rPr>
          <w:rFonts w:ascii="Times New Roman" w:hAnsi="Times New Roman" w:cs="Times New Roman"/>
          <w:sz w:val="28"/>
          <w:szCs w:val="28"/>
        </w:rPr>
        <w:t>ус</w:t>
      </w:r>
      <w:r w:rsidRPr="007B5DFD">
        <w:rPr>
          <w:rFonts w:ascii="Times New Roman" w:hAnsi="Times New Roman" w:cs="Times New Roman"/>
          <w:sz w:val="28"/>
          <w:szCs w:val="28"/>
        </w:rPr>
        <w:t>ловленных влиянием бренда, необходимо учитывать не только анализ покупательского поведения потребителей, но и внедрение инноваций, улучшение менеджмента, внедрение объектов интеллектуальной собственности и т.</w:t>
      </w:r>
      <w:r w:rsidR="00065E6D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д.</w:t>
      </w:r>
    </w:p>
    <w:p w14:paraId="7AD92B7A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Процесс проведения финансовой оценки бренда может состоять из следующих этапов:</w:t>
      </w:r>
    </w:p>
    <w:p w14:paraId="3AA29771" w14:textId="74AA224F" w:rsidR="00217C16" w:rsidRPr="00217C16" w:rsidRDefault="00217C16" w:rsidP="00217C16">
      <w:pPr>
        <w:pStyle w:val="a4"/>
        <w:numPr>
          <w:ilvl w:val="0"/>
          <w:numId w:val="1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 и условий использования оценки;</w:t>
      </w:r>
    </w:p>
    <w:p w14:paraId="7865E2B9" w14:textId="77777777" w:rsidR="00581F33" w:rsidRPr="00416E39" w:rsidRDefault="00581F33" w:rsidP="00581F33">
      <w:pPr>
        <w:pStyle w:val="a4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6E39">
        <w:rPr>
          <w:rFonts w:ascii="Times New Roman" w:hAnsi="Times New Roman" w:cs="Times New Roman"/>
          <w:sz w:val="28"/>
          <w:szCs w:val="28"/>
        </w:rPr>
        <w:t xml:space="preserve">макроэкономический обзор и анализ рынка, его объема и отпускных цен, темпов роста; </w:t>
      </w:r>
    </w:p>
    <w:p w14:paraId="77B7D9B3" w14:textId="77777777" w:rsidR="00581F33" w:rsidRPr="009A03CE" w:rsidRDefault="00581F33" w:rsidP="00581F33">
      <w:pPr>
        <w:pStyle w:val="a4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анализ условий лицензионного соглашения (при наличии);</w:t>
      </w:r>
    </w:p>
    <w:p w14:paraId="6327AA07" w14:textId="77777777" w:rsidR="00581F33" w:rsidRPr="009A03CE" w:rsidRDefault="00581F33" w:rsidP="00581F33">
      <w:pPr>
        <w:pStyle w:val="a4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выбор приемлемых для проведения оценки подходов и методов с учетом поставленных целей и задач оценки;</w:t>
      </w:r>
    </w:p>
    <w:p w14:paraId="03B2AE15" w14:textId="77777777" w:rsidR="00581F33" w:rsidRPr="009A03CE" w:rsidRDefault="00581F33" w:rsidP="00581F33">
      <w:pPr>
        <w:pStyle w:val="a4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lastRenderedPageBreak/>
        <w:t>проведение расчетов, необходимых для определения рыночной стоимости Объекта оценки в рамках выбранных подходов;</w:t>
      </w:r>
    </w:p>
    <w:p w14:paraId="78CCFF71" w14:textId="77777777" w:rsidR="00581F33" w:rsidRPr="009A03CE" w:rsidRDefault="00581F33" w:rsidP="00581F33">
      <w:pPr>
        <w:pStyle w:val="a4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согласование результатов, вывод о рыночной стоимости Объекта оценки;</w:t>
      </w:r>
    </w:p>
    <w:p w14:paraId="6B708B82" w14:textId="77777777" w:rsidR="00581F33" w:rsidRPr="009A03CE" w:rsidRDefault="00581F33" w:rsidP="00581F33">
      <w:pPr>
        <w:pStyle w:val="a4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A03CE">
        <w:rPr>
          <w:rFonts w:ascii="Times New Roman" w:hAnsi="Times New Roman" w:cs="Times New Roman"/>
          <w:sz w:val="28"/>
          <w:szCs w:val="28"/>
        </w:rPr>
        <w:t>готовка отчета об оценке.</w:t>
      </w:r>
    </w:p>
    <w:p w14:paraId="57A4E500" w14:textId="0ACCF808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Нематериальные активы необходимо оценивать с учетом целесообразности применения: доходного, сравнительного (рыночного) и затратного подходов. Несмотря на необходимость рассмотрения всех трех подходов при оценке стоимости, фактическая суть лицензионного соглашения, характер актива и наличие доступной информации определяют целесообразность использования того или иного метода. </w:t>
      </w:r>
    </w:p>
    <w:p w14:paraId="6BF204B1" w14:textId="09229718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A75258">
        <w:rPr>
          <w:rFonts w:ascii="Times New Roman" w:hAnsi="Times New Roman" w:cs="Times New Roman"/>
          <w:sz w:val="28"/>
          <w:szCs w:val="28"/>
        </w:rPr>
        <w:t>традиционных методов</w:t>
      </w:r>
      <w:r w:rsidRPr="007B5DFD">
        <w:rPr>
          <w:rFonts w:ascii="Times New Roman" w:hAnsi="Times New Roman" w:cs="Times New Roman"/>
          <w:sz w:val="28"/>
          <w:szCs w:val="28"/>
        </w:rPr>
        <w:t xml:space="preserve"> существуют и авторские, разработанные известными консалтинговыми и оценочными компаниями. Все они предложены западными специалистами. Это методы InterBrand, BrandFinance, BrandDynamics от Millward Brown, EquiTrend от Total Research, Brand Asset Valuator от You</w:t>
      </w:r>
      <w:r>
        <w:rPr>
          <w:rFonts w:ascii="Times New Roman" w:hAnsi="Times New Roman" w:cs="Times New Roman"/>
          <w:sz w:val="28"/>
          <w:szCs w:val="28"/>
        </w:rPr>
        <w:t>ng&amp;Rubicam, десятка показателей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капитала бренда от Д. Аакера и т.</w:t>
      </w:r>
      <w:r w:rsidR="00A75258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д.</w:t>
      </w:r>
      <w:r w:rsidR="00A75258">
        <w:rPr>
          <w:rFonts w:ascii="Times New Roman" w:hAnsi="Times New Roman" w:cs="Times New Roman"/>
          <w:sz w:val="28"/>
          <w:szCs w:val="28"/>
        </w:rPr>
        <w:t xml:space="preserve"> Не смотря на их разнообразие и уникальность, новые методы являются вариациями уже существующих.</w:t>
      </w:r>
    </w:p>
    <w:p w14:paraId="3EAAF662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Оценка стоимости бр</w:t>
      </w:r>
      <w:r>
        <w:rPr>
          <w:rFonts w:ascii="Times New Roman" w:hAnsi="Times New Roman" w:cs="Times New Roman"/>
          <w:sz w:val="28"/>
          <w:szCs w:val="28"/>
        </w:rPr>
        <w:t>енда связана с рядом трудностей</w:t>
      </w:r>
      <w:r w:rsidRPr="007B5DFD">
        <w:rPr>
          <w:rFonts w:ascii="Times New Roman" w:hAnsi="Times New Roman" w:cs="Times New Roman"/>
          <w:sz w:val="28"/>
          <w:szCs w:val="28"/>
        </w:rPr>
        <w:t>:</w:t>
      </w:r>
    </w:p>
    <w:p w14:paraId="3FBADFA6" w14:textId="77777777" w:rsidR="00581F33" w:rsidRPr="009A03CE" w:rsidRDefault="00581F33" w:rsidP="00581F33">
      <w:pPr>
        <w:pStyle w:val="a4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>нематериальная форма актива; следовательно, бренд обладает не формализуемыми в финансовом плане характеристиками, но влияющими на размер приносимой брендом прибыли. Такими характеристиками являются: лояльность потребителей, осведомленность среди целевой аудитории, ассоциации с брендом, имидж бренда, позиционирование бренда;</w:t>
      </w:r>
    </w:p>
    <w:p w14:paraId="7F22B92B" w14:textId="77777777" w:rsidR="00581F33" w:rsidRPr="009A03CE" w:rsidRDefault="00581F33" w:rsidP="00581F33">
      <w:pPr>
        <w:pStyle w:val="a4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 xml:space="preserve">так как речь идет о бизнесе, то ключевой вопрос – какой размер денежных потоков приносит актив? Какую долю в прибыли занимает бренд? На </w:t>
      </w:r>
      <w:r w:rsidRPr="009A03CE">
        <w:rPr>
          <w:rFonts w:ascii="Times New Roman" w:hAnsi="Times New Roman" w:cs="Times New Roman"/>
          <w:sz w:val="28"/>
          <w:szCs w:val="28"/>
        </w:rPr>
        <w:lastRenderedPageBreak/>
        <w:t>сегодняшний день не существует объективного метода опред</w:t>
      </w:r>
      <w:r>
        <w:rPr>
          <w:rFonts w:ascii="Times New Roman" w:hAnsi="Times New Roman" w:cs="Times New Roman"/>
          <w:sz w:val="28"/>
          <w:szCs w:val="28"/>
        </w:rPr>
        <w:t>еления финансовой отдачи бренда;</w:t>
      </w:r>
    </w:p>
    <w:p w14:paraId="7226ACF7" w14:textId="77777777" w:rsidR="00581F33" w:rsidRPr="009A03CE" w:rsidRDefault="00581F33" w:rsidP="00581F33">
      <w:pPr>
        <w:pStyle w:val="a4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вопрос, интересующий</w:t>
      </w:r>
      <w:r w:rsidRPr="009A03CE">
        <w:rPr>
          <w:rFonts w:ascii="Times New Roman" w:hAnsi="Times New Roman" w:cs="Times New Roman"/>
          <w:sz w:val="28"/>
          <w:szCs w:val="28"/>
        </w:rPr>
        <w:t xml:space="preserve"> любого инвестора, – какие рис</w:t>
      </w:r>
      <w:r>
        <w:rPr>
          <w:rFonts w:ascii="Times New Roman" w:hAnsi="Times New Roman" w:cs="Times New Roman"/>
          <w:sz w:val="28"/>
          <w:szCs w:val="28"/>
        </w:rPr>
        <w:t>ки несет в себе данный</w:t>
      </w:r>
      <w:r w:rsidRPr="009A03CE">
        <w:rPr>
          <w:rFonts w:ascii="Times New Roman" w:hAnsi="Times New Roman" w:cs="Times New Roman"/>
          <w:sz w:val="28"/>
          <w:szCs w:val="28"/>
        </w:rPr>
        <w:t xml:space="preserve"> актив и как эти риски влияют на стоимость бренда?</w:t>
      </w:r>
    </w:p>
    <w:p w14:paraId="50C673CB" w14:textId="77777777" w:rsidR="00581F33" w:rsidRPr="009A03CE" w:rsidRDefault="00581F33" w:rsidP="00581F33">
      <w:pPr>
        <w:pStyle w:val="a4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03CE">
        <w:rPr>
          <w:rFonts w:ascii="Times New Roman" w:hAnsi="Times New Roman" w:cs="Times New Roman"/>
          <w:sz w:val="28"/>
          <w:szCs w:val="28"/>
        </w:rPr>
        <w:t xml:space="preserve">какую ставку дисконтирования следует применять для приведения будущих потоков на бренд? Нематериальные активы, в том числе и бренд, обеспечивают более высокую доходность, при этом несут в себе и более существенные риски, нежели бизнес в целом.  </w:t>
      </w:r>
    </w:p>
    <w:p w14:paraId="68551A8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 оценке нематериальных активо</w:t>
      </w:r>
      <w:r>
        <w:rPr>
          <w:rFonts w:ascii="Times New Roman" w:hAnsi="Times New Roman" w:cs="Times New Roman"/>
          <w:sz w:val="28"/>
          <w:szCs w:val="28"/>
        </w:rPr>
        <w:t>в и, особенно, интеллектуальной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собственности доходному подходу принадлежит ос</w:t>
      </w:r>
      <w:r>
        <w:rPr>
          <w:rFonts w:ascii="Times New Roman" w:hAnsi="Times New Roman" w:cs="Times New Roman"/>
          <w:sz w:val="28"/>
          <w:szCs w:val="28"/>
        </w:rPr>
        <w:t>обое место как подходу, который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наиболее достоверно отраж</w:t>
      </w:r>
      <w:r>
        <w:rPr>
          <w:rFonts w:ascii="Times New Roman" w:hAnsi="Times New Roman" w:cs="Times New Roman"/>
          <w:sz w:val="28"/>
          <w:szCs w:val="28"/>
        </w:rPr>
        <w:t>ает их дей</w:t>
      </w:r>
      <w:r w:rsidRPr="007B5DFD">
        <w:rPr>
          <w:rFonts w:ascii="Times New Roman" w:hAnsi="Times New Roman" w:cs="Times New Roman"/>
          <w:sz w:val="28"/>
          <w:szCs w:val="28"/>
        </w:rPr>
        <w:t>ствительную ценность</w:t>
      </w:r>
      <w:r>
        <w:rPr>
          <w:rFonts w:ascii="Times New Roman" w:hAnsi="Times New Roman" w:cs="Times New Roman"/>
          <w:sz w:val="28"/>
          <w:szCs w:val="28"/>
        </w:rPr>
        <w:t>. Базой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доходного подхода явл</w:t>
      </w:r>
      <w:r>
        <w:rPr>
          <w:rFonts w:ascii="Times New Roman" w:hAnsi="Times New Roman" w:cs="Times New Roman"/>
          <w:sz w:val="28"/>
          <w:szCs w:val="28"/>
        </w:rPr>
        <w:t>яется принцип ожидания, который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устанавливает, что стоимость со</w:t>
      </w:r>
      <w:r>
        <w:rPr>
          <w:rFonts w:ascii="Times New Roman" w:hAnsi="Times New Roman" w:cs="Times New Roman"/>
          <w:sz w:val="28"/>
          <w:szCs w:val="28"/>
        </w:rPr>
        <w:t>бственности определяется суммой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текущих (привед</w:t>
      </w:r>
      <w:r>
        <w:rPr>
          <w:rFonts w:ascii="Times New Roman" w:hAnsi="Times New Roman" w:cs="Times New Roman"/>
          <w:sz w:val="28"/>
          <w:szCs w:val="28"/>
        </w:rPr>
        <w:t>енных к дате оценки) стоимостей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всех будущих выгод, получение которых она обеспечивает своему владельцу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8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23E7501D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Затратный подход (на основе издержек) оценивает бренд согласно стоимости его развития. Подход опирается на анализ прошлого и неопровержимые факты. В целом, затратный подход наиболее подходит для оценки тех активов, которые могут быть легко заменимыми, такими как программное обеспечение или базы данных клиентов.</w:t>
      </w:r>
    </w:p>
    <w:p w14:paraId="7BF91C4F" w14:textId="0430841E" w:rsidR="00581F33" w:rsidRPr="007B5DFD" w:rsidRDefault="000A0AF2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Идея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сравнительного подхода строится исходя из рыночных оценок аналогичного или наиболее похожего бренда, чья стоимость известна. </w:t>
      </w:r>
      <w:r w:rsidR="00581F33">
        <w:rPr>
          <w:rFonts w:ascii="Times New Roman" w:hAnsi="Times New Roman" w:cs="Times New Roman"/>
          <w:sz w:val="28"/>
          <w:szCs w:val="28"/>
        </w:rPr>
        <w:t xml:space="preserve"> Данный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подход приемлем, когда актив не уникален и на рынке есть достаточные сопоставимые транзакции. </w:t>
      </w:r>
    </w:p>
    <w:p w14:paraId="1EBFF03F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 рамках описанных подходов используются различные методы оценки стоимости бренда, уместность которых во многом определяется особенностями конкретной хозяйственной ситуации.</w:t>
      </w:r>
    </w:p>
    <w:p w14:paraId="447069F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279D2037" w14:textId="77777777" w:rsidR="00581F33" w:rsidRPr="007B5DFD" w:rsidRDefault="00581F33" w:rsidP="00581F33">
      <w:pPr>
        <w:pStyle w:val="20"/>
      </w:pPr>
      <w:bookmarkStart w:id="24" w:name="_Toc481137251"/>
      <w:r w:rsidRPr="007B5DFD">
        <w:lastRenderedPageBreak/>
        <w:t>2.1 Ставка дисконтирования</w:t>
      </w:r>
      <w:bookmarkEnd w:id="24"/>
    </w:p>
    <w:p w14:paraId="51E99367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Литература, касающаяся ставки дисконтирования, которая должна применяться при оценке бренда или нематериальных активов, очень ограничена.</w:t>
      </w:r>
    </w:p>
    <w:p w14:paraId="08C8C3D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Коэффициенты дисконтирования для оценки бренда по доходному подходу обычно получают с помощью модели CAPM (</w:t>
      </w:r>
      <w:r w:rsidRPr="009D5EF7">
        <w:rPr>
          <w:rFonts w:ascii="Times New Roman" w:hAnsi="Times New Roman" w:cs="Times New Roman"/>
          <w:sz w:val="28"/>
          <w:szCs w:val="28"/>
        </w:rPr>
        <w:t>capital asset pricing model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B5DFD">
        <w:rPr>
          <w:rFonts w:ascii="Times New Roman" w:hAnsi="Times New Roman" w:cs="Times New Roman"/>
          <w:sz w:val="28"/>
          <w:szCs w:val="28"/>
        </w:rPr>
        <w:t>модель оценки стоимости капитальных активов), WACC (weighted average cost of capital – средневзвешенная стоимость капитала) и WARA (weighted average return on assets – средневзвешенная норма требуемой доходности по отдельным активам). Средневзвешенная доходность активов представляет собой совместную норму дохода на различные виды материальных и нематериальных активов.</w:t>
      </w:r>
    </w:p>
    <w:p w14:paraId="190CE3E6" w14:textId="35824286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Гипотеза WARA заключается в том, что каждый класс активо</w:t>
      </w:r>
      <w:r w:rsidR="00CE4AE0">
        <w:rPr>
          <w:rFonts w:ascii="Times New Roman" w:hAnsi="Times New Roman" w:cs="Times New Roman"/>
          <w:sz w:val="28"/>
          <w:szCs w:val="28"/>
        </w:rPr>
        <w:t xml:space="preserve">в компании </w:t>
      </w:r>
      <w:r w:rsidRPr="007B5DFD">
        <w:rPr>
          <w:rFonts w:ascii="Times New Roman" w:hAnsi="Times New Roman" w:cs="Times New Roman"/>
          <w:sz w:val="28"/>
          <w:szCs w:val="28"/>
        </w:rPr>
        <w:t>(производственное обор</w:t>
      </w:r>
      <w:r w:rsidR="00CE4AE0">
        <w:rPr>
          <w:rFonts w:ascii="Times New Roman" w:hAnsi="Times New Roman" w:cs="Times New Roman"/>
          <w:sz w:val="28"/>
          <w:szCs w:val="28"/>
        </w:rPr>
        <w:t xml:space="preserve">удование, финансовые вложения, </w:t>
      </w:r>
      <w:r w:rsidRPr="007B5DFD">
        <w:rPr>
          <w:rFonts w:ascii="Times New Roman" w:hAnsi="Times New Roman" w:cs="Times New Roman"/>
          <w:sz w:val="28"/>
          <w:szCs w:val="28"/>
        </w:rPr>
        <w:t xml:space="preserve">бренд) несет </w:t>
      </w:r>
      <w:r w:rsidR="009A483C">
        <w:rPr>
          <w:rFonts w:ascii="Times New Roman" w:hAnsi="Times New Roman" w:cs="Times New Roman"/>
          <w:sz w:val="28"/>
          <w:szCs w:val="28"/>
        </w:rPr>
        <w:t xml:space="preserve">в себе </w:t>
      </w:r>
      <w:r w:rsidRPr="007B5DFD">
        <w:rPr>
          <w:rFonts w:ascii="Times New Roman" w:hAnsi="Times New Roman" w:cs="Times New Roman"/>
          <w:sz w:val="28"/>
          <w:szCs w:val="28"/>
        </w:rPr>
        <w:t>уникальную норму доходности</w:t>
      </w:r>
      <w:r w:rsidR="00DC7225">
        <w:rPr>
          <w:rStyle w:val="a8"/>
          <w:rFonts w:ascii="Times New Roman" w:hAnsi="Times New Roman" w:cs="Times New Roman"/>
          <w:sz w:val="28"/>
          <w:szCs w:val="28"/>
        </w:rPr>
        <w:footnoteReference w:id="19"/>
      </w:r>
      <w:r w:rsidRPr="007B5DFD">
        <w:rPr>
          <w:rFonts w:ascii="Times New Roman" w:hAnsi="Times New Roman" w:cs="Times New Roman"/>
          <w:sz w:val="28"/>
          <w:szCs w:val="28"/>
        </w:rPr>
        <w:t xml:space="preserve">. Материальные активы, как правило, </w:t>
      </w:r>
      <w:r w:rsidR="00B209DD">
        <w:rPr>
          <w:rFonts w:ascii="Times New Roman" w:hAnsi="Times New Roman" w:cs="Times New Roman"/>
          <w:sz w:val="28"/>
          <w:szCs w:val="28"/>
        </w:rPr>
        <w:t>приносят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более низкую норму возврата. Они могут быть представлены в качестве залога при привлечении заемного капитала, а также, как правило, обеспечивают большую определенность в ожидаемых поступлениях, что снижает риск для инвестора. Для нематериальных активов, напротив, требуемая норма дохода выше исходя из тех же вышеупомянутых факторов.</w:t>
      </w:r>
    </w:p>
    <w:p w14:paraId="1E8FA029" w14:textId="2B1DD16C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Как правило, анализ ставки дисконтирования для оценки бренда начинается с нахождени</w:t>
      </w:r>
      <w:r w:rsidR="00DC2BD9">
        <w:rPr>
          <w:rFonts w:ascii="Times New Roman" w:hAnsi="Times New Roman" w:cs="Times New Roman"/>
          <w:sz w:val="28"/>
          <w:szCs w:val="28"/>
        </w:rPr>
        <w:t>я WACC для оцениваемого бизнеса</w:t>
      </w:r>
      <w:r w:rsidRPr="007B5DFD">
        <w:rPr>
          <w:rFonts w:ascii="Times New Roman" w:hAnsi="Times New Roman" w:cs="Times New Roman"/>
          <w:sz w:val="28"/>
          <w:szCs w:val="28"/>
        </w:rPr>
        <w:t xml:space="preserve">. Необходимо проанализировать, выше или ниже риск бренда, чем общий деловой риск. Некоторые авторы утверждают, что бренды требуют дополнительную премию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за риск неликвидности, т.</w:t>
      </w:r>
      <w:r w:rsidR="005E7FB5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к. бренды не торгуются на активных рынках. Другие авторы утверждают, что бренды снижают волатильность и вносят важный вклад в стабилизацию будущих доходов бизнеса. Следовательно, они уменьшают коммерческий риск и ставку дисконтирования. Консенсус между двумя противоположными точками зрения отсутствует. Это в определенной мере доказывают существенные различия между оценками одних и тех же брендов, но различными консалтинговыми компаниями, такими как: Interbrand, BrandFinance, Milward Brown, Pricewaterhouse и др.</w:t>
      </w:r>
    </w:p>
    <w:p w14:paraId="070001D1" w14:textId="021585E2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Авторы Рейли и Швейхс утверждают, в качестве требуемой доходности нематериального актива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может использоваться WACC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0"/>
      </w:r>
      <w:r w:rsidRPr="007B5DFD">
        <w:rPr>
          <w:rFonts w:ascii="Times New Roman" w:hAnsi="Times New Roman" w:cs="Times New Roman"/>
          <w:sz w:val="28"/>
          <w:szCs w:val="28"/>
        </w:rPr>
        <w:t xml:space="preserve">. Однако для оценки требуемой нормы доходности необходимо отразить дополнительные риски, связанные с характером нематериального актива. </w:t>
      </w:r>
      <w:r w:rsidR="00D654AF">
        <w:rPr>
          <w:rFonts w:ascii="Times New Roman" w:hAnsi="Times New Roman" w:cs="Times New Roman"/>
          <w:sz w:val="28"/>
          <w:szCs w:val="28"/>
        </w:rPr>
        <w:t>На взгляд</w:t>
      </w:r>
      <w:r w:rsidR="00405BA0">
        <w:rPr>
          <w:rFonts w:ascii="Times New Roman" w:hAnsi="Times New Roman" w:cs="Times New Roman"/>
          <w:sz w:val="28"/>
          <w:szCs w:val="28"/>
        </w:rPr>
        <w:t xml:space="preserve"> автора, и</w:t>
      </w:r>
      <w:r w:rsidRPr="007B5DFD">
        <w:rPr>
          <w:rFonts w:ascii="Times New Roman" w:hAnsi="Times New Roman" w:cs="Times New Roman"/>
          <w:sz w:val="28"/>
          <w:szCs w:val="28"/>
        </w:rPr>
        <w:t>спользование WACC в качестве ставки дисконтирования будет в значительной степени переоценивать стоимость бренда.</w:t>
      </w:r>
    </w:p>
    <w:p w14:paraId="265255E4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Расчетная ставка WARA учитывает доходность каждого из активов.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По сути, WARA и WACC являются равнозначными измерителями доходности, однако принцип их расче</w:t>
      </w:r>
      <w:r>
        <w:rPr>
          <w:rFonts w:ascii="Times New Roman" w:hAnsi="Times New Roman" w:cs="Times New Roman"/>
          <w:sz w:val="28"/>
          <w:szCs w:val="28"/>
        </w:rPr>
        <w:t>та диаметрально противоположный</w:t>
      </w:r>
      <w:r w:rsidRPr="007B5DFD">
        <w:rPr>
          <w:rFonts w:ascii="Times New Roman" w:hAnsi="Times New Roman" w:cs="Times New Roman"/>
          <w:sz w:val="28"/>
          <w:szCs w:val="28"/>
        </w:rPr>
        <w:t>. При расчете WACC за базу берутся источн</w:t>
      </w:r>
      <w:r>
        <w:rPr>
          <w:rFonts w:ascii="Times New Roman" w:hAnsi="Times New Roman" w:cs="Times New Roman"/>
          <w:sz w:val="28"/>
          <w:szCs w:val="28"/>
        </w:rPr>
        <w:t>ики финансирования (собственный и заемный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капиталы), и определяется требуемая доходность на вложенные средства. Для расчета WARA определяется доходность активов (инвестиционных решений). Так как величина активов и источников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B5DFD">
        <w:rPr>
          <w:rFonts w:ascii="Times New Roman" w:hAnsi="Times New Roman" w:cs="Times New Roman"/>
          <w:sz w:val="28"/>
          <w:szCs w:val="28"/>
        </w:rPr>
        <w:t xml:space="preserve">формирования должна совпадать, ставки теоретически </w:t>
      </w:r>
      <w:r>
        <w:rPr>
          <w:rFonts w:ascii="Times New Roman" w:hAnsi="Times New Roman" w:cs="Times New Roman"/>
          <w:sz w:val="28"/>
          <w:szCs w:val="28"/>
        </w:rPr>
        <w:t>должны давать одинаковый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результат:</w:t>
      </w:r>
    </w:p>
    <w:p w14:paraId="3FB5D0B0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WACC = WARA.</w:t>
      </w:r>
    </w:p>
    <w:p w14:paraId="3D13C701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Таким образом, возможно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DFD">
        <w:rPr>
          <w:rFonts w:ascii="Times New Roman" w:hAnsi="Times New Roman" w:cs="Times New Roman"/>
          <w:sz w:val="28"/>
          <w:szCs w:val="28"/>
        </w:rPr>
        <w:t>считать требуемую норму доход</w:t>
      </w:r>
      <w:r>
        <w:rPr>
          <w:rFonts w:ascii="Times New Roman" w:hAnsi="Times New Roman" w:cs="Times New Roman"/>
          <w:sz w:val="28"/>
          <w:szCs w:val="28"/>
        </w:rPr>
        <w:t>а на оцениваемый нематериальный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актив.</w:t>
      </w:r>
    </w:p>
    <w:p w14:paraId="3AC64DC0" w14:textId="77777777" w:rsidR="00581F33" w:rsidRPr="00404FF7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для расчета </w:t>
      </w:r>
      <w:r>
        <w:rPr>
          <w:rFonts w:ascii="Times New Roman" w:hAnsi="Times New Roman" w:cs="Times New Roman"/>
          <w:sz w:val="28"/>
          <w:szCs w:val="28"/>
          <w:lang w:val="en-US"/>
        </w:rPr>
        <w:t>WACC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A1972A" w14:textId="55C275AF" w:rsidR="00581F33" w:rsidRPr="007B5DFD" w:rsidRDefault="00581F33" w:rsidP="00967A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WACC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ЗК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ЗК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3A41D7">
        <w:rPr>
          <w:rFonts w:ascii="Times New Roman" w:hAnsi="Times New Roman" w:cs="Times New Roman"/>
          <w:sz w:val="28"/>
          <w:szCs w:val="28"/>
        </w:rPr>
        <w:t xml:space="preserve"> </w:t>
      </w:r>
      <w:r w:rsidR="00967A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A41D7">
        <w:rPr>
          <w:rFonts w:ascii="Times New Roman" w:hAnsi="Times New Roman" w:cs="Times New Roman"/>
          <w:sz w:val="28"/>
          <w:szCs w:val="28"/>
        </w:rPr>
        <w:t>(1)</w:t>
      </w:r>
    </w:p>
    <w:p w14:paraId="42CBFA83" w14:textId="21B3C5AF" w:rsidR="00581F33" w:rsidRPr="007B5DFD" w:rsidRDefault="00F31275" w:rsidP="00F31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норма дохода на собственный капитал;</w:t>
      </w:r>
    </w:p>
    <w:p w14:paraId="26563AB3" w14:textId="7777777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доля собственного капитала;</w:t>
      </w:r>
    </w:p>
    <w:p w14:paraId="5516A6F7" w14:textId="7777777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581F33" w:rsidRPr="007B5DFD">
        <w:rPr>
          <w:rFonts w:ascii="Times New Roman" w:hAnsi="Times New Roman" w:cs="Times New Roman"/>
          <w:sz w:val="28"/>
          <w:szCs w:val="28"/>
        </w:rPr>
        <w:t>– процентная ставка по кредитам (в долгосрочной перспективе – рыночная, в краткосрочной перспективе – средневзвешенная, на размеры заимствований</w:t>
      </w:r>
      <w:r w:rsidR="00581F33">
        <w:rPr>
          <w:rFonts w:ascii="Times New Roman" w:hAnsi="Times New Roman" w:cs="Times New Roman"/>
          <w:sz w:val="28"/>
          <w:szCs w:val="28"/>
        </w:rPr>
        <w:t>, по кредитным соглашениям дей</w:t>
      </w:r>
      <w:r w:rsidR="00581F33" w:rsidRPr="007B5DFD">
        <w:rPr>
          <w:rFonts w:ascii="Times New Roman" w:hAnsi="Times New Roman" w:cs="Times New Roman"/>
          <w:sz w:val="28"/>
          <w:szCs w:val="28"/>
        </w:rPr>
        <w:t>ствующего предприятия);</w:t>
      </w:r>
    </w:p>
    <w:p w14:paraId="61102593" w14:textId="7777777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ЗК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доля заемного капитала;</w:t>
      </w:r>
    </w:p>
    <w:p w14:paraId="437E5C0F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90">
        <w:rPr>
          <w:rFonts w:ascii="Times New Roman" w:hAnsi="Times New Roman" w:cs="Times New Roman"/>
          <w:i/>
          <w:sz w:val="28"/>
          <w:szCs w:val="28"/>
        </w:rPr>
        <w:t>h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ставка налога на прибыль.</w:t>
      </w:r>
    </w:p>
    <w:p w14:paraId="619E7540" w14:textId="6B1AC0A0" w:rsidR="00581F33" w:rsidRPr="00404FF7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  <w:lang w:val="en-US"/>
        </w:rPr>
        <w:t>WARA</w:t>
      </w:r>
      <w:r w:rsidRPr="00CE4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по тому же принципу, что и </w:t>
      </w:r>
      <w:r>
        <w:rPr>
          <w:rFonts w:ascii="Times New Roman" w:hAnsi="Times New Roman" w:cs="Times New Roman"/>
          <w:sz w:val="28"/>
          <w:szCs w:val="28"/>
          <w:lang w:val="en-US"/>
        </w:rPr>
        <w:t>WACC</w:t>
      </w:r>
      <w:r>
        <w:rPr>
          <w:rFonts w:ascii="Times New Roman" w:hAnsi="Times New Roman" w:cs="Times New Roman"/>
          <w:sz w:val="28"/>
          <w:szCs w:val="28"/>
        </w:rPr>
        <w:t>, однако вместо капитала используются активы</w:t>
      </w:r>
      <w:r w:rsidR="00C571E7">
        <w:rPr>
          <w:rStyle w:val="a8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05153C" w14:textId="39E7FCA0" w:rsidR="00581F33" w:rsidRPr="007B5DFD" w:rsidRDefault="00581F33" w:rsidP="00967A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WARA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NWC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NWC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TFA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TFA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IA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  <w:r w:rsidR="00967A09">
        <w:rPr>
          <w:rFonts w:ascii="Times New Roman" w:hAnsi="Times New Roman" w:cs="Times New Roman"/>
          <w:sz w:val="28"/>
          <w:szCs w:val="28"/>
        </w:rPr>
        <w:t>,                                          (2)</w:t>
      </w:r>
    </w:p>
    <w:p w14:paraId="289A9AA8" w14:textId="0E7E72E2" w:rsidR="00581F33" w:rsidRPr="007B5DFD" w:rsidRDefault="00967A09" w:rsidP="00967A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581F33" w:rsidRPr="009E7290">
        <w:rPr>
          <w:rFonts w:ascii="Times New Roman" w:hAnsi="Times New Roman" w:cs="Times New Roman"/>
          <w:i/>
          <w:sz w:val="28"/>
          <w:szCs w:val="28"/>
        </w:rPr>
        <w:t>NWC (Net Working Capital)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чистый рабочий капитал. В российской практике пок</w:t>
      </w:r>
      <w:r w:rsidR="00581F33">
        <w:rPr>
          <w:rFonts w:ascii="Times New Roman" w:hAnsi="Times New Roman" w:cs="Times New Roman"/>
          <w:sz w:val="28"/>
          <w:szCs w:val="28"/>
        </w:rPr>
        <w:t>азатель известен под названием «</w:t>
      </w:r>
      <w:r w:rsidR="00581F33" w:rsidRPr="007B5DFD">
        <w:rPr>
          <w:rFonts w:ascii="Times New Roman" w:hAnsi="Times New Roman" w:cs="Times New Roman"/>
          <w:sz w:val="28"/>
          <w:szCs w:val="28"/>
        </w:rPr>
        <w:t>собственные оборотные средства»;</w:t>
      </w:r>
    </w:p>
    <w:p w14:paraId="4E2BDD25" w14:textId="7777777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NWC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норма дохода на рабочий капитал;</w:t>
      </w:r>
    </w:p>
    <w:p w14:paraId="03CFC48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90">
        <w:rPr>
          <w:rFonts w:ascii="Times New Roman" w:hAnsi="Times New Roman" w:cs="Times New Roman"/>
          <w:i/>
          <w:sz w:val="28"/>
          <w:szCs w:val="28"/>
        </w:rPr>
        <w:t>TFA (Tangible Fixed Assets)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основные средства;</w:t>
      </w:r>
    </w:p>
    <w:p w14:paraId="54B38B6B" w14:textId="668CBE8E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TFA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норма дохода на основные средства. За доходность основных средств разумно взять, например, лизинговую или арендную</w:t>
      </w:r>
      <w:r w:rsidR="00367B94">
        <w:rPr>
          <w:rFonts w:ascii="Times New Roman" w:hAnsi="Times New Roman" w:cs="Times New Roman"/>
          <w:sz w:val="28"/>
          <w:szCs w:val="28"/>
        </w:rPr>
        <w:t xml:space="preserve"> ставку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по соответствующему виду актива;</w:t>
      </w:r>
    </w:p>
    <w:p w14:paraId="06F864F0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90">
        <w:rPr>
          <w:rFonts w:ascii="Times New Roman" w:hAnsi="Times New Roman" w:cs="Times New Roman"/>
          <w:i/>
          <w:sz w:val="28"/>
          <w:szCs w:val="28"/>
        </w:rPr>
        <w:lastRenderedPageBreak/>
        <w:t>IA (Intangible Assets)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нематериальные активы (включая бренд). Величина нематериальных активов определяется как разница между стоимостью компании (Enterprise Value) и стоимостью остальных активов, отраженной в финансовой отчетности;</w:t>
      </w:r>
    </w:p>
    <w:p w14:paraId="0244EF3B" w14:textId="7777777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– норма дохода на </w:t>
      </w:r>
      <w:r w:rsidR="00581F33">
        <w:rPr>
          <w:rFonts w:ascii="Times New Roman" w:hAnsi="Times New Roman" w:cs="Times New Roman"/>
          <w:sz w:val="28"/>
          <w:szCs w:val="28"/>
        </w:rPr>
        <w:t>нематериальные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активы;</w:t>
      </w:r>
    </w:p>
    <w:p w14:paraId="299A6C13" w14:textId="77777777" w:rsidR="00581F33" w:rsidRPr="00DC38D9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E0">
        <w:rPr>
          <w:rFonts w:ascii="Times New Roman" w:hAnsi="Times New Roman" w:cs="Times New Roman"/>
          <w:sz w:val="28"/>
          <w:szCs w:val="28"/>
          <w:lang w:val="en-US"/>
        </w:rPr>
        <w:t xml:space="preserve">E + D (Enterprise value) – </w:t>
      </w:r>
      <w:r w:rsidRPr="007B5DFD">
        <w:rPr>
          <w:rFonts w:ascii="Times New Roman" w:hAnsi="Times New Roman" w:cs="Times New Roman"/>
          <w:sz w:val="28"/>
          <w:szCs w:val="28"/>
        </w:rPr>
        <w:t>стоимость</w:t>
      </w:r>
      <w:r w:rsidRPr="00CE4A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компании</w:t>
      </w:r>
      <w:r w:rsidRPr="00CE4AE0">
        <w:rPr>
          <w:rFonts w:ascii="Times New Roman" w:hAnsi="Times New Roman" w:cs="Times New Roman"/>
          <w:sz w:val="28"/>
          <w:szCs w:val="28"/>
          <w:lang w:val="en-US"/>
        </w:rPr>
        <w:t xml:space="preserve">: Equity value (E) + Debt value (D). </w:t>
      </w:r>
      <w:r>
        <w:rPr>
          <w:rFonts w:ascii="Times New Roman" w:hAnsi="Times New Roman" w:cs="Times New Roman"/>
          <w:sz w:val="28"/>
          <w:szCs w:val="28"/>
        </w:rPr>
        <w:t xml:space="preserve">Допустимо использование и балансовой стоимости. Важно учитывать соответствие видов стоимости в числителе и знаменателе. </w:t>
      </w:r>
    </w:p>
    <w:p w14:paraId="2430CCE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Приравнивая правые части уравнений WACC и WARA, выразим норму дохода на нематериальные активы (включая бренд):</w:t>
      </w:r>
    </w:p>
    <w:p w14:paraId="0563C7C6" w14:textId="5BD8C0A9" w:rsidR="00581F33" w:rsidRPr="00967A09" w:rsidRDefault="007E0728" w:rsidP="00967A0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WACC*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E+D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NWC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*NWC-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TFA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*TFA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IA</m:t>
            </m:r>
          </m:den>
        </m:f>
      </m:oMath>
      <w:r w:rsidR="00967A09">
        <w:rPr>
          <w:rFonts w:ascii="Times New Roman" w:hAnsi="Times New Roman" w:cs="Times New Roman"/>
          <w:i/>
          <w:sz w:val="28"/>
          <w:szCs w:val="28"/>
        </w:rPr>
        <w:t xml:space="preserve">,                                                             </w:t>
      </w:r>
      <w:r w:rsidR="00967A09" w:rsidRPr="00967A09">
        <w:rPr>
          <w:rFonts w:ascii="Times New Roman" w:hAnsi="Times New Roman" w:cs="Times New Roman"/>
          <w:sz w:val="28"/>
          <w:szCs w:val="28"/>
        </w:rPr>
        <w:t>(3)</w:t>
      </w:r>
    </w:p>
    <w:p w14:paraId="5FF3B618" w14:textId="1EAB6FC0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Описанное выше деление на три класса активов достаточно условное. Теоретически, активы </w:t>
      </w:r>
      <w:r w:rsidR="001F6845">
        <w:rPr>
          <w:rFonts w:ascii="Times New Roman" w:hAnsi="Times New Roman" w:cs="Times New Roman"/>
          <w:sz w:val="28"/>
          <w:szCs w:val="28"/>
        </w:rPr>
        <w:t>можно классифицировать</w:t>
      </w:r>
      <w:r w:rsidRPr="007B5DFD">
        <w:rPr>
          <w:rFonts w:ascii="Times New Roman" w:hAnsi="Times New Roman" w:cs="Times New Roman"/>
          <w:sz w:val="28"/>
          <w:szCs w:val="28"/>
        </w:rPr>
        <w:t xml:space="preserve"> на группы, имеющие равную доходность и риски. Таких групп может быть намного больше, чем три. Чем детальнее сгруппированы активы по нормам доходности, тем точнее результат.</w:t>
      </w:r>
    </w:p>
    <w:p w14:paraId="239D9548" w14:textId="1A0263B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Нормы доходности по каждому классу активов (рабочий капитал, материальные активы) могут рассчитываться на основании внутренних данных, предо</w:t>
      </w:r>
      <w:r w:rsidR="001F6845">
        <w:rPr>
          <w:rFonts w:ascii="Times New Roman" w:hAnsi="Times New Roman" w:cs="Times New Roman"/>
          <w:sz w:val="28"/>
          <w:szCs w:val="28"/>
        </w:rPr>
        <w:t>ставленных компанией, владеющей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брендом, либо приближенно с использованием индексов (например, индекса доходности от сдачи недвижимости в аренду или лизинговой ставки для материальных активов).</w:t>
      </w:r>
    </w:p>
    <w:p w14:paraId="6F74A77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Канадский институт дипломированных оценщиков бизнеса (The Canadian Institute of Chartered Business Valuators) предлагает следующее соотношение ставок дисконтирования. Каждому классу активов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 xml:space="preserve">вует определенный уровень риска и вознаграждения, на основании которых и устанавливается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 xml:space="preserve">ставка дисконтирования. На Рисунке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7B5DFD">
        <w:rPr>
          <w:rFonts w:ascii="Times New Roman" w:hAnsi="Times New Roman" w:cs="Times New Roman"/>
          <w:sz w:val="28"/>
          <w:szCs w:val="28"/>
        </w:rPr>
        <w:t>активы расположены по убыванию значения ставки дисконтирования.</w:t>
      </w:r>
    </w:p>
    <w:p w14:paraId="4AD5832B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2FA478" wp14:editId="62C58AC6">
            <wp:extent cx="6107430" cy="3763010"/>
            <wp:effectExtent l="0" t="0" r="0" b="0"/>
            <wp:docPr id="32" name="Picture 32" descr="Macintosh HD:Users:evgenia:Desktop:Снимок экрана 2017-03-31 в 2.17.44 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acintosh HD:Users:evgenia:Desktop:Снимок экрана 2017-03-31 в 2.17.44 ПП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3D929" w14:textId="230FE31B" w:rsidR="006536E9" w:rsidRPr="006536E9" w:rsidRDefault="006536E9" w:rsidP="006536E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Рисунок 9 Выбор требуемой ставки дисконтирования на основе соотношения риска и доходности</w:t>
      </w:r>
    </w:p>
    <w:p w14:paraId="59183542" w14:textId="5086B201" w:rsidR="006E7B0B" w:rsidRPr="006E7B0B" w:rsidRDefault="00581F33" w:rsidP="006E7B0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2EF7">
        <w:rPr>
          <w:rFonts w:ascii="Times New Roman" w:hAnsi="Times New Roman" w:cs="Times New Roman"/>
          <w:i/>
          <w:sz w:val="28"/>
          <w:szCs w:val="28"/>
        </w:rPr>
        <w:t>Источник</w:t>
      </w:r>
      <w:r w:rsidRPr="006E7B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6E7B0B" w:rsidRPr="006E7B0B">
        <w:rPr>
          <w:rFonts w:ascii="Times New Roman" w:hAnsi="Times New Roman" w:cs="Times New Roman"/>
          <w:i/>
          <w:sz w:val="28"/>
          <w:szCs w:val="28"/>
          <w:lang w:val="en-US"/>
        </w:rPr>
        <w:t>Illustrative Example of Intangible Asset Valuation // The Canadian Institute of Chartered Business Valuators – OECD URL: http://www.oecd.org/tax/transfer-pricing/47426115.pdf (</w:t>
      </w:r>
      <w:r w:rsidR="006E7B0B" w:rsidRPr="006E7B0B">
        <w:rPr>
          <w:rFonts w:ascii="Times New Roman" w:hAnsi="Times New Roman" w:cs="Times New Roman"/>
          <w:i/>
          <w:sz w:val="28"/>
          <w:szCs w:val="28"/>
        </w:rPr>
        <w:t>дата</w:t>
      </w:r>
      <w:r w:rsidR="006E7B0B" w:rsidRPr="006E7B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E7B0B" w:rsidRPr="006E7B0B">
        <w:rPr>
          <w:rFonts w:ascii="Times New Roman" w:hAnsi="Times New Roman" w:cs="Times New Roman"/>
          <w:i/>
          <w:sz w:val="28"/>
          <w:szCs w:val="28"/>
        </w:rPr>
        <w:t>обращения</w:t>
      </w:r>
      <w:r w:rsidR="006E7B0B" w:rsidRPr="006E7B0B">
        <w:rPr>
          <w:rFonts w:ascii="Times New Roman" w:hAnsi="Times New Roman" w:cs="Times New Roman"/>
          <w:i/>
          <w:sz w:val="28"/>
          <w:szCs w:val="28"/>
          <w:lang w:val="en-US"/>
        </w:rPr>
        <w:t>: 22.03.2017).</w:t>
      </w:r>
    </w:p>
    <w:p w14:paraId="6DC0447F" w14:textId="68B82B8F" w:rsidR="00581F33" w:rsidRPr="007B5DFD" w:rsidRDefault="00581F33" w:rsidP="006E7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Следует отметить, что схема не является универсальным решением для каждого случая оценки. Необходимо учитывать вид деятельности компании, условия ведения бизнеса и т.</w:t>
      </w:r>
      <w:r w:rsidR="001F6845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д.</w:t>
      </w:r>
    </w:p>
    <w:p w14:paraId="0410A00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Несмотря на попытки теоретиков разработать общепринятую методологию оценки, определение правильной ставки дисконтирования пока является «скорее искусством, чем наукой»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2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0CD7983E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45F82D62" w14:textId="77777777" w:rsidR="00581F33" w:rsidRPr="007B5DFD" w:rsidRDefault="00581F33" w:rsidP="00581F33">
      <w:pPr>
        <w:pStyle w:val="20"/>
      </w:pPr>
      <w:bookmarkStart w:id="25" w:name="_Toc481137252"/>
      <w:r w:rsidRPr="007B5DFD">
        <w:lastRenderedPageBreak/>
        <w:t>2.2 Затратный подход</w:t>
      </w:r>
      <w:bookmarkEnd w:id="25"/>
    </w:p>
    <w:p w14:paraId="5CF1DE8B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Затратный подход (cost based valuation aproach) исходит из предпосылки, что инвестор готов заплатить за нематериальный актив не более стоимости его создания/замещения. Считается, что затратный подход имеет ограниченное применение и во многих случаях его использование затруднено. Подход не рассматривает какие-либо коммерческие перспективы от использования материального актива в будущем. Поэтому для большинства нематериальных активов затратный подход редко соответствует определению «справедливой стоимости» (fair value).</w:t>
      </w:r>
    </w:p>
    <w:p w14:paraId="45F36173" w14:textId="41FA31EC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При таком подходе бренд оценивается с учетом стоимости его развития: исследование и разработка бренда, создание и поддержание, тестирование, усовершенствования продукта, продвижение на рынке, рекламные и имиджевые акции и т.</w:t>
      </w:r>
      <w:r w:rsidR="006F2724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д.</w:t>
      </w:r>
    </w:p>
    <w:p w14:paraId="24EE424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 рамках затратного подхода стоимость бренда определяется с помощью двух основных методов:</w:t>
      </w:r>
    </w:p>
    <w:p w14:paraId="6371A543" w14:textId="77777777" w:rsidR="00581F33" w:rsidRPr="000A53CA" w:rsidRDefault="00581F33" w:rsidP="00581F33">
      <w:pPr>
        <w:pStyle w:val="a4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A53CA">
        <w:rPr>
          <w:rFonts w:ascii="Times New Roman" w:hAnsi="Times New Roman" w:cs="Times New Roman"/>
          <w:sz w:val="28"/>
          <w:szCs w:val="28"/>
        </w:rPr>
        <w:t>оценки понесенных в прошлом затрат на создание и продвижение бренда (</w:t>
      </w:r>
      <w:r w:rsidRPr="000A53CA">
        <w:rPr>
          <w:rFonts w:ascii="Times New Roman" w:hAnsi="Times New Roman" w:cs="Times New Roman"/>
          <w:i/>
          <w:sz w:val="28"/>
          <w:szCs w:val="28"/>
        </w:rPr>
        <w:t>historical cost</w:t>
      </w:r>
      <w:r w:rsidRPr="000A53CA">
        <w:rPr>
          <w:rFonts w:ascii="Times New Roman" w:hAnsi="Times New Roman" w:cs="Times New Roman"/>
          <w:sz w:val="28"/>
          <w:szCs w:val="28"/>
        </w:rPr>
        <w:t>);</w:t>
      </w:r>
    </w:p>
    <w:p w14:paraId="19DDE4C4" w14:textId="77777777" w:rsidR="00581F33" w:rsidRPr="000A53CA" w:rsidRDefault="00581F33" w:rsidP="00581F33">
      <w:pPr>
        <w:pStyle w:val="a4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A53CA">
        <w:rPr>
          <w:rFonts w:ascii="Times New Roman" w:hAnsi="Times New Roman" w:cs="Times New Roman"/>
          <w:sz w:val="28"/>
          <w:szCs w:val="28"/>
        </w:rPr>
        <w:t>оценки необходимых расходов на воссоздание бренда (</w:t>
      </w:r>
      <w:r w:rsidRPr="000A53CA">
        <w:rPr>
          <w:rFonts w:ascii="Times New Roman" w:hAnsi="Times New Roman" w:cs="Times New Roman"/>
          <w:i/>
          <w:sz w:val="28"/>
          <w:szCs w:val="28"/>
        </w:rPr>
        <w:t>replacement cost</w:t>
      </w:r>
      <w:r w:rsidRPr="000A53CA">
        <w:rPr>
          <w:rFonts w:ascii="Times New Roman" w:hAnsi="Times New Roman" w:cs="Times New Roman"/>
          <w:sz w:val="28"/>
          <w:szCs w:val="28"/>
        </w:rPr>
        <w:t>).</w:t>
      </w:r>
    </w:p>
    <w:p w14:paraId="709DFC7B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 В общем виде данный подход можно записать формулой:</w:t>
      </w:r>
    </w:p>
    <w:p w14:paraId="77EBED3F" w14:textId="5DF56E65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967A09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(4)</w:t>
      </w:r>
    </w:p>
    <w:p w14:paraId="6EA6B7F2" w14:textId="6BC713A5" w:rsidR="00581F33" w:rsidRPr="007B5DFD" w:rsidRDefault="00581F33" w:rsidP="00967A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где</w:t>
      </w:r>
      <w:r w:rsidR="00967A09">
        <w:rPr>
          <w:rFonts w:ascii="Times New Roman" w:hAnsi="Times New Roman" w:cs="Times New Roman"/>
          <w:sz w:val="28"/>
          <w:szCs w:val="28"/>
        </w:rPr>
        <w:t xml:space="preserve"> </w:t>
      </w:r>
      <w:r w:rsidRPr="000A53CA">
        <w:rPr>
          <w:rFonts w:ascii="Times New Roman" w:hAnsi="Times New Roman" w:cs="Times New Roman"/>
          <w:i/>
          <w:sz w:val="28"/>
          <w:szCs w:val="28"/>
        </w:rPr>
        <w:t xml:space="preserve">PV </w:t>
      </w:r>
      <w:r w:rsidRPr="007B5DFD">
        <w:rPr>
          <w:rFonts w:ascii="Times New Roman" w:hAnsi="Times New Roman" w:cs="Times New Roman"/>
          <w:sz w:val="28"/>
          <w:szCs w:val="28"/>
        </w:rPr>
        <w:t>– стоимость бренда,</w:t>
      </w:r>
    </w:p>
    <w:p w14:paraId="0CEBBEE5" w14:textId="6870D0D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расходы по </w:t>
      </w:r>
      <w:r w:rsidR="00581F33" w:rsidRPr="00C96341">
        <w:rPr>
          <w:rFonts w:ascii="Times New Roman" w:hAnsi="Times New Roman" w:cs="Times New Roman"/>
          <w:i/>
          <w:sz w:val="28"/>
          <w:szCs w:val="28"/>
        </w:rPr>
        <w:t>j</w:t>
      </w:r>
      <w:r w:rsidR="00581F33" w:rsidRPr="00C377C7">
        <w:rPr>
          <w:rFonts w:ascii="Times New Roman" w:hAnsi="Times New Roman" w:cs="Times New Roman"/>
          <w:i/>
          <w:sz w:val="28"/>
          <w:szCs w:val="28"/>
        </w:rPr>
        <w:t>-му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типу (разработка, дизайн, маркетинг, реклама и иные </w:t>
      </w:r>
      <w:r w:rsidR="00581F33">
        <w:rPr>
          <w:rFonts w:ascii="Times New Roman" w:hAnsi="Times New Roman" w:cs="Times New Roman"/>
          <w:sz w:val="28"/>
          <w:szCs w:val="28"/>
        </w:rPr>
        <w:t>коммуникации</w:t>
      </w:r>
      <w:r w:rsidR="00581F33" w:rsidRPr="007B5DFD">
        <w:rPr>
          <w:rFonts w:ascii="Times New Roman" w:hAnsi="Times New Roman" w:cs="Times New Roman"/>
          <w:sz w:val="28"/>
          <w:szCs w:val="28"/>
        </w:rPr>
        <w:t>, юридическое оформление и т.</w:t>
      </w:r>
      <w:r w:rsidR="00C377C7">
        <w:rPr>
          <w:rFonts w:ascii="Times New Roman" w:hAnsi="Times New Roman" w:cs="Times New Roman"/>
          <w:sz w:val="28"/>
          <w:szCs w:val="28"/>
        </w:rPr>
        <w:t xml:space="preserve"> </w:t>
      </w:r>
      <w:r w:rsidR="00581F33" w:rsidRPr="007B5DFD">
        <w:rPr>
          <w:rFonts w:ascii="Times New Roman" w:hAnsi="Times New Roman" w:cs="Times New Roman"/>
          <w:sz w:val="28"/>
          <w:szCs w:val="28"/>
        </w:rPr>
        <w:t>д.).</w:t>
      </w:r>
    </w:p>
    <w:p w14:paraId="4B0713F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Использование затратного подхода, несмотря на простоту расчета (использование ретроспективной информации 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в прогнозировании</w:t>
      </w:r>
      <w:r w:rsidRPr="007B5DFD">
        <w:rPr>
          <w:rFonts w:ascii="Times New Roman" w:hAnsi="Times New Roman" w:cs="Times New Roman"/>
          <w:sz w:val="28"/>
          <w:szCs w:val="28"/>
        </w:rPr>
        <w:t xml:space="preserve">), имеет существенные недостатки. Главный из них заключается в том, что в затратном подходе не учитывается прямая связь между осуществленными инвестициями и доходом, добавленным самим брендом. Расчеты основываются на прямом допущении, что бренд принесет больше доходов, если в его создание и развитие будут инвестировано больше ресурсов. Однако эта связь не всегда </w:t>
      </w:r>
      <w:r>
        <w:rPr>
          <w:rFonts w:ascii="Times New Roman" w:hAnsi="Times New Roman" w:cs="Times New Roman"/>
          <w:sz w:val="28"/>
          <w:szCs w:val="28"/>
        </w:rPr>
        <w:t>явно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прослеживается: некоторые бренды способны генерировать высокие доходы, несмотря на незначительные, но эффективно используемые инвестиции. И наоб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5DFD">
        <w:rPr>
          <w:rFonts w:ascii="Times New Roman" w:hAnsi="Times New Roman" w:cs="Times New Roman"/>
          <w:sz w:val="28"/>
          <w:szCs w:val="28"/>
        </w:rPr>
        <w:t>рот, крупные инвестиции не могут гарантировать эффективную отдачу.</w:t>
      </w:r>
    </w:p>
    <w:p w14:paraId="699583C1" w14:textId="77777777" w:rsidR="00581F33" w:rsidRPr="000A53CA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3CA">
        <w:rPr>
          <w:rFonts w:ascii="Times New Roman" w:hAnsi="Times New Roman" w:cs="Times New Roman"/>
          <w:i/>
          <w:sz w:val="28"/>
          <w:szCs w:val="28"/>
        </w:rPr>
        <w:t>Метод оценки понесенных затрат на создание и продвижения бренда (historical cost-based valuation method)</w:t>
      </w:r>
    </w:p>
    <w:p w14:paraId="27EC7694" w14:textId="2DB35EDF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Стоимость бренда определяется суммированием понесенных расходов за период существования бренда: расходов на его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B5DFD">
        <w:rPr>
          <w:rFonts w:ascii="Times New Roman" w:hAnsi="Times New Roman" w:cs="Times New Roman"/>
          <w:sz w:val="28"/>
          <w:szCs w:val="28"/>
        </w:rPr>
        <w:t>работку, регистрацию, продвижение с помощью средств маркетинговых коммуникаций, расходы на рекламу и т.</w:t>
      </w:r>
      <w:r w:rsidR="004E0220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, выраженных в текущих це</w:t>
      </w:r>
      <w:r w:rsidRPr="007B5DFD">
        <w:rPr>
          <w:rFonts w:ascii="Times New Roman" w:hAnsi="Times New Roman" w:cs="Times New Roman"/>
          <w:sz w:val="28"/>
          <w:szCs w:val="28"/>
        </w:rPr>
        <w:t>нах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3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358DE215" w14:textId="53C0FC54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def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den>
            </m:f>
          </m:e>
        </m:nary>
      </m:oMath>
      <w:r w:rsidR="00967A09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(5)</w:t>
      </w:r>
    </w:p>
    <w:p w14:paraId="3B78D1B6" w14:textId="57D4F7B1" w:rsidR="00581F33" w:rsidRPr="007B5DFD" w:rsidRDefault="00581F33" w:rsidP="00967A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где</w:t>
      </w:r>
      <w:r w:rsidR="00967A09">
        <w:rPr>
          <w:rFonts w:ascii="Times New Roman" w:hAnsi="Times New Roman" w:cs="Times New Roman"/>
          <w:sz w:val="28"/>
          <w:szCs w:val="28"/>
        </w:rPr>
        <w:t xml:space="preserve"> </w:t>
      </w:r>
      <w:r w:rsidRPr="000A53CA">
        <w:rPr>
          <w:rFonts w:ascii="Times New Roman" w:hAnsi="Times New Roman" w:cs="Times New Roman"/>
          <w:i/>
          <w:sz w:val="28"/>
          <w:szCs w:val="28"/>
        </w:rPr>
        <w:t>PV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стоимость бренда,</w:t>
      </w:r>
    </w:p>
    <w:p w14:paraId="25121619" w14:textId="5828CA9A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фактически понесенные расходы по </w:t>
      </w:r>
      <w:r w:rsidR="00581F33" w:rsidRPr="000A53CA">
        <w:rPr>
          <w:rFonts w:ascii="Times New Roman" w:hAnsi="Times New Roman" w:cs="Times New Roman"/>
          <w:i/>
          <w:sz w:val="28"/>
          <w:szCs w:val="28"/>
        </w:rPr>
        <w:t>j</w:t>
      </w:r>
      <w:r w:rsidR="00581F33" w:rsidRPr="000E7492">
        <w:rPr>
          <w:rFonts w:ascii="Times New Roman" w:hAnsi="Times New Roman" w:cs="Times New Roman"/>
          <w:i/>
          <w:sz w:val="28"/>
          <w:szCs w:val="28"/>
        </w:rPr>
        <w:t>-му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типу (разработка, дизайн, маркетинг, реклама и иные коммуникации, юридическое оформление и т.</w:t>
      </w:r>
      <w:r w:rsidR="000E7492">
        <w:rPr>
          <w:rFonts w:ascii="Times New Roman" w:hAnsi="Times New Roman" w:cs="Times New Roman"/>
          <w:sz w:val="28"/>
          <w:szCs w:val="28"/>
        </w:rPr>
        <w:t xml:space="preserve"> </w:t>
      </w:r>
      <w:r w:rsidR="00581F33" w:rsidRPr="007B5DFD">
        <w:rPr>
          <w:rFonts w:ascii="Times New Roman" w:hAnsi="Times New Roman" w:cs="Times New Roman"/>
          <w:sz w:val="28"/>
          <w:szCs w:val="28"/>
        </w:rPr>
        <w:t>д.);</w:t>
      </w:r>
    </w:p>
    <w:p w14:paraId="41E694E6" w14:textId="7777777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дефлятор по отдельным типам понесенных расходов.</w:t>
      </w:r>
    </w:p>
    <w:p w14:paraId="45EB10E6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41D1F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Эта модель может служить в качестве эталона, но на практике имеет мало общего с действительной стоимостью бренда. Стоимость, рассчитанная методом исторических затрат, может лишь обеспечивать минимальную оценку бренда.</w:t>
      </w:r>
    </w:p>
    <w:p w14:paraId="610E18BC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При использовании данного метода возникают определенные сложности, связанные с определением следующих аспектов: </w:t>
      </w:r>
    </w:p>
    <w:p w14:paraId="74D7C267" w14:textId="77777777" w:rsidR="00581F33" w:rsidRPr="000A53CA" w:rsidRDefault="00581F33" w:rsidP="00581F33">
      <w:pPr>
        <w:pStyle w:val="a4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53CA">
        <w:rPr>
          <w:rFonts w:ascii="Times New Roman" w:hAnsi="Times New Roman" w:cs="Times New Roman"/>
          <w:sz w:val="28"/>
          <w:szCs w:val="28"/>
        </w:rPr>
        <w:t>временного периода, за который учитываются расходы на брендинг;</w:t>
      </w:r>
    </w:p>
    <w:p w14:paraId="1449EF05" w14:textId="77777777" w:rsidR="00581F33" w:rsidRPr="000A53CA" w:rsidRDefault="00581F33" w:rsidP="00581F33">
      <w:pPr>
        <w:pStyle w:val="a4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53CA">
        <w:rPr>
          <w:rFonts w:ascii="Times New Roman" w:hAnsi="Times New Roman" w:cs="Times New Roman"/>
          <w:sz w:val="28"/>
          <w:szCs w:val="28"/>
        </w:rPr>
        <w:t>структурных составляющих затрат на создание и продвижение бренда (к примеру, вложения в рекламу приводят непосредственно к увеличению продаж, которые измеряются сразу, но одновременно повышают осведомленность о бренде и формируют предпочтение к нему, что способствует будущим продажам).</w:t>
      </w:r>
    </w:p>
    <w:p w14:paraId="73634132" w14:textId="77777777" w:rsidR="00581F33" w:rsidRPr="000A53CA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3CA">
        <w:rPr>
          <w:rFonts w:ascii="Times New Roman" w:hAnsi="Times New Roman" w:cs="Times New Roman"/>
          <w:i/>
          <w:sz w:val="28"/>
          <w:szCs w:val="28"/>
        </w:rPr>
        <w:t>Метод оценки необходимых расходов на воссоздание марки – восстановительных затрат (replacement cost based valuation method)</w:t>
      </w:r>
    </w:p>
    <w:p w14:paraId="41C905B6" w14:textId="3FC62CC5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Суть метода заключается в расчете стоимости воссоздания торговой марки, эквивалентной существующей, с учетом установленных параметров: известности, процента пробных и повторных покупок, развитости дистрибьюторской сети, абсолютной и относительной доли на рынке, позитивности имиджа, географии присутствия и т.</w:t>
      </w:r>
      <w:r w:rsidR="00CF37B8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д.</w:t>
      </w:r>
    </w:p>
    <w:p w14:paraId="57ECFC58" w14:textId="5E4C4BD7" w:rsidR="00581F33" w:rsidRPr="00C25BC5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Восстановительной стоимостью является денежная стоимость расходов и инвестиций, необходимых для замены бренда на другой с теми же характеристиками, т.</w:t>
      </w:r>
      <w:r w:rsidR="00553C42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е. с эквивалентной полезности для владельца. Метод восстановительных затрат является более логичным, чем метод исторической стоимости, так как он основан на эквивалентной полезности, а не понесенных расходах. Тем не менее метод по-прежнему не учитывает доходы, генерируемые брендом.</w:t>
      </w:r>
    </w:p>
    <w:p w14:paraId="3999A50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 xml:space="preserve">Упрощенным частным случаем этого метода является метод оценки по предполагаемой стоимости рекламы, которую пришлось бы разместить для того, чтобы достигнуть нынешнего уровня известности бренда. Реклама является ключевым инструментом, с помощью которого формируется сила бренда (при этом в рамках метода остальными средствами продвижения пренебрегают). </w:t>
      </w:r>
    </w:p>
    <w:p w14:paraId="565C7D9E" w14:textId="3006644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Применение метода оценки расходов на воссоздание марки порождает ряд сложностей.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AE0">
        <w:rPr>
          <w:rFonts w:ascii="Times New Roman" w:hAnsi="Times New Roman" w:cs="Times New Roman"/>
          <w:sz w:val="28"/>
          <w:szCs w:val="28"/>
        </w:rPr>
        <w:t>Во-</w:t>
      </w:r>
      <w:r w:rsidRPr="007B5DFD">
        <w:rPr>
          <w:rFonts w:ascii="Times New Roman" w:hAnsi="Times New Roman" w:cs="Times New Roman"/>
          <w:sz w:val="28"/>
          <w:szCs w:val="28"/>
        </w:rPr>
        <w:t>первых</w:t>
      </w:r>
      <w:r w:rsidR="00553C42">
        <w:rPr>
          <w:rFonts w:ascii="Times New Roman" w:hAnsi="Times New Roman" w:cs="Times New Roman"/>
          <w:sz w:val="28"/>
          <w:szCs w:val="28"/>
        </w:rPr>
        <w:t>,</w:t>
      </w:r>
      <w:r w:rsidRPr="007B5DFD">
        <w:rPr>
          <w:rFonts w:ascii="Times New Roman" w:hAnsi="Times New Roman" w:cs="Times New Roman"/>
          <w:sz w:val="28"/>
          <w:szCs w:val="28"/>
        </w:rPr>
        <w:t xml:space="preserve"> необходимо определить практическую возможность воссоздания торговой марки. Многие бренды были созданы в то время, когда расходы на брендинг были незначительными. В нынешних же условиях брендинг требует значительных капиталовложений, и создание новой ведущей торговой марки становится не под силу даже крупнейшим компаниям.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Во-вторых, данный метод не учитывает критерий времени вхождения на рынок: чем раньше бренд выйдет на рынок, тем выше вероятность, что он займет большую долю рынка (конкурентное пре</w:t>
      </w:r>
      <w:r>
        <w:rPr>
          <w:rFonts w:ascii="Times New Roman" w:hAnsi="Times New Roman" w:cs="Times New Roman"/>
          <w:sz w:val="28"/>
          <w:szCs w:val="28"/>
        </w:rPr>
        <w:t>имущество «первого хода»</w:t>
      </w:r>
      <w:r w:rsidRPr="007B5DFD">
        <w:rPr>
          <w:rFonts w:ascii="Times New Roman" w:hAnsi="Times New Roman" w:cs="Times New Roman"/>
          <w:sz w:val="28"/>
          <w:szCs w:val="28"/>
        </w:rPr>
        <w:t>). С каждым новым участником рынка вероятность успеха снижается.</w:t>
      </w:r>
    </w:p>
    <w:p w14:paraId="354BF735" w14:textId="2BA91B7E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Д. Аакер предлагает делить затраты на запуск нового бренда на вероятность успеха</w:t>
      </w:r>
      <w:r w:rsidR="001A39A4">
        <w:rPr>
          <w:rStyle w:val="a8"/>
          <w:rFonts w:ascii="Times New Roman" w:hAnsi="Times New Roman" w:cs="Times New Roman"/>
          <w:sz w:val="28"/>
          <w:szCs w:val="28"/>
        </w:rPr>
        <w:footnoteReference w:id="24"/>
      </w:r>
      <w:r w:rsidRPr="007B5DFD">
        <w:rPr>
          <w:rFonts w:ascii="Times New Roman" w:hAnsi="Times New Roman" w:cs="Times New Roman"/>
          <w:sz w:val="28"/>
          <w:szCs w:val="28"/>
        </w:rPr>
        <w:t>:</w:t>
      </w:r>
    </w:p>
    <w:p w14:paraId="3E5779CE" w14:textId="177006FE" w:rsidR="00581F33" w:rsidRPr="000A53CA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Стоимость бренда=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Затраты на воссоздание бренда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Вероятность успеха</m:t>
            </m:r>
          </m:den>
        </m:f>
      </m:oMath>
      <w:r w:rsidR="00967A09">
        <w:rPr>
          <w:rFonts w:ascii="Times New Roman" w:hAnsi="Times New Roman" w:cs="Times New Roman"/>
          <w:sz w:val="28"/>
          <w:szCs w:val="28"/>
        </w:rPr>
        <w:t>,                                               (6)</w:t>
      </w:r>
    </w:p>
    <w:p w14:paraId="3CE8AD9A" w14:textId="08BC1B1A" w:rsidR="00581F33" w:rsidRPr="007B5DFD" w:rsidRDefault="006D3A42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выделим х</w:t>
      </w:r>
      <w:r w:rsidR="00581F33" w:rsidRPr="007B5DFD">
        <w:rPr>
          <w:rFonts w:ascii="Times New Roman" w:hAnsi="Times New Roman" w:cs="Times New Roman"/>
          <w:sz w:val="28"/>
          <w:szCs w:val="28"/>
        </w:rPr>
        <w:t>арактеристики затратного подхода:</w:t>
      </w:r>
    </w:p>
    <w:p w14:paraId="4558B7A6" w14:textId="77777777" w:rsidR="00581F33" w:rsidRPr="000A53CA" w:rsidRDefault="00581F33" w:rsidP="00581F33">
      <w:pPr>
        <w:pStyle w:val="a4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53CA">
        <w:rPr>
          <w:rFonts w:ascii="Times New Roman" w:hAnsi="Times New Roman" w:cs="Times New Roman"/>
          <w:sz w:val="28"/>
          <w:szCs w:val="28"/>
        </w:rPr>
        <w:t>не является индикатором ценности;</w:t>
      </w:r>
    </w:p>
    <w:p w14:paraId="778A38D0" w14:textId="33687A94" w:rsidR="00581F33" w:rsidRPr="000A53CA" w:rsidRDefault="00581F33" w:rsidP="00581F33">
      <w:pPr>
        <w:pStyle w:val="a4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53CA">
        <w:rPr>
          <w:rFonts w:ascii="Times New Roman" w:hAnsi="Times New Roman" w:cs="Times New Roman"/>
          <w:sz w:val="28"/>
          <w:szCs w:val="28"/>
        </w:rPr>
        <w:t>не фиксирует добавленную бренд-менеджментом ценность, т.</w:t>
      </w:r>
      <w:r w:rsidR="006D3A42">
        <w:rPr>
          <w:rFonts w:ascii="Times New Roman" w:hAnsi="Times New Roman" w:cs="Times New Roman"/>
          <w:sz w:val="28"/>
          <w:szCs w:val="28"/>
        </w:rPr>
        <w:t xml:space="preserve"> </w:t>
      </w:r>
      <w:r w:rsidRPr="000A53CA">
        <w:rPr>
          <w:rFonts w:ascii="Times New Roman" w:hAnsi="Times New Roman" w:cs="Times New Roman"/>
          <w:sz w:val="28"/>
          <w:szCs w:val="28"/>
        </w:rPr>
        <w:t>е. конкурентные позиции, силу бренда и преимущества относительно существующих конкурентов;</w:t>
      </w:r>
    </w:p>
    <w:p w14:paraId="0CB277C8" w14:textId="77777777" w:rsidR="00581F33" w:rsidRPr="000A53CA" w:rsidRDefault="00581F33" w:rsidP="00581F33">
      <w:pPr>
        <w:pStyle w:val="a4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53CA">
        <w:rPr>
          <w:rFonts w:ascii="Times New Roman" w:hAnsi="Times New Roman" w:cs="Times New Roman"/>
          <w:sz w:val="28"/>
          <w:szCs w:val="28"/>
        </w:rPr>
        <w:lastRenderedPageBreak/>
        <w:t>трудность определения всех понесенных на бренд расходов в случае, когда компания находится длительное время на рынке.</w:t>
      </w:r>
    </w:p>
    <w:p w14:paraId="35A9DCA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Из всего выше следует, что затратный подход, в любом из его вариантов, не отражает реальной ценности бренда и не может использоваться для финансовой оценки бренда.</w:t>
      </w:r>
    </w:p>
    <w:p w14:paraId="5082672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35BB37E1" w14:textId="77777777" w:rsidR="00581F33" w:rsidRPr="007B5DFD" w:rsidRDefault="00581F33" w:rsidP="00581F33">
      <w:pPr>
        <w:pStyle w:val="20"/>
      </w:pPr>
      <w:bookmarkStart w:id="26" w:name="_Toc481137253"/>
      <w:r w:rsidRPr="007B5DFD">
        <w:lastRenderedPageBreak/>
        <w:t>2.3 Доходный подход</w:t>
      </w:r>
      <w:bookmarkEnd w:id="26"/>
    </w:p>
    <w:p w14:paraId="5152E7CC" w14:textId="036E4D57" w:rsidR="00581F33" w:rsidRPr="007B5DFD" w:rsidRDefault="00581F33" w:rsidP="00DE6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Методы доходного подхода предполагают выявление экономических выгод, которые могут извлекаться по факту владения брендом, а также расчет справедливой стоимости на основании приведенной стоимости таких выгод. В основе подхода лежит DCF – методология (discounted cash flow – метод ди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DFD">
        <w:rPr>
          <w:rFonts w:ascii="Times New Roman" w:hAnsi="Times New Roman" w:cs="Times New Roman"/>
          <w:sz w:val="28"/>
          <w:szCs w:val="28"/>
        </w:rPr>
        <w:t>контированных денежных потоков).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Выбор метода доходного подхода зависит от обстоятельств, в частности, от характера стоимости, добавляемой активом к стоимости предприятия (т.</w:t>
      </w:r>
      <w:r w:rsidR="00870325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е. дополнительная выручка, экономия затрат, экономия на лицензировании и т.</w:t>
      </w:r>
      <w:r w:rsidR="00870325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д.)</w:t>
      </w:r>
      <w:r w:rsidR="00DE668B">
        <w:rPr>
          <w:rFonts w:ascii="Times New Roman" w:hAnsi="Times New Roman" w:cs="Times New Roman"/>
          <w:sz w:val="28"/>
          <w:szCs w:val="28"/>
        </w:rPr>
        <w:t xml:space="preserve">. </w:t>
      </w:r>
      <w:r w:rsidRPr="007B5DFD">
        <w:rPr>
          <w:rFonts w:ascii="Times New Roman" w:hAnsi="Times New Roman" w:cs="Times New Roman"/>
          <w:sz w:val="28"/>
          <w:szCs w:val="28"/>
        </w:rPr>
        <w:t xml:space="preserve">Доходный подход требует определения будущих доходов, прибыли или денежного потока, относимых к бренду в течение ожидаемого оставшегося срока полезного использования и дисконтирование их к текущей стоимости. </w:t>
      </w:r>
    </w:p>
    <w:p w14:paraId="74935094" w14:textId="32249976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Число методов доходного подхода растет с каждой проведенной оценкой. Среди них: кластер и групповой анализ, conjoint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анализ, гедонический анализ, методы, основанные на силе бренда и драйверах спроса, превышении маржи, формуле Ноуппа, «вычитательный» метод или дифференциальный доход с эталонной компании и т.</w:t>
      </w:r>
      <w:r w:rsidR="001D48DB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 xml:space="preserve">д. Однако все выше </w:t>
      </w:r>
      <w:r>
        <w:rPr>
          <w:rFonts w:ascii="Times New Roman" w:hAnsi="Times New Roman" w:cs="Times New Roman"/>
          <w:sz w:val="28"/>
          <w:szCs w:val="28"/>
        </w:rPr>
        <w:t>приве</w:t>
      </w:r>
      <w:r w:rsidRPr="007B5DFD">
        <w:rPr>
          <w:rFonts w:ascii="Times New Roman" w:hAnsi="Times New Roman" w:cs="Times New Roman"/>
          <w:sz w:val="28"/>
          <w:szCs w:val="28"/>
        </w:rPr>
        <w:t>денные методы – различные вариации трех основных: метода ценовой премии, избыточных доходов и освобождения от роялти. Применение данных методов соответствует международным стандартам оценки нематериальных активов.</w:t>
      </w:r>
    </w:p>
    <w:p w14:paraId="528724F1" w14:textId="77777777" w:rsidR="00581F33" w:rsidRPr="00602F4C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F4C">
        <w:rPr>
          <w:rFonts w:ascii="Times New Roman" w:hAnsi="Times New Roman" w:cs="Times New Roman"/>
          <w:i/>
          <w:sz w:val="28"/>
          <w:szCs w:val="28"/>
        </w:rPr>
        <w:t>Метод ценовой премии (price premium method)</w:t>
      </w:r>
    </w:p>
    <w:p w14:paraId="25A1100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Price premium ориентированные методы работают на основе предположения, что характеристики бренда, такие как воспринимаемое качество или осведомленность, позволяют производителю товаров взимать высокую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цену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5"/>
      </w:r>
      <w:r w:rsidRPr="007B5DFD">
        <w:rPr>
          <w:rFonts w:ascii="Times New Roman" w:hAnsi="Times New Roman" w:cs="Times New Roman"/>
          <w:sz w:val="28"/>
          <w:szCs w:val="28"/>
        </w:rPr>
        <w:t xml:space="preserve">. Другими словами, бренд создает дополнительную ценность для потребителей, за которую они готовы платить больше. </w:t>
      </w:r>
    </w:p>
    <w:p w14:paraId="2EF104FC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Стоимость бренда устанавливается путем сравнения цен на марочный продукт с идентичным в остальном дженериком (товаром без бренда)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6"/>
      </w:r>
      <w:r w:rsidRPr="007B5DFD">
        <w:rPr>
          <w:rFonts w:ascii="Times New Roman" w:hAnsi="Times New Roman" w:cs="Times New Roman"/>
          <w:sz w:val="28"/>
          <w:szCs w:val="28"/>
        </w:rPr>
        <w:t>. На первый взгляд, метод ценовой премии кажется труднореализуемым на практике из-за сложности (или невозможности) поиска товара без бренда из этой же категории. Однако, есть, по меньшей мере, два способа вычислить ценовую премию научным способом:</w:t>
      </w:r>
    </w:p>
    <w:p w14:paraId="6F58F79C" w14:textId="0598EC70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1. Совместный анализ (Conjoint analysis). Это статистический метод, который применяется для исследования предпочтений потребителя. Conjoint анализ включает обширный набор методов. Наиболее интересным</w:t>
      </w:r>
      <w:r w:rsidR="00587DA3">
        <w:rPr>
          <w:rFonts w:ascii="Times New Roman" w:hAnsi="Times New Roman" w:cs="Times New Roman"/>
          <w:sz w:val="28"/>
          <w:szCs w:val="28"/>
        </w:rPr>
        <w:t>, на взгляд автора,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представляется метод BPTO (Brand Price Trade Off – определение цены переключения покупателя с бренда на бренд). Суть метода заключается в следующем: респондентам предлагают сделать выбор между покупкой брендированного товара и его дженериком. На последующих шагах теста уровень цены брендированного тов</w:t>
      </w:r>
      <w:r w:rsidR="00AE1AAF">
        <w:rPr>
          <w:rFonts w:ascii="Times New Roman" w:hAnsi="Times New Roman" w:cs="Times New Roman"/>
          <w:sz w:val="28"/>
          <w:szCs w:val="28"/>
        </w:rPr>
        <w:t xml:space="preserve">ара повышается до тех пор, </w:t>
      </w:r>
      <w:r w:rsidR="00FA247C">
        <w:rPr>
          <w:rFonts w:ascii="Times New Roman" w:hAnsi="Times New Roman" w:cs="Times New Roman"/>
          <w:sz w:val="28"/>
          <w:szCs w:val="28"/>
        </w:rPr>
        <w:t>когда</w:t>
      </w:r>
      <w:r w:rsidRPr="007B5DFD">
        <w:rPr>
          <w:rFonts w:ascii="Times New Roman" w:hAnsi="Times New Roman" w:cs="Times New Roman"/>
          <w:sz w:val="28"/>
          <w:szCs w:val="28"/>
        </w:rPr>
        <w:t xml:space="preserve"> респондент откажется приобретать товар по причине слишком завышенной цены. Разница цен в момент переключения респондента и будет искомой ценовой премией</w:t>
      </w:r>
      <w:r w:rsidR="00E8657B">
        <w:rPr>
          <w:rStyle w:val="a8"/>
          <w:rFonts w:ascii="Times New Roman" w:hAnsi="Times New Roman" w:cs="Times New Roman"/>
          <w:sz w:val="28"/>
          <w:szCs w:val="28"/>
        </w:rPr>
        <w:footnoteReference w:id="27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43200120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2. Гедонический анализ предполагает, что цена – функция от различных характеристик продукта и определяет воздействия каждого из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образом цена продукта может быть рассчитана как сумма ценностей, созданных каждой из характеристик, включая и исключая бренд. Разность полученных стоимостей и будет искомой величиной – ценовой премией.</w:t>
      </w:r>
    </w:p>
    <w:p w14:paraId="3DD8005E" w14:textId="57849ED4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Для расчета ценовой премии данным методом используется гедоническая регрессия. Она представляет собой множественную регрессию, в которой цена рассматривается как функция от характеристик продукта. Принадлежность продукта к определенному бренду является одной из таких характеристик. Линейная форма регрессии предполагает, что, если имеется набор из </w:t>
      </w:r>
      <w:r w:rsidRPr="00040932">
        <w:rPr>
          <w:rFonts w:ascii="Times New Roman" w:hAnsi="Times New Roman" w:cs="Times New Roman"/>
          <w:i/>
          <w:sz w:val="28"/>
          <w:szCs w:val="28"/>
        </w:rPr>
        <w:t>n</w:t>
      </w:r>
      <w:r w:rsidRPr="007B5DFD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FE5D27">
        <w:rPr>
          <w:rFonts w:ascii="Times New Roman" w:hAnsi="Times New Roman" w:cs="Times New Roman"/>
          <w:sz w:val="28"/>
          <w:szCs w:val="28"/>
        </w:rPr>
        <w:t>,</w:t>
      </w:r>
      <w:r w:rsidRPr="007B5DFD">
        <w:rPr>
          <w:rFonts w:ascii="Times New Roman" w:hAnsi="Times New Roman" w:cs="Times New Roman"/>
          <w:sz w:val="28"/>
          <w:szCs w:val="28"/>
        </w:rPr>
        <w:t xml:space="preserve"> функция цены </w:t>
      </w:r>
      <w:r w:rsidRPr="00FE5D27">
        <w:rPr>
          <w:rFonts w:ascii="Times New Roman" w:hAnsi="Times New Roman" w:cs="Times New Roman"/>
          <w:i/>
          <w:sz w:val="28"/>
          <w:szCs w:val="28"/>
        </w:rPr>
        <w:t>y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примет следующий вид</w:t>
      </w:r>
      <w:r w:rsidR="0031627D">
        <w:rPr>
          <w:rStyle w:val="a8"/>
          <w:rFonts w:ascii="Times New Roman" w:hAnsi="Times New Roman" w:cs="Times New Roman"/>
          <w:sz w:val="28"/>
          <w:szCs w:val="28"/>
        </w:rPr>
        <w:footnoteReference w:id="28"/>
      </w:r>
      <w:r w:rsidRPr="007B5DFD">
        <w:rPr>
          <w:rFonts w:ascii="Times New Roman" w:hAnsi="Times New Roman" w:cs="Times New Roman"/>
          <w:sz w:val="28"/>
          <w:szCs w:val="28"/>
        </w:rPr>
        <w:t>:</w:t>
      </w:r>
    </w:p>
    <w:p w14:paraId="2292E487" w14:textId="7E7209F1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nary>
      </m:oMath>
      <w:r w:rsidR="00967A09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(7)</w:t>
      </w:r>
    </w:p>
    <w:p w14:paraId="0D0E7A40" w14:textId="0DE48901" w:rsidR="00581F33" w:rsidRPr="007B5DFD" w:rsidRDefault="00581F33" w:rsidP="00967A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где</w:t>
      </w:r>
      <w:r w:rsidR="00967A09">
        <w:rPr>
          <w:rFonts w:ascii="Times New Roman" w:hAnsi="Times New Roman" w:cs="Times New Roman"/>
          <w:sz w:val="28"/>
          <w:szCs w:val="28"/>
        </w:rPr>
        <w:t xml:space="preserve"> </w:t>
      </w:r>
      <w:r w:rsidRPr="00602F4C">
        <w:rPr>
          <w:rFonts w:ascii="Times New Roman" w:hAnsi="Times New Roman" w:cs="Times New Roman"/>
          <w:i/>
          <w:sz w:val="28"/>
          <w:szCs w:val="28"/>
        </w:rPr>
        <w:t>y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цена товара (зависимая переменная);</w:t>
      </w:r>
    </w:p>
    <w:p w14:paraId="7F74A484" w14:textId="7777777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характеристика продукта, которая может быть как количественной, так и качественной (в последнем случае она кодируется для обработки данных);</w:t>
      </w:r>
    </w:p>
    <w:p w14:paraId="38D84FCB" w14:textId="6E205CC4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константа, определяющая цену, которая не объясняется </w:t>
      </w:r>
      <w:r w:rsidR="00FE5D27">
        <w:rPr>
          <w:rFonts w:ascii="Times New Roman" w:hAnsi="Times New Roman" w:cs="Times New Roman"/>
          <w:sz w:val="28"/>
          <w:szCs w:val="28"/>
        </w:rPr>
        <w:t>индивидуальными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характеристиками,</w:t>
      </w:r>
    </w:p>
    <w:p w14:paraId="5D79F1B1" w14:textId="7777777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неизвестный коэффициент индивидуальной характеристики, который будет оценен в ходе построения регрессии (ценовая премия),</w:t>
      </w:r>
    </w:p>
    <w:p w14:paraId="2A39F010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ε </m:t>
        </m:r>
      </m:oMath>
      <w:r w:rsidRPr="007B5DF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случайная</w:t>
      </w:r>
      <w:r w:rsidRPr="007B5DFD">
        <w:rPr>
          <w:rFonts w:ascii="Times New Roman" w:hAnsi="Times New Roman" w:cs="Times New Roman"/>
          <w:sz w:val="28"/>
          <w:szCs w:val="28"/>
        </w:rPr>
        <w:t xml:space="preserve"> ошибка (неучтенные факторы).</w:t>
      </w:r>
    </w:p>
    <w:p w14:paraId="0BBB6AB6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Метод гедонического анализа довольно сложен. Несмотря на очевидное достоинство статистических методов элиминировать риски субъективности, выбор переменных регрессии остается за оценщиком.</w:t>
      </w:r>
    </w:p>
    <w:p w14:paraId="2FF973E0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Формула оценки бренда методом ценовой премии имеет следующий вид:</w:t>
      </w:r>
    </w:p>
    <w:p w14:paraId="0FDF3537" w14:textId="31405D28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p>
                </m:sSup>
              </m:den>
            </m:f>
          </m:e>
        </m:nary>
      </m:oMath>
      <w:r w:rsidR="00967A09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(8)</w:t>
      </w:r>
    </w:p>
    <w:p w14:paraId="592F20AF" w14:textId="70848893" w:rsidR="00581F33" w:rsidRPr="007B5DFD" w:rsidRDefault="00967A09" w:rsidP="00967A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581F33" w:rsidRPr="00602F4C">
        <w:rPr>
          <w:rFonts w:ascii="Times New Roman" w:hAnsi="Times New Roman" w:cs="Times New Roman"/>
          <w:i/>
          <w:sz w:val="28"/>
          <w:szCs w:val="28"/>
        </w:rPr>
        <w:t>PV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стоимость бренда, ден. ед.; </w:t>
      </w:r>
    </w:p>
    <w:p w14:paraId="0005B6C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4C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период, используемый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для расчета стоимости бренда, лет; </w:t>
      </w:r>
    </w:p>
    <w:p w14:paraId="764220D2" w14:textId="6CE24EC6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цена единицы товара, </w:t>
      </w:r>
      <w:r w:rsidR="00581F33">
        <w:rPr>
          <w:rFonts w:ascii="Times New Roman" w:hAnsi="Times New Roman" w:cs="Times New Roman"/>
          <w:sz w:val="28"/>
          <w:szCs w:val="28"/>
        </w:rPr>
        <w:t>продаваемого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под анализируемым брендом;</w:t>
      </w:r>
    </w:p>
    <w:p w14:paraId="61F21665" w14:textId="7777777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NB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</w:t>
      </w:r>
      <w:r w:rsidR="00581F33">
        <w:rPr>
          <w:rFonts w:ascii="Times New Roman" w:hAnsi="Times New Roman" w:cs="Times New Roman"/>
          <w:sz w:val="28"/>
          <w:szCs w:val="28"/>
        </w:rPr>
        <w:t>цена единицы аналогичного товара-</w:t>
      </w:r>
      <w:r w:rsidR="00581F33" w:rsidRPr="007B5DFD">
        <w:rPr>
          <w:rFonts w:ascii="Times New Roman" w:hAnsi="Times New Roman" w:cs="Times New Roman"/>
          <w:sz w:val="28"/>
          <w:szCs w:val="28"/>
        </w:rPr>
        <w:t>дженерика;</w:t>
      </w:r>
    </w:p>
    <w:p w14:paraId="1F51FCEE" w14:textId="4285A266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</w:t>
      </w:r>
      <w:r w:rsidR="00611A7E">
        <w:rPr>
          <w:rFonts w:ascii="Times New Roman" w:hAnsi="Times New Roman" w:cs="Times New Roman"/>
          <w:sz w:val="28"/>
          <w:szCs w:val="28"/>
        </w:rPr>
        <w:t>прогнозируемый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объем продаж товара под анализируемым брендом в </w:t>
      </w:r>
      <w:r w:rsidR="00581F33" w:rsidRPr="00611A7E">
        <w:rPr>
          <w:rFonts w:ascii="Times New Roman" w:hAnsi="Times New Roman" w:cs="Times New Roman"/>
          <w:i/>
          <w:sz w:val="28"/>
          <w:szCs w:val="28"/>
        </w:rPr>
        <w:t>i</w:t>
      </w:r>
      <w:r w:rsidR="00611A7E" w:rsidRPr="00611A7E">
        <w:rPr>
          <w:rFonts w:ascii="Times New Roman" w:hAnsi="Times New Roman" w:cs="Times New Roman"/>
          <w:i/>
          <w:sz w:val="28"/>
          <w:szCs w:val="28"/>
        </w:rPr>
        <w:t>-</w:t>
      </w:r>
      <w:r w:rsidR="00581F33" w:rsidRPr="00611A7E">
        <w:rPr>
          <w:rFonts w:ascii="Times New Roman" w:hAnsi="Times New Roman" w:cs="Times New Roman"/>
          <w:i/>
          <w:sz w:val="28"/>
          <w:szCs w:val="28"/>
        </w:rPr>
        <w:t>м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году, шт.;</w:t>
      </w:r>
    </w:p>
    <w:p w14:paraId="276100F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4C">
        <w:rPr>
          <w:rFonts w:ascii="Times New Roman" w:hAnsi="Times New Roman" w:cs="Times New Roman"/>
          <w:i/>
          <w:sz w:val="28"/>
          <w:szCs w:val="28"/>
        </w:rPr>
        <w:t xml:space="preserve">r </w:t>
      </w:r>
      <w:r w:rsidRPr="007B5DFD">
        <w:rPr>
          <w:rFonts w:ascii="Times New Roman" w:hAnsi="Times New Roman" w:cs="Times New Roman"/>
          <w:sz w:val="28"/>
          <w:szCs w:val="28"/>
        </w:rPr>
        <w:t>– ставка дисконтирования, %.</w:t>
      </w:r>
    </w:p>
    <w:p w14:paraId="4F6DE628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Не смотря на теоретическую безусловность метода, в формуле необходимо учесть:</w:t>
      </w:r>
    </w:p>
    <w:p w14:paraId="462366BF" w14:textId="77777777" w:rsidR="00581F33" w:rsidRPr="00602F4C" w:rsidRDefault="00581F33" w:rsidP="00581F33">
      <w:pPr>
        <w:pStyle w:val="a4"/>
        <w:numPr>
          <w:ilvl w:val="0"/>
          <w:numId w:val="19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2F4C">
        <w:rPr>
          <w:rFonts w:ascii="Times New Roman" w:hAnsi="Times New Roman" w:cs="Times New Roman"/>
          <w:sz w:val="28"/>
          <w:szCs w:val="28"/>
        </w:rPr>
        <w:t>введение механизма корректировки цен с учетом лояльности потребителей бренду;</w:t>
      </w:r>
    </w:p>
    <w:p w14:paraId="57297B89" w14:textId="7B3FC7F5" w:rsidR="00581F33" w:rsidRPr="00602F4C" w:rsidRDefault="00581F33" w:rsidP="00581F33">
      <w:pPr>
        <w:pStyle w:val="a4"/>
        <w:numPr>
          <w:ilvl w:val="0"/>
          <w:numId w:val="19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2F4C">
        <w:rPr>
          <w:rFonts w:ascii="Times New Roman" w:hAnsi="Times New Roman" w:cs="Times New Roman"/>
          <w:sz w:val="28"/>
          <w:szCs w:val="28"/>
        </w:rPr>
        <w:t>т.</w:t>
      </w:r>
      <w:r w:rsidR="00332653">
        <w:rPr>
          <w:rFonts w:ascii="Times New Roman" w:hAnsi="Times New Roman" w:cs="Times New Roman"/>
          <w:sz w:val="28"/>
          <w:szCs w:val="28"/>
        </w:rPr>
        <w:t xml:space="preserve"> </w:t>
      </w:r>
      <w:r w:rsidRPr="00602F4C">
        <w:rPr>
          <w:rFonts w:ascii="Times New Roman" w:hAnsi="Times New Roman" w:cs="Times New Roman"/>
          <w:sz w:val="28"/>
          <w:szCs w:val="28"/>
        </w:rPr>
        <w:t xml:space="preserve">к. величина объема продаж непосредственно участвует в формуле, </w:t>
      </w:r>
      <w:r>
        <w:rPr>
          <w:rFonts w:ascii="Times New Roman" w:hAnsi="Times New Roman" w:cs="Times New Roman"/>
          <w:sz w:val="28"/>
          <w:szCs w:val="28"/>
        </w:rPr>
        <w:t>целесообразно</w:t>
      </w:r>
      <w:r w:rsidRPr="00602F4C">
        <w:rPr>
          <w:rFonts w:ascii="Times New Roman" w:hAnsi="Times New Roman" w:cs="Times New Roman"/>
          <w:sz w:val="28"/>
          <w:szCs w:val="28"/>
        </w:rPr>
        <w:t xml:space="preserve"> учитывать и разницу в объемах продаж (влияние бренда на прирост продаж).</w:t>
      </w:r>
    </w:p>
    <w:p w14:paraId="6D7521E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Таким образом формула может быть переписана:</w:t>
      </w:r>
    </w:p>
    <w:p w14:paraId="41A30478" w14:textId="4DDAD30B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∆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p>
                </m:sSup>
              </m:den>
            </m:f>
          </m:e>
        </m:nary>
      </m:oMath>
      <w:r w:rsidR="00967A09">
        <w:rPr>
          <w:rFonts w:ascii="Times New Roman" w:hAnsi="Times New Roman" w:cs="Times New Roman"/>
          <w:sz w:val="28"/>
          <w:szCs w:val="28"/>
        </w:rPr>
        <w:t>,                                                               (9)</w:t>
      </w:r>
    </w:p>
    <w:p w14:paraId="25EF502E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или, раскрыв скобки, получим:</w:t>
      </w:r>
    </w:p>
    <w:p w14:paraId="68E3AD5B" w14:textId="3228E71C" w:rsidR="00581F33" w:rsidRPr="0004102C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p>
                </m:sSup>
              </m:den>
            </m:f>
          </m:e>
        </m:nary>
      </m:oMath>
      <w:r w:rsidR="00967A09">
        <w:rPr>
          <w:rFonts w:ascii="Times New Roman" w:hAnsi="Times New Roman" w:cs="Times New Roman"/>
          <w:sz w:val="28"/>
          <w:szCs w:val="28"/>
        </w:rPr>
        <w:t>,                                                                       (10)</w:t>
      </w:r>
    </w:p>
    <w:p w14:paraId="310CC769" w14:textId="7E395F2F" w:rsidR="0004102C" w:rsidRDefault="0004102C" w:rsidP="00967A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967A0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ценовая премия на единицу товара или услуги;</w:t>
      </w:r>
    </w:p>
    <w:p w14:paraId="114AE4A8" w14:textId="58E73558" w:rsidR="0004102C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04102C">
        <w:rPr>
          <w:rFonts w:ascii="Times New Roman" w:hAnsi="Times New Roman" w:cs="Times New Roman"/>
          <w:sz w:val="28"/>
          <w:szCs w:val="28"/>
        </w:rPr>
        <w:t xml:space="preserve"> </w:t>
      </w:r>
      <w:r w:rsidR="0004102C" w:rsidRPr="007B5DFD">
        <w:rPr>
          <w:rFonts w:ascii="Times New Roman" w:hAnsi="Times New Roman" w:cs="Times New Roman"/>
          <w:sz w:val="28"/>
          <w:szCs w:val="28"/>
        </w:rPr>
        <w:t>–</w:t>
      </w:r>
      <w:r w:rsidR="0004102C">
        <w:rPr>
          <w:rFonts w:ascii="Times New Roman" w:hAnsi="Times New Roman" w:cs="Times New Roman"/>
          <w:sz w:val="28"/>
          <w:szCs w:val="28"/>
        </w:rPr>
        <w:t xml:space="preserve"> прирост в объемах продаж, шт.</w:t>
      </w:r>
    </w:p>
    <w:p w14:paraId="017E623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На практике описанный метод хорошо подходит для FMCG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5DFD">
        <w:rPr>
          <w:rFonts w:ascii="Times New Roman" w:hAnsi="Times New Roman" w:cs="Times New Roman"/>
          <w:sz w:val="28"/>
          <w:szCs w:val="28"/>
        </w:rPr>
        <w:t>товаров (товаров повседневного спроса), где в качестве дженерика выступает собственная марка торговой сети.</w:t>
      </w:r>
    </w:p>
    <w:p w14:paraId="68899504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Достоинства метода:</w:t>
      </w:r>
    </w:p>
    <w:p w14:paraId="0126A289" w14:textId="77777777" w:rsidR="00581F33" w:rsidRPr="00057C48" w:rsidRDefault="00581F33" w:rsidP="00581F33">
      <w:pPr>
        <w:pStyle w:val="a4"/>
        <w:numPr>
          <w:ilvl w:val="0"/>
          <w:numId w:val="30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57C48">
        <w:rPr>
          <w:rFonts w:ascii="Times New Roman" w:hAnsi="Times New Roman" w:cs="Times New Roman"/>
          <w:sz w:val="28"/>
          <w:szCs w:val="28"/>
        </w:rPr>
        <w:t>метод универсально понят</w:t>
      </w:r>
      <w:r>
        <w:rPr>
          <w:rFonts w:ascii="Times New Roman" w:hAnsi="Times New Roman" w:cs="Times New Roman"/>
          <w:sz w:val="28"/>
          <w:szCs w:val="28"/>
        </w:rPr>
        <w:t>ен, а значит и привлекателен</w:t>
      </w:r>
      <w:r w:rsidRPr="00057C48">
        <w:rPr>
          <w:rFonts w:ascii="Times New Roman" w:hAnsi="Times New Roman" w:cs="Times New Roman"/>
          <w:sz w:val="28"/>
          <w:szCs w:val="28"/>
        </w:rPr>
        <w:t xml:space="preserve"> на практике;</w:t>
      </w:r>
    </w:p>
    <w:p w14:paraId="423605CF" w14:textId="77777777" w:rsidR="00581F33" w:rsidRPr="00057C48" w:rsidRDefault="00581F33" w:rsidP="00581F33">
      <w:pPr>
        <w:pStyle w:val="a4"/>
        <w:numPr>
          <w:ilvl w:val="0"/>
          <w:numId w:val="30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57C48">
        <w:rPr>
          <w:rFonts w:ascii="Times New Roman" w:hAnsi="Times New Roman" w:cs="Times New Roman"/>
          <w:sz w:val="28"/>
          <w:szCs w:val="28"/>
        </w:rPr>
        <w:lastRenderedPageBreak/>
        <w:t>используемые статистические инструменты для расчета ценовой премии воспринимаются как инструменты, которые устраняют присущую процессу оценки субъективность.</w:t>
      </w:r>
    </w:p>
    <w:p w14:paraId="2D89BE34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Недостатки:</w:t>
      </w:r>
    </w:p>
    <w:p w14:paraId="18529454" w14:textId="77777777" w:rsidR="00581F33" w:rsidRPr="00602F4C" w:rsidRDefault="00581F33" w:rsidP="00581F33">
      <w:pPr>
        <w:pStyle w:val="a4"/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2F4C">
        <w:rPr>
          <w:rFonts w:ascii="Times New Roman" w:hAnsi="Times New Roman" w:cs="Times New Roman"/>
          <w:sz w:val="28"/>
          <w:szCs w:val="28"/>
        </w:rPr>
        <w:t>сосредоточив внимание только на цене, метод ценовой премии не учитывает затраты и другие факторы, такие как экономия на масштабе объема производства марки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9"/>
      </w:r>
      <w:r w:rsidRPr="00602F4C">
        <w:rPr>
          <w:rFonts w:ascii="Times New Roman" w:hAnsi="Times New Roman" w:cs="Times New Roman"/>
          <w:sz w:val="28"/>
          <w:szCs w:val="28"/>
        </w:rPr>
        <w:t>;</w:t>
      </w:r>
    </w:p>
    <w:p w14:paraId="33112046" w14:textId="77777777" w:rsidR="00581F33" w:rsidRPr="00602F4C" w:rsidRDefault="00581F33" w:rsidP="00581F33">
      <w:pPr>
        <w:pStyle w:val="a4"/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премиум-</w:t>
      </w:r>
      <w:r w:rsidRPr="00602F4C">
        <w:rPr>
          <w:rFonts w:ascii="Times New Roman" w:hAnsi="Times New Roman" w:cs="Times New Roman"/>
          <w:sz w:val="28"/>
          <w:szCs w:val="28"/>
        </w:rPr>
        <w:t>цены не обязательно базируется только на бренде.</w:t>
      </w:r>
    </w:p>
    <w:p w14:paraId="330FFB64" w14:textId="77777777" w:rsidR="00581F33" w:rsidRPr="00CE4AE0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2F4C">
        <w:rPr>
          <w:rFonts w:ascii="Times New Roman" w:hAnsi="Times New Roman" w:cs="Times New Roman"/>
          <w:i/>
          <w:sz w:val="28"/>
          <w:szCs w:val="28"/>
        </w:rPr>
        <w:t>Метод</w:t>
      </w:r>
      <w:r w:rsidRPr="00CE4A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02F4C">
        <w:rPr>
          <w:rFonts w:ascii="Times New Roman" w:hAnsi="Times New Roman" w:cs="Times New Roman"/>
          <w:i/>
          <w:sz w:val="28"/>
          <w:szCs w:val="28"/>
        </w:rPr>
        <w:t>избыточной</w:t>
      </w:r>
      <w:r w:rsidRPr="00CE4A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02F4C">
        <w:rPr>
          <w:rFonts w:ascii="Times New Roman" w:hAnsi="Times New Roman" w:cs="Times New Roman"/>
          <w:i/>
          <w:sz w:val="28"/>
          <w:szCs w:val="28"/>
        </w:rPr>
        <w:t>доходности</w:t>
      </w:r>
      <w:r w:rsidRPr="00CE4A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02F4C">
        <w:rPr>
          <w:rFonts w:ascii="Times New Roman" w:hAnsi="Times New Roman" w:cs="Times New Roman"/>
          <w:i/>
          <w:sz w:val="28"/>
          <w:szCs w:val="28"/>
        </w:rPr>
        <w:t>активов</w:t>
      </w:r>
      <w:r w:rsidRPr="00CE4A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(multi-period excess earnings method – MEEM)</w:t>
      </w:r>
    </w:p>
    <w:p w14:paraId="072BFCA1" w14:textId="21174A8B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Как следует из названия, стоимость нематериального актива, определяемая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 xml:space="preserve">ствии с методом избыточной доходности активов (MEEM), оценивается по сумме дисконтированного будущего превышения доходов, относимых к нематериальному активу. Превышением доходов является разница между поступлениями денежных средств от операционной деятельности после налогообложения, и требуемой доходностью инвестированного капитала по </w:t>
      </w:r>
      <w:r w:rsidR="006629BE">
        <w:rPr>
          <w:rFonts w:ascii="Times New Roman" w:hAnsi="Times New Roman" w:cs="Times New Roman"/>
          <w:sz w:val="28"/>
          <w:szCs w:val="28"/>
        </w:rPr>
        <w:t>материальным</w:t>
      </w:r>
      <w:r w:rsidRPr="007B5DFD">
        <w:rPr>
          <w:rFonts w:ascii="Times New Roman" w:hAnsi="Times New Roman" w:cs="Times New Roman"/>
          <w:sz w:val="28"/>
          <w:szCs w:val="28"/>
        </w:rPr>
        <w:t xml:space="preserve"> активам, используемым для создания таких поступлений денежных средств. Данные активы включают в себя основные средства, прочие идентифицируемые нематериальные активы и чистый оборотный капитал.</w:t>
      </w:r>
    </w:p>
    <w:p w14:paraId="3D87630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Порядок расчета свободного денежного потока, приходящегося на бренд (free cash flow):</w:t>
      </w:r>
    </w:p>
    <w:p w14:paraId="0DEF331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Выручка </w:t>
      </w:r>
    </w:p>
    <w:p w14:paraId="2C88365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5DFD">
        <w:rPr>
          <w:rFonts w:ascii="Times New Roman" w:hAnsi="Times New Roman" w:cs="Times New Roman"/>
          <w:sz w:val="28"/>
          <w:szCs w:val="28"/>
        </w:rPr>
        <w:t xml:space="preserve"> операционные и административные расходы (без амортизации)</w:t>
      </w:r>
    </w:p>
    <w:p w14:paraId="0098EBBE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= EBITDA (Earnings before interest, taxes, depreciation and amortization – прибыль до вычета расходов по выплате процентов, налогов, и начисленной амортизации)</w:t>
      </w:r>
    </w:p>
    <w:p w14:paraId="0598867C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5DFD">
        <w:rPr>
          <w:rFonts w:ascii="Times New Roman" w:hAnsi="Times New Roman" w:cs="Times New Roman"/>
          <w:sz w:val="28"/>
          <w:szCs w:val="28"/>
        </w:rPr>
        <w:t xml:space="preserve">амортизация </w:t>
      </w:r>
    </w:p>
    <w:p w14:paraId="476BE7D6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5DFD">
        <w:rPr>
          <w:rFonts w:ascii="Times New Roman" w:hAnsi="Times New Roman" w:cs="Times New Roman"/>
          <w:sz w:val="28"/>
          <w:szCs w:val="28"/>
        </w:rPr>
        <w:t>налог на прибыль</w:t>
      </w:r>
    </w:p>
    <w:p w14:paraId="11A9E93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= NOPAT (Net Operating Profit After Tax – чистая операционная прибыль после уплаты налогов)</w:t>
      </w:r>
    </w:p>
    <w:p w14:paraId="3E6405B2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7B5DFD">
        <w:rPr>
          <w:rFonts w:ascii="Times New Roman" w:hAnsi="Times New Roman" w:cs="Times New Roman"/>
          <w:sz w:val="28"/>
          <w:szCs w:val="28"/>
        </w:rPr>
        <w:t>амортизация</w:t>
      </w:r>
    </w:p>
    <w:p w14:paraId="1E3B520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5DFD">
        <w:rPr>
          <w:rFonts w:ascii="Times New Roman" w:hAnsi="Times New Roman" w:cs="Times New Roman"/>
          <w:sz w:val="28"/>
          <w:szCs w:val="28"/>
        </w:rPr>
        <w:t>требуемая доходность на основные средства</w:t>
      </w:r>
    </w:p>
    <w:p w14:paraId="64C6EAF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5DFD">
        <w:rPr>
          <w:rFonts w:ascii="Times New Roman" w:hAnsi="Times New Roman" w:cs="Times New Roman"/>
          <w:sz w:val="28"/>
          <w:szCs w:val="28"/>
        </w:rPr>
        <w:t>требуемая доходность на оборотный капитал</w:t>
      </w:r>
    </w:p>
    <w:p w14:paraId="3E314C24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5DFD">
        <w:rPr>
          <w:rFonts w:ascii="Times New Roman" w:hAnsi="Times New Roman" w:cs="Times New Roman"/>
          <w:sz w:val="28"/>
          <w:szCs w:val="28"/>
        </w:rPr>
        <w:t>требуемая доходность на квалифи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7B5DFD">
        <w:rPr>
          <w:rFonts w:ascii="Times New Roman" w:hAnsi="Times New Roman" w:cs="Times New Roman"/>
          <w:sz w:val="28"/>
          <w:szCs w:val="28"/>
        </w:rPr>
        <w:t>рованный персонал</w:t>
      </w:r>
    </w:p>
    <w:p w14:paraId="0442DA52" w14:textId="0540FA3D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= Свободный денежн</w:t>
      </w:r>
      <w:r w:rsidR="00967A09">
        <w:rPr>
          <w:rFonts w:ascii="Times New Roman" w:hAnsi="Times New Roman" w:cs="Times New Roman"/>
          <w:sz w:val="28"/>
          <w:szCs w:val="28"/>
        </w:rPr>
        <w:t>ый поток, приходящийся на бренд,                           (11)</w:t>
      </w:r>
    </w:p>
    <w:p w14:paraId="13BE3C1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Для получения текущей стоимости денежных потоков, генерируемых брендом, ожидаемые денежные потоки следует дисконтировать с применением ставки</w:t>
      </w:r>
      <w:r>
        <w:rPr>
          <w:rFonts w:ascii="Times New Roman" w:hAnsi="Times New Roman" w:cs="Times New Roman"/>
          <w:sz w:val="28"/>
          <w:szCs w:val="28"/>
        </w:rPr>
        <w:t>, отражающей операционные и инве</w:t>
      </w:r>
      <w:r w:rsidRPr="007B5DFD">
        <w:rPr>
          <w:rFonts w:ascii="Times New Roman" w:hAnsi="Times New Roman" w:cs="Times New Roman"/>
          <w:sz w:val="28"/>
          <w:szCs w:val="28"/>
        </w:rPr>
        <w:t xml:space="preserve">стиционные риски, связанные с оцениваемым активом. </w:t>
      </w:r>
    </w:p>
    <w:p w14:paraId="04139F44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Стоимость бренда вычисляется по формуле:</w:t>
      </w:r>
    </w:p>
    <w:p w14:paraId="7FD19890" w14:textId="4D445304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PV=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p=n+1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sup>
                    </m:sSup>
                  </m:den>
                </m:f>
              </m:e>
            </m:nary>
          </m:e>
        </m:nary>
      </m:oMath>
      <w:r w:rsidR="00967A09">
        <w:rPr>
          <w:rFonts w:ascii="Times New Roman" w:hAnsi="Times New Roman" w:cs="Times New Roman"/>
          <w:sz w:val="28"/>
          <w:szCs w:val="28"/>
        </w:rPr>
        <w:t>,                                                                       (12)</w:t>
      </w:r>
    </w:p>
    <w:p w14:paraId="1B8D1D64" w14:textId="08762102" w:rsidR="00581F33" w:rsidRPr="007B5DFD" w:rsidRDefault="00967A09" w:rsidP="00967A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p>
                </m:sSup>
              </m:den>
            </m:f>
          </m:e>
        </m:nary>
      </m:oMath>
      <w:r w:rsidR="00581F33">
        <w:rPr>
          <w:rFonts w:ascii="Times New Roman" w:hAnsi="Times New Roman" w:cs="Times New Roman"/>
          <w:sz w:val="28"/>
          <w:szCs w:val="28"/>
        </w:rPr>
        <w:t xml:space="preserve"> </w:t>
      </w:r>
      <w:r w:rsidR="00581F33" w:rsidRPr="007B5DFD">
        <w:rPr>
          <w:rFonts w:ascii="Times New Roman" w:hAnsi="Times New Roman" w:cs="Times New Roman"/>
          <w:sz w:val="28"/>
          <w:szCs w:val="28"/>
        </w:rPr>
        <w:t>–</w:t>
      </w:r>
      <w:r w:rsidR="00581F33">
        <w:rPr>
          <w:rFonts w:ascii="Times New Roman" w:hAnsi="Times New Roman" w:cs="Times New Roman"/>
          <w:sz w:val="28"/>
          <w:szCs w:val="28"/>
        </w:rPr>
        <w:t xml:space="preserve"> </w:t>
      </w:r>
      <w:r w:rsidR="00581F33" w:rsidRPr="007B5DFD">
        <w:rPr>
          <w:rFonts w:ascii="Times New Roman" w:hAnsi="Times New Roman" w:cs="Times New Roman"/>
          <w:sz w:val="28"/>
          <w:szCs w:val="28"/>
        </w:rPr>
        <w:t>приведенная стоимость компании в течение прогнозного периода;</w:t>
      </w:r>
    </w:p>
    <w:p w14:paraId="0FAD37D5" w14:textId="26CAC2C0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p=n+1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sup>
                </m:sSup>
              </m:den>
            </m:f>
          </m:e>
        </m:nary>
      </m:oMath>
      <w:r w:rsidR="00AC5972">
        <w:rPr>
          <w:rFonts w:ascii="Times New Roman" w:hAnsi="Times New Roman" w:cs="Times New Roman"/>
          <w:sz w:val="28"/>
          <w:szCs w:val="28"/>
        </w:rPr>
        <w:t xml:space="preserve"> </w:t>
      </w:r>
      <w:r w:rsidR="00581F33" w:rsidRPr="007B5DFD">
        <w:rPr>
          <w:rFonts w:ascii="Times New Roman" w:hAnsi="Times New Roman" w:cs="Times New Roman"/>
          <w:sz w:val="28"/>
          <w:szCs w:val="28"/>
        </w:rPr>
        <w:t>– приведенная стоимость компании в течение постпрогнозного периода;</w:t>
      </w:r>
    </w:p>
    <w:p w14:paraId="0343AA31" w14:textId="47F63A0B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7B">
        <w:rPr>
          <w:rFonts w:ascii="Times New Roman" w:hAnsi="Times New Roman" w:cs="Times New Roman"/>
          <w:i/>
          <w:sz w:val="28"/>
          <w:szCs w:val="28"/>
        </w:rPr>
        <w:t>CF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</w:t>
      </w:r>
      <w:r w:rsidR="00395001">
        <w:rPr>
          <w:rFonts w:ascii="Times New Roman" w:hAnsi="Times New Roman" w:cs="Times New Roman"/>
          <w:sz w:val="28"/>
          <w:szCs w:val="28"/>
        </w:rPr>
        <w:t>денежный поток, приходящийся</w:t>
      </w:r>
      <w:r w:rsidRPr="007B5DFD">
        <w:rPr>
          <w:rFonts w:ascii="Times New Roman" w:hAnsi="Times New Roman" w:cs="Times New Roman"/>
          <w:sz w:val="28"/>
          <w:szCs w:val="28"/>
        </w:rPr>
        <w:t xml:space="preserve"> на бренд;</w:t>
      </w:r>
    </w:p>
    <w:p w14:paraId="55E4DC0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7B">
        <w:rPr>
          <w:rFonts w:ascii="Times New Roman" w:hAnsi="Times New Roman" w:cs="Times New Roman"/>
          <w:i/>
          <w:sz w:val="28"/>
          <w:szCs w:val="28"/>
        </w:rPr>
        <w:t>r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ставка дисконтирования.</w:t>
      </w:r>
    </w:p>
    <w:p w14:paraId="47DA34FD" w14:textId="77777777" w:rsidR="00581F33" w:rsidRPr="00B70D7B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D7B">
        <w:rPr>
          <w:rFonts w:ascii="Times New Roman" w:hAnsi="Times New Roman" w:cs="Times New Roman"/>
          <w:i/>
          <w:sz w:val="28"/>
          <w:szCs w:val="28"/>
        </w:rPr>
        <w:lastRenderedPageBreak/>
        <w:t>Метод сравнения операционной прибыли (comparison of operating profit method)</w:t>
      </w:r>
    </w:p>
    <w:p w14:paraId="192FB816" w14:textId="0E982E1E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Метод позволяет рассчитать стоимость бренда на основе его вклада в операционную прибыль компании. Некоторые авторы используют валовую прибыль, которая позволяет учесть эффект экономии на масштабе производства, обусловленный брендом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. Однако использование EBIT</w:t>
      </w:r>
      <w:r w:rsidRPr="007B5DFD">
        <w:rPr>
          <w:rFonts w:ascii="Times New Roman" w:hAnsi="Times New Roman" w:cs="Times New Roman"/>
          <w:sz w:val="28"/>
          <w:szCs w:val="28"/>
        </w:rPr>
        <w:t xml:space="preserve"> рассматривает более широкий спектр преимуществ бренда</w:t>
      </w:r>
      <w:r w:rsidR="008A2671">
        <w:rPr>
          <w:rFonts w:ascii="Times New Roman" w:hAnsi="Times New Roman" w:cs="Times New Roman"/>
          <w:sz w:val="28"/>
          <w:szCs w:val="28"/>
        </w:rPr>
        <w:t>, который влияет и на операционные расходы компании</w:t>
      </w:r>
      <w:r w:rsidRPr="007B5DFD">
        <w:rPr>
          <w:rFonts w:ascii="Times New Roman" w:hAnsi="Times New Roman" w:cs="Times New Roman"/>
          <w:sz w:val="28"/>
          <w:szCs w:val="28"/>
        </w:rPr>
        <w:t>. Стоимость бренда вычисляется путем дисконтирования относящейся к бренду операционной прибыли после уплаты налогов до текущей стоимости.</w:t>
      </w:r>
    </w:p>
    <w:p w14:paraId="56B5E63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Математически метод выражается формулой:</w:t>
      </w:r>
    </w:p>
    <w:p w14:paraId="1B4E2ECA" w14:textId="55F6308E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EBIT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EBIT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EBIT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den>
                                </m:f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="00967A09">
        <w:rPr>
          <w:rFonts w:ascii="Times New Roman" w:hAnsi="Times New Roman" w:cs="Times New Roman"/>
          <w:sz w:val="28"/>
          <w:szCs w:val="28"/>
        </w:rPr>
        <w:t>,                                                            (13)</w:t>
      </w:r>
    </w:p>
    <w:p w14:paraId="59B1E8E3" w14:textId="0DFF9436" w:rsidR="00581F33" w:rsidRPr="007B5DFD" w:rsidRDefault="00967A09" w:rsidP="00967A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EBIT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операционная прибыль, </w:t>
      </w:r>
      <w:r w:rsidR="00581F33">
        <w:rPr>
          <w:rFonts w:ascii="Times New Roman" w:hAnsi="Times New Roman" w:cs="Times New Roman"/>
          <w:sz w:val="28"/>
          <w:szCs w:val="28"/>
        </w:rPr>
        <w:t>приходящаяся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на бренд;</w:t>
      </w:r>
    </w:p>
    <w:p w14:paraId="19403B5D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8B">
        <w:rPr>
          <w:rFonts w:ascii="Times New Roman" w:hAnsi="Times New Roman" w:cs="Times New Roman"/>
          <w:i/>
          <w:sz w:val="28"/>
          <w:szCs w:val="28"/>
        </w:rPr>
        <w:t>EBIT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операционная прибыль компании, реализующая товары/услуги под оцениваемым брендом;</w:t>
      </w:r>
    </w:p>
    <w:p w14:paraId="50320BAB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8B">
        <w:rPr>
          <w:rFonts w:ascii="Times New Roman" w:hAnsi="Times New Roman" w:cs="Times New Roman"/>
          <w:i/>
          <w:sz w:val="28"/>
          <w:szCs w:val="28"/>
        </w:rPr>
        <w:t xml:space="preserve">S </w:t>
      </w:r>
      <w:r w:rsidRPr="007B5DFD">
        <w:rPr>
          <w:rFonts w:ascii="Times New Roman" w:hAnsi="Times New Roman" w:cs="Times New Roman"/>
          <w:sz w:val="28"/>
          <w:szCs w:val="28"/>
        </w:rPr>
        <w:t>– выручка от продаж (оборот компании);</w:t>
      </w:r>
    </w:p>
    <w:p w14:paraId="2AF67165" w14:textId="2280F16F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EBIT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7B5DFD">
        <w:rPr>
          <w:rFonts w:ascii="Times New Roman" w:hAnsi="Times New Roman" w:cs="Times New Roman"/>
          <w:sz w:val="28"/>
          <w:szCs w:val="28"/>
        </w:rPr>
        <w:t xml:space="preserve">  –  рентабельность по EBIT (EBIT margin)</w:t>
      </w:r>
      <w:r w:rsidR="00266BB7">
        <w:rPr>
          <w:rFonts w:ascii="Times New Roman" w:hAnsi="Times New Roman" w:cs="Times New Roman"/>
          <w:sz w:val="28"/>
          <w:szCs w:val="28"/>
        </w:rPr>
        <w:t>;</w:t>
      </w:r>
    </w:p>
    <w:p w14:paraId="4B68F41A" w14:textId="0A9AA469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EBIT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d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средняя рентабельность по EBIT </w:t>
      </w:r>
      <w:r w:rsidR="00266BB7" w:rsidRPr="00266BB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266BB7" w:rsidRPr="00266BB7">
        <w:rPr>
          <w:rFonts w:ascii="Times New Roman" w:hAnsi="Times New Roman" w:cs="Times New Roman"/>
          <w:sz w:val="28"/>
          <w:szCs w:val="28"/>
        </w:rPr>
        <w:t xml:space="preserve"> </w:t>
      </w:r>
      <w:r w:rsidR="00581F33" w:rsidRPr="007B5DFD">
        <w:rPr>
          <w:rFonts w:ascii="Times New Roman" w:hAnsi="Times New Roman" w:cs="Times New Roman"/>
          <w:sz w:val="28"/>
          <w:szCs w:val="28"/>
        </w:rPr>
        <w:t>сопоставимых компаний, выпускающи</w:t>
      </w:r>
      <w:r w:rsidR="00266BB7">
        <w:rPr>
          <w:rFonts w:ascii="Times New Roman" w:hAnsi="Times New Roman" w:cs="Times New Roman"/>
          <w:sz w:val="28"/>
          <w:szCs w:val="28"/>
        </w:rPr>
        <w:t>х небрендированный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продукт.</w:t>
      </w:r>
    </w:p>
    <w:p w14:paraId="14695D11" w14:textId="211FA46D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При расчете операционной прибыли на бренд учитывается широкий спектр преимуществ бренда: добавленная ценность, экономия на масштабе,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более низкие затраты на продвижение, преимущества перед поставщиками, возможность отсрочки платеж</w:t>
      </w:r>
      <w:r w:rsidR="00CE4AE0">
        <w:rPr>
          <w:rFonts w:ascii="Times New Roman" w:hAnsi="Times New Roman" w:cs="Times New Roman"/>
          <w:sz w:val="28"/>
          <w:szCs w:val="28"/>
        </w:rPr>
        <w:t>ей, выгодные ставки по кредитам</w:t>
      </w:r>
      <w:r w:rsidRPr="007B5DFD">
        <w:rPr>
          <w:rFonts w:ascii="Times New Roman" w:hAnsi="Times New Roman" w:cs="Times New Roman"/>
          <w:sz w:val="28"/>
          <w:szCs w:val="28"/>
        </w:rPr>
        <w:t xml:space="preserve"> и т.</w:t>
      </w:r>
      <w:r w:rsidR="007349C3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практическом отношении метод не отражает реальную стоимость бренда. Помимо бренда, существуют и другие показатели, оказывающие влияние на разницу в операционной прибыли с сопоставимыми компаниями (в большую или меньшую сторону). Это могут быть интеллектуальные и деловые качества персонала, ноу хау, интеллектуальная собственность, базы данных</w:t>
      </w:r>
      <w:r w:rsidR="007349C3">
        <w:rPr>
          <w:rFonts w:ascii="Times New Roman" w:hAnsi="Times New Roman" w:cs="Times New Roman"/>
          <w:sz w:val="28"/>
          <w:szCs w:val="28"/>
        </w:rPr>
        <w:t>, квалифицированный персонал</w:t>
      </w:r>
      <w:r w:rsidRPr="007B5DFD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292423ED" w14:textId="77777777" w:rsidR="00581F33" w:rsidRPr="005470D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0D3">
        <w:rPr>
          <w:rFonts w:ascii="Times New Roman" w:hAnsi="Times New Roman" w:cs="Times New Roman"/>
          <w:i/>
          <w:sz w:val="28"/>
          <w:szCs w:val="28"/>
        </w:rPr>
        <w:t>Метод освобождения от роялти (royalty relief method)</w:t>
      </w:r>
    </w:p>
    <w:p w14:paraId="6A83114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Метод освобождения от роялти основывается на предположении о том, что оцениваемая интеллектуальная собственность (в данном случае – бренд) не принадлежит ее сегодняшнему владельцу. В таком случае лицо, использующее чужие исключительные права (лицензиат), обязано проводить регулярные лицензионные платежи по лицензионному договору (или договору коммерческо</w:t>
      </w:r>
      <w:r>
        <w:rPr>
          <w:rFonts w:ascii="Times New Roman" w:hAnsi="Times New Roman" w:cs="Times New Roman"/>
          <w:sz w:val="28"/>
          <w:szCs w:val="28"/>
        </w:rPr>
        <w:t>й концессии – договору франчай</w:t>
      </w:r>
      <w:r w:rsidRPr="007B5DFD">
        <w:rPr>
          <w:rFonts w:ascii="Times New Roman" w:hAnsi="Times New Roman" w:cs="Times New Roman"/>
          <w:sz w:val="28"/>
          <w:szCs w:val="28"/>
        </w:rPr>
        <w:t>зинга) в пользу владельца прав (лицензиара). Поскольку такие платеж</w:t>
      </w:r>
      <w:r>
        <w:rPr>
          <w:rFonts w:ascii="Times New Roman" w:hAnsi="Times New Roman" w:cs="Times New Roman"/>
          <w:sz w:val="28"/>
          <w:szCs w:val="28"/>
        </w:rPr>
        <w:t>и не проводятся, так как в дей</w:t>
      </w:r>
      <w:r w:rsidRPr="007B5DFD">
        <w:rPr>
          <w:rFonts w:ascii="Times New Roman" w:hAnsi="Times New Roman" w:cs="Times New Roman"/>
          <w:sz w:val="28"/>
          <w:szCs w:val="28"/>
        </w:rPr>
        <w:t>ствительности права принадлежат нынешнему владельцу интеллектуальной собственности</w:t>
      </w:r>
      <w:r>
        <w:rPr>
          <w:rFonts w:ascii="Times New Roman" w:hAnsi="Times New Roman" w:cs="Times New Roman"/>
          <w:sz w:val="28"/>
          <w:szCs w:val="28"/>
        </w:rPr>
        <w:t>, он освобожден от этой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обязанности. Образующаяся в результате такого освобождения экономия о</w:t>
      </w:r>
      <w:r>
        <w:rPr>
          <w:rFonts w:ascii="Times New Roman" w:hAnsi="Times New Roman" w:cs="Times New Roman"/>
          <w:sz w:val="28"/>
          <w:szCs w:val="28"/>
        </w:rPr>
        <w:t>тождествляется с дополнительной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прибылью (вознаграждением</w:t>
      </w:r>
      <w:r>
        <w:rPr>
          <w:rFonts w:ascii="Times New Roman" w:hAnsi="Times New Roman" w:cs="Times New Roman"/>
          <w:sz w:val="28"/>
          <w:szCs w:val="28"/>
        </w:rPr>
        <w:t>), которая и представляет собой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стоимость оцениваемого объекта.</w:t>
      </w:r>
    </w:p>
    <w:p w14:paraId="413A3332" w14:textId="1BDFC6E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Стандарты оценки определяют данный метод как наиболее значимый, в сравнении с другими, </w:t>
      </w:r>
      <w:r w:rsidR="00723EE5">
        <w:rPr>
          <w:rFonts w:ascii="Times New Roman" w:hAnsi="Times New Roman" w:cs="Times New Roman"/>
          <w:sz w:val="28"/>
          <w:szCs w:val="28"/>
        </w:rPr>
        <w:t xml:space="preserve">и </w:t>
      </w:r>
      <w:r w:rsidRPr="007B5DFD">
        <w:rPr>
          <w:rFonts w:ascii="Times New Roman" w:hAnsi="Times New Roman" w:cs="Times New Roman"/>
          <w:sz w:val="28"/>
          <w:szCs w:val="28"/>
        </w:rPr>
        <w:t>поддерживают его применение.</w:t>
      </w:r>
    </w:p>
    <w:p w14:paraId="70CAE8AB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Метод освобождения от роялти впервые начал применяться в оценке брендов и патентов консалтинговыми компаниями BrandFinance (2000), Whitwell (2013), Intangible Business and AUS Consultants or Consor (Salinas, 2007).</w:t>
      </w:r>
    </w:p>
    <w:p w14:paraId="334CCA5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Процесс оценки бренда методом освобождения содержит обязательные этапы:</w:t>
      </w:r>
    </w:p>
    <w:p w14:paraId="23FBBDA2" w14:textId="3C7917C3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1. Оценка объема продаж к</w:t>
      </w:r>
      <w:r w:rsidR="00723EE5">
        <w:rPr>
          <w:rFonts w:ascii="Times New Roman" w:hAnsi="Times New Roman" w:cs="Times New Roman"/>
          <w:sz w:val="28"/>
          <w:szCs w:val="28"/>
        </w:rPr>
        <w:t>омпании в течение следующих 3 –</w:t>
      </w:r>
      <w:r w:rsidRPr="007B5DFD">
        <w:rPr>
          <w:rFonts w:ascii="Times New Roman" w:hAnsi="Times New Roman" w:cs="Times New Roman"/>
          <w:sz w:val="28"/>
          <w:szCs w:val="28"/>
        </w:rPr>
        <w:t xml:space="preserve"> 5 лет.</w:t>
      </w:r>
    </w:p>
    <w:p w14:paraId="0BA6A8A7" w14:textId="1F5D0B8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2. Определение адекватной ставки лицензионного платежа (роялти) в соответствии со сложившейся практикой лицензионных соглашений. Ставка роялти зависит от объема передаваемых прав, силы бренда, срока действия договора, исключительности, жизненного цикла бренда и доли рынка. Следуя правилу Ноуппа, ставка определяется как 25%</w:t>
      </w:r>
      <w:r w:rsidR="00723EE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Pr="00CE4AE0">
        <w:rPr>
          <w:rFonts w:ascii="Times New Roman" w:hAnsi="Times New Roman" w:cs="Times New Roman"/>
          <w:sz w:val="28"/>
          <w:szCs w:val="28"/>
        </w:rPr>
        <w:t>%</w:t>
      </w:r>
      <w:r w:rsidRPr="007B5DFD">
        <w:rPr>
          <w:rFonts w:ascii="Times New Roman" w:hAnsi="Times New Roman" w:cs="Times New Roman"/>
          <w:sz w:val="28"/>
          <w:szCs w:val="28"/>
        </w:rPr>
        <w:t xml:space="preserve"> от операционной прибыли лицензиата или 5% от объема продаж.</w:t>
      </w:r>
    </w:p>
    <w:p w14:paraId="13A0B602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3. Расчет годовых потоков прибыли от роялти за весь период.</w:t>
      </w:r>
    </w:p>
    <w:p w14:paraId="0B4B2A48" w14:textId="77777777" w:rsidR="00723EE5" w:rsidRDefault="00723EE5" w:rsidP="00723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Расчет оптимальной ставки дисконтирования;</w:t>
      </w:r>
    </w:p>
    <w:p w14:paraId="17732C11" w14:textId="5A7B0F17" w:rsidR="00581F33" w:rsidRPr="007B5DFD" w:rsidRDefault="00723EE5" w:rsidP="00723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81F33" w:rsidRPr="007B5DFD">
        <w:rPr>
          <w:rFonts w:ascii="Times New Roman" w:hAnsi="Times New Roman" w:cs="Times New Roman"/>
          <w:sz w:val="28"/>
          <w:szCs w:val="28"/>
        </w:rPr>
        <w:t>Оценка долгосрочного темпа роста, срока полезного использования бренда, приведение ежегодных платежей роялти (после уплаты налогов) на дату оценки.</w:t>
      </w:r>
    </w:p>
    <w:p w14:paraId="386E4AA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Расчет текущей стоимости брен</w:t>
      </w:r>
      <w:r>
        <w:rPr>
          <w:rFonts w:ascii="Times New Roman" w:hAnsi="Times New Roman" w:cs="Times New Roman"/>
          <w:sz w:val="28"/>
          <w:szCs w:val="28"/>
        </w:rPr>
        <w:t>да в прогнозный и постпрогнозный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периоды осуществляется по следующей формуле:</w:t>
      </w:r>
    </w:p>
    <w:p w14:paraId="7A322D79" w14:textId="305A3B1F" w:rsidR="00581F33" w:rsidRPr="007B5DFD" w:rsidRDefault="00723EE5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Б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аза роялти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×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×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TV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</m:oMath>
      <w:r w:rsidR="003A0B62">
        <w:rPr>
          <w:rFonts w:ascii="Times New Roman" w:hAnsi="Times New Roman" w:cs="Times New Roman"/>
          <w:sz w:val="28"/>
          <w:szCs w:val="28"/>
        </w:rPr>
        <w:t>,                                                          (14)</w:t>
      </w:r>
    </w:p>
    <w:p w14:paraId="2132867E" w14:textId="264ACF9F" w:rsidR="00581F33" w:rsidRPr="007B5DFD" w:rsidRDefault="00581F33" w:rsidP="003A0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где</w:t>
      </w:r>
      <w:r w:rsidR="003A0B62">
        <w:rPr>
          <w:rFonts w:ascii="Times New Roman" w:hAnsi="Times New Roman" w:cs="Times New Roman"/>
          <w:sz w:val="28"/>
          <w:szCs w:val="28"/>
        </w:rPr>
        <w:t xml:space="preserve"> </w:t>
      </w:r>
      <w:r w:rsidRPr="00C719C2">
        <w:rPr>
          <w:rFonts w:ascii="Times New Roman" w:hAnsi="Times New Roman" w:cs="Times New Roman"/>
          <w:i/>
          <w:sz w:val="28"/>
          <w:szCs w:val="28"/>
        </w:rPr>
        <w:t>База роялти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экономический эффект (выручка, чистая прибыль), процент от которого берется для расчета роялти;</w:t>
      </w:r>
    </w:p>
    <w:p w14:paraId="2A5E54C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4E">
        <w:rPr>
          <w:rFonts w:ascii="Times New Roman" w:hAnsi="Times New Roman" w:cs="Times New Roman"/>
          <w:i/>
          <w:sz w:val="28"/>
          <w:szCs w:val="28"/>
        </w:rPr>
        <w:t>R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ставка роялти;</w:t>
      </w:r>
    </w:p>
    <w:p w14:paraId="7FE761A8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4E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7B5DFD">
        <w:rPr>
          <w:rFonts w:ascii="Times New Roman" w:hAnsi="Times New Roman" w:cs="Times New Roman"/>
          <w:sz w:val="28"/>
          <w:szCs w:val="28"/>
        </w:rPr>
        <w:t>– налог на прибыль;</w:t>
      </w:r>
    </w:p>
    <w:p w14:paraId="6A9A648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4E">
        <w:rPr>
          <w:rFonts w:ascii="Times New Roman" w:hAnsi="Times New Roman" w:cs="Times New Roman"/>
          <w:i/>
          <w:sz w:val="28"/>
          <w:szCs w:val="28"/>
        </w:rPr>
        <w:t xml:space="preserve">r </w:t>
      </w:r>
      <w:r w:rsidRPr="007B5DFD">
        <w:rPr>
          <w:rFonts w:ascii="Times New Roman" w:hAnsi="Times New Roman" w:cs="Times New Roman"/>
          <w:sz w:val="28"/>
          <w:szCs w:val="28"/>
        </w:rPr>
        <w:t>– ставка дисконтирования;</w:t>
      </w:r>
    </w:p>
    <w:p w14:paraId="400FDB5F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4E">
        <w:rPr>
          <w:rFonts w:ascii="Times New Roman" w:hAnsi="Times New Roman" w:cs="Times New Roman"/>
          <w:i/>
          <w:sz w:val="28"/>
          <w:szCs w:val="28"/>
        </w:rPr>
        <w:t>TV</w:t>
      </w:r>
      <w:r w:rsidRPr="007B5DFD">
        <w:rPr>
          <w:rFonts w:ascii="Times New Roman" w:hAnsi="Times New Roman" w:cs="Times New Roman"/>
          <w:sz w:val="28"/>
          <w:szCs w:val="28"/>
        </w:rPr>
        <w:t xml:space="preserve"> – терминальная (остаточная) стоимость, рассчитанная по модели Гордона.</w:t>
      </w:r>
    </w:p>
    <w:p w14:paraId="3B5FB22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 xml:space="preserve">Метод освобождения от роялти примечателен тем, что несет в себе специфику, связанную с особенностями рыночной отрасли и основан на текущих практиках лицензирования активов. Однако важно учитывать: лицензионный договор включает, помимо бренда, передачу материалов (соглашение или договор поставки), ноу хау, дополнительные услуги. </w:t>
      </w:r>
    </w:p>
    <w:p w14:paraId="6142C940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Существует как минимум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7B5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</w:t>
      </w:r>
      <w:r w:rsidRPr="007B5DFD">
        <w:rPr>
          <w:rFonts w:ascii="Times New Roman" w:hAnsi="Times New Roman" w:cs="Times New Roman"/>
          <w:sz w:val="28"/>
          <w:szCs w:val="28"/>
        </w:rPr>
        <w:t xml:space="preserve"> нахождения ставки роялти:</w:t>
      </w:r>
    </w:p>
    <w:p w14:paraId="5A2F8DD7" w14:textId="77777777" w:rsidR="00581F33" w:rsidRPr="00057C48" w:rsidRDefault="00581F33" w:rsidP="00581F33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48">
        <w:rPr>
          <w:rFonts w:ascii="Times New Roman" w:hAnsi="Times New Roman" w:cs="Times New Roman"/>
          <w:sz w:val="28"/>
          <w:szCs w:val="28"/>
        </w:rPr>
        <w:t>Использование баз данных ставок роялти по сделкам, совершенными компаниями той же отрасли и категории товаров и/или услуг. Это сформировавшиеся для различных отраслей промышленности так называемые «реальные» рыночные ставки роялти. Например, платный ресурс Royalty Range: Europian Royalty Database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1"/>
      </w:r>
      <w:r w:rsidRPr="00057C48">
        <w:rPr>
          <w:rFonts w:ascii="Times New Roman" w:hAnsi="Times New Roman" w:cs="Times New Roman"/>
          <w:sz w:val="28"/>
          <w:szCs w:val="28"/>
        </w:rPr>
        <w:t xml:space="preserve"> удобен в поиске всех необходимых условий лицензионных соглашений по передаче предметов собственности. Необходимо учитывать, что договор лицензирования может также включать в допо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57C48">
        <w:rPr>
          <w:rFonts w:ascii="Times New Roman" w:hAnsi="Times New Roman" w:cs="Times New Roman"/>
          <w:sz w:val="28"/>
          <w:szCs w:val="28"/>
        </w:rPr>
        <w:t>нение к передаче права на использование бренда ежемесячную поставку сырья и оборудования, обучение сотрудников, предоставление помещений. Следует основательно изучить детали договора и выделить ставку роялти, приходящуюся исключительно на бренд.</w:t>
      </w:r>
    </w:p>
    <w:p w14:paraId="2D06ABB0" w14:textId="4CDF3B66" w:rsidR="00CE4AE0" w:rsidRPr="00E66FD6" w:rsidRDefault="00581F33" w:rsidP="00E66FD6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48">
        <w:rPr>
          <w:rFonts w:ascii="Times New Roman" w:hAnsi="Times New Roman" w:cs="Times New Roman"/>
          <w:sz w:val="28"/>
          <w:szCs w:val="28"/>
        </w:rPr>
        <w:t>В дополнение к предыдущему методу проводится анализ силы бренда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из Таблицы 4</w:t>
      </w:r>
      <w:r w:rsidRPr="00057C48">
        <w:rPr>
          <w:rFonts w:ascii="Times New Roman" w:hAnsi="Times New Roman" w:cs="Times New Roman"/>
          <w:sz w:val="28"/>
          <w:szCs w:val="28"/>
        </w:rPr>
        <w:t xml:space="preserve"> (сравнение атрибутов бренда и аналога, по которому используется ставка роялти), на основании которого экспертным путем выставляется ставка роялти.</w:t>
      </w:r>
    </w:p>
    <w:p w14:paraId="3D553BDD" w14:textId="77777777" w:rsidR="0055735B" w:rsidRDefault="0055735B" w:rsidP="00653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65572" w14:textId="77777777" w:rsidR="0055735B" w:rsidRDefault="0055735B" w:rsidP="00653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8A6D1" w14:textId="77777777" w:rsidR="0055735B" w:rsidRDefault="0055735B" w:rsidP="00653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0D27A" w14:textId="66B1DCD0" w:rsidR="00581F33" w:rsidRPr="0055735B" w:rsidRDefault="00581F33" w:rsidP="00653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Таблица 4 Критерии д</w:t>
      </w:r>
      <w:r w:rsidR="006536E9">
        <w:rPr>
          <w:rFonts w:ascii="Times New Roman" w:hAnsi="Times New Roman" w:cs="Times New Roman"/>
          <w:sz w:val="28"/>
          <w:szCs w:val="28"/>
        </w:rPr>
        <w:t>ля расчета индекса силы бренда</w:t>
      </w: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3292"/>
        <w:gridCol w:w="2835"/>
      </w:tblGrid>
      <w:tr w:rsidR="00581F33" w:rsidRPr="007B5DFD" w14:paraId="27A5D1DD" w14:textId="77777777" w:rsidTr="000B4FAC">
        <w:tc>
          <w:tcPr>
            <w:tcW w:w="3292" w:type="dxa"/>
          </w:tcPr>
          <w:p w14:paraId="05276831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Показатель силы бренда</w:t>
            </w:r>
          </w:p>
        </w:tc>
        <w:tc>
          <w:tcPr>
            <w:tcW w:w="2835" w:type="dxa"/>
          </w:tcPr>
          <w:p w14:paraId="53D4D96B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581F33" w:rsidRPr="007B5DFD" w14:paraId="05FB58ED" w14:textId="77777777" w:rsidTr="000B4FAC">
        <w:tc>
          <w:tcPr>
            <w:tcW w:w="3292" w:type="dxa"/>
          </w:tcPr>
          <w:p w14:paraId="1F70C5A8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</w:p>
        </w:tc>
        <w:tc>
          <w:tcPr>
            <w:tcW w:w="2835" w:type="dxa"/>
          </w:tcPr>
          <w:p w14:paraId="445B849D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1F33" w:rsidRPr="007B5DFD" w14:paraId="751DCEEC" w14:textId="77777777" w:rsidTr="000B4FAC">
        <w:tc>
          <w:tcPr>
            <w:tcW w:w="3292" w:type="dxa"/>
          </w:tcPr>
          <w:p w14:paraId="168F2011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Стабильность</w:t>
            </w:r>
          </w:p>
        </w:tc>
        <w:tc>
          <w:tcPr>
            <w:tcW w:w="2835" w:type="dxa"/>
          </w:tcPr>
          <w:p w14:paraId="0BCDE6D9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1F33" w:rsidRPr="007B5DFD" w14:paraId="0517BA56" w14:textId="77777777" w:rsidTr="000B4FAC">
        <w:tc>
          <w:tcPr>
            <w:tcW w:w="3292" w:type="dxa"/>
          </w:tcPr>
          <w:p w14:paraId="13982780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Лидерство </w:t>
            </w:r>
          </w:p>
        </w:tc>
        <w:tc>
          <w:tcPr>
            <w:tcW w:w="2835" w:type="dxa"/>
          </w:tcPr>
          <w:p w14:paraId="4F302567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81F33" w:rsidRPr="007B5DFD" w14:paraId="18D9BF3F" w14:textId="77777777" w:rsidTr="000B4FAC">
        <w:tc>
          <w:tcPr>
            <w:tcW w:w="3292" w:type="dxa"/>
          </w:tcPr>
          <w:p w14:paraId="7A542784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Интернациональность</w:t>
            </w:r>
          </w:p>
        </w:tc>
        <w:tc>
          <w:tcPr>
            <w:tcW w:w="2835" w:type="dxa"/>
          </w:tcPr>
          <w:p w14:paraId="097CEE97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81F33" w:rsidRPr="007B5DFD" w14:paraId="50713953" w14:textId="77777777" w:rsidTr="000B4FAC">
        <w:tc>
          <w:tcPr>
            <w:tcW w:w="3292" w:type="dxa"/>
          </w:tcPr>
          <w:p w14:paraId="748A83B0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Тенденции</w:t>
            </w:r>
          </w:p>
        </w:tc>
        <w:tc>
          <w:tcPr>
            <w:tcW w:w="2835" w:type="dxa"/>
          </w:tcPr>
          <w:p w14:paraId="00EAF2CC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1F33" w:rsidRPr="007B5DFD" w14:paraId="44AAE01A" w14:textId="77777777" w:rsidTr="000B4FAC">
        <w:tc>
          <w:tcPr>
            <w:tcW w:w="3292" w:type="dxa"/>
          </w:tcPr>
          <w:p w14:paraId="22B10E5B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2835" w:type="dxa"/>
          </w:tcPr>
          <w:p w14:paraId="7D8078E5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1F33" w:rsidRPr="007B5DFD" w14:paraId="23694353" w14:textId="77777777" w:rsidTr="000B4FAC">
        <w:tc>
          <w:tcPr>
            <w:tcW w:w="3292" w:type="dxa"/>
          </w:tcPr>
          <w:p w14:paraId="6A642979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  <w:tc>
          <w:tcPr>
            <w:tcW w:w="2835" w:type="dxa"/>
          </w:tcPr>
          <w:p w14:paraId="1F97F39B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8487B9B" w14:textId="356AE5D2" w:rsidR="00581F33" w:rsidRPr="00057C48" w:rsidRDefault="00581F33" w:rsidP="006536E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57C48">
        <w:rPr>
          <w:rFonts w:ascii="Times New Roman" w:hAnsi="Times New Roman" w:cs="Times New Roman"/>
          <w:i/>
          <w:sz w:val="28"/>
          <w:szCs w:val="28"/>
        </w:rPr>
        <w:t>Источник</w:t>
      </w:r>
      <w:r w:rsidRPr="00F625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F625E3" w:rsidRPr="00F625E3">
        <w:rPr>
          <w:rFonts w:ascii="Times New Roman" w:hAnsi="Times New Roman" w:cs="Times New Roman"/>
          <w:i/>
          <w:sz w:val="28"/>
          <w:szCs w:val="28"/>
          <w:lang w:val="en-US"/>
        </w:rPr>
        <w:t>Financial applications for brand valuation // Interbrand URL: http://interbrand.com/wp-content/uploads/2015/10/Interbrand-Financial-Applications-for-Brand-Valuations.pdf (дата обращения: 15.12.2016).</w:t>
      </w:r>
    </w:p>
    <w:p w14:paraId="2FBAA27B" w14:textId="028A7594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Каждому показателю экспертным образом присваивается балл, после чего ра</w:t>
      </w:r>
      <w:r w:rsidR="00CE4AE0">
        <w:rPr>
          <w:rFonts w:ascii="Times New Roman" w:hAnsi="Times New Roman" w:cs="Times New Roman"/>
          <w:sz w:val="28"/>
          <w:szCs w:val="28"/>
        </w:rPr>
        <w:t>ссчитывается индекс силы бренда</w:t>
      </w:r>
      <w:r w:rsidRPr="007B5DFD">
        <w:rPr>
          <w:rFonts w:ascii="Times New Roman" w:hAnsi="Times New Roman" w:cs="Times New Roman"/>
          <w:sz w:val="28"/>
          <w:szCs w:val="28"/>
        </w:rPr>
        <w:t xml:space="preserve"> для оцениваемого объекта и его аналога.</w:t>
      </w:r>
    </w:p>
    <w:p w14:paraId="25F812DD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Мультипликатор сравнения находится по формуле:</w:t>
      </w:r>
    </w:p>
    <w:p w14:paraId="38F87B62" w14:textId="2394FE10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index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оц,j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index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ан,j</m:t>
                    </m:r>
                  </m:sub>
                </m:sSub>
              </m:e>
            </m:nary>
          </m:den>
        </m:f>
      </m:oMath>
      <w:r w:rsidR="003A0B62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(15)</w:t>
      </w:r>
    </w:p>
    <w:p w14:paraId="7A231DD6" w14:textId="2BE5A1B0" w:rsidR="00581F33" w:rsidRPr="007B5DFD" w:rsidRDefault="00581F33" w:rsidP="003A0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где</w:t>
      </w:r>
      <w:r w:rsidR="003A0B6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index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оц,j</m:t>
            </m:r>
          </m:sub>
        </m:sSub>
      </m:oMath>
      <w:r w:rsidRPr="007B5DFD">
        <w:rPr>
          <w:rFonts w:ascii="Times New Roman" w:hAnsi="Times New Roman" w:cs="Times New Roman"/>
          <w:sz w:val="28"/>
          <w:szCs w:val="28"/>
        </w:rPr>
        <w:t xml:space="preserve"> – балл по </w:t>
      </w:r>
      <w:r w:rsidRPr="00D80D4E">
        <w:rPr>
          <w:rFonts w:ascii="Times New Roman" w:hAnsi="Times New Roman" w:cs="Times New Roman"/>
          <w:i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5DFD">
        <w:rPr>
          <w:rFonts w:ascii="Times New Roman" w:hAnsi="Times New Roman" w:cs="Times New Roman"/>
          <w:sz w:val="28"/>
          <w:szCs w:val="28"/>
        </w:rPr>
        <w:t>тому показателю оцениваемого бренда;</w:t>
      </w:r>
    </w:p>
    <w:p w14:paraId="303C93FA" w14:textId="7777777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index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ан,j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балл по </w:t>
      </w:r>
      <w:r w:rsidR="00581F33" w:rsidRPr="00D80D4E">
        <w:rPr>
          <w:rFonts w:ascii="Times New Roman" w:hAnsi="Times New Roman" w:cs="Times New Roman"/>
          <w:i/>
          <w:sz w:val="28"/>
          <w:szCs w:val="28"/>
        </w:rPr>
        <w:t>j</w:t>
      </w:r>
      <w:r w:rsidR="00581F33">
        <w:rPr>
          <w:rFonts w:ascii="Times New Roman" w:hAnsi="Times New Roman" w:cs="Times New Roman"/>
          <w:sz w:val="28"/>
          <w:szCs w:val="28"/>
        </w:rPr>
        <w:t>-тому показателю бренда-</w:t>
      </w:r>
      <w:r w:rsidR="00581F33" w:rsidRPr="007B5DFD">
        <w:rPr>
          <w:rFonts w:ascii="Times New Roman" w:hAnsi="Times New Roman" w:cs="Times New Roman"/>
          <w:sz w:val="28"/>
          <w:szCs w:val="28"/>
        </w:rPr>
        <w:t>аналога.</w:t>
      </w:r>
    </w:p>
    <w:p w14:paraId="1F05B3C4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Найденная </w:t>
      </w:r>
      <w:r>
        <w:rPr>
          <w:rFonts w:ascii="Times New Roman" w:hAnsi="Times New Roman" w:cs="Times New Roman"/>
          <w:sz w:val="28"/>
          <w:szCs w:val="28"/>
        </w:rPr>
        <w:t>ставка роялти по бренду-</w:t>
      </w:r>
      <w:r w:rsidRPr="007B5DFD">
        <w:rPr>
          <w:rFonts w:ascii="Times New Roman" w:hAnsi="Times New Roman" w:cs="Times New Roman"/>
          <w:sz w:val="28"/>
          <w:szCs w:val="28"/>
        </w:rPr>
        <w:t>аналогу затем умножается на мультипликатор сравнения.</w:t>
      </w:r>
    </w:p>
    <w:p w14:paraId="38CE26CB" w14:textId="2B796825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Приведенные выше критерии силы бренда являются лишь рекомендацией. Эк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DFD">
        <w:rPr>
          <w:rFonts w:ascii="Times New Roman" w:hAnsi="Times New Roman" w:cs="Times New Roman"/>
          <w:sz w:val="28"/>
          <w:szCs w:val="28"/>
        </w:rPr>
        <w:t xml:space="preserve">пертами может быть составлен </w:t>
      </w:r>
      <w:r w:rsidR="005F52CF">
        <w:rPr>
          <w:rFonts w:ascii="Times New Roman" w:hAnsi="Times New Roman" w:cs="Times New Roman"/>
          <w:sz w:val="28"/>
          <w:szCs w:val="28"/>
        </w:rPr>
        <w:t xml:space="preserve">собственный </w:t>
      </w:r>
      <w:r w:rsidRPr="007B5DFD">
        <w:rPr>
          <w:rFonts w:ascii="Times New Roman" w:hAnsi="Times New Roman" w:cs="Times New Roman"/>
          <w:sz w:val="28"/>
          <w:szCs w:val="28"/>
        </w:rPr>
        <w:t>список на основании специфики продуктовой отрасли, рынка и т.</w:t>
      </w:r>
      <w:r w:rsidR="005F52CF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д. Дополнительно эксперты могут подобрать веса для каждого из показателей в зависимости от</w:t>
      </w:r>
      <w:r w:rsidR="005F52CF">
        <w:rPr>
          <w:rFonts w:ascii="Times New Roman" w:hAnsi="Times New Roman" w:cs="Times New Roman"/>
          <w:sz w:val="28"/>
          <w:szCs w:val="28"/>
        </w:rPr>
        <w:t xml:space="preserve"> их</w:t>
      </w:r>
      <w:r w:rsidRPr="007B5DFD">
        <w:rPr>
          <w:rFonts w:ascii="Times New Roman" w:hAnsi="Times New Roman" w:cs="Times New Roman"/>
          <w:sz w:val="28"/>
          <w:szCs w:val="28"/>
        </w:rPr>
        <w:t xml:space="preserve"> значимости.</w:t>
      </w:r>
    </w:p>
    <w:p w14:paraId="57B30340" w14:textId="6B9D0B30" w:rsidR="00581F33" w:rsidRPr="007B5DFD" w:rsidRDefault="00581F33" w:rsidP="00F625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3. В рамках «правила 25%» величина ставки роялти за пользование объектом оценки может быть рассмотрена как «справедливая» доля прибыли лицензиата. Согласно правилу</w:t>
      </w:r>
      <w:r w:rsidR="005F52CF">
        <w:rPr>
          <w:rFonts w:ascii="Times New Roman" w:hAnsi="Times New Roman" w:cs="Times New Roman"/>
          <w:sz w:val="28"/>
          <w:szCs w:val="28"/>
        </w:rPr>
        <w:t>,</w:t>
      </w:r>
      <w:r w:rsidRPr="007B5DFD">
        <w:rPr>
          <w:rFonts w:ascii="Times New Roman" w:hAnsi="Times New Roman" w:cs="Times New Roman"/>
          <w:sz w:val="28"/>
          <w:szCs w:val="28"/>
        </w:rPr>
        <w:t xml:space="preserve"> лицензиару причитается от 25% до 33% операционной прибыли, полученной лицензиатом от использования объекта. Правило известно как формула Ноуппа, представленная Гельмутом Ноуппом в 1967 году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2"/>
      </w:r>
      <w:r w:rsidRPr="007B5DF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9908F5C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Несмотря на известную критику и простоту метода, правило активно используют в лицензионной и деловой практике.</w:t>
      </w:r>
    </w:p>
    <w:p w14:paraId="09D87F7D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4. Модели Kleineidam, Kuebart, сфокусированные на процессе имитирования переговоров между лицензиаром и лицензиатом.</w:t>
      </w:r>
    </w:p>
    <w:p w14:paraId="519F815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5. Теоретическое значение ставки роялти определяется как ежегодная разница в рентабельности продаж по операционной прибыли. Сравнение производится между компанией, владеющей оцениваемым брендом, и средним значением по отрасли. </w:t>
      </w:r>
    </w:p>
    <w:p w14:paraId="6F313FB7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Рентабельность продаж по операционной прибыли определяется по формуле:</w:t>
      </w:r>
    </w:p>
    <w:p w14:paraId="4F664544" w14:textId="64293A17" w:rsidR="00581F33" w:rsidRPr="00C9126A" w:rsidRDefault="00C9126A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ROS=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EBIT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TR</m:t>
            </m:r>
          </m:den>
        </m:f>
      </m:oMath>
      <w:r w:rsidR="003A0B62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(16)</w:t>
      </w:r>
    </w:p>
    <w:p w14:paraId="27D01336" w14:textId="4F1E7A05" w:rsidR="00C9126A" w:rsidRPr="003A0B62" w:rsidRDefault="00C9126A" w:rsidP="003A0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3A0B62" w:rsidRPr="003A0B6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EBIT</m:t>
        </m:r>
      </m:oMath>
      <w:r w:rsidRPr="003A0B62">
        <w:rPr>
          <w:rFonts w:ascii="Times New Roman" w:hAnsi="Times New Roman" w:cs="Times New Roman"/>
          <w:sz w:val="28"/>
          <w:szCs w:val="28"/>
        </w:rPr>
        <w:t xml:space="preserve"> – </w:t>
      </w:r>
      <w:r w:rsidRPr="00C9126A">
        <w:rPr>
          <w:rFonts w:ascii="Times New Roman" w:hAnsi="Times New Roman" w:cs="Times New Roman"/>
          <w:sz w:val="28"/>
          <w:szCs w:val="28"/>
        </w:rPr>
        <w:t>операционная</w:t>
      </w:r>
      <w:r w:rsidRPr="003A0B62">
        <w:rPr>
          <w:rFonts w:ascii="Times New Roman" w:hAnsi="Times New Roman" w:cs="Times New Roman"/>
          <w:sz w:val="28"/>
          <w:szCs w:val="28"/>
        </w:rPr>
        <w:t xml:space="preserve"> </w:t>
      </w:r>
      <w:r w:rsidRPr="00C9126A">
        <w:rPr>
          <w:rFonts w:ascii="Times New Roman" w:hAnsi="Times New Roman" w:cs="Times New Roman"/>
          <w:sz w:val="28"/>
          <w:szCs w:val="28"/>
        </w:rPr>
        <w:t>прибыль</w:t>
      </w:r>
      <w:r w:rsidRPr="003A0B62">
        <w:rPr>
          <w:rFonts w:ascii="Times New Roman" w:hAnsi="Times New Roman" w:cs="Times New Roman"/>
          <w:sz w:val="28"/>
          <w:szCs w:val="28"/>
        </w:rPr>
        <w:t xml:space="preserve"> (</w:t>
      </w:r>
      <w:r w:rsidRPr="00C9126A">
        <w:rPr>
          <w:rFonts w:ascii="Times New Roman" w:hAnsi="Times New Roman" w:cs="Times New Roman"/>
          <w:sz w:val="28"/>
          <w:szCs w:val="28"/>
          <w:lang w:val="en-US"/>
        </w:rPr>
        <w:t>Earnings</w:t>
      </w:r>
      <w:r w:rsidRPr="003A0B62">
        <w:rPr>
          <w:rFonts w:ascii="Times New Roman" w:hAnsi="Times New Roman" w:cs="Times New Roman"/>
          <w:sz w:val="28"/>
          <w:szCs w:val="28"/>
        </w:rPr>
        <w:t xml:space="preserve"> </w:t>
      </w:r>
      <w:r w:rsidRPr="00C9126A">
        <w:rPr>
          <w:rFonts w:ascii="Times New Roman" w:hAnsi="Times New Roman" w:cs="Times New Roman"/>
          <w:sz w:val="28"/>
          <w:szCs w:val="28"/>
          <w:lang w:val="en-US"/>
        </w:rPr>
        <w:t>before</w:t>
      </w:r>
      <w:r w:rsidRPr="003A0B62">
        <w:rPr>
          <w:rFonts w:ascii="Times New Roman" w:hAnsi="Times New Roman" w:cs="Times New Roman"/>
          <w:sz w:val="28"/>
          <w:szCs w:val="28"/>
        </w:rPr>
        <w:t xml:space="preserve"> </w:t>
      </w:r>
      <w:r w:rsidRPr="00C9126A">
        <w:rPr>
          <w:rFonts w:ascii="Times New Roman" w:hAnsi="Times New Roman" w:cs="Times New Roman"/>
          <w:sz w:val="28"/>
          <w:szCs w:val="28"/>
          <w:lang w:val="en-US"/>
        </w:rPr>
        <w:t>Interests</w:t>
      </w:r>
      <w:r w:rsidRPr="003A0B62">
        <w:rPr>
          <w:rFonts w:ascii="Times New Roman" w:hAnsi="Times New Roman" w:cs="Times New Roman"/>
          <w:sz w:val="28"/>
          <w:szCs w:val="28"/>
        </w:rPr>
        <w:t xml:space="preserve"> </w:t>
      </w:r>
      <w:r w:rsidRPr="00C9126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A0B62">
        <w:rPr>
          <w:rFonts w:ascii="Times New Roman" w:hAnsi="Times New Roman" w:cs="Times New Roman"/>
          <w:sz w:val="28"/>
          <w:szCs w:val="28"/>
        </w:rPr>
        <w:t xml:space="preserve"> </w:t>
      </w:r>
      <w:r w:rsidRPr="00C9126A">
        <w:rPr>
          <w:rFonts w:ascii="Times New Roman" w:hAnsi="Times New Roman" w:cs="Times New Roman"/>
          <w:sz w:val="28"/>
          <w:szCs w:val="28"/>
          <w:lang w:val="en-US"/>
        </w:rPr>
        <w:t>Taxes</w:t>
      </w:r>
      <w:r w:rsidRPr="003A0B62">
        <w:rPr>
          <w:rFonts w:ascii="Times New Roman" w:hAnsi="Times New Roman" w:cs="Times New Roman"/>
          <w:sz w:val="28"/>
          <w:szCs w:val="28"/>
        </w:rPr>
        <w:t>);</w:t>
      </w:r>
    </w:p>
    <w:p w14:paraId="5824DDC8" w14:textId="6EAA4F4E" w:rsidR="00C9126A" w:rsidRPr="00C9126A" w:rsidRDefault="00C9126A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26A">
        <w:rPr>
          <w:rFonts w:ascii="Times New Roman" w:hAnsi="Times New Roman" w:cs="Times New Roman"/>
          <w:i/>
          <w:sz w:val="28"/>
          <w:szCs w:val="28"/>
          <w:lang w:val="en-US"/>
        </w:rPr>
        <w:t>TR</w:t>
      </w:r>
      <w:r w:rsidRPr="00A7177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выручка.</w:t>
      </w:r>
    </w:p>
    <w:p w14:paraId="217C3039" w14:textId="70A6838C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7F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 xml:space="preserve">Использование разницы в операционной марже обусловлено положительным влиянием бренда не только на доходы компании (за счет ценовой премии и роста объемов продаж), но и на структуру ее </w:t>
      </w:r>
      <w:r w:rsidR="000C119A">
        <w:rPr>
          <w:rFonts w:ascii="Times New Roman" w:hAnsi="Times New Roman" w:cs="Times New Roman"/>
          <w:sz w:val="28"/>
          <w:szCs w:val="28"/>
        </w:rPr>
        <w:t xml:space="preserve">операционных </w:t>
      </w:r>
      <w:r w:rsidRPr="007B5DFD">
        <w:rPr>
          <w:rFonts w:ascii="Times New Roman" w:hAnsi="Times New Roman" w:cs="Times New Roman"/>
          <w:sz w:val="28"/>
          <w:szCs w:val="28"/>
        </w:rPr>
        <w:t xml:space="preserve">расходов. </w:t>
      </w:r>
    </w:p>
    <w:p w14:paraId="3452D17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Достоинства метода освобождения от роялти:</w:t>
      </w:r>
    </w:p>
    <w:p w14:paraId="683AF5D5" w14:textId="77777777" w:rsidR="00581F33" w:rsidRPr="00D80D4E" w:rsidRDefault="00581F33" w:rsidP="00581F33">
      <w:pPr>
        <w:pStyle w:val="a4"/>
        <w:numPr>
          <w:ilvl w:val="0"/>
          <w:numId w:val="2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0D4E">
        <w:rPr>
          <w:rFonts w:ascii="Times New Roman" w:hAnsi="Times New Roman" w:cs="Times New Roman"/>
          <w:sz w:val="28"/>
          <w:szCs w:val="28"/>
        </w:rPr>
        <w:lastRenderedPageBreak/>
        <w:t>учитываются особенности, риски и структура продуктовой отрасли;</w:t>
      </w:r>
    </w:p>
    <w:p w14:paraId="38F5D547" w14:textId="77777777" w:rsidR="00581F33" w:rsidRPr="00D80D4E" w:rsidRDefault="00581F33" w:rsidP="00581F33">
      <w:pPr>
        <w:pStyle w:val="a4"/>
        <w:numPr>
          <w:ilvl w:val="0"/>
          <w:numId w:val="2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0D4E">
        <w:rPr>
          <w:rFonts w:ascii="Times New Roman" w:hAnsi="Times New Roman" w:cs="Times New Roman"/>
          <w:sz w:val="28"/>
          <w:szCs w:val="28"/>
        </w:rPr>
        <w:t>основан на практике лицензирования, а значит, приближен к рыночным реалиям.</w:t>
      </w:r>
    </w:p>
    <w:p w14:paraId="4A03EA0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 числе недостатков метода:</w:t>
      </w:r>
    </w:p>
    <w:p w14:paraId="1335AADE" w14:textId="77777777" w:rsidR="00581F33" w:rsidRPr="00D80D4E" w:rsidRDefault="00581F33" w:rsidP="00581F33">
      <w:pPr>
        <w:pStyle w:val="a4"/>
        <w:numPr>
          <w:ilvl w:val="0"/>
          <w:numId w:val="2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0D4E">
        <w:rPr>
          <w:rFonts w:ascii="Times New Roman" w:hAnsi="Times New Roman" w:cs="Times New Roman"/>
          <w:sz w:val="28"/>
          <w:szCs w:val="28"/>
        </w:rPr>
        <w:t>уникальность и несопоставимость бренда;</w:t>
      </w:r>
    </w:p>
    <w:p w14:paraId="0CE8D374" w14:textId="0DBF22A9" w:rsidR="00581F33" w:rsidRPr="001D338E" w:rsidRDefault="00581F33" w:rsidP="00581F33">
      <w:pPr>
        <w:pStyle w:val="a4"/>
        <w:numPr>
          <w:ilvl w:val="0"/>
          <w:numId w:val="2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0D4E">
        <w:rPr>
          <w:rFonts w:ascii="Times New Roman" w:hAnsi="Times New Roman" w:cs="Times New Roman"/>
          <w:sz w:val="28"/>
          <w:szCs w:val="28"/>
        </w:rPr>
        <w:t>ставка роялти не всегда включает в себя только плату за использование бренда. Трудность в определении, какая часть ставки взимается за бренд, а какая – за остальные обязательства по</w:t>
      </w:r>
      <w:r>
        <w:rPr>
          <w:rFonts w:ascii="Times New Roman" w:hAnsi="Times New Roman" w:cs="Times New Roman"/>
          <w:sz w:val="28"/>
          <w:szCs w:val="28"/>
        </w:rPr>
        <w:t xml:space="preserve"> контракту (поставка сырья, ноу </w:t>
      </w:r>
      <w:r w:rsidRPr="00D80D4E">
        <w:rPr>
          <w:rFonts w:ascii="Times New Roman" w:hAnsi="Times New Roman" w:cs="Times New Roman"/>
          <w:sz w:val="28"/>
          <w:szCs w:val="28"/>
        </w:rPr>
        <w:t>хау, обучение сотрудников и т.</w:t>
      </w:r>
      <w:r w:rsidR="00A7177F">
        <w:rPr>
          <w:rFonts w:ascii="Times New Roman" w:hAnsi="Times New Roman" w:cs="Times New Roman"/>
          <w:sz w:val="28"/>
          <w:szCs w:val="28"/>
        </w:rPr>
        <w:t xml:space="preserve"> </w:t>
      </w:r>
      <w:r w:rsidRPr="00D80D4E">
        <w:rPr>
          <w:rFonts w:ascii="Times New Roman" w:hAnsi="Times New Roman" w:cs="Times New Roman"/>
          <w:sz w:val="28"/>
          <w:szCs w:val="28"/>
        </w:rPr>
        <w:t>д.).</w:t>
      </w:r>
    </w:p>
    <w:p w14:paraId="5B04C39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Теоретически можно утверждать, что инструменты доходного подхода более интересны как самим оценщикам, так и пользователям, поскольку последние заинтересованы только в будущих доходах, генерируемых брендом. Но реальность в значительной мере расходится с теорией и тот факт, что оценочная стоимость сильно зависит от первоначальных допущений (прогноз будущих доходов, темпа роста), иллюстрирует неопределенность методов, основанных на доходном подходе.</w:t>
      </w:r>
    </w:p>
    <w:p w14:paraId="60D01F0B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Следует учитывать, что чем выше количество переменных, основанных на допущениях, тем ненадежнее результат.  </w:t>
      </w:r>
    </w:p>
    <w:p w14:paraId="2B43C2C3" w14:textId="77777777" w:rsidR="00581F33" w:rsidRPr="007B5DFD" w:rsidRDefault="00581F33" w:rsidP="00581F33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headerReference w:type="first" r:id="rId31"/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61937D8B" w14:textId="77777777" w:rsidR="00581F33" w:rsidRPr="007B5DFD" w:rsidRDefault="00581F33" w:rsidP="00581F33">
      <w:pPr>
        <w:pStyle w:val="20"/>
      </w:pPr>
      <w:bookmarkStart w:id="29" w:name="_Toc481137254"/>
      <w:r w:rsidRPr="007B5DFD">
        <w:lastRenderedPageBreak/>
        <w:t>2.4 Рыночный (сравнительный) подход</w:t>
      </w:r>
      <w:bookmarkEnd w:id="29"/>
    </w:p>
    <w:p w14:paraId="72441B0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Применение рыночного подхода (market based valuation approach) базируется на том, что стоимость бренда оценивается: а) на основании данных о продажах сопоставимых брендов; б) с учетом альтернативности оце</w:t>
      </w:r>
      <w:r>
        <w:rPr>
          <w:rFonts w:ascii="Times New Roman" w:hAnsi="Times New Roman" w:cs="Times New Roman"/>
          <w:sz w:val="28"/>
          <w:szCs w:val="28"/>
        </w:rPr>
        <w:t>нок в условиях изменяющейся конъюнктуры</w:t>
      </w:r>
      <w:r w:rsidRPr="007B5DFD">
        <w:rPr>
          <w:rFonts w:ascii="Times New Roman" w:hAnsi="Times New Roman" w:cs="Times New Roman"/>
          <w:sz w:val="28"/>
          <w:szCs w:val="28"/>
        </w:rPr>
        <w:t xml:space="preserve"> рынка.</w:t>
      </w:r>
    </w:p>
    <w:p w14:paraId="39CCE994" w14:textId="30A8CDA2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Зачастую в профессиональной литературе авторы не берутся рассматривать рыночный подход для оценки нематериальных активов и интеллектуальной собственности. </w:t>
      </w:r>
      <w:r>
        <w:rPr>
          <w:rFonts w:ascii="Times New Roman" w:hAnsi="Times New Roman" w:cs="Times New Roman"/>
          <w:sz w:val="28"/>
          <w:szCs w:val="28"/>
        </w:rPr>
        <w:t>С.В. Валд</w:t>
      </w:r>
      <w:r w:rsidRPr="007B5DFD">
        <w:rPr>
          <w:rFonts w:ascii="Times New Roman" w:hAnsi="Times New Roman" w:cs="Times New Roman"/>
          <w:sz w:val="28"/>
          <w:szCs w:val="28"/>
        </w:rPr>
        <w:t>айцев пишет: «рыночный подход наименее применим к оценке объектов интеллектуальной собственности в силу их явно выраженного индивидуального характера (оригинальности)»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3"/>
      </w:r>
      <w:r w:rsidRPr="007B5DFD">
        <w:rPr>
          <w:rFonts w:ascii="Times New Roman" w:hAnsi="Times New Roman" w:cs="Times New Roman"/>
          <w:sz w:val="28"/>
          <w:szCs w:val="28"/>
        </w:rPr>
        <w:t>.  Автор объясняет невозможность применения подхода на практике для оценки интеллектуальной собственности недоступностью информации по базе для сравнения оцениваемого предмета.</w:t>
      </w:r>
      <w:r w:rsidR="00005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DBBCE" w14:textId="633D1385" w:rsidR="007C2055" w:rsidRPr="007B5DFD" w:rsidRDefault="007C2055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автора, недоступность информации нельзя назвать причиной отказа от использования методов рыночного подхода. С каждым годом данные становятся публичным</w:t>
      </w:r>
      <w:r w:rsidR="00C11C79">
        <w:rPr>
          <w:rFonts w:ascii="Times New Roman" w:hAnsi="Times New Roman" w:cs="Times New Roman"/>
          <w:sz w:val="28"/>
          <w:szCs w:val="28"/>
        </w:rPr>
        <w:t>и, прозрачными и общедоступными; компании стремятся быть открытыми как для потребителей, так и для потенциальных инвесторов. Скорее, сегодня можно наблюдать обратную тенденцию: сокрытие информации становится все более невозможным</w:t>
      </w:r>
      <w:r w:rsidR="003441F2">
        <w:rPr>
          <w:rFonts w:ascii="Times New Roman" w:hAnsi="Times New Roman" w:cs="Times New Roman"/>
          <w:sz w:val="28"/>
          <w:szCs w:val="28"/>
        </w:rPr>
        <w:t xml:space="preserve">, </w:t>
      </w:r>
      <w:r w:rsidR="00232D3C">
        <w:rPr>
          <w:rFonts w:ascii="Times New Roman" w:hAnsi="Times New Roman" w:cs="Times New Roman"/>
          <w:sz w:val="28"/>
          <w:szCs w:val="28"/>
        </w:rPr>
        <w:t>дорогостоящим</w:t>
      </w:r>
      <w:r w:rsidR="003B3C01">
        <w:rPr>
          <w:rFonts w:ascii="Times New Roman" w:hAnsi="Times New Roman" w:cs="Times New Roman"/>
          <w:sz w:val="28"/>
          <w:szCs w:val="28"/>
        </w:rPr>
        <w:t xml:space="preserve"> и не</w:t>
      </w:r>
      <w:r w:rsidR="003441F2">
        <w:rPr>
          <w:rFonts w:ascii="Times New Roman" w:hAnsi="Times New Roman" w:cs="Times New Roman"/>
          <w:sz w:val="28"/>
          <w:szCs w:val="28"/>
        </w:rPr>
        <w:t>выгодным</w:t>
      </w:r>
      <w:r w:rsidR="00232D3C">
        <w:rPr>
          <w:rFonts w:ascii="Times New Roman" w:hAnsi="Times New Roman" w:cs="Times New Roman"/>
          <w:sz w:val="28"/>
          <w:szCs w:val="28"/>
        </w:rPr>
        <w:t>.</w:t>
      </w:r>
    </w:p>
    <w:p w14:paraId="0529A21E" w14:textId="77777777" w:rsidR="00581F33" w:rsidRPr="00CE4AE0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C40FE">
        <w:rPr>
          <w:rFonts w:ascii="Times New Roman" w:hAnsi="Times New Roman" w:cs="Times New Roman"/>
          <w:i/>
          <w:sz w:val="28"/>
          <w:szCs w:val="28"/>
        </w:rPr>
        <w:t>Метод</w:t>
      </w:r>
      <w:r w:rsidRPr="00CE4A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C40FE">
        <w:rPr>
          <w:rFonts w:ascii="Times New Roman" w:hAnsi="Times New Roman" w:cs="Times New Roman"/>
          <w:i/>
          <w:sz w:val="28"/>
          <w:szCs w:val="28"/>
        </w:rPr>
        <w:t>рыночных</w:t>
      </w:r>
      <w:r w:rsidRPr="00CE4A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C40FE">
        <w:rPr>
          <w:rFonts w:ascii="Times New Roman" w:hAnsi="Times New Roman" w:cs="Times New Roman"/>
          <w:i/>
          <w:sz w:val="28"/>
          <w:szCs w:val="28"/>
        </w:rPr>
        <w:t>транзакций</w:t>
      </w:r>
      <w:r w:rsidRPr="00CE4A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7C40FE">
        <w:rPr>
          <w:rFonts w:ascii="Times New Roman" w:hAnsi="Times New Roman" w:cs="Times New Roman"/>
          <w:i/>
          <w:sz w:val="28"/>
          <w:szCs w:val="28"/>
        </w:rPr>
        <w:t>сделок</w:t>
      </w:r>
      <w:r w:rsidRPr="00CE4AE0">
        <w:rPr>
          <w:rFonts w:ascii="Times New Roman" w:hAnsi="Times New Roman" w:cs="Times New Roman"/>
          <w:i/>
          <w:sz w:val="28"/>
          <w:szCs w:val="28"/>
          <w:lang w:val="en-US"/>
        </w:rPr>
        <w:t>) (comparable transactions method)</w:t>
      </w:r>
    </w:p>
    <w:p w14:paraId="293D1A16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Этот оценочный подход</w:t>
      </w:r>
      <w:r>
        <w:rPr>
          <w:rFonts w:ascii="Times New Roman" w:hAnsi="Times New Roman" w:cs="Times New Roman"/>
          <w:sz w:val="28"/>
          <w:szCs w:val="28"/>
        </w:rPr>
        <w:t xml:space="preserve"> в основе своей является «преце</w:t>
      </w:r>
      <w:r w:rsidRPr="007B5DFD">
        <w:rPr>
          <w:rFonts w:ascii="Times New Roman" w:hAnsi="Times New Roman" w:cs="Times New Roman"/>
          <w:sz w:val="28"/>
          <w:szCs w:val="28"/>
        </w:rPr>
        <w:t xml:space="preserve">дентным», так как определяет стоимость бренда через анализ уже состоявшихся на рынке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аналогичных сделок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4"/>
      </w:r>
      <w:r w:rsidRPr="007B5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Метод заимствован из практики оценки стоимости предметов искусства, когда изучае</w:t>
      </w:r>
      <w:r>
        <w:rPr>
          <w:rFonts w:ascii="Times New Roman" w:hAnsi="Times New Roman" w:cs="Times New Roman"/>
          <w:sz w:val="28"/>
          <w:szCs w:val="28"/>
        </w:rPr>
        <w:t>тся стоимость сделок по купле-</w:t>
      </w:r>
      <w:r w:rsidRPr="007B5DFD">
        <w:rPr>
          <w:rFonts w:ascii="Times New Roman" w:hAnsi="Times New Roman" w:cs="Times New Roman"/>
          <w:sz w:val="28"/>
          <w:szCs w:val="28"/>
        </w:rPr>
        <w:t>продаже схожих предметов искусства и вводятся поправочные коэффициенты.</w:t>
      </w:r>
    </w:p>
    <w:p w14:paraId="281E98E2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Аналогичным образом оценивается и бренд – на основе данных о продаже сопоставимых брендов. Сопоставимые бренды должны обладать сходными параметрами:</w:t>
      </w:r>
    </w:p>
    <w:p w14:paraId="38DBD63E" w14:textId="77777777" w:rsidR="00581F33" w:rsidRPr="007C40FE" w:rsidRDefault="00581F33" w:rsidP="00581F33">
      <w:pPr>
        <w:pStyle w:val="a4"/>
        <w:numPr>
          <w:ilvl w:val="0"/>
          <w:numId w:val="23"/>
        </w:numPr>
        <w:tabs>
          <w:tab w:val="left" w:pos="1418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аналогичный брендированный продукт;</w:t>
      </w:r>
    </w:p>
    <w:p w14:paraId="64B6CE94" w14:textId="77777777" w:rsidR="00581F33" w:rsidRPr="007C40FE" w:rsidRDefault="00581F33" w:rsidP="00581F33">
      <w:pPr>
        <w:pStyle w:val="a4"/>
        <w:numPr>
          <w:ilvl w:val="0"/>
          <w:numId w:val="23"/>
        </w:numPr>
        <w:tabs>
          <w:tab w:val="left" w:pos="1418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стадия жизненного цикла сопоставимого бренда;</w:t>
      </w:r>
    </w:p>
    <w:p w14:paraId="541FFD99" w14:textId="77777777" w:rsidR="00581F33" w:rsidRPr="007C40FE" w:rsidRDefault="00581F33" w:rsidP="00581F33">
      <w:pPr>
        <w:pStyle w:val="a4"/>
        <w:numPr>
          <w:ilvl w:val="0"/>
          <w:numId w:val="23"/>
        </w:numPr>
        <w:tabs>
          <w:tab w:val="left" w:pos="1418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рынок сбыта;</w:t>
      </w:r>
    </w:p>
    <w:p w14:paraId="6A50BDC2" w14:textId="77777777" w:rsidR="00581F33" w:rsidRPr="007C40FE" w:rsidRDefault="00581F33" w:rsidP="00581F33">
      <w:pPr>
        <w:pStyle w:val="a4"/>
        <w:numPr>
          <w:ilvl w:val="0"/>
          <w:numId w:val="23"/>
        </w:numPr>
        <w:tabs>
          <w:tab w:val="left" w:pos="1418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территориальное месторасположение, география продаж;</w:t>
      </w:r>
    </w:p>
    <w:p w14:paraId="368C99E3" w14:textId="77777777" w:rsidR="00581F33" w:rsidRPr="007C40FE" w:rsidRDefault="00581F33" w:rsidP="00581F33">
      <w:pPr>
        <w:pStyle w:val="a4"/>
        <w:numPr>
          <w:ilvl w:val="0"/>
          <w:numId w:val="23"/>
        </w:numPr>
        <w:tabs>
          <w:tab w:val="left" w:pos="1418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в случае если оценивается материнский бренд, компания – аналог должна владеть схожим портфелем брендов. Для оценки суббренда подбирается монобрендовый аналог.</w:t>
      </w:r>
    </w:p>
    <w:p w14:paraId="4AF86E3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Расчет текущей финансовой стоимости бренда выполняется в три этапа:</w:t>
      </w:r>
    </w:p>
    <w:p w14:paraId="37A8D1CE" w14:textId="1753CEA6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Мультипликатор=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сделки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Прибыль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ан</m:t>
                </m:r>
              </m:sub>
            </m:sSub>
          </m:den>
        </m:f>
      </m:oMath>
      <w:r w:rsidR="003A0B62">
        <w:rPr>
          <w:rFonts w:ascii="Times New Roman" w:hAnsi="Times New Roman" w:cs="Times New Roman"/>
          <w:sz w:val="28"/>
          <w:szCs w:val="28"/>
        </w:rPr>
        <w:t>,                                                                      (17)</w:t>
      </w:r>
    </w:p>
    <w:p w14:paraId="38211E56" w14:textId="20C21585" w:rsidR="00581F33" w:rsidRPr="007B5DFD" w:rsidRDefault="00581F33" w:rsidP="003A0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где</w:t>
      </w:r>
      <w:r w:rsidR="003A0B6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сделки</m:t>
            </m:r>
          </m:sub>
        </m:sSub>
      </m:oMath>
      <w:r w:rsidRPr="007B5DFD">
        <w:rPr>
          <w:rFonts w:ascii="Times New Roman" w:hAnsi="Times New Roman" w:cs="Times New Roman"/>
          <w:sz w:val="28"/>
          <w:szCs w:val="28"/>
        </w:rPr>
        <w:t xml:space="preserve">  – цена сделки по купле/продаже бренда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5DFD">
        <w:rPr>
          <w:rFonts w:ascii="Times New Roman" w:hAnsi="Times New Roman" w:cs="Times New Roman"/>
          <w:sz w:val="28"/>
          <w:szCs w:val="28"/>
        </w:rPr>
        <w:t>аналога.</w:t>
      </w:r>
    </w:p>
    <w:p w14:paraId="3A159191" w14:textId="77777777" w:rsidR="00182A01" w:rsidRDefault="007E0728" w:rsidP="00182A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Прибыль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ан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 – прибыль </w:t>
      </w:r>
      <w:r w:rsidR="00C43742">
        <w:rPr>
          <w:rFonts w:ascii="Times New Roman" w:hAnsi="Times New Roman" w:cs="Times New Roman"/>
          <w:sz w:val="28"/>
          <w:szCs w:val="28"/>
        </w:rPr>
        <w:t>компании</w:t>
      </w:r>
      <w:r w:rsidR="00581F33">
        <w:rPr>
          <w:rFonts w:ascii="Times New Roman" w:hAnsi="Times New Roman" w:cs="Times New Roman"/>
          <w:sz w:val="28"/>
          <w:szCs w:val="28"/>
        </w:rPr>
        <w:t>, владеющей брендом-</w:t>
      </w:r>
      <w:r w:rsidR="00581F33" w:rsidRPr="007B5DFD">
        <w:rPr>
          <w:rFonts w:ascii="Times New Roman" w:hAnsi="Times New Roman" w:cs="Times New Roman"/>
          <w:sz w:val="28"/>
          <w:szCs w:val="28"/>
        </w:rPr>
        <w:t>аналогом. В знаменателе формулы могут использоваться различные виды прибыли (в зависимости от особенностей компании и имеющейся информации): прибыль до процентов и налогов, прибыль до налогов, прибыль до процентов и налогов плюс отчисления на износ, балансовая стоимость.</w:t>
      </w:r>
    </w:p>
    <w:p w14:paraId="2BE63694" w14:textId="687E3D8B" w:rsidR="00581F33" w:rsidRPr="007B5DFD" w:rsidRDefault="00581F33" w:rsidP="00182A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Отказ от использования в формуле прибыли, приходящейся на бренд, обуславливается отсутствием необходимых данных в открытом доступе и конфиденциальностью информации о доходностях активов.</w:t>
      </w:r>
    </w:p>
    <w:p w14:paraId="39C8A05C" w14:textId="7A8DDD42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PV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=Мультипликатор 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Прибыль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ок</m:t>
            </m:r>
          </m:sub>
        </m:sSub>
      </m:oMath>
      <w:r w:rsidRPr="007B5DFD">
        <w:rPr>
          <w:rFonts w:ascii="Times New Roman" w:hAnsi="Times New Roman" w:cs="Times New Roman"/>
          <w:sz w:val="28"/>
          <w:szCs w:val="28"/>
        </w:rPr>
        <w:t>,</w:t>
      </w:r>
      <w:r w:rsidR="003A0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(18)</w:t>
      </w:r>
    </w:p>
    <w:p w14:paraId="45060E3A" w14:textId="2DE8382A" w:rsidR="00581F33" w:rsidRPr="007B5DFD" w:rsidRDefault="003A0B62" w:rsidP="003A0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Прибыль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ок</m:t>
            </m:r>
          </m:sub>
        </m:sSub>
      </m:oMath>
      <w:r w:rsidR="00581F33" w:rsidRPr="007B5DFD">
        <w:rPr>
          <w:rFonts w:ascii="Times New Roman" w:hAnsi="Times New Roman" w:cs="Times New Roman"/>
          <w:sz w:val="28"/>
          <w:szCs w:val="28"/>
        </w:rPr>
        <w:t xml:space="preserve"> – используемый в мультипликаторе вид прибыли оценочной компании,</w:t>
      </w:r>
    </w:p>
    <w:p w14:paraId="145CA170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PV</m:t>
        </m:r>
      </m:oMath>
      <w:r w:rsidRPr="007B5DFD">
        <w:rPr>
          <w:rFonts w:ascii="Times New Roman" w:hAnsi="Times New Roman" w:cs="Times New Roman"/>
          <w:sz w:val="28"/>
          <w:szCs w:val="28"/>
        </w:rPr>
        <w:t xml:space="preserve"> – текущая стоимость оцениваемого бренда.</w:t>
      </w:r>
    </w:p>
    <w:p w14:paraId="40A9FB69" w14:textId="2C18920C" w:rsidR="00581F33" w:rsidRPr="007B5DFD" w:rsidRDefault="00AC04FB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случае необходимости проводится корректировка найденной стоимости для отражения различий между оцениваемым брендом и брендом</w:t>
      </w:r>
      <w:r w:rsidR="00581F33">
        <w:rPr>
          <w:rFonts w:ascii="Times New Roman" w:hAnsi="Times New Roman" w:cs="Times New Roman"/>
          <w:sz w:val="28"/>
          <w:szCs w:val="28"/>
        </w:rPr>
        <w:t>-</w:t>
      </w:r>
      <w:r w:rsidR="00581F33" w:rsidRPr="007B5DFD">
        <w:rPr>
          <w:rFonts w:ascii="Times New Roman" w:hAnsi="Times New Roman" w:cs="Times New Roman"/>
          <w:sz w:val="28"/>
          <w:szCs w:val="28"/>
        </w:rPr>
        <w:t>аналогом. Например, оцениваемый бренд занимает более устойчивое и доминирующее положение на рынке (поправка на силу бренда). Использование мультипликато</w:t>
      </w:r>
      <w:r w:rsidR="00CE4AE0">
        <w:rPr>
          <w:rFonts w:ascii="Times New Roman" w:hAnsi="Times New Roman" w:cs="Times New Roman"/>
          <w:sz w:val="28"/>
          <w:szCs w:val="28"/>
        </w:rPr>
        <w:t>ра сравнения обусловлено разным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положением бренда на рынке, так называемой силой бренда.</w:t>
      </w:r>
    </w:p>
    <w:p w14:paraId="541ECE0D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Для эффективного использования данного метода необходимо выполнение трех условий:</w:t>
      </w:r>
    </w:p>
    <w:p w14:paraId="3CD39992" w14:textId="77777777" w:rsidR="00581F33" w:rsidRPr="007C40FE" w:rsidRDefault="00581F33" w:rsidP="00581F33">
      <w:pPr>
        <w:pStyle w:val="a4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существование фактов продажи объектов аналогичного назначения и сравниваемой полезности;</w:t>
      </w:r>
    </w:p>
    <w:p w14:paraId="1CB74F82" w14:textId="77777777" w:rsidR="00581F33" w:rsidRPr="007C40FE" w:rsidRDefault="00581F33" w:rsidP="00581F33">
      <w:pPr>
        <w:pStyle w:val="a4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доступность информации о ценах продаж и действительных условиях совершения таких сделок;</w:t>
      </w:r>
    </w:p>
    <w:p w14:paraId="3F71DD0F" w14:textId="77777777" w:rsidR="00581F33" w:rsidRPr="007C40FE" w:rsidRDefault="00581F33" w:rsidP="00581F33">
      <w:pPr>
        <w:pStyle w:val="a4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наличие аналитической информации о степени влияния отличительных особенностей и характеристик таких объектов на их стоимость.</w:t>
      </w:r>
    </w:p>
    <w:p w14:paraId="0E3A5016" w14:textId="45A7A1F6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Отсутствие необходимых данных, обеспечивающих выполнение второго и третьего условий, приводит к тому, что доступная информация о сделках с брендами используется в оценке всего лишь как сигнальная (ориентировочная),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не вли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5DFD">
        <w:rPr>
          <w:rFonts w:ascii="Times New Roman" w:hAnsi="Times New Roman" w:cs="Times New Roman"/>
          <w:sz w:val="28"/>
          <w:szCs w:val="28"/>
        </w:rPr>
        <w:t>ющая на итоговое значение искомой рыночной стоимости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5"/>
      </w:r>
      <w:r w:rsidRPr="007B5DFD">
        <w:rPr>
          <w:rFonts w:ascii="Times New Roman" w:hAnsi="Times New Roman" w:cs="Times New Roman"/>
          <w:sz w:val="28"/>
          <w:szCs w:val="28"/>
        </w:rPr>
        <w:t>. Такая оценка может использоват</w:t>
      </w:r>
      <w:r>
        <w:rPr>
          <w:rFonts w:ascii="Times New Roman" w:hAnsi="Times New Roman" w:cs="Times New Roman"/>
          <w:sz w:val="28"/>
          <w:szCs w:val="28"/>
        </w:rPr>
        <w:t>ься для внутренних целей: бренд-</w:t>
      </w:r>
      <w:r w:rsidRPr="007B5DFD">
        <w:rPr>
          <w:rFonts w:ascii="Times New Roman" w:hAnsi="Times New Roman" w:cs="Times New Roman"/>
          <w:sz w:val="28"/>
          <w:szCs w:val="28"/>
        </w:rPr>
        <w:t>менеджмент, анализ динамики положения бренда в конкурентной среде, бенчмаркинг, определение тенденций в развитии стоимости и т.</w:t>
      </w:r>
      <w:r w:rsidR="00C5638C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д.</w:t>
      </w:r>
    </w:p>
    <w:p w14:paraId="6E1F01F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Рыночный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подход имеет свои недостатки:</w:t>
      </w:r>
    </w:p>
    <w:p w14:paraId="369BD78C" w14:textId="77777777" w:rsidR="00581F33" w:rsidRPr="007C40FE" w:rsidRDefault="00581F33" w:rsidP="00581F33">
      <w:pPr>
        <w:pStyle w:val="a4"/>
        <w:numPr>
          <w:ilvl w:val="0"/>
          <w:numId w:val="2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многие компании имеют внушительный портфель брендов, и выделить стоимость оцениваемого бренда достаточно сложно;</w:t>
      </w:r>
    </w:p>
    <w:p w14:paraId="13A8D5ED" w14:textId="77777777" w:rsidR="00581F33" w:rsidRPr="007C40FE" w:rsidRDefault="00581F33" w:rsidP="00581F33">
      <w:pPr>
        <w:pStyle w:val="a4"/>
        <w:numPr>
          <w:ilvl w:val="0"/>
          <w:numId w:val="2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найти сопоставимые бренды, учитывая их уникальную структуру, практически невозможно;</w:t>
      </w:r>
    </w:p>
    <w:p w14:paraId="4F23A430" w14:textId="77777777" w:rsidR="00581F33" w:rsidRPr="007C40FE" w:rsidRDefault="00581F33" w:rsidP="00581F33">
      <w:pPr>
        <w:pStyle w:val="a4"/>
        <w:numPr>
          <w:ilvl w:val="0"/>
          <w:numId w:val="2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расчет поправочного коэффициента для корректировки стоимости во многом является субъективным процессом;</w:t>
      </w:r>
    </w:p>
    <w:p w14:paraId="255E9D08" w14:textId="77777777" w:rsidR="00581F33" w:rsidRPr="007C40FE" w:rsidRDefault="00581F33" w:rsidP="00581F33">
      <w:pPr>
        <w:pStyle w:val="a4"/>
        <w:numPr>
          <w:ilvl w:val="0"/>
          <w:numId w:val="2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отсутствие активного рынка операций с брендами;</w:t>
      </w:r>
    </w:p>
    <w:p w14:paraId="39BAFC58" w14:textId="77777777" w:rsidR="00581F33" w:rsidRPr="007C40FE" w:rsidRDefault="00581F33" w:rsidP="00581F33">
      <w:pPr>
        <w:pStyle w:val="a4"/>
        <w:numPr>
          <w:ilvl w:val="0"/>
          <w:numId w:val="2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40FE">
        <w:rPr>
          <w:rFonts w:ascii="Times New Roman" w:hAnsi="Times New Roman" w:cs="Times New Roman"/>
          <w:sz w:val="28"/>
          <w:szCs w:val="28"/>
        </w:rPr>
        <w:t>фактически уплаченная цена не всегда отражает индивидуальную оценку бренда потребителем или продавцом. Различные покупатели, например, могут быть готовы заплатить разные суммы, так как все они находятся в заведомо неравном положении и могут преследовать различные цели при покупке бренда.</w:t>
      </w:r>
    </w:p>
    <w:p w14:paraId="556F9DE6" w14:textId="0D0F9C3F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Рыночный (сравнительный) подход в чистом виде практически не применя</w:t>
      </w:r>
      <w:r>
        <w:rPr>
          <w:rFonts w:ascii="Times New Roman" w:hAnsi="Times New Roman" w:cs="Times New Roman"/>
          <w:sz w:val="28"/>
          <w:szCs w:val="28"/>
        </w:rPr>
        <w:t>ется, поскольку бренды по своей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природе имеют ярко выраженные индивидуа</w:t>
      </w:r>
      <w:r>
        <w:rPr>
          <w:rFonts w:ascii="Times New Roman" w:hAnsi="Times New Roman" w:cs="Times New Roman"/>
          <w:sz w:val="28"/>
          <w:szCs w:val="28"/>
        </w:rPr>
        <w:t>льные черты и являются в высшей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степени оригинальными, не имеющими близких аналогов. Кроме того, сделки с нематериальными активами осуществляются не часто; информация же о цене таких сделок, если они все же осуществляются, </w:t>
      </w:r>
      <w:r w:rsidR="00CE6506">
        <w:rPr>
          <w:rFonts w:ascii="Times New Roman" w:hAnsi="Times New Roman" w:cs="Times New Roman"/>
          <w:sz w:val="28"/>
          <w:szCs w:val="28"/>
        </w:rPr>
        <w:t>платная</w:t>
      </w:r>
      <w:r w:rsidRPr="007B5DFD">
        <w:rPr>
          <w:rFonts w:ascii="Times New Roman" w:hAnsi="Times New Roman" w:cs="Times New Roman"/>
          <w:sz w:val="28"/>
          <w:szCs w:val="28"/>
        </w:rPr>
        <w:t>. В связи с этим результаты расчетов методов сравнительного подхода считаются весьма приблизительными.</w:t>
      </w:r>
    </w:p>
    <w:p w14:paraId="360969E8" w14:textId="77777777" w:rsidR="00581F33" w:rsidRPr="007C40FE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0FE">
        <w:rPr>
          <w:rFonts w:ascii="Times New Roman" w:hAnsi="Times New Roman" w:cs="Times New Roman"/>
          <w:i/>
          <w:sz w:val="28"/>
          <w:szCs w:val="28"/>
        </w:rPr>
        <w:lastRenderedPageBreak/>
        <w:t>Метод остаточной стоимости (residual method)</w:t>
      </w:r>
    </w:p>
    <w:p w14:paraId="2230AB98" w14:textId="292B3141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Стоимость бренда может быть расс</w:t>
      </w:r>
      <w:r w:rsidR="00C46055">
        <w:rPr>
          <w:rFonts w:ascii="Times New Roman" w:hAnsi="Times New Roman" w:cs="Times New Roman"/>
          <w:sz w:val="28"/>
          <w:szCs w:val="28"/>
        </w:rPr>
        <w:t>читана как разница между рыночной оценкой</w:t>
      </w:r>
      <w:r w:rsidR="00545541">
        <w:rPr>
          <w:rFonts w:ascii="Times New Roman" w:hAnsi="Times New Roman" w:cs="Times New Roman"/>
          <w:sz w:val="28"/>
          <w:szCs w:val="28"/>
        </w:rPr>
        <w:t xml:space="preserve"> компании и ее чистыми </w:t>
      </w:r>
      <w:r w:rsidRPr="007B5DFD">
        <w:rPr>
          <w:rFonts w:ascii="Times New Roman" w:hAnsi="Times New Roman" w:cs="Times New Roman"/>
          <w:sz w:val="28"/>
          <w:szCs w:val="28"/>
        </w:rPr>
        <w:t>актив</w:t>
      </w:r>
      <w:r w:rsidR="00545541">
        <w:rPr>
          <w:rFonts w:ascii="Times New Roman" w:hAnsi="Times New Roman" w:cs="Times New Roman"/>
          <w:sz w:val="28"/>
          <w:szCs w:val="28"/>
        </w:rPr>
        <w:t>ами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6"/>
      </w:r>
      <w:r w:rsidRPr="007B5DFD">
        <w:rPr>
          <w:rFonts w:ascii="Times New Roman" w:hAnsi="Times New Roman" w:cs="Times New Roman"/>
          <w:sz w:val="28"/>
          <w:szCs w:val="28"/>
        </w:rPr>
        <w:t xml:space="preserve">. Метод позволяет установить верхний предел рыночной стоимости бренда. При этом делается грубое допущение, что помимо бренда не существует </w:t>
      </w:r>
      <w:r w:rsidR="00D90BB9">
        <w:rPr>
          <w:rFonts w:ascii="Times New Roman" w:hAnsi="Times New Roman" w:cs="Times New Roman"/>
          <w:sz w:val="28"/>
          <w:szCs w:val="28"/>
        </w:rPr>
        <w:t>не</w:t>
      </w:r>
      <w:r w:rsidR="0049209C">
        <w:rPr>
          <w:rFonts w:ascii="Times New Roman" w:hAnsi="Times New Roman" w:cs="Times New Roman"/>
          <w:sz w:val="28"/>
          <w:szCs w:val="28"/>
        </w:rPr>
        <w:t xml:space="preserve"> </w:t>
      </w:r>
      <w:r w:rsidR="00D90BB9">
        <w:rPr>
          <w:rFonts w:ascii="Times New Roman" w:hAnsi="Times New Roman" w:cs="Times New Roman"/>
          <w:sz w:val="28"/>
          <w:szCs w:val="28"/>
        </w:rPr>
        <w:t xml:space="preserve">учтенных в балансе </w:t>
      </w:r>
      <w:r w:rsidRPr="007B5DFD">
        <w:rPr>
          <w:rFonts w:ascii="Times New Roman" w:hAnsi="Times New Roman" w:cs="Times New Roman"/>
          <w:sz w:val="28"/>
          <w:szCs w:val="28"/>
        </w:rPr>
        <w:t>нематериальных активов, влияющих на стоимость компании, или данные активы не имеют ценности.</w:t>
      </w:r>
    </w:p>
    <w:p w14:paraId="4033B68B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Эксперты справедливо критикуют рыночный подход за невозможность поиска аналога, сложность применения. Однако именно в рамках рыночного подхода проводится анализ справедливой стоимости активов, уплаченной в ходе реальной сделки. Метод рыночных транзакций учитывает уже принятые управленческие решения и готовность платить за аналогичный бренд.</w:t>
      </w:r>
    </w:p>
    <w:p w14:paraId="1AEEC18C" w14:textId="77777777" w:rsidR="00581F33" w:rsidRPr="007C40FE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0FE">
        <w:rPr>
          <w:rFonts w:ascii="Times New Roman" w:hAnsi="Times New Roman" w:cs="Times New Roman"/>
          <w:i/>
          <w:sz w:val="28"/>
          <w:szCs w:val="28"/>
        </w:rPr>
        <w:t>Резюме описанных методов</w:t>
      </w:r>
    </w:p>
    <w:p w14:paraId="5483E38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В резюме включены все выше описанные и проанализированные методы финансовой оценки бренда. Приведенные характеристики методов в Таблице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B5DFD">
        <w:rPr>
          <w:rFonts w:ascii="Times New Roman" w:hAnsi="Times New Roman" w:cs="Times New Roman"/>
          <w:sz w:val="28"/>
          <w:szCs w:val="28"/>
        </w:rPr>
        <w:t>основаны на собственной оценке автора.</w:t>
      </w:r>
    </w:p>
    <w:p w14:paraId="62BCEA24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pgSz w:w="11900" w:h="16840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046F4C16" w14:textId="77777777" w:rsidR="00581F33" w:rsidRPr="007B5DFD" w:rsidRDefault="00581F33" w:rsidP="00F625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Таблица 5 Резюме методов финансовой оценки бренда</w:t>
      </w:r>
    </w:p>
    <w:tbl>
      <w:tblPr>
        <w:tblStyle w:val="a5"/>
        <w:tblW w:w="14425" w:type="dxa"/>
        <w:tblLayout w:type="fixed"/>
        <w:tblLook w:val="04A0" w:firstRow="1" w:lastRow="0" w:firstColumn="1" w:lastColumn="0" w:noHBand="0" w:noVBand="1"/>
      </w:tblPr>
      <w:tblGrid>
        <w:gridCol w:w="1555"/>
        <w:gridCol w:w="2806"/>
        <w:gridCol w:w="2835"/>
        <w:gridCol w:w="1701"/>
        <w:gridCol w:w="2126"/>
        <w:gridCol w:w="1730"/>
        <w:gridCol w:w="1672"/>
      </w:tblGrid>
      <w:tr w:rsidR="00581F33" w:rsidRPr="007B5DFD" w14:paraId="39D409FC" w14:textId="77777777" w:rsidTr="000B4FAC">
        <w:trPr>
          <w:tblHeader/>
        </w:trPr>
        <w:tc>
          <w:tcPr>
            <w:tcW w:w="1555" w:type="dxa"/>
          </w:tcPr>
          <w:p w14:paraId="3CC695C6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Подход</w:t>
            </w:r>
          </w:p>
        </w:tc>
        <w:tc>
          <w:tcPr>
            <w:tcW w:w="2806" w:type="dxa"/>
          </w:tcPr>
          <w:p w14:paraId="296CA619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2835" w:type="dxa"/>
          </w:tcPr>
          <w:p w14:paraId="482CC667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</w:p>
        </w:tc>
        <w:tc>
          <w:tcPr>
            <w:tcW w:w="1701" w:type="dxa"/>
          </w:tcPr>
          <w:p w14:paraId="78C43588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Сложность применения</w:t>
            </w:r>
          </w:p>
        </w:tc>
        <w:tc>
          <w:tcPr>
            <w:tcW w:w="2126" w:type="dxa"/>
          </w:tcPr>
          <w:p w14:paraId="1A4693A0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Степень субъективности</w:t>
            </w:r>
          </w:p>
        </w:tc>
        <w:tc>
          <w:tcPr>
            <w:tcW w:w="1730" w:type="dxa"/>
          </w:tcPr>
          <w:p w14:paraId="209A2649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Временная перспектива</w:t>
            </w:r>
          </w:p>
        </w:tc>
        <w:tc>
          <w:tcPr>
            <w:tcW w:w="1672" w:type="dxa"/>
          </w:tcPr>
          <w:p w14:paraId="54BB8B18" w14:textId="77777777" w:rsidR="00581F33" w:rsidRPr="007B5DFD" w:rsidRDefault="00581F33" w:rsidP="000B4FAC">
            <w:pPr>
              <w:spacing w:line="360" w:lineRule="auto"/>
              <w:ind w:right="-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Надежность</w:t>
            </w:r>
          </w:p>
        </w:tc>
      </w:tr>
      <w:tr w:rsidR="00581F33" w:rsidRPr="007B5DFD" w14:paraId="7229F973" w14:textId="77777777" w:rsidTr="000B4FAC">
        <w:tc>
          <w:tcPr>
            <w:tcW w:w="1555" w:type="dxa"/>
            <w:vMerge w:val="restart"/>
            <w:vAlign w:val="center"/>
          </w:tcPr>
          <w:p w14:paraId="168FE277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Затратный</w:t>
            </w:r>
          </w:p>
        </w:tc>
        <w:tc>
          <w:tcPr>
            <w:tcW w:w="2806" w:type="dxa"/>
          </w:tcPr>
          <w:p w14:paraId="28EFA182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Метод оценки понесенных затрат на создание и продвижение бренда</w:t>
            </w:r>
          </w:p>
        </w:tc>
        <w:tc>
          <w:tcPr>
            <w:tcW w:w="2835" w:type="dxa"/>
          </w:tcPr>
          <w:p w14:paraId="0C13CD80" w14:textId="65A47F72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90C1F">
              <w:rPr>
                <w:rFonts w:ascii="Times New Roman" w:hAnsi="Times New Roman" w:cs="Times New Roman"/>
                <w:sz w:val="28"/>
                <w:szCs w:val="28"/>
              </w:rPr>
              <w:t>ассматривает фактически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 понесенные исторические затраты на создание и развитие бренда</w:t>
            </w:r>
          </w:p>
        </w:tc>
        <w:tc>
          <w:tcPr>
            <w:tcW w:w="1701" w:type="dxa"/>
          </w:tcPr>
          <w:p w14:paraId="6EBF4FBC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126" w:type="dxa"/>
          </w:tcPr>
          <w:p w14:paraId="3C62CDE4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30" w:type="dxa"/>
          </w:tcPr>
          <w:p w14:paraId="35818190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Прошлое</w:t>
            </w:r>
          </w:p>
        </w:tc>
        <w:tc>
          <w:tcPr>
            <w:tcW w:w="1672" w:type="dxa"/>
          </w:tcPr>
          <w:p w14:paraId="44545411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581F33" w:rsidRPr="007B5DFD" w14:paraId="09FF3B4C" w14:textId="77777777" w:rsidTr="000B4FAC">
        <w:tc>
          <w:tcPr>
            <w:tcW w:w="1555" w:type="dxa"/>
            <w:vMerge/>
          </w:tcPr>
          <w:p w14:paraId="4F53927C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5427737D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Метод оценки необходимых расходов на воссоздание марки – восстановительных затрат</w:t>
            </w:r>
          </w:p>
        </w:tc>
        <w:tc>
          <w:tcPr>
            <w:tcW w:w="2835" w:type="dxa"/>
          </w:tcPr>
          <w:p w14:paraId="08867774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Рассматривает расходы, необходимые на создание нового бренда той же полезности</w:t>
            </w:r>
          </w:p>
        </w:tc>
        <w:tc>
          <w:tcPr>
            <w:tcW w:w="1701" w:type="dxa"/>
          </w:tcPr>
          <w:p w14:paraId="29A145FA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126" w:type="dxa"/>
          </w:tcPr>
          <w:p w14:paraId="2B066170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30" w:type="dxa"/>
          </w:tcPr>
          <w:p w14:paraId="2ED4C275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Настоящее</w:t>
            </w:r>
          </w:p>
        </w:tc>
        <w:tc>
          <w:tcPr>
            <w:tcW w:w="1672" w:type="dxa"/>
          </w:tcPr>
          <w:p w14:paraId="3334C1E5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581F33" w:rsidRPr="007B5DFD" w14:paraId="443063E1" w14:textId="77777777" w:rsidTr="000B4FAC">
        <w:tc>
          <w:tcPr>
            <w:tcW w:w="1555" w:type="dxa"/>
            <w:vMerge w:val="restart"/>
            <w:vAlign w:val="center"/>
          </w:tcPr>
          <w:p w14:paraId="1F928291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7B1BE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AA14A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5080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F1652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Рыночный </w:t>
            </w:r>
          </w:p>
          <w:p w14:paraId="20A7F6C5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2B922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54353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3AA4B3F3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рыночных транзакций (сделок)</w:t>
            </w:r>
          </w:p>
        </w:tc>
        <w:tc>
          <w:tcPr>
            <w:tcW w:w="2835" w:type="dxa"/>
          </w:tcPr>
          <w:p w14:paraId="5B984139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Рассматривает актуальные сделки с аналогичными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брендами из той же отрасли, применяя поправочные коэффициенты</w:t>
            </w:r>
          </w:p>
        </w:tc>
        <w:tc>
          <w:tcPr>
            <w:tcW w:w="1701" w:type="dxa"/>
          </w:tcPr>
          <w:p w14:paraId="7B0B20A3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Низкая</w:t>
            </w:r>
          </w:p>
        </w:tc>
        <w:tc>
          <w:tcPr>
            <w:tcW w:w="2126" w:type="dxa"/>
          </w:tcPr>
          <w:p w14:paraId="74F013DC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730" w:type="dxa"/>
          </w:tcPr>
          <w:p w14:paraId="3936C87F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Настоящее</w:t>
            </w:r>
          </w:p>
        </w:tc>
        <w:tc>
          <w:tcPr>
            <w:tcW w:w="1672" w:type="dxa"/>
          </w:tcPr>
          <w:p w14:paraId="05B6876F" w14:textId="77777777" w:rsidR="00581F33" w:rsidRPr="007B5DFD" w:rsidRDefault="00581F33" w:rsidP="000B4FAC">
            <w:pPr>
              <w:spacing w:line="360" w:lineRule="auto"/>
              <w:ind w:right="-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Средняя/</w:t>
            </w:r>
          </w:p>
          <w:p w14:paraId="467651E4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581F33" w:rsidRPr="007B5DFD" w14:paraId="67185E2A" w14:textId="77777777" w:rsidTr="000B4FAC">
        <w:tc>
          <w:tcPr>
            <w:tcW w:w="1555" w:type="dxa"/>
            <w:vMerge/>
          </w:tcPr>
          <w:p w14:paraId="0F749698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06C1EF42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Метод остаточной стоимости</w:t>
            </w:r>
          </w:p>
        </w:tc>
        <w:tc>
          <w:tcPr>
            <w:tcW w:w="2835" w:type="dxa"/>
          </w:tcPr>
          <w:p w14:paraId="590466A1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Рассматривает стоимость бренда как остаточную стоимость, полученную при вычитании стоимости чистых активов из рыночной капитализации</w:t>
            </w:r>
          </w:p>
        </w:tc>
        <w:tc>
          <w:tcPr>
            <w:tcW w:w="1701" w:type="dxa"/>
          </w:tcPr>
          <w:p w14:paraId="18E21C69" w14:textId="0FF86D03" w:rsidR="00581F33" w:rsidRPr="007B5DFD" w:rsidRDefault="00DC5FA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126" w:type="dxa"/>
          </w:tcPr>
          <w:p w14:paraId="3568AD87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730" w:type="dxa"/>
          </w:tcPr>
          <w:p w14:paraId="0BD5F587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Настоящее</w:t>
            </w:r>
          </w:p>
        </w:tc>
        <w:tc>
          <w:tcPr>
            <w:tcW w:w="1672" w:type="dxa"/>
          </w:tcPr>
          <w:p w14:paraId="2A38FB95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581F33" w:rsidRPr="007B5DFD" w14:paraId="6529F9A7" w14:textId="77777777" w:rsidTr="000B4FAC">
        <w:tc>
          <w:tcPr>
            <w:tcW w:w="1555" w:type="dxa"/>
            <w:vMerge w:val="restart"/>
            <w:vAlign w:val="center"/>
          </w:tcPr>
          <w:p w14:paraId="2CE165B3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741D7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5CFB0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D7312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4551A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19EF0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B2485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4D929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Доходный </w:t>
            </w:r>
          </w:p>
        </w:tc>
        <w:tc>
          <w:tcPr>
            <w:tcW w:w="2806" w:type="dxa"/>
          </w:tcPr>
          <w:p w14:paraId="2A9BC161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ценовой премии</w:t>
            </w:r>
          </w:p>
        </w:tc>
        <w:tc>
          <w:tcPr>
            <w:tcW w:w="2835" w:type="dxa"/>
          </w:tcPr>
          <w:p w14:paraId="345664A8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Основывается на разнице в цене и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объеме продаж с дженериком</w:t>
            </w:r>
          </w:p>
        </w:tc>
        <w:tc>
          <w:tcPr>
            <w:tcW w:w="1701" w:type="dxa"/>
          </w:tcPr>
          <w:p w14:paraId="71604045" w14:textId="33E6F60B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</w:t>
            </w:r>
            <w:r w:rsidR="00B03084">
              <w:rPr>
                <w:rFonts w:ascii="Times New Roman" w:hAnsi="Times New Roman" w:cs="Times New Roman"/>
                <w:sz w:val="28"/>
                <w:szCs w:val="28"/>
              </w:rPr>
              <w:t>/ Высокая</w:t>
            </w:r>
          </w:p>
        </w:tc>
        <w:tc>
          <w:tcPr>
            <w:tcW w:w="2126" w:type="dxa"/>
          </w:tcPr>
          <w:p w14:paraId="148E7C99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30" w:type="dxa"/>
          </w:tcPr>
          <w:p w14:paraId="394EB1DB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Настоящее</w:t>
            </w:r>
          </w:p>
        </w:tc>
        <w:tc>
          <w:tcPr>
            <w:tcW w:w="1672" w:type="dxa"/>
          </w:tcPr>
          <w:p w14:paraId="1B09E1D9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Средняя/ Высокая</w:t>
            </w:r>
          </w:p>
        </w:tc>
      </w:tr>
      <w:tr w:rsidR="00581F33" w:rsidRPr="007B5DFD" w14:paraId="52EBC388" w14:textId="77777777" w:rsidTr="000B4FAC">
        <w:tc>
          <w:tcPr>
            <w:tcW w:w="1555" w:type="dxa"/>
            <w:vMerge/>
          </w:tcPr>
          <w:p w14:paraId="165B61DF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4AC6788F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Метод избыточной доходности активов</w:t>
            </w:r>
          </w:p>
        </w:tc>
        <w:tc>
          <w:tcPr>
            <w:tcW w:w="2835" w:type="dxa"/>
          </w:tcPr>
          <w:p w14:paraId="3B0BE9E7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Оценивает денежные потоки, относящиеся к бренду, путем вычета всех потоков, связанных с материальными и нематериальными активами, из денежного потока компании</w:t>
            </w:r>
          </w:p>
        </w:tc>
        <w:tc>
          <w:tcPr>
            <w:tcW w:w="1701" w:type="dxa"/>
          </w:tcPr>
          <w:p w14:paraId="53192898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14:paraId="07373BB8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30" w:type="dxa"/>
          </w:tcPr>
          <w:p w14:paraId="6CFAB5EB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Будущее</w:t>
            </w:r>
          </w:p>
        </w:tc>
        <w:tc>
          <w:tcPr>
            <w:tcW w:w="1672" w:type="dxa"/>
          </w:tcPr>
          <w:p w14:paraId="6921DB6D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Средняя/ Высокая</w:t>
            </w:r>
          </w:p>
        </w:tc>
      </w:tr>
      <w:tr w:rsidR="00581F33" w:rsidRPr="007B5DFD" w14:paraId="1725E6E6" w14:textId="77777777" w:rsidTr="000B4FAC">
        <w:tc>
          <w:tcPr>
            <w:tcW w:w="1555" w:type="dxa"/>
            <w:vMerge/>
          </w:tcPr>
          <w:p w14:paraId="39B91791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0CC9E361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Метод сравнения операционной прибыли</w:t>
            </w:r>
          </w:p>
        </w:tc>
        <w:tc>
          <w:tcPr>
            <w:tcW w:w="2835" w:type="dxa"/>
          </w:tcPr>
          <w:p w14:paraId="3824C194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Основывается на разнице между операционными прибылями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оцениваемой и сопоставимой компаний</w:t>
            </w:r>
          </w:p>
        </w:tc>
        <w:tc>
          <w:tcPr>
            <w:tcW w:w="1701" w:type="dxa"/>
          </w:tcPr>
          <w:p w14:paraId="75230D39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2126" w:type="dxa"/>
          </w:tcPr>
          <w:p w14:paraId="5CBF4854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730" w:type="dxa"/>
          </w:tcPr>
          <w:p w14:paraId="3146ABD6" w14:textId="25BE179A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Настоящ</w:t>
            </w:r>
            <w:r w:rsidR="00FD1FEF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  <w:tc>
          <w:tcPr>
            <w:tcW w:w="1672" w:type="dxa"/>
          </w:tcPr>
          <w:p w14:paraId="7F3B0B1A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581F33" w:rsidRPr="007B5DFD" w14:paraId="3A0CDC29" w14:textId="77777777" w:rsidTr="000B4FAC">
        <w:tc>
          <w:tcPr>
            <w:tcW w:w="1555" w:type="dxa"/>
            <w:vMerge/>
          </w:tcPr>
          <w:p w14:paraId="2417C22C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3E80E9CD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Метод освобождения от роялти</w:t>
            </w:r>
          </w:p>
        </w:tc>
        <w:tc>
          <w:tcPr>
            <w:tcW w:w="2835" w:type="dxa"/>
          </w:tcPr>
          <w:p w14:paraId="729632D0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Оценивает будущие платежи роялти, которые компания платила бы, если бы не владела брендом</w:t>
            </w:r>
          </w:p>
        </w:tc>
        <w:tc>
          <w:tcPr>
            <w:tcW w:w="1701" w:type="dxa"/>
          </w:tcPr>
          <w:p w14:paraId="0728517F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14:paraId="30CB3966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730" w:type="dxa"/>
          </w:tcPr>
          <w:p w14:paraId="7F65C3BC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Настоящее</w:t>
            </w:r>
          </w:p>
        </w:tc>
        <w:tc>
          <w:tcPr>
            <w:tcW w:w="1672" w:type="dxa"/>
          </w:tcPr>
          <w:p w14:paraId="7E1300A6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</w:tbl>
    <w:p w14:paraId="1A66F47A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pgSz w:w="16840" w:h="11900" w:orient="landscape"/>
          <w:pgMar w:top="1418" w:right="567" w:bottom="1418" w:left="1701" w:header="709" w:footer="709" w:gutter="0"/>
          <w:cols w:space="708"/>
          <w:docGrid w:type="lines" w:linePitch="360"/>
        </w:sectPr>
      </w:pPr>
    </w:p>
    <w:p w14:paraId="7ABDAF27" w14:textId="77777777" w:rsidR="00581F33" w:rsidRPr="00CE4AE0" w:rsidRDefault="00581F33" w:rsidP="00581F33">
      <w:pPr>
        <w:pStyle w:val="10"/>
        <w:rPr>
          <w:lang w:val="ru-RU"/>
        </w:rPr>
      </w:pPr>
      <w:bookmarkStart w:id="30" w:name="_Toc481137255"/>
      <w:r w:rsidRPr="00CE4AE0">
        <w:rPr>
          <w:lang w:val="ru-RU"/>
        </w:rPr>
        <w:lastRenderedPageBreak/>
        <w:t>Глава 3 Финансовая оценка бренда «Сбербанк»</w:t>
      </w:r>
      <w:bookmarkEnd w:id="30"/>
    </w:p>
    <w:p w14:paraId="59F56C45" w14:textId="7422999D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Мировые тенденции развития брендинга как способа получения устойчивого конкурентного преимущества затрагивают, рано или поздно, все отрасли экономики. В силу специфичных особенностей, присущих продуктам и услугам в банковской сфере (высокий уровень конкуренции на финансовом рынке, слабая дифференциация, ограниченный спектр возможностей, высокие правовые требования, искушенный клиент и т.</w:t>
      </w:r>
      <w:r w:rsidR="007C01C8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д.), воп</w:t>
      </w:r>
      <w:r>
        <w:rPr>
          <w:rFonts w:ascii="Times New Roman" w:hAnsi="Times New Roman" w:cs="Times New Roman"/>
          <w:sz w:val="28"/>
          <w:szCs w:val="28"/>
        </w:rPr>
        <w:t>рос выживания в высококонкурентной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среде становится все острее, и сохранение стабильных позиций на рынке и умах потребителя во многом лежит через развитие и управление брендом.</w:t>
      </w:r>
    </w:p>
    <w:p w14:paraId="37476BB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 точки зрения услуг, предлагаемыми банками, возможностей для дифференциации практически нет. Характер депозитарных и кредитных услуг одинаков во всех банках. Даже проникновение банкоматов сегодня не может считаться фактором дифференциации. Итак, возникает вопрос, как при такой однородности предоставляемых услуг банк создает и удерживает конкурентное преимущество?</w:t>
      </w:r>
    </w:p>
    <w:p w14:paraId="49FBD406" w14:textId="7501137B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Ответ на вопр</w:t>
      </w:r>
      <w:r w:rsidR="00CE4AE0">
        <w:rPr>
          <w:rFonts w:ascii="Times New Roman" w:hAnsi="Times New Roman" w:cs="Times New Roman"/>
          <w:sz w:val="28"/>
          <w:szCs w:val="28"/>
        </w:rPr>
        <w:t>ос заключается не в предложении</w:t>
      </w:r>
      <w:r w:rsidRPr="007B5DFD">
        <w:rPr>
          <w:rFonts w:ascii="Times New Roman" w:hAnsi="Times New Roman" w:cs="Times New Roman"/>
          <w:sz w:val="28"/>
          <w:szCs w:val="28"/>
        </w:rPr>
        <w:t xml:space="preserve"> уникального продукта (факт о</w:t>
      </w:r>
      <w:r w:rsidR="009A2902">
        <w:rPr>
          <w:rFonts w:ascii="Times New Roman" w:hAnsi="Times New Roman" w:cs="Times New Roman"/>
          <w:sz w:val="28"/>
          <w:szCs w:val="28"/>
        </w:rPr>
        <w:t>стается фактом: независимо от ин</w:t>
      </w:r>
      <w:r w:rsidRPr="007B5DFD">
        <w:rPr>
          <w:rFonts w:ascii="Times New Roman" w:hAnsi="Times New Roman" w:cs="Times New Roman"/>
          <w:sz w:val="28"/>
          <w:szCs w:val="28"/>
        </w:rPr>
        <w:t>новационности продукта, он может быть скопирован в кратчайшие сроки конкурентами), а в создании положительного образа бренда в сознании клиентов.</w:t>
      </w:r>
    </w:p>
    <w:p w14:paraId="5D01B8C7" w14:textId="77777777" w:rsidR="00581F33" w:rsidRDefault="00581F33" w:rsidP="0058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1A98E4" w14:textId="77777777" w:rsidR="00581F33" w:rsidRPr="007B5DFD" w:rsidRDefault="00581F33" w:rsidP="00581F33">
      <w:pPr>
        <w:pStyle w:val="20"/>
      </w:pPr>
      <w:bookmarkStart w:id="31" w:name="_Toc481137256"/>
      <w:r>
        <w:lastRenderedPageBreak/>
        <w:t xml:space="preserve">3.1 </w:t>
      </w:r>
      <w:r w:rsidRPr="007B5DFD">
        <w:t xml:space="preserve">Обоснование выбора </w:t>
      </w:r>
      <w:r>
        <w:t>«</w:t>
      </w:r>
      <w:r w:rsidRPr="007B5DFD">
        <w:t>Сбербанка</w:t>
      </w:r>
      <w:r>
        <w:t>»</w:t>
      </w:r>
      <w:bookmarkEnd w:id="31"/>
    </w:p>
    <w:p w14:paraId="65681A3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Pr="007B5DFD">
        <w:rPr>
          <w:rFonts w:ascii="Times New Roman" w:hAnsi="Times New Roman" w:cs="Times New Roman"/>
          <w:sz w:val="28"/>
          <w:szCs w:val="28"/>
        </w:rPr>
        <w:t xml:space="preserve"> мы говорим про «бренд», то мысленно представляем осязаемый объект, идентифицируемый с помощью логотипа, упаковки, интерфейса, дизайна. 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B5DFD">
        <w:rPr>
          <w:rFonts w:ascii="Times New Roman" w:hAnsi="Times New Roman" w:cs="Times New Roman"/>
          <w:sz w:val="28"/>
          <w:szCs w:val="28"/>
        </w:rPr>
        <w:t xml:space="preserve">объект потребления сложно точно обозначить, традиционные правила брендинга перестают </w:t>
      </w:r>
      <w:r>
        <w:rPr>
          <w:rFonts w:ascii="Times New Roman" w:hAnsi="Times New Roman" w:cs="Times New Roman"/>
          <w:sz w:val="28"/>
          <w:szCs w:val="28"/>
        </w:rPr>
        <w:t>работать</w:t>
      </w:r>
      <w:r w:rsidRPr="007B5DFD">
        <w:rPr>
          <w:rFonts w:ascii="Times New Roman" w:hAnsi="Times New Roman" w:cs="Times New Roman"/>
          <w:sz w:val="28"/>
          <w:szCs w:val="28"/>
        </w:rPr>
        <w:t xml:space="preserve">. Возможно ли идентифицировать банковскую услугу, которая не существует в физическом виде? </w:t>
      </w:r>
    </w:p>
    <w:p w14:paraId="65C1F948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Задача практической части настоящей работы заключается в том, чтобы финансово оценить влияние бренда на деятельность компании из отрасли рынка, в которой, по сути, именно бренд является единственным конкурентным преимуществом.</w:t>
      </w:r>
    </w:p>
    <w:p w14:paraId="5D85286E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Рынок брендов, в том числе и банковских, непрерывно растет. Во многом такой рост обусловлен за счет слияний и поглощений известных брендов и эффективного управления портфелем брендов. Несмотря на то, что финансовые институты не находятся под пристальным вниманием общественности, они наиболее чувствительны к изменениям в экономической и политической среде. По динамике стоимости крупнейших банков и уровню доверия к банковской отрасли можно следить за общим состоянием экономики в стране.</w:t>
      </w:r>
    </w:p>
    <w:p w14:paraId="586CE5AB" w14:textId="7ADE1DCA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Суммарный рост банковских брендов доказывает усиление роли бренда на рынке финансовых услуг</w:t>
      </w:r>
      <w:r w:rsidR="00C1345C">
        <w:rPr>
          <w:rFonts w:ascii="Times New Roman" w:hAnsi="Times New Roman" w:cs="Times New Roman"/>
          <w:sz w:val="28"/>
          <w:szCs w:val="28"/>
        </w:rPr>
        <w:t xml:space="preserve"> (Таблица 6)</w:t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363A4124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1D000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58C9B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FF2D8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3A590" w14:textId="77777777" w:rsidR="00581F33" w:rsidRPr="007B5DFD" w:rsidRDefault="00581F33" w:rsidP="00F625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  <w:r>
        <w:rPr>
          <w:rFonts w:ascii="Times New Roman" w:hAnsi="Times New Roman" w:cs="Times New Roman"/>
          <w:sz w:val="28"/>
          <w:szCs w:val="28"/>
        </w:rPr>
        <w:t xml:space="preserve"> Динамика су</w:t>
      </w:r>
      <w:r w:rsidRPr="007B5DFD">
        <w:rPr>
          <w:rFonts w:ascii="Times New Roman" w:hAnsi="Times New Roman" w:cs="Times New Roman"/>
          <w:sz w:val="28"/>
          <w:szCs w:val="28"/>
        </w:rPr>
        <w:t>ммарной стоимости 500 самых дорогих банковских брендов по версии BrandFinance</w:t>
      </w:r>
    </w:p>
    <w:tbl>
      <w:tblPr>
        <w:tblStyle w:val="a5"/>
        <w:tblW w:w="0" w:type="auto"/>
        <w:tblInd w:w="3369" w:type="dxa"/>
        <w:tblLook w:val="04A0" w:firstRow="1" w:lastRow="0" w:firstColumn="1" w:lastColumn="0" w:noHBand="0" w:noVBand="1"/>
      </w:tblPr>
      <w:tblGrid>
        <w:gridCol w:w="1446"/>
        <w:gridCol w:w="2835"/>
      </w:tblGrid>
      <w:tr w:rsidR="00581F33" w:rsidRPr="007B5DFD" w14:paraId="2E8B33CF" w14:textId="77777777" w:rsidTr="000B4FAC">
        <w:trPr>
          <w:trHeight w:val="673"/>
        </w:trPr>
        <w:tc>
          <w:tcPr>
            <w:tcW w:w="1446" w:type="dxa"/>
            <w:hideMark/>
          </w:tcPr>
          <w:p w14:paraId="5AE37A59" w14:textId="77777777" w:rsidR="00581F33" w:rsidRPr="007B5DFD" w:rsidRDefault="00581F33" w:rsidP="000B4FAC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835" w:type="dxa"/>
            <w:hideMark/>
          </w:tcPr>
          <w:p w14:paraId="63D99DE5" w14:textId="77777777" w:rsidR="00581F33" w:rsidRPr="007B5DFD" w:rsidRDefault="00581F33" w:rsidP="000B4FAC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Суммарная стоимость 500 самых дорогих банковских брендов, млрд $</w:t>
            </w:r>
          </w:p>
        </w:tc>
      </w:tr>
      <w:tr w:rsidR="00581F33" w:rsidRPr="007B5DFD" w14:paraId="383E8F26" w14:textId="77777777" w:rsidTr="000B4FAC">
        <w:trPr>
          <w:trHeight w:val="352"/>
        </w:trPr>
        <w:tc>
          <w:tcPr>
            <w:tcW w:w="1446" w:type="dxa"/>
            <w:hideMark/>
          </w:tcPr>
          <w:p w14:paraId="2D4F48F8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835" w:type="dxa"/>
            <w:hideMark/>
          </w:tcPr>
          <w:p w14:paraId="55AF117B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689,2</w:t>
            </w:r>
          </w:p>
        </w:tc>
      </w:tr>
      <w:tr w:rsidR="00581F33" w:rsidRPr="007B5DFD" w14:paraId="489B5C90" w14:textId="77777777" w:rsidTr="000B4FAC">
        <w:trPr>
          <w:trHeight w:val="352"/>
        </w:trPr>
        <w:tc>
          <w:tcPr>
            <w:tcW w:w="1446" w:type="dxa"/>
            <w:hideMark/>
          </w:tcPr>
          <w:p w14:paraId="53067B1F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835" w:type="dxa"/>
            <w:hideMark/>
          </w:tcPr>
          <w:p w14:paraId="3AAE37B1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480,5</w:t>
            </w:r>
          </w:p>
        </w:tc>
      </w:tr>
      <w:tr w:rsidR="00581F33" w:rsidRPr="007B5DFD" w14:paraId="2DC01728" w14:textId="77777777" w:rsidTr="000B4FAC">
        <w:trPr>
          <w:trHeight w:val="352"/>
        </w:trPr>
        <w:tc>
          <w:tcPr>
            <w:tcW w:w="1446" w:type="dxa"/>
            <w:hideMark/>
          </w:tcPr>
          <w:p w14:paraId="0B3AE34C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835" w:type="dxa"/>
            <w:hideMark/>
          </w:tcPr>
          <w:p w14:paraId="6D2E8C0F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716,3</w:t>
            </w:r>
          </w:p>
        </w:tc>
      </w:tr>
      <w:tr w:rsidR="00581F33" w:rsidRPr="007B5DFD" w14:paraId="1790DB97" w14:textId="77777777" w:rsidTr="000B4FAC">
        <w:trPr>
          <w:trHeight w:val="352"/>
        </w:trPr>
        <w:tc>
          <w:tcPr>
            <w:tcW w:w="1446" w:type="dxa"/>
            <w:hideMark/>
          </w:tcPr>
          <w:p w14:paraId="3D452F2D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835" w:type="dxa"/>
            <w:hideMark/>
          </w:tcPr>
          <w:p w14:paraId="222F9C6E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855,0</w:t>
            </w:r>
          </w:p>
        </w:tc>
      </w:tr>
      <w:tr w:rsidR="00581F33" w:rsidRPr="007B5DFD" w14:paraId="1B59A532" w14:textId="77777777" w:rsidTr="000B4FAC">
        <w:trPr>
          <w:trHeight w:val="325"/>
        </w:trPr>
        <w:tc>
          <w:tcPr>
            <w:tcW w:w="1446" w:type="dxa"/>
            <w:hideMark/>
          </w:tcPr>
          <w:p w14:paraId="2B44E91A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835" w:type="dxa"/>
            <w:hideMark/>
          </w:tcPr>
          <w:p w14:paraId="0DAF5B99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746,8</w:t>
            </w:r>
          </w:p>
        </w:tc>
      </w:tr>
      <w:tr w:rsidR="00581F33" w:rsidRPr="007B5DFD" w14:paraId="629CF67D" w14:textId="77777777" w:rsidTr="000B4FAC">
        <w:trPr>
          <w:trHeight w:val="352"/>
        </w:trPr>
        <w:tc>
          <w:tcPr>
            <w:tcW w:w="1446" w:type="dxa"/>
            <w:hideMark/>
          </w:tcPr>
          <w:p w14:paraId="592333DF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835" w:type="dxa"/>
            <w:hideMark/>
          </w:tcPr>
          <w:p w14:paraId="3689E182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860,7</w:t>
            </w:r>
          </w:p>
        </w:tc>
      </w:tr>
      <w:tr w:rsidR="00581F33" w:rsidRPr="007B5DFD" w14:paraId="6BAB9350" w14:textId="77777777" w:rsidTr="000B4FAC">
        <w:trPr>
          <w:trHeight w:val="352"/>
        </w:trPr>
        <w:tc>
          <w:tcPr>
            <w:tcW w:w="1446" w:type="dxa"/>
            <w:hideMark/>
          </w:tcPr>
          <w:p w14:paraId="3AA91771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35" w:type="dxa"/>
            <w:hideMark/>
          </w:tcPr>
          <w:p w14:paraId="03F51176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908,1</w:t>
            </w:r>
          </w:p>
        </w:tc>
      </w:tr>
      <w:tr w:rsidR="00581F33" w:rsidRPr="007B5DFD" w14:paraId="6CDB42EF" w14:textId="77777777" w:rsidTr="000B4FAC">
        <w:trPr>
          <w:trHeight w:val="352"/>
        </w:trPr>
        <w:tc>
          <w:tcPr>
            <w:tcW w:w="1446" w:type="dxa"/>
            <w:hideMark/>
          </w:tcPr>
          <w:p w14:paraId="303F4DCA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835" w:type="dxa"/>
            <w:hideMark/>
          </w:tcPr>
          <w:p w14:paraId="0797FD40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953,0</w:t>
            </w:r>
          </w:p>
        </w:tc>
      </w:tr>
      <w:tr w:rsidR="00581F33" w:rsidRPr="007B5DFD" w14:paraId="2EB30744" w14:textId="77777777" w:rsidTr="000B4FAC">
        <w:trPr>
          <w:trHeight w:val="325"/>
        </w:trPr>
        <w:tc>
          <w:tcPr>
            <w:tcW w:w="1446" w:type="dxa"/>
            <w:hideMark/>
          </w:tcPr>
          <w:p w14:paraId="32A3BDFD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835" w:type="dxa"/>
            <w:hideMark/>
          </w:tcPr>
          <w:p w14:paraId="4EBC73CB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988,3</w:t>
            </w:r>
          </w:p>
        </w:tc>
      </w:tr>
      <w:tr w:rsidR="00581F33" w:rsidRPr="007B5DFD" w14:paraId="1EF96C23" w14:textId="77777777" w:rsidTr="000B4FAC">
        <w:trPr>
          <w:trHeight w:val="352"/>
        </w:trPr>
        <w:tc>
          <w:tcPr>
            <w:tcW w:w="1446" w:type="dxa"/>
            <w:hideMark/>
          </w:tcPr>
          <w:p w14:paraId="252A9159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35" w:type="dxa"/>
            <w:hideMark/>
          </w:tcPr>
          <w:p w14:paraId="6D16CE68" w14:textId="77777777" w:rsidR="00581F33" w:rsidRPr="007B5DFD" w:rsidRDefault="00581F33" w:rsidP="000B4FAC">
            <w:pPr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1074,0</w:t>
            </w:r>
          </w:p>
        </w:tc>
      </w:tr>
    </w:tbl>
    <w:p w14:paraId="61B63409" w14:textId="2449DB9C" w:rsidR="00581F33" w:rsidRPr="00F26B99" w:rsidRDefault="00581F33" w:rsidP="004944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26B99">
        <w:rPr>
          <w:rFonts w:ascii="Times New Roman" w:hAnsi="Times New Roman" w:cs="Times New Roman"/>
          <w:i/>
          <w:sz w:val="28"/>
          <w:szCs w:val="28"/>
        </w:rPr>
        <w:t>Рассчитано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6B99">
        <w:rPr>
          <w:rFonts w:ascii="Times New Roman" w:hAnsi="Times New Roman" w:cs="Times New Roman"/>
          <w:i/>
          <w:sz w:val="28"/>
          <w:szCs w:val="28"/>
        </w:rPr>
        <w:t>по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49442B" w:rsidRPr="0049442B">
        <w:rPr>
          <w:rFonts w:ascii="Times New Roman" w:hAnsi="Times New Roman" w:cs="Times New Roman"/>
          <w:i/>
          <w:sz w:val="28"/>
          <w:szCs w:val="28"/>
          <w:lang w:val="en-US"/>
        </w:rPr>
        <w:t>BrandFinance: Banking annual reports // BrandFinance URL: http://brandfinance.com/knowledge-centre/reports/ (дата обращения: 10.03.2017).</w:t>
      </w:r>
    </w:p>
    <w:p w14:paraId="25F71563" w14:textId="6C3BBCA8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С 2008 года рыночная стоимость 500 крупнейших банков возросла более чем на </w:t>
      </w:r>
      <w:r w:rsidR="00CE4AE0">
        <w:rPr>
          <w:rFonts w:ascii="Times New Roman" w:hAnsi="Times New Roman" w:cs="Times New Roman"/>
          <w:sz w:val="28"/>
          <w:szCs w:val="28"/>
        </w:rPr>
        <w:t>половину (55,8%) до 1074 млрд $</w:t>
      </w:r>
      <w:r w:rsidRPr="007B5DFD">
        <w:rPr>
          <w:rFonts w:ascii="Times New Roman" w:hAnsi="Times New Roman" w:cs="Times New Roman"/>
          <w:sz w:val="28"/>
          <w:szCs w:val="28"/>
        </w:rPr>
        <w:t xml:space="preserve"> (равносильно экономике </w:t>
      </w:r>
      <w:r w:rsidR="007544ED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7B5DFD">
        <w:rPr>
          <w:rFonts w:ascii="Times New Roman" w:hAnsi="Times New Roman" w:cs="Times New Roman"/>
          <w:sz w:val="28"/>
          <w:szCs w:val="28"/>
        </w:rPr>
        <w:t>Мексики).</w:t>
      </w:r>
    </w:p>
    <w:p w14:paraId="12FC41D2" w14:textId="4AC1799C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Мировой экономический кризис повлиял на динамику стоимости банковских брендов с 2008 по 2013 г</w:t>
      </w:r>
      <w:r w:rsidR="007544ED">
        <w:rPr>
          <w:rFonts w:ascii="Times New Roman" w:hAnsi="Times New Roman" w:cs="Times New Roman"/>
          <w:sz w:val="28"/>
          <w:szCs w:val="28"/>
        </w:rPr>
        <w:t>г</w:t>
      </w:r>
      <w:r w:rsidRPr="007B5DFD">
        <w:rPr>
          <w:rFonts w:ascii="Times New Roman" w:hAnsi="Times New Roman" w:cs="Times New Roman"/>
          <w:sz w:val="28"/>
          <w:szCs w:val="28"/>
        </w:rPr>
        <w:t>. По мере постепенного ослабления последствий кризиса темпы роста брендов вышли на уровень 5 – 8% в год</w:t>
      </w:r>
      <w:r>
        <w:rPr>
          <w:rFonts w:ascii="Times New Roman" w:hAnsi="Times New Roman" w:cs="Times New Roman"/>
          <w:sz w:val="28"/>
          <w:szCs w:val="28"/>
        </w:rPr>
        <w:t xml:space="preserve"> (Рисунок 10)</w:t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3377E3A5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4F102" w14:textId="77777777" w:rsidR="00CE4AE0" w:rsidRDefault="00CE4AE0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75A7C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69BF72" wp14:editId="26E25960">
            <wp:extent cx="6287135" cy="3136900"/>
            <wp:effectExtent l="0" t="0" r="1206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EF2BBC0" w14:textId="77777777" w:rsidR="0049442B" w:rsidRPr="007B5DFD" w:rsidRDefault="0049442B" w:rsidP="0049442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Рисунок 10</w:t>
      </w:r>
      <w:r>
        <w:rPr>
          <w:rFonts w:ascii="Times New Roman" w:hAnsi="Times New Roman" w:cs="Times New Roman"/>
          <w:sz w:val="28"/>
          <w:szCs w:val="28"/>
        </w:rPr>
        <w:t xml:space="preserve"> Динамика сум</w:t>
      </w:r>
      <w:r w:rsidRPr="007B5DFD">
        <w:rPr>
          <w:rFonts w:ascii="Times New Roman" w:hAnsi="Times New Roman" w:cs="Times New Roman"/>
          <w:sz w:val="28"/>
          <w:szCs w:val="28"/>
        </w:rPr>
        <w:t>марной стоимости 500 самых дорогих банковских брендов по версии BrandFinance, млрд $</w:t>
      </w:r>
    </w:p>
    <w:p w14:paraId="5478877D" w14:textId="1D435745" w:rsidR="0049442B" w:rsidRPr="0049442B" w:rsidRDefault="0049442B" w:rsidP="004944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26B99">
        <w:rPr>
          <w:rFonts w:ascii="Times New Roman" w:hAnsi="Times New Roman" w:cs="Times New Roman"/>
          <w:i/>
          <w:sz w:val="28"/>
          <w:szCs w:val="28"/>
        </w:rPr>
        <w:t>Рассчитано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6B99">
        <w:rPr>
          <w:rFonts w:ascii="Times New Roman" w:hAnsi="Times New Roman" w:cs="Times New Roman"/>
          <w:i/>
          <w:sz w:val="28"/>
          <w:szCs w:val="28"/>
        </w:rPr>
        <w:t>по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: BrandFinance: Banking annual reports // BrandFinance URL: http://brandfinance.com/knowledge-centre/reports/ (дата обращения: 10.03.2017).</w:t>
      </w:r>
    </w:p>
    <w:p w14:paraId="02671726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Бренд Сбербанка – один из наиболее привлекательных брендов не только среди российских банков, но и в целом среди российских компаний. Ег</w:t>
      </w:r>
      <w:r>
        <w:rPr>
          <w:rFonts w:ascii="Times New Roman" w:hAnsi="Times New Roman" w:cs="Times New Roman"/>
          <w:sz w:val="28"/>
          <w:szCs w:val="28"/>
        </w:rPr>
        <w:t>о история началась еще в 1841 году</w:t>
      </w:r>
      <w:r w:rsidRPr="007B5DFD">
        <w:rPr>
          <w:rFonts w:ascii="Times New Roman" w:hAnsi="Times New Roman" w:cs="Times New Roman"/>
          <w:sz w:val="28"/>
          <w:szCs w:val="28"/>
        </w:rPr>
        <w:t>, а сегодня имя Сбербанка на слуху у каждого россиянина.</w:t>
      </w:r>
    </w:p>
    <w:p w14:paraId="47EFC6F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 2009 году Сбербанк провел масштабный ребрендинг, который прежде всего был направлен не на модернизацию внешних идентификаторов (логотип, корпоративный цвет), а на формирование благоприятной репутации банка, борьбу с оставшимися с советских в</w:t>
      </w:r>
      <w:r>
        <w:rPr>
          <w:rFonts w:ascii="Times New Roman" w:hAnsi="Times New Roman" w:cs="Times New Roman"/>
          <w:sz w:val="28"/>
          <w:szCs w:val="28"/>
        </w:rPr>
        <w:t>ремен клише (образом советской «сберкассы»</w:t>
      </w:r>
      <w:r w:rsidRPr="007B5DFD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7"/>
      </w:r>
      <w:r w:rsidRPr="007B5DFD">
        <w:rPr>
          <w:rFonts w:ascii="Times New Roman" w:hAnsi="Times New Roman" w:cs="Times New Roman"/>
          <w:sz w:val="28"/>
          <w:szCs w:val="28"/>
        </w:rPr>
        <w:t>. Сбербанк обратился к более молодой динамичной аудитории.</w:t>
      </w:r>
    </w:p>
    <w:p w14:paraId="54B03052" w14:textId="1490C3E0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В 2009 году впервые в рейтинге BrandFinance: Banking появился российский банк – Сбербанк, который сразу попал в тридцатку самых дорогих банковских брендов. На тот момент доля бренда в рыночной стоимости Сбербанка достигала 23%</w:t>
      </w:r>
      <w:r>
        <w:rPr>
          <w:rFonts w:ascii="Times New Roman" w:hAnsi="Times New Roman" w:cs="Times New Roman"/>
          <w:sz w:val="28"/>
          <w:szCs w:val="28"/>
        </w:rPr>
        <w:t xml:space="preserve"> (Таблица 7</w:t>
      </w:r>
      <w:r w:rsidR="00C46055">
        <w:rPr>
          <w:rFonts w:ascii="Times New Roman" w:hAnsi="Times New Roman" w:cs="Times New Roman"/>
          <w:sz w:val="28"/>
          <w:szCs w:val="28"/>
        </w:rPr>
        <w:t xml:space="preserve"> и визуализация на Рисунке 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B5DFD">
        <w:rPr>
          <w:rFonts w:ascii="Times New Roman" w:hAnsi="Times New Roman" w:cs="Times New Roman"/>
          <w:sz w:val="28"/>
          <w:szCs w:val="28"/>
        </w:rPr>
        <w:t>. С 2013 года стоимостная оценка бренда неуклонно снижалась вместе с позицией в рейтинге самых дорогих брендов по версии BrandFinance. И только в 2017 году бренд Сбербанка показал рост в 33%.</w:t>
      </w:r>
    </w:p>
    <w:p w14:paraId="063A94AE" w14:textId="77777777" w:rsidR="00581F33" w:rsidRPr="007B5DFD" w:rsidRDefault="00581F33" w:rsidP="004944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Таблица 7 Бренд Сбербанка в рейтинге BrandFinance: Banking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409"/>
        <w:gridCol w:w="2552"/>
        <w:gridCol w:w="2410"/>
      </w:tblGrid>
      <w:tr w:rsidR="00581F33" w:rsidRPr="007B5DFD" w14:paraId="1945C522" w14:textId="77777777" w:rsidTr="000B4FAC">
        <w:trPr>
          <w:trHeight w:val="525"/>
        </w:trPr>
        <w:tc>
          <w:tcPr>
            <w:tcW w:w="959" w:type="dxa"/>
            <w:hideMark/>
          </w:tcPr>
          <w:p w14:paraId="1066975A" w14:textId="77777777" w:rsidR="00581F33" w:rsidRPr="007B5DFD" w:rsidRDefault="00581F33" w:rsidP="000B4FAC">
            <w:pPr>
              <w:spacing w:line="360" w:lineRule="auto"/>
              <w:ind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hideMark/>
          </w:tcPr>
          <w:p w14:paraId="4AC91DC1" w14:textId="77777777" w:rsidR="00581F33" w:rsidRPr="00CE4AE0" w:rsidRDefault="00581F33" w:rsidP="009174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  <w:r w:rsidRPr="00CE4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4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рейтинге</w:t>
            </w:r>
            <w:r w:rsidRPr="00CE4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BrandFinance Banking</w:t>
            </w:r>
          </w:p>
        </w:tc>
        <w:tc>
          <w:tcPr>
            <w:tcW w:w="2409" w:type="dxa"/>
            <w:hideMark/>
          </w:tcPr>
          <w:p w14:paraId="20874896" w14:textId="77777777" w:rsidR="00581F33" w:rsidRPr="007B5DFD" w:rsidRDefault="00581F33" w:rsidP="009174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Стоимость бренда Сбербанк, млрд $</w:t>
            </w:r>
          </w:p>
        </w:tc>
        <w:tc>
          <w:tcPr>
            <w:tcW w:w="2552" w:type="dxa"/>
            <w:hideMark/>
          </w:tcPr>
          <w:p w14:paraId="00F8634F" w14:textId="77777777" w:rsidR="00581F33" w:rsidRPr="007B5DFD" w:rsidRDefault="00581F33" w:rsidP="009174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Рыночная капитализация Сбербанк, млрд $</w:t>
            </w:r>
          </w:p>
        </w:tc>
        <w:tc>
          <w:tcPr>
            <w:tcW w:w="2410" w:type="dxa"/>
          </w:tcPr>
          <w:p w14:paraId="540685BF" w14:textId="77777777" w:rsidR="00581F33" w:rsidRPr="007B5DFD" w:rsidRDefault="00581F33" w:rsidP="009174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Доля бренда в рыночной капитализации, %</w:t>
            </w:r>
          </w:p>
        </w:tc>
      </w:tr>
      <w:tr w:rsidR="00581F33" w:rsidRPr="007B5DFD" w14:paraId="21F643FC" w14:textId="77777777" w:rsidTr="000B4FAC">
        <w:trPr>
          <w:trHeight w:val="195"/>
        </w:trPr>
        <w:tc>
          <w:tcPr>
            <w:tcW w:w="959" w:type="dxa"/>
            <w:hideMark/>
          </w:tcPr>
          <w:p w14:paraId="24A87901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  <w:hideMark/>
          </w:tcPr>
          <w:p w14:paraId="6E36D20F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  <w:hideMark/>
          </w:tcPr>
          <w:p w14:paraId="48257A37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4,531</w:t>
            </w:r>
          </w:p>
        </w:tc>
        <w:tc>
          <w:tcPr>
            <w:tcW w:w="2552" w:type="dxa"/>
            <w:hideMark/>
          </w:tcPr>
          <w:p w14:paraId="60CE780E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19,616</w:t>
            </w:r>
          </w:p>
        </w:tc>
        <w:tc>
          <w:tcPr>
            <w:tcW w:w="2410" w:type="dxa"/>
          </w:tcPr>
          <w:p w14:paraId="6BE09663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23,098%</w:t>
            </w:r>
          </w:p>
        </w:tc>
      </w:tr>
      <w:tr w:rsidR="00581F33" w:rsidRPr="007B5DFD" w14:paraId="03613C29" w14:textId="77777777" w:rsidTr="000B4FAC">
        <w:trPr>
          <w:trHeight w:val="195"/>
        </w:trPr>
        <w:tc>
          <w:tcPr>
            <w:tcW w:w="959" w:type="dxa"/>
            <w:hideMark/>
          </w:tcPr>
          <w:p w14:paraId="7F9AE34C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  <w:hideMark/>
          </w:tcPr>
          <w:p w14:paraId="740EE91F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hideMark/>
          </w:tcPr>
          <w:p w14:paraId="7B1236AE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11,729</w:t>
            </w:r>
          </w:p>
        </w:tc>
        <w:tc>
          <w:tcPr>
            <w:tcW w:w="2552" w:type="dxa"/>
            <w:hideMark/>
          </w:tcPr>
          <w:p w14:paraId="04C8AB20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51,108</w:t>
            </w:r>
          </w:p>
        </w:tc>
        <w:tc>
          <w:tcPr>
            <w:tcW w:w="2410" w:type="dxa"/>
          </w:tcPr>
          <w:p w14:paraId="21598C1F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22,949%</w:t>
            </w:r>
          </w:p>
        </w:tc>
      </w:tr>
      <w:tr w:rsidR="00581F33" w:rsidRPr="007B5DFD" w14:paraId="04AB57C2" w14:textId="77777777" w:rsidTr="000B4FAC">
        <w:trPr>
          <w:trHeight w:val="195"/>
        </w:trPr>
        <w:tc>
          <w:tcPr>
            <w:tcW w:w="959" w:type="dxa"/>
            <w:hideMark/>
          </w:tcPr>
          <w:p w14:paraId="444D9B87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  <w:hideMark/>
          </w:tcPr>
          <w:p w14:paraId="70547171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  <w:hideMark/>
          </w:tcPr>
          <w:p w14:paraId="7290EF5D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12,012</w:t>
            </w:r>
          </w:p>
        </w:tc>
        <w:tc>
          <w:tcPr>
            <w:tcW w:w="2552" w:type="dxa"/>
            <w:hideMark/>
          </w:tcPr>
          <w:p w14:paraId="3D3BB19B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64,329</w:t>
            </w:r>
          </w:p>
        </w:tc>
        <w:tc>
          <w:tcPr>
            <w:tcW w:w="2410" w:type="dxa"/>
          </w:tcPr>
          <w:p w14:paraId="361953A9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18,673%</w:t>
            </w:r>
          </w:p>
        </w:tc>
      </w:tr>
      <w:tr w:rsidR="00581F33" w:rsidRPr="007B5DFD" w14:paraId="00FA495E" w14:textId="77777777" w:rsidTr="000B4FAC">
        <w:trPr>
          <w:trHeight w:val="195"/>
        </w:trPr>
        <w:tc>
          <w:tcPr>
            <w:tcW w:w="959" w:type="dxa"/>
            <w:hideMark/>
          </w:tcPr>
          <w:p w14:paraId="3C526D64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  <w:hideMark/>
          </w:tcPr>
          <w:p w14:paraId="413B6CD8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  <w:hideMark/>
          </w:tcPr>
          <w:p w14:paraId="1FCB7A4E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10,772</w:t>
            </w:r>
          </w:p>
        </w:tc>
        <w:tc>
          <w:tcPr>
            <w:tcW w:w="2552" w:type="dxa"/>
            <w:hideMark/>
          </w:tcPr>
          <w:p w14:paraId="5C1FC206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54,723</w:t>
            </w:r>
          </w:p>
        </w:tc>
        <w:tc>
          <w:tcPr>
            <w:tcW w:w="2410" w:type="dxa"/>
          </w:tcPr>
          <w:p w14:paraId="49634927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19,685%</w:t>
            </w:r>
          </w:p>
        </w:tc>
      </w:tr>
      <w:tr w:rsidR="00581F33" w:rsidRPr="007B5DFD" w14:paraId="6788831D" w14:textId="77777777" w:rsidTr="000B4FAC">
        <w:trPr>
          <w:trHeight w:val="195"/>
        </w:trPr>
        <w:tc>
          <w:tcPr>
            <w:tcW w:w="959" w:type="dxa"/>
            <w:hideMark/>
          </w:tcPr>
          <w:p w14:paraId="1CDD59B7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  <w:hideMark/>
          </w:tcPr>
          <w:p w14:paraId="72C78EA8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hideMark/>
          </w:tcPr>
          <w:p w14:paraId="6CB8ABD1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14,160</w:t>
            </w:r>
          </w:p>
        </w:tc>
        <w:tc>
          <w:tcPr>
            <w:tcW w:w="2552" w:type="dxa"/>
            <w:hideMark/>
          </w:tcPr>
          <w:p w14:paraId="03A45F00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65,737</w:t>
            </w:r>
          </w:p>
        </w:tc>
        <w:tc>
          <w:tcPr>
            <w:tcW w:w="2410" w:type="dxa"/>
          </w:tcPr>
          <w:p w14:paraId="53DD3008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21,540%</w:t>
            </w:r>
          </w:p>
        </w:tc>
      </w:tr>
      <w:tr w:rsidR="00581F33" w:rsidRPr="007B5DFD" w14:paraId="1539D46F" w14:textId="77777777" w:rsidTr="000B4FAC">
        <w:trPr>
          <w:trHeight w:val="195"/>
        </w:trPr>
        <w:tc>
          <w:tcPr>
            <w:tcW w:w="959" w:type="dxa"/>
            <w:hideMark/>
          </w:tcPr>
          <w:p w14:paraId="7B1AD210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  <w:hideMark/>
          </w:tcPr>
          <w:p w14:paraId="4EF9AA8B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  <w:hideMark/>
          </w:tcPr>
          <w:p w14:paraId="5B1084B7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10,950</w:t>
            </w:r>
          </w:p>
        </w:tc>
        <w:tc>
          <w:tcPr>
            <w:tcW w:w="2552" w:type="dxa"/>
            <w:hideMark/>
          </w:tcPr>
          <w:p w14:paraId="23C041BD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66,893</w:t>
            </w:r>
          </w:p>
        </w:tc>
        <w:tc>
          <w:tcPr>
            <w:tcW w:w="2410" w:type="dxa"/>
          </w:tcPr>
          <w:p w14:paraId="21A6C0A9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16,369%</w:t>
            </w:r>
          </w:p>
        </w:tc>
      </w:tr>
      <w:tr w:rsidR="00581F33" w:rsidRPr="007B5DFD" w14:paraId="3B937FFB" w14:textId="77777777" w:rsidTr="000B4FAC">
        <w:trPr>
          <w:trHeight w:val="195"/>
        </w:trPr>
        <w:tc>
          <w:tcPr>
            <w:tcW w:w="959" w:type="dxa"/>
            <w:hideMark/>
          </w:tcPr>
          <w:p w14:paraId="66977346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  <w:hideMark/>
          </w:tcPr>
          <w:p w14:paraId="5B2E332C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  <w:hideMark/>
          </w:tcPr>
          <w:p w14:paraId="166E0AA9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8,668</w:t>
            </w:r>
          </w:p>
        </w:tc>
        <w:tc>
          <w:tcPr>
            <w:tcW w:w="2552" w:type="dxa"/>
            <w:hideMark/>
          </w:tcPr>
          <w:p w14:paraId="169BA98C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24,365</w:t>
            </w:r>
          </w:p>
        </w:tc>
        <w:tc>
          <w:tcPr>
            <w:tcW w:w="2410" w:type="dxa"/>
          </w:tcPr>
          <w:p w14:paraId="6CC42384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35,576%</w:t>
            </w:r>
          </w:p>
        </w:tc>
      </w:tr>
      <w:tr w:rsidR="00581F33" w:rsidRPr="007B5DFD" w14:paraId="1F03BAAB" w14:textId="77777777" w:rsidTr="000B4FAC">
        <w:trPr>
          <w:trHeight w:val="195"/>
        </w:trPr>
        <w:tc>
          <w:tcPr>
            <w:tcW w:w="959" w:type="dxa"/>
            <w:hideMark/>
          </w:tcPr>
          <w:p w14:paraId="24A191EF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hideMark/>
          </w:tcPr>
          <w:p w14:paraId="656837D1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  <w:hideMark/>
          </w:tcPr>
          <w:p w14:paraId="6A323D64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6,807</w:t>
            </w:r>
          </w:p>
        </w:tc>
        <w:tc>
          <w:tcPr>
            <w:tcW w:w="2552" w:type="dxa"/>
            <w:hideMark/>
          </w:tcPr>
          <w:p w14:paraId="246A17D2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28,158</w:t>
            </w:r>
          </w:p>
        </w:tc>
        <w:tc>
          <w:tcPr>
            <w:tcW w:w="2410" w:type="dxa"/>
          </w:tcPr>
          <w:p w14:paraId="15209BBF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24,174%</w:t>
            </w:r>
          </w:p>
        </w:tc>
      </w:tr>
      <w:tr w:rsidR="00581F33" w:rsidRPr="007B5DFD" w14:paraId="7E56D9F3" w14:textId="77777777" w:rsidTr="000B4FAC">
        <w:trPr>
          <w:trHeight w:val="195"/>
        </w:trPr>
        <w:tc>
          <w:tcPr>
            <w:tcW w:w="959" w:type="dxa"/>
            <w:hideMark/>
          </w:tcPr>
          <w:p w14:paraId="6D1CE226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hideMark/>
          </w:tcPr>
          <w:p w14:paraId="081CB635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  <w:hideMark/>
          </w:tcPr>
          <w:p w14:paraId="5086C008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9,075</w:t>
            </w:r>
          </w:p>
        </w:tc>
        <w:tc>
          <w:tcPr>
            <w:tcW w:w="2552" w:type="dxa"/>
            <w:hideMark/>
          </w:tcPr>
          <w:p w14:paraId="5C81D642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63,796</w:t>
            </w:r>
          </w:p>
        </w:tc>
        <w:tc>
          <w:tcPr>
            <w:tcW w:w="2410" w:type="dxa"/>
          </w:tcPr>
          <w:p w14:paraId="7C059CA1" w14:textId="77777777" w:rsidR="00581F33" w:rsidRPr="007B5DFD" w:rsidRDefault="00581F33" w:rsidP="000B4FAC">
            <w:pPr>
              <w:spacing w:line="36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14,225%</w:t>
            </w:r>
          </w:p>
        </w:tc>
      </w:tr>
    </w:tbl>
    <w:p w14:paraId="502C7CE3" w14:textId="17B8272F" w:rsidR="00103F89" w:rsidRPr="0049442B" w:rsidRDefault="00581F33" w:rsidP="004944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6B4A">
        <w:rPr>
          <w:rFonts w:ascii="Times New Roman" w:hAnsi="Times New Roman" w:cs="Times New Roman"/>
          <w:i/>
          <w:sz w:val="28"/>
          <w:szCs w:val="28"/>
        </w:rPr>
        <w:t xml:space="preserve">Рассчитано по: </w:t>
      </w:r>
      <w:r w:rsidR="0049442B" w:rsidRPr="00F26B99">
        <w:rPr>
          <w:rFonts w:ascii="Times New Roman" w:hAnsi="Times New Roman" w:cs="Times New Roman"/>
          <w:i/>
          <w:sz w:val="28"/>
          <w:szCs w:val="28"/>
        </w:rPr>
        <w:t>Рассчитано</w:t>
      </w:r>
      <w:r w:rsidR="0049442B" w:rsidRPr="004944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9442B" w:rsidRPr="00F26B99">
        <w:rPr>
          <w:rFonts w:ascii="Times New Roman" w:hAnsi="Times New Roman" w:cs="Times New Roman"/>
          <w:i/>
          <w:sz w:val="28"/>
          <w:szCs w:val="28"/>
        </w:rPr>
        <w:t>по</w:t>
      </w:r>
      <w:r w:rsidR="0049442B" w:rsidRPr="0049442B">
        <w:rPr>
          <w:rFonts w:ascii="Times New Roman" w:hAnsi="Times New Roman" w:cs="Times New Roman"/>
          <w:i/>
          <w:sz w:val="28"/>
          <w:szCs w:val="28"/>
          <w:lang w:val="en-US"/>
        </w:rPr>
        <w:t>: BrandFinance: Banking annual reports // BrandFinance URL: http://brandfinance.com/knowledge-centre/reports/ (дата обращения: 10.03.2017).</w:t>
      </w:r>
    </w:p>
    <w:p w14:paraId="6772D6D1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8B6D00" wp14:editId="03E16A87">
            <wp:extent cx="6401435" cy="39497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F44FC7B" w14:textId="67C420B4" w:rsidR="0049442B" w:rsidRPr="0049442B" w:rsidRDefault="0049442B" w:rsidP="0049442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Рисунок</w:t>
      </w:r>
      <w:r w:rsidRPr="00103F89">
        <w:rPr>
          <w:rFonts w:ascii="Times New Roman" w:hAnsi="Times New Roman" w:cs="Times New Roman"/>
          <w:sz w:val="28"/>
          <w:szCs w:val="28"/>
        </w:rPr>
        <w:t xml:space="preserve"> 11 </w:t>
      </w:r>
      <w:r w:rsidRPr="007B5DFD">
        <w:rPr>
          <w:rFonts w:ascii="Times New Roman" w:hAnsi="Times New Roman" w:cs="Times New Roman"/>
          <w:sz w:val="28"/>
          <w:szCs w:val="28"/>
        </w:rPr>
        <w:t>Бренд</w:t>
      </w:r>
      <w:r w:rsidRPr="00103F89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Сбербанка</w:t>
      </w:r>
      <w:r w:rsidRPr="00103F89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в</w:t>
      </w:r>
      <w:r w:rsidRPr="00103F89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рейтинге</w:t>
      </w:r>
      <w:r w:rsidRPr="00103F89">
        <w:rPr>
          <w:rFonts w:ascii="Times New Roman" w:hAnsi="Times New Roman" w:cs="Times New Roman"/>
          <w:sz w:val="28"/>
          <w:szCs w:val="28"/>
        </w:rPr>
        <w:t xml:space="preserve"> </w:t>
      </w:r>
      <w:r w:rsidRPr="00CE4AE0">
        <w:rPr>
          <w:rFonts w:ascii="Times New Roman" w:hAnsi="Times New Roman" w:cs="Times New Roman"/>
          <w:sz w:val="28"/>
          <w:szCs w:val="28"/>
          <w:lang w:val="en-US"/>
        </w:rPr>
        <w:t>BrandFinance</w:t>
      </w:r>
      <w:r w:rsidRPr="00103F89">
        <w:rPr>
          <w:rFonts w:ascii="Times New Roman" w:hAnsi="Times New Roman" w:cs="Times New Roman"/>
          <w:sz w:val="28"/>
          <w:szCs w:val="28"/>
        </w:rPr>
        <w:t xml:space="preserve">: </w:t>
      </w:r>
      <w:r w:rsidRPr="00CE4AE0">
        <w:rPr>
          <w:rFonts w:ascii="Times New Roman" w:hAnsi="Times New Roman" w:cs="Times New Roman"/>
          <w:sz w:val="28"/>
          <w:szCs w:val="28"/>
          <w:lang w:val="en-US"/>
        </w:rPr>
        <w:t>Banking</w:t>
      </w:r>
    </w:p>
    <w:p w14:paraId="2E90100A" w14:textId="77777777" w:rsidR="0049442B" w:rsidRPr="0049442B" w:rsidRDefault="0049442B" w:rsidP="004944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B4A">
        <w:rPr>
          <w:rFonts w:ascii="Times New Roman" w:hAnsi="Times New Roman" w:cs="Times New Roman"/>
          <w:i/>
          <w:sz w:val="28"/>
          <w:szCs w:val="28"/>
        </w:rPr>
        <w:t xml:space="preserve">Рассчитано по: </w:t>
      </w:r>
      <w:r w:rsidRPr="00F26B99">
        <w:rPr>
          <w:rFonts w:ascii="Times New Roman" w:hAnsi="Times New Roman" w:cs="Times New Roman"/>
          <w:i/>
          <w:sz w:val="28"/>
          <w:szCs w:val="28"/>
        </w:rPr>
        <w:t>Рассчитано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B99">
        <w:rPr>
          <w:rFonts w:ascii="Times New Roman" w:hAnsi="Times New Roman" w:cs="Times New Roman"/>
          <w:i/>
          <w:sz w:val="28"/>
          <w:szCs w:val="28"/>
        </w:rPr>
        <w:t>по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BrandFinance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Banking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annual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reports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 //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BrandFinance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49442B">
        <w:rPr>
          <w:rFonts w:ascii="Times New Roman" w:hAnsi="Times New Roman" w:cs="Times New Roman"/>
          <w:i/>
          <w:sz w:val="28"/>
          <w:szCs w:val="28"/>
        </w:rPr>
        <w:t>://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brandfinance</w:t>
      </w:r>
      <w:r w:rsidRPr="0049442B">
        <w:rPr>
          <w:rFonts w:ascii="Times New Roman" w:hAnsi="Times New Roman" w:cs="Times New Roman"/>
          <w:i/>
          <w:sz w:val="28"/>
          <w:szCs w:val="28"/>
        </w:rPr>
        <w:t>.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Pr="0049442B">
        <w:rPr>
          <w:rFonts w:ascii="Times New Roman" w:hAnsi="Times New Roman" w:cs="Times New Roman"/>
          <w:i/>
          <w:sz w:val="28"/>
          <w:szCs w:val="28"/>
        </w:rPr>
        <w:t>/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knowledge</w:t>
      </w:r>
      <w:r w:rsidRPr="0049442B">
        <w:rPr>
          <w:rFonts w:ascii="Times New Roman" w:hAnsi="Times New Roman" w:cs="Times New Roman"/>
          <w:i/>
          <w:sz w:val="28"/>
          <w:szCs w:val="28"/>
        </w:rPr>
        <w:t>-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centre</w:t>
      </w:r>
      <w:r w:rsidRPr="0049442B">
        <w:rPr>
          <w:rFonts w:ascii="Times New Roman" w:hAnsi="Times New Roman" w:cs="Times New Roman"/>
          <w:i/>
          <w:sz w:val="28"/>
          <w:szCs w:val="28"/>
        </w:rPr>
        <w:t>/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reports</w:t>
      </w:r>
      <w:r w:rsidRPr="0049442B">
        <w:rPr>
          <w:rFonts w:ascii="Times New Roman" w:hAnsi="Times New Roman" w:cs="Times New Roman"/>
          <w:i/>
          <w:sz w:val="28"/>
          <w:szCs w:val="28"/>
        </w:rPr>
        <w:t>/ (дата обращения: 10.03.2017).</w:t>
      </w:r>
    </w:p>
    <w:p w14:paraId="528C5DC1" w14:textId="3E665DF7" w:rsidR="003C348D" w:rsidRDefault="001E56D9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места рейтинга банковских мировых бре</w:t>
      </w:r>
      <w:r w:rsidR="006462B5">
        <w:rPr>
          <w:rFonts w:ascii="Times New Roman" w:hAnsi="Times New Roman" w:cs="Times New Roman"/>
          <w:sz w:val="28"/>
          <w:szCs w:val="28"/>
        </w:rPr>
        <w:t>ндов традиционно занимают бренды</w:t>
      </w:r>
      <w:r>
        <w:rPr>
          <w:rFonts w:ascii="Times New Roman" w:hAnsi="Times New Roman" w:cs="Times New Roman"/>
          <w:sz w:val="28"/>
          <w:szCs w:val="28"/>
        </w:rPr>
        <w:t xml:space="preserve"> китайских и американских банков.</w:t>
      </w:r>
      <w:r w:rsidR="00622171">
        <w:rPr>
          <w:rFonts w:ascii="Times New Roman" w:hAnsi="Times New Roman" w:cs="Times New Roman"/>
          <w:sz w:val="28"/>
          <w:szCs w:val="28"/>
        </w:rPr>
        <w:t xml:space="preserve"> Китайская банковская система является крупнейшей в мире, оставив за собой еврозону.</w:t>
      </w:r>
    </w:p>
    <w:p w14:paraId="2DC1241E" w14:textId="782FAAB0" w:rsidR="007A3B19" w:rsidRPr="0049442B" w:rsidRDefault="007A3B19" w:rsidP="00494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12 показано место Сбербанка </w:t>
      </w:r>
      <w:r w:rsidRPr="007A3B19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78">
        <w:rPr>
          <w:rFonts w:ascii="Times New Roman" w:hAnsi="Times New Roman" w:cs="Times New Roman"/>
          <w:sz w:val="28"/>
          <w:szCs w:val="28"/>
        </w:rPr>
        <w:t xml:space="preserve">5 крупнейших </w:t>
      </w:r>
      <w:r>
        <w:rPr>
          <w:rFonts w:ascii="Times New Roman" w:hAnsi="Times New Roman" w:cs="Times New Roman"/>
          <w:sz w:val="28"/>
          <w:szCs w:val="28"/>
        </w:rPr>
        <w:t xml:space="preserve">мировых банковских брендов. Первое место в рейтинге принадлежит китайскому банку </w:t>
      </w:r>
      <w:r>
        <w:rPr>
          <w:rFonts w:ascii="Times New Roman" w:hAnsi="Times New Roman" w:cs="Times New Roman"/>
          <w:sz w:val="28"/>
          <w:szCs w:val="28"/>
          <w:lang w:val="en-US"/>
        </w:rPr>
        <w:t>ICBC</w:t>
      </w:r>
      <w:r>
        <w:rPr>
          <w:rFonts w:ascii="Times New Roman" w:hAnsi="Times New Roman" w:cs="Times New Roman"/>
          <w:sz w:val="28"/>
          <w:szCs w:val="28"/>
        </w:rPr>
        <w:t xml:space="preserve"> с оценкой в 47,832 млрд </w:t>
      </w:r>
      <w:r w:rsidRPr="007A3B19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, что в более чем в 5 раз превышает оценку отечес</w:t>
      </w:r>
      <w:r w:rsidR="006B452A">
        <w:rPr>
          <w:rFonts w:ascii="Times New Roman" w:hAnsi="Times New Roman" w:cs="Times New Roman"/>
          <w:sz w:val="28"/>
          <w:szCs w:val="28"/>
        </w:rPr>
        <w:t xml:space="preserve">твенного </w:t>
      </w:r>
      <w:r w:rsidR="006462B5">
        <w:rPr>
          <w:rFonts w:ascii="Times New Roman" w:hAnsi="Times New Roman" w:cs="Times New Roman"/>
          <w:sz w:val="28"/>
          <w:szCs w:val="28"/>
        </w:rPr>
        <w:t>Сбер</w:t>
      </w:r>
      <w:r w:rsidR="006B452A">
        <w:rPr>
          <w:rFonts w:ascii="Times New Roman" w:hAnsi="Times New Roman" w:cs="Times New Roman"/>
          <w:sz w:val="28"/>
          <w:szCs w:val="28"/>
        </w:rPr>
        <w:t xml:space="preserve">банка, при том что сам банк </w:t>
      </w:r>
      <w:r w:rsidR="000F6E15" w:rsidRPr="006B452A">
        <w:rPr>
          <w:rFonts w:ascii="Times New Roman" w:hAnsi="Times New Roman" w:cs="Times New Roman"/>
          <w:color w:val="000000" w:themeColor="text1"/>
          <w:sz w:val="28"/>
          <w:szCs w:val="28"/>
        </w:rPr>
        <w:t>создан недавно – в 198</w:t>
      </w:r>
      <w:r w:rsidR="000F6E15" w:rsidRPr="006B452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4 году.</w:t>
      </w:r>
    </w:p>
    <w:p w14:paraId="41D69962" w14:textId="51AE294F" w:rsidR="00622171" w:rsidRPr="00111ED1" w:rsidRDefault="00622171" w:rsidP="00E138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739AC9" wp14:editId="7952318C">
            <wp:extent cx="6328410" cy="37871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642EB3D" w14:textId="4EECA21F" w:rsidR="0049442B" w:rsidRPr="0049442B" w:rsidRDefault="0049442B" w:rsidP="0049442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12 Оценка мировых банковских брендов </w:t>
      </w:r>
      <w:r>
        <w:rPr>
          <w:rFonts w:ascii="Times New Roman" w:hAnsi="Times New Roman" w:cs="Times New Roman"/>
          <w:sz w:val="28"/>
          <w:szCs w:val="28"/>
          <w:lang w:val="en-US"/>
        </w:rPr>
        <w:t>BrandFinance</w:t>
      </w:r>
      <w:r w:rsidRPr="007A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2016 г.</w:t>
      </w:r>
    </w:p>
    <w:p w14:paraId="11B6C580" w14:textId="54FAD9E0" w:rsidR="0049442B" w:rsidRPr="0049442B" w:rsidRDefault="0049442B" w:rsidP="004944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B4A">
        <w:rPr>
          <w:rFonts w:ascii="Times New Roman" w:hAnsi="Times New Roman" w:cs="Times New Roman"/>
          <w:i/>
          <w:sz w:val="28"/>
          <w:szCs w:val="28"/>
        </w:rPr>
        <w:t xml:space="preserve">Рассчитано по: </w:t>
      </w:r>
      <w:r w:rsidRPr="00F26B99">
        <w:rPr>
          <w:rFonts w:ascii="Times New Roman" w:hAnsi="Times New Roman" w:cs="Times New Roman"/>
          <w:i/>
          <w:sz w:val="28"/>
          <w:szCs w:val="28"/>
        </w:rPr>
        <w:t>Рассчитано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B99">
        <w:rPr>
          <w:rFonts w:ascii="Times New Roman" w:hAnsi="Times New Roman" w:cs="Times New Roman"/>
          <w:i/>
          <w:sz w:val="28"/>
          <w:szCs w:val="28"/>
        </w:rPr>
        <w:t>по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BrandFinance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Banking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annual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reports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 //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BrandFinance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4944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49442B">
        <w:rPr>
          <w:rFonts w:ascii="Times New Roman" w:hAnsi="Times New Roman" w:cs="Times New Roman"/>
          <w:i/>
          <w:sz w:val="28"/>
          <w:szCs w:val="28"/>
        </w:rPr>
        <w:t>://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brandfinance</w:t>
      </w:r>
      <w:r w:rsidRPr="0049442B">
        <w:rPr>
          <w:rFonts w:ascii="Times New Roman" w:hAnsi="Times New Roman" w:cs="Times New Roman"/>
          <w:i/>
          <w:sz w:val="28"/>
          <w:szCs w:val="28"/>
        </w:rPr>
        <w:t>.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Pr="0049442B">
        <w:rPr>
          <w:rFonts w:ascii="Times New Roman" w:hAnsi="Times New Roman" w:cs="Times New Roman"/>
          <w:i/>
          <w:sz w:val="28"/>
          <w:szCs w:val="28"/>
        </w:rPr>
        <w:t>/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knowledge</w:t>
      </w:r>
      <w:r w:rsidRPr="0049442B">
        <w:rPr>
          <w:rFonts w:ascii="Times New Roman" w:hAnsi="Times New Roman" w:cs="Times New Roman"/>
          <w:i/>
          <w:sz w:val="28"/>
          <w:szCs w:val="28"/>
        </w:rPr>
        <w:t>-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centre</w:t>
      </w:r>
      <w:r w:rsidRPr="0049442B">
        <w:rPr>
          <w:rFonts w:ascii="Times New Roman" w:hAnsi="Times New Roman" w:cs="Times New Roman"/>
          <w:i/>
          <w:sz w:val="28"/>
          <w:szCs w:val="28"/>
        </w:rPr>
        <w:t>/</w:t>
      </w:r>
      <w:r w:rsidRPr="0049442B">
        <w:rPr>
          <w:rFonts w:ascii="Times New Roman" w:hAnsi="Times New Roman" w:cs="Times New Roman"/>
          <w:i/>
          <w:sz w:val="28"/>
          <w:szCs w:val="28"/>
          <w:lang w:val="en-US"/>
        </w:rPr>
        <w:t>reports</w:t>
      </w:r>
      <w:r>
        <w:rPr>
          <w:rFonts w:ascii="Times New Roman" w:hAnsi="Times New Roman" w:cs="Times New Roman"/>
          <w:i/>
          <w:sz w:val="28"/>
          <w:szCs w:val="28"/>
        </w:rPr>
        <w:t>/ (дата обращения: 19.04</w:t>
      </w:r>
      <w:r w:rsidRPr="0049442B">
        <w:rPr>
          <w:rFonts w:ascii="Times New Roman" w:hAnsi="Times New Roman" w:cs="Times New Roman"/>
          <w:i/>
          <w:sz w:val="28"/>
          <w:szCs w:val="28"/>
        </w:rPr>
        <w:t>.2017).</w:t>
      </w:r>
    </w:p>
    <w:p w14:paraId="3BA7F468" w14:textId="0F982C0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В ходе оценки рыночной стоимости </w:t>
      </w:r>
      <w:r w:rsidR="00F205C0">
        <w:rPr>
          <w:rFonts w:ascii="Times New Roman" w:hAnsi="Times New Roman" w:cs="Times New Roman"/>
          <w:sz w:val="28"/>
          <w:szCs w:val="28"/>
        </w:rPr>
        <w:t>бренда Сбербанк</w:t>
      </w:r>
      <w:r w:rsidRPr="007B5DFD">
        <w:rPr>
          <w:rFonts w:ascii="Times New Roman" w:hAnsi="Times New Roman" w:cs="Times New Roman"/>
          <w:sz w:val="28"/>
          <w:szCs w:val="28"/>
        </w:rPr>
        <w:t xml:space="preserve"> были проведены следующие процедуры:</w:t>
      </w:r>
    </w:p>
    <w:p w14:paraId="35580383" w14:textId="77777777" w:rsidR="00581F33" w:rsidRPr="00F5358A" w:rsidRDefault="00581F33" w:rsidP="00581F33">
      <w:pPr>
        <w:pStyle w:val="a4"/>
        <w:numPr>
          <w:ilvl w:val="0"/>
          <w:numId w:val="2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t xml:space="preserve">анализ финансовой отчетности 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358A">
        <w:rPr>
          <w:rFonts w:ascii="Times New Roman" w:hAnsi="Times New Roman" w:cs="Times New Roman"/>
          <w:sz w:val="28"/>
          <w:szCs w:val="28"/>
        </w:rPr>
        <w:t>Сбербанк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358A">
        <w:rPr>
          <w:rFonts w:ascii="Times New Roman" w:hAnsi="Times New Roman" w:cs="Times New Roman"/>
          <w:sz w:val="28"/>
          <w:szCs w:val="28"/>
        </w:rPr>
        <w:t>;</w:t>
      </w:r>
    </w:p>
    <w:p w14:paraId="0C8B883E" w14:textId="77777777" w:rsidR="00581F33" w:rsidRPr="00F5358A" w:rsidRDefault="00581F33" w:rsidP="00581F33">
      <w:pPr>
        <w:pStyle w:val="a4"/>
        <w:numPr>
          <w:ilvl w:val="0"/>
          <w:numId w:val="2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t>макроэкономический обзор рынка банковских услуг на территории действия компании;</w:t>
      </w:r>
    </w:p>
    <w:p w14:paraId="5FF66938" w14:textId="77777777" w:rsidR="00581F33" w:rsidRPr="00F5358A" w:rsidRDefault="00581F33" w:rsidP="00581F33">
      <w:pPr>
        <w:pStyle w:val="a4"/>
        <w:numPr>
          <w:ilvl w:val="0"/>
          <w:numId w:val="2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t>выбор приемлемого подхода и метода с учетом поставленных целей оценки и имеющейся информации;</w:t>
      </w:r>
    </w:p>
    <w:p w14:paraId="0B2F7A1D" w14:textId="77777777" w:rsidR="00581F33" w:rsidRPr="00F5358A" w:rsidRDefault="00581F33" w:rsidP="00581F33">
      <w:pPr>
        <w:pStyle w:val="a4"/>
        <w:numPr>
          <w:ilvl w:val="0"/>
          <w:numId w:val="2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lastRenderedPageBreak/>
        <w:t>проведение расчетов, необходимых для определения рыночной стоимости Объекта оценки в рамках выбранного метода;</w:t>
      </w:r>
    </w:p>
    <w:p w14:paraId="557EB251" w14:textId="73911FAF" w:rsidR="00581F33" w:rsidRPr="00A5456B" w:rsidRDefault="00581F33" w:rsidP="00A5456B">
      <w:pPr>
        <w:pStyle w:val="a4"/>
        <w:numPr>
          <w:ilvl w:val="0"/>
          <w:numId w:val="2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t>согласование полученных результатов с оценками консалтинговых компаний BrandFinance и Millward Brown.</w:t>
      </w:r>
    </w:p>
    <w:p w14:paraId="307635BB" w14:textId="77777777" w:rsidR="0049442B" w:rsidRDefault="0049442B">
      <w:pPr>
        <w:rPr>
          <w:rFonts w:ascii="Times New Roman" w:eastAsiaTheme="majorEastAsia" w:hAnsi="Times New Roman" w:cstheme="majorBidi"/>
          <w:bCs/>
          <w:color w:val="000000" w:themeColor="text1"/>
          <w:sz w:val="30"/>
          <w:szCs w:val="26"/>
        </w:rPr>
      </w:pPr>
      <w:r>
        <w:br w:type="page"/>
      </w:r>
    </w:p>
    <w:p w14:paraId="788BC190" w14:textId="36853CB1" w:rsidR="00581F33" w:rsidRDefault="00581F33" w:rsidP="00581F33">
      <w:pPr>
        <w:pStyle w:val="20"/>
      </w:pPr>
      <w:bookmarkStart w:id="32" w:name="_Toc481137257"/>
      <w:r>
        <w:lastRenderedPageBreak/>
        <w:t>3.2 Выбор метода финансовой оценки</w:t>
      </w:r>
      <w:bookmarkEnd w:id="32"/>
    </w:p>
    <w:p w14:paraId="248D9FFC" w14:textId="77777777" w:rsidR="00581F33" w:rsidRPr="00F5358A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58A">
        <w:rPr>
          <w:rFonts w:ascii="Times New Roman" w:hAnsi="Times New Roman" w:cs="Times New Roman"/>
          <w:i/>
          <w:sz w:val="28"/>
          <w:szCs w:val="28"/>
        </w:rPr>
        <w:t>Отказ от использования Затратного подхода</w:t>
      </w:r>
    </w:p>
    <w:p w14:paraId="342FBA49" w14:textId="1ED9BF07" w:rsidR="005765AF" w:rsidRDefault="00382644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оценки бренда «Сбербанк» в рамках исследовательской работы – о</w:t>
      </w:r>
      <w:r w:rsidRPr="00382644">
        <w:rPr>
          <w:rFonts w:ascii="Times New Roman" w:hAnsi="Times New Roman" w:cs="Times New Roman"/>
          <w:sz w:val="28"/>
          <w:szCs w:val="28"/>
        </w:rPr>
        <w:t>ценка для проведения коммерческих сделок</w:t>
      </w:r>
      <w:r>
        <w:rPr>
          <w:rFonts w:ascii="Times New Roman" w:hAnsi="Times New Roman" w:cs="Times New Roman"/>
          <w:sz w:val="28"/>
          <w:szCs w:val="28"/>
        </w:rPr>
        <w:t>. Это означает, что результат оценки должен быть признан тремя сторонами: оценщиком, заказчиком и инвестором.</w:t>
      </w:r>
      <w:r w:rsidR="00315839">
        <w:rPr>
          <w:rFonts w:ascii="Times New Roman" w:hAnsi="Times New Roman" w:cs="Times New Roman"/>
          <w:sz w:val="28"/>
          <w:szCs w:val="28"/>
        </w:rPr>
        <w:t xml:space="preserve"> Данная цель предполагает использование оценки для </w:t>
      </w:r>
      <w:r w:rsidR="00636842" w:rsidRPr="00636842">
        <w:rPr>
          <w:rFonts w:ascii="Times New Roman" w:hAnsi="Times New Roman" w:cs="Times New Roman"/>
          <w:sz w:val="28"/>
          <w:szCs w:val="28"/>
        </w:rPr>
        <w:t>приобретения, продажи, лицензирования и создания совместных предприятий</w:t>
      </w:r>
      <w:r w:rsidR="00636842">
        <w:rPr>
          <w:rFonts w:ascii="Times New Roman" w:hAnsi="Times New Roman" w:cs="Times New Roman"/>
          <w:sz w:val="28"/>
          <w:szCs w:val="28"/>
        </w:rPr>
        <w:t>.</w:t>
      </w:r>
    </w:p>
    <w:p w14:paraId="683F44F6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Нематериальные активы необходимо оценивать с учетом целесообразности применения методов доходного, сравнительного (рыночного) и затратного подходов. Несмотря на необходимость рассмотрения всех трех подходов при оценке стоимости, характер актива и наличие доступной информации определяют целесообразность использования того или иного подхода.</w:t>
      </w:r>
    </w:p>
    <w:p w14:paraId="3C807D63" w14:textId="77777777" w:rsidR="0046296B" w:rsidRDefault="00581F33" w:rsidP="00462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 связи с тем, что бренд является нематериальным активом, оценка объекта в рамках при</w:t>
      </w:r>
      <w:r w:rsidR="00103F89">
        <w:rPr>
          <w:rFonts w:ascii="Times New Roman" w:hAnsi="Times New Roman" w:cs="Times New Roman"/>
          <w:sz w:val="28"/>
          <w:szCs w:val="28"/>
        </w:rPr>
        <w:t xml:space="preserve">менения Затратного подхода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Pr="007B5DFD">
        <w:rPr>
          <w:rFonts w:ascii="Times New Roman" w:hAnsi="Times New Roman" w:cs="Times New Roman"/>
          <w:sz w:val="28"/>
          <w:szCs w:val="28"/>
        </w:rPr>
        <w:t xml:space="preserve">ется затруднительной. Для возможности применения затратного подхода для оценки стоимости бренда необходимо обладать детальной информацией относительно исторических затрат, понесенных на развитие бренда на рынке за весь период его существования. В связи с ограниченным объемом публикуемой информации российских компаний, в частности 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5DFD">
        <w:rPr>
          <w:rFonts w:ascii="Times New Roman" w:hAnsi="Times New Roman" w:cs="Times New Roman"/>
          <w:sz w:val="28"/>
          <w:szCs w:val="28"/>
        </w:rPr>
        <w:t>Сбербанк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5DFD">
        <w:rPr>
          <w:rFonts w:ascii="Times New Roman" w:hAnsi="Times New Roman" w:cs="Times New Roman"/>
          <w:sz w:val="28"/>
          <w:szCs w:val="28"/>
        </w:rPr>
        <w:t>, и невозможности однозн</w:t>
      </w:r>
      <w:r>
        <w:rPr>
          <w:rFonts w:ascii="Times New Roman" w:hAnsi="Times New Roman" w:cs="Times New Roman"/>
          <w:sz w:val="28"/>
          <w:szCs w:val="28"/>
        </w:rPr>
        <w:t>ачно определить затраты, понесе</w:t>
      </w:r>
      <w:r w:rsidRPr="007B5DFD">
        <w:rPr>
          <w:rFonts w:ascii="Times New Roman" w:hAnsi="Times New Roman" w:cs="Times New Roman"/>
          <w:sz w:val="28"/>
          <w:szCs w:val="28"/>
        </w:rPr>
        <w:t>нные на развитие именно бренда, методы Затратного подхода для целей оценки рыночной стоимости бренда Сбербанк не могут быть применены.</w:t>
      </w:r>
      <w:r w:rsidR="00462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1EDA0" w14:textId="620F4ED8" w:rsidR="00581F33" w:rsidRPr="007B5DFD" w:rsidRDefault="00C95322" w:rsidP="00462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</w:t>
      </w:r>
      <w:r w:rsidR="00581F33" w:rsidRPr="007B5DFD">
        <w:rPr>
          <w:rFonts w:ascii="Times New Roman" w:hAnsi="Times New Roman" w:cs="Times New Roman"/>
          <w:sz w:val="28"/>
          <w:szCs w:val="28"/>
        </w:rPr>
        <w:t>ак как стоимость бренда не может быть приравнена к расходам, инвестированным в его создание, метод не применяется на практике.</w:t>
      </w:r>
    </w:p>
    <w:p w14:paraId="2E378157" w14:textId="77777777" w:rsidR="0046296B" w:rsidRDefault="0046296B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35CB52" w14:textId="77777777" w:rsidR="00581F33" w:rsidRPr="00F5358A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58A">
        <w:rPr>
          <w:rFonts w:ascii="Times New Roman" w:hAnsi="Times New Roman" w:cs="Times New Roman"/>
          <w:i/>
          <w:sz w:val="28"/>
          <w:szCs w:val="28"/>
        </w:rPr>
        <w:lastRenderedPageBreak/>
        <w:t>Отказ от использования Сравнительного подхода</w:t>
      </w:r>
    </w:p>
    <w:p w14:paraId="47C5EB78" w14:textId="60F312D1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Сбербанк – крупнейшее кредитное учреждение Центральной и Восточной Европы, неотъемлемая часть российской банковской системы. Сбербанк – единственный российский банк (и одна из немногих российских компаний), входящий в рейтинг самых дорогих мировых брендов по версии консалтингового аген</w:t>
      </w:r>
      <w:r w:rsidR="000D0BAF"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 xml:space="preserve">ства BrandFinance. Филиальная сеть банка охватывает 22 страны, 16400 отделений в России. Дочерние банки Сбербанка работают в Казахстане, Украине, Белоруссии, Германии. Банк имеет свои представительства в Китае и Индии. </w:t>
      </w:r>
    </w:p>
    <w:p w14:paraId="0EE73CE7" w14:textId="477C8B79" w:rsidR="00581F33" w:rsidRPr="007B5DFD" w:rsidRDefault="00DD71F1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Сбербанка приходится </w:t>
      </w:r>
      <w:r w:rsidR="00581F33" w:rsidRPr="007B5DFD">
        <w:rPr>
          <w:rFonts w:ascii="Times New Roman" w:hAnsi="Times New Roman" w:cs="Times New Roman"/>
          <w:sz w:val="28"/>
          <w:szCs w:val="28"/>
        </w:rPr>
        <w:t>28,7% совокупных банковских активов (по состоянию на 1 января 2016 года)</w:t>
      </w:r>
      <w:r w:rsidR="00581F33">
        <w:rPr>
          <w:rStyle w:val="a8"/>
          <w:rFonts w:ascii="Times New Roman" w:hAnsi="Times New Roman" w:cs="Times New Roman"/>
          <w:sz w:val="28"/>
          <w:szCs w:val="28"/>
        </w:rPr>
        <w:footnoteReference w:id="38"/>
      </w:r>
      <w:r w:rsidR="00581F33" w:rsidRPr="007B5DFD">
        <w:rPr>
          <w:rFonts w:ascii="Times New Roman" w:hAnsi="Times New Roman" w:cs="Times New Roman"/>
          <w:sz w:val="28"/>
          <w:szCs w:val="28"/>
        </w:rPr>
        <w:t>.</w:t>
      </w:r>
      <w:r w:rsidR="00581F33">
        <w:rPr>
          <w:rFonts w:ascii="Times New Roman" w:hAnsi="Times New Roman" w:cs="Times New Roman"/>
          <w:sz w:val="28"/>
          <w:szCs w:val="28"/>
        </w:rPr>
        <w:t xml:space="preserve"> </w:t>
      </w:r>
      <w:r w:rsidR="00581F33" w:rsidRPr="007B5DFD">
        <w:rPr>
          <w:rFonts w:ascii="Times New Roman" w:hAnsi="Times New Roman" w:cs="Times New Roman"/>
          <w:sz w:val="28"/>
          <w:szCs w:val="28"/>
        </w:rPr>
        <w:t>Банк является основным кредито</w:t>
      </w:r>
      <w:r>
        <w:rPr>
          <w:rFonts w:ascii="Times New Roman" w:hAnsi="Times New Roman" w:cs="Times New Roman"/>
          <w:sz w:val="28"/>
          <w:szCs w:val="28"/>
        </w:rPr>
        <w:t xml:space="preserve">ром российской экономики. </w:t>
      </w:r>
      <w:r w:rsidRPr="007B5DFD">
        <w:rPr>
          <w:rFonts w:ascii="Times New Roman" w:hAnsi="Times New Roman" w:cs="Times New Roman"/>
          <w:sz w:val="28"/>
          <w:szCs w:val="28"/>
        </w:rPr>
        <w:t xml:space="preserve">На долю лидера российского банковского сектора 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приходится 46% вкладов населения, 38,7% кредитов физическим лицам и 32,2% кредитов юридическим лицам. </w:t>
      </w:r>
    </w:p>
    <w:p w14:paraId="58182962" w14:textId="6AECF1D5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 силу слабой развитости банковского сектора</w:t>
      </w:r>
      <w:r w:rsidR="00103F89">
        <w:rPr>
          <w:rFonts w:ascii="Times New Roman" w:hAnsi="Times New Roman" w:cs="Times New Roman"/>
          <w:sz w:val="28"/>
          <w:szCs w:val="28"/>
        </w:rPr>
        <w:t xml:space="preserve"> РФ Сбербанк, по сути, </w:t>
      </w:r>
      <w:r w:rsidRPr="007B5DFD">
        <w:rPr>
          <w:rFonts w:ascii="Times New Roman" w:hAnsi="Times New Roman" w:cs="Times New Roman"/>
          <w:sz w:val="28"/>
          <w:szCs w:val="28"/>
        </w:rPr>
        <w:t>занимает монопольное положение и практически не имеет конкурентов своего уро</w:t>
      </w:r>
      <w:r w:rsidR="002B3EE6">
        <w:rPr>
          <w:rFonts w:ascii="Times New Roman" w:hAnsi="Times New Roman" w:cs="Times New Roman"/>
          <w:sz w:val="28"/>
          <w:szCs w:val="28"/>
        </w:rPr>
        <w:t>вня, не говоря уже о</w:t>
      </w:r>
      <w:r>
        <w:rPr>
          <w:rFonts w:ascii="Times New Roman" w:hAnsi="Times New Roman" w:cs="Times New Roman"/>
          <w:sz w:val="28"/>
          <w:szCs w:val="28"/>
        </w:rPr>
        <w:t xml:space="preserve"> компаниях-</w:t>
      </w:r>
      <w:r w:rsidRPr="007B5DFD">
        <w:rPr>
          <w:rFonts w:ascii="Times New Roman" w:hAnsi="Times New Roman" w:cs="Times New Roman"/>
          <w:sz w:val="28"/>
          <w:szCs w:val="28"/>
        </w:rPr>
        <w:t>аналогах на российском рынке. Следствием уникальности компании и самого бренда, а также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 xml:space="preserve">вия доступной базы по </w:t>
      </w:r>
      <w:r>
        <w:rPr>
          <w:rFonts w:ascii="Times New Roman" w:hAnsi="Times New Roman" w:cs="Times New Roman"/>
          <w:sz w:val="28"/>
          <w:szCs w:val="28"/>
        </w:rPr>
        <w:t>договорам лицензирования</w:t>
      </w:r>
      <w:r w:rsidRPr="007B5DFD">
        <w:rPr>
          <w:rFonts w:ascii="Times New Roman" w:hAnsi="Times New Roman" w:cs="Times New Roman"/>
          <w:sz w:val="28"/>
          <w:szCs w:val="28"/>
        </w:rPr>
        <w:t xml:space="preserve"> является отказ от использования методов Сравнительного подхода.</w:t>
      </w:r>
    </w:p>
    <w:p w14:paraId="31F868AC" w14:textId="77777777" w:rsidR="00581F33" w:rsidRPr="00F5358A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58A">
        <w:rPr>
          <w:rFonts w:ascii="Times New Roman" w:hAnsi="Times New Roman" w:cs="Times New Roman"/>
          <w:i/>
          <w:sz w:val="28"/>
          <w:szCs w:val="28"/>
        </w:rPr>
        <w:t>Обоснование использования метода освобождения от роялти</w:t>
      </w:r>
    </w:p>
    <w:p w14:paraId="21D460AF" w14:textId="711AEDE0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Стоимость бренда, полученная с помощью метода освобождения от ро</w:t>
      </w:r>
      <w:r>
        <w:rPr>
          <w:rFonts w:ascii="Times New Roman" w:hAnsi="Times New Roman" w:cs="Times New Roman"/>
          <w:sz w:val="28"/>
          <w:szCs w:val="28"/>
        </w:rPr>
        <w:t>ялти учитывает специфические ос</w:t>
      </w:r>
      <w:r w:rsidRPr="007B5DFD">
        <w:rPr>
          <w:rFonts w:ascii="Times New Roman" w:hAnsi="Times New Roman" w:cs="Times New Roman"/>
          <w:sz w:val="28"/>
          <w:szCs w:val="28"/>
        </w:rPr>
        <w:t xml:space="preserve">обенности отрасли и реальные практики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 xml:space="preserve">лицензирования. Использование релевантной информации, касающейся </w:t>
      </w:r>
      <w:r w:rsidR="00E543FF">
        <w:rPr>
          <w:rFonts w:ascii="Times New Roman" w:hAnsi="Times New Roman" w:cs="Times New Roman"/>
          <w:sz w:val="28"/>
          <w:szCs w:val="28"/>
        </w:rPr>
        <w:t>ставок роялти по совершенным сделкам</w:t>
      </w:r>
      <w:r w:rsidRPr="007B5DFD">
        <w:rPr>
          <w:rFonts w:ascii="Times New Roman" w:hAnsi="Times New Roman" w:cs="Times New Roman"/>
          <w:sz w:val="28"/>
          <w:szCs w:val="28"/>
        </w:rPr>
        <w:t xml:space="preserve"> с аналогичными </w:t>
      </w:r>
      <w:r w:rsidR="00650213">
        <w:rPr>
          <w:rFonts w:ascii="Times New Roman" w:hAnsi="Times New Roman" w:cs="Times New Roman"/>
          <w:sz w:val="28"/>
          <w:szCs w:val="28"/>
        </w:rPr>
        <w:t>компаниями</w:t>
      </w:r>
      <w:r w:rsidRPr="007B5DFD">
        <w:rPr>
          <w:rFonts w:ascii="Times New Roman" w:hAnsi="Times New Roman" w:cs="Times New Roman"/>
          <w:sz w:val="28"/>
          <w:szCs w:val="28"/>
        </w:rPr>
        <w:t>, минимальное количество вводных данных, учет перспектив развития бизнеса и бренда – все эти факторы снижают субъективность и повышают надежность оценки.</w:t>
      </w:r>
    </w:p>
    <w:p w14:paraId="07B92C4D" w14:textId="77777777" w:rsidR="00CE7236" w:rsidRDefault="00CE7236">
      <w:pPr>
        <w:rPr>
          <w:rFonts w:ascii="Times New Roman" w:eastAsiaTheme="majorEastAsia" w:hAnsi="Times New Roman" w:cstheme="majorBidi"/>
          <w:bCs/>
          <w:color w:val="000000" w:themeColor="text1"/>
          <w:sz w:val="30"/>
          <w:szCs w:val="26"/>
        </w:rPr>
      </w:pPr>
      <w:r>
        <w:br w:type="page"/>
      </w:r>
    </w:p>
    <w:p w14:paraId="6B8DD703" w14:textId="4D8F2632" w:rsidR="00581F33" w:rsidRPr="00F5358A" w:rsidRDefault="00581F33" w:rsidP="00581F33">
      <w:pPr>
        <w:pStyle w:val="20"/>
      </w:pPr>
      <w:bookmarkStart w:id="33" w:name="_Toc481137258"/>
      <w:r>
        <w:lastRenderedPageBreak/>
        <w:t xml:space="preserve">3.3 </w:t>
      </w:r>
      <w:r w:rsidRPr="00F5358A">
        <w:t>Расчет стоимости бренда «Сбербанк» методом освобождения от роялти</w:t>
      </w:r>
      <w:bookmarkEnd w:id="33"/>
    </w:p>
    <w:p w14:paraId="3B7E8C32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Метод освобождения от роялти основан на предположении о том, что компания не владеет исследуемым брендом, а использует его на лицензионной основе. Условная цена, уплачиваемая правообладателю, выражается в виде ставки роялти. Чистая текущая стоимость (NPV) всех платежей роялти и представляет собой ценность владения брендом для бизнеса.</w:t>
      </w:r>
    </w:p>
    <w:p w14:paraId="00D5289E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Привлекательность этого метода заключается в том, что он основан на коммерческой практике в реальном мире на реальных рынках. Метод являет собой сочетание доходного и сравнительного подходов и включает прогноз будущих денежных потоков бизнеса, применение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>ствующей ставки роялти, дисконтирование платежей роялти на дату оценки.</w:t>
      </w:r>
    </w:p>
    <w:p w14:paraId="0C83EFB2" w14:textId="437C51B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Главное преимущество метода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освобождения от роялти </w:t>
      </w:r>
      <w:r w:rsidRPr="007B5DFD">
        <w:rPr>
          <w:rFonts w:ascii="Times New Roman" w:hAnsi="Times New Roman" w:cs="Times New Roman"/>
          <w:sz w:val="28"/>
          <w:szCs w:val="28"/>
        </w:rPr>
        <w:t xml:space="preserve">среди методов доходного подхода – отсутствие необходимости выделять денежные потоки, приходящиеся на бренд. Таким образом в методе устранена </w:t>
      </w:r>
      <w:r w:rsidR="003B137A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7B5DFD">
        <w:rPr>
          <w:rFonts w:ascii="Times New Roman" w:hAnsi="Times New Roman" w:cs="Times New Roman"/>
          <w:sz w:val="28"/>
          <w:szCs w:val="28"/>
        </w:rPr>
        <w:t xml:space="preserve">неопределенная часть оценки. </w:t>
      </w:r>
    </w:p>
    <w:p w14:paraId="3C8F3F48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Дополнительные обоснования использования метода освобождения от роялти:</w:t>
      </w:r>
    </w:p>
    <w:p w14:paraId="5E7B744D" w14:textId="55490F44" w:rsidR="00581F33" w:rsidRPr="00F5358A" w:rsidRDefault="00581F33" w:rsidP="00581F33">
      <w:pPr>
        <w:pStyle w:val="a4"/>
        <w:numPr>
          <w:ilvl w:val="0"/>
          <w:numId w:val="2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t>метод официально одобрен и предпочтителен налоговыми и правовыми органами, т.</w:t>
      </w:r>
      <w:r w:rsidR="004278F3">
        <w:rPr>
          <w:rFonts w:ascii="Times New Roman" w:hAnsi="Times New Roman" w:cs="Times New Roman"/>
          <w:sz w:val="28"/>
          <w:szCs w:val="28"/>
        </w:rPr>
        <w:t xml:space="preserve"> </w:t>
      </w:r>
      <w:r w:rsidRPr="00F5358A">
        <w:rPr>
          <w:rFonts w:ascii="Times New Roman" w:hAnsi="Times New Roman" w:cs="Times New Roman"/>
          <w:sz w:val="28"/>
          <w:szCs w:val="28"/>
        </w:rPr>
        <w:t>к. стоимость бренда вычисляется на основании документированных третьими сторонами источников (</w:t>
      </w:r>
      <w:r>
        <w:rPr>
          <w:rFonts w:ascii="Times New Roman" w:hAnsi="Times New Roman" w:cs="Times New Roman"/>
          <w:sz w:val="28"/>
          <w:szCs w:val="28"/>
        </w:rPr>
        <w:t>признанные рынком ставки роялти</w:t>
      </w:r>
      <w:r w:rsidRPr="00F5358A">
        <w:rPr>
          <w:rFonts w:ascii="Times New Roman" w:hAnsi="Times New Roman" w:cs="Times New Roman"/>
          <w:sz w:val="28"/>
          <w:szCs w:val="28"/>
        </w:rPr>
        <w:t>);</w:t>
      </w:r>
    </w:p>
    <w:p w14:paraId="4129868A" w14:textId="06DF4BEE" w:rsidR="00581F33" w:rsidRPr="00F5358A" w:rsidRDefault="00581F33" w:rsidP="00581F33">
      <w:pPr>
        <w:pStyle w:val="a4"/>
        <w:numPr>
          <w:ilvl w:val="0"/>
          <w:numId w:val="2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t xml:space="preserve">для расчета используется общедоступная информация (финансовая отчетность, </w:t>
      </w:r>
      <w:r w:rsidR="00A20EBE">
        <w:rPr>
          <w:rFonts w:ascii="Times New Roman" w:hAnsi="Times New Roman" w:cs="Times New Roman"/>
          <w:sz w:val="28"/>
          <w:szCs w:val="28"/>
        </w:rPr>
        <w:t xml:space="preserve">данные по договорам франчайзинга, </w:t>
      </w:r>
      <w:r w:rsidRPr="00F5358A">
        <w:rPr>
          <w:rFonts w:ascii="Times New Roman" w:hAnsi="Times New Roman" w:cs="Times New Roman"/>
          <w:sz w:val="28"/>
          <w:szCs w:val="28"/>
        </w:rPr>
        <w:t>базы данных ставок роялти по отраслям, сервисы по продаже готовых брендов и т.</w:t>
      </w:r>
      <w:r w:rsidR="00A20EBE">
        <w:rPr>
          <w:rFonts w:ascii="Times New Roman" w:hAnsi="Times New Roman" w:cs="Times New Roman"/>
          <w:sz w:val="28"/>
          <w:szCs w:val="28"/>
        </w:rPr>
        <w:t xml:space="preserve"> </w:t>
      </w:r>
      <w:r w:rsidRPr="00F5358A">
        <w:rPr>
          <w:rFonts w:ascii="Times New Roman" w:hAnsi="Times New Roman" w:cs="Times New Roman"/>
          <w:sz w:val="28"/>
          <w:szCs w:val="28"/>
        </w:rPr>
        <w:t>д.);</w:t>
      </w:r>
    </w:p>
    <w:p w14:paraId="711B2A6E" w14:textId="4BE58439" w:rsidR="00581F33" w:rsidRDefault="00581F33" w:rsidP="00581F33">
      <w:pPr>
        <w:pStyle w:val="a4"/>
        <w:numPr>
          <w:ilvl w:val="0"/>
          <w:numId w:val="2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lastRenderedPageBreak/>
        <w:t>метод считается наиболее теоретически приемлемым среди прочих методов финансовой оценки</w:t>
      </w:r>
      <w:r w:rsidR="00103F89">
        <w:rPr>
          <w:rFonts w:ascii="Times New Roman" w:hAnsi="Times New Roman" w:cs="Times New Roman"/>
          <w:sz w:val="28"/>
          <w:szCs w:val="28"/>
        </w:rPr>
        <w:t xml:space="preserve"> бренда,</w:t>
      </w:r>
      <w:r w:rsidRPr="00F5358A">
        <w:rPr>
          <w:rFonts w:ascii="Times New Roman" w:hAnsi="Times New Roman" w:cs="Times New Roman"/>
          <w:sz w:val="28"/>
          <w:szCs w:val="28"/>
        </w:rPr>
        <w:t xml:space="preserve"> так как опирается на данные рынка и содержит минимум субъективных суждений;</w:t>
      </w:r>
    </w:p>
    <w:p w14:paraId="3A37B70C" w14:textId="77777777" w:rsidR="00581F33" w:rsidRPr="00F5358A" w:rsidRDefault="00581F33" w:rsidP="00581F33">
      <w:pPr>
        <w:pStyle w:val="a4"/>
        <w:numPr>
          <w:ilvl w:val="0"/>
          <w:numId w:val="2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учитываются перспективы развития и будущие поступления от продаж;</w:t>
      </w:r>
    </w:p>
    <w:p w14:paraId="06760F38" w14:textId="77777777" w:rsidR="00581F33" w:rsidRPr="00F5358A" w:rsidRDefault="00581F33" w:rsidP="00581F33">
      <w:pPr>
        <w:pStyle w:val="a4"/>
        <w:numPr>
          <w:ilvl w:val="0"/>
          <w:numId w:val="2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t>метод соответствует Международным стандартам оценки (International Valuation Standards Committee (IVSC).</w:t>
      </w:r>
    </w:p>
    <w:p w14:paraId="7A32923C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Этапы процесса финансовой оценки бренда методом освобождения от роялти:</w:t>
      </w:r>
    </w:p>
    <w:p w14:paraId="0120FF29" w14:textId="1D4187D0" w:rsidR="00581F33" w:rsidRPr="00F5358A" w:rsidRDefault="00581F33" w:rsidP="00581F33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t>Получение данных из финансовой отчетности компани</w:t>
      </w:r>
      <w:r w:rsidR="002446E1">
        <w:rPr>
          <w:rFonts w:ascii="Times New Roman" w:hAnsi="Times New Roman" w:cs="Times New Roman"/>
          <w:sz w:val="28"/>
          <w:szCs w:val="28"/>
        </w:rPr>
        <w:t>и о движениях денежных средств;</w:t>
      </w:r>
    </w:p>
    <w:p w14:paraId="69E98901" w14:textId="77777777" w:rsidR="00581F33" w:rsidRDefault="00581F33" w:rsidP="00581F33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t>Поиск и дальнейшая корректировка ставки роялти, установленной на рынке банковских услуг;</w:t>
      </w:r>
    </w:p>
    <w:p w14:paraId="3F39E5A6" w14:textId="77777777" w:rsidR="00581F33" w:rsidRDefault="00581F33" w:rsidP="00581F33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t>Расчет оптимальной ставки дисконтирования;</w:t>
      </w:r>
    </w:p>
    <w:p w14:paraId="2B2BE108" w14:textId="77777777" w:rsidR="00581F33" w:rsidRDefault="00581F33" w:rsidP="00581F33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A">
        <w:rPr>
          <w:rFonts w:ascii="Times New Roman" w:hAnsi="Times New Roman" w:cs="Times New Roman"/>
          <w:sz w:val="28"/>
          <w:szCs w:val="28"/>
        </w:rPr>
        <w:t>Прогнозирование будущих денежных потоков на период остаточного срока полезной жизни бренда;</w:t>
      </w:r>
    </w:p>
    <w:p w14:paraId="4D64AD92" w14:textId="77777777" w:rsidR="00581F33" w:rsidRPr="00F5358A" w:rsidRDefault="00581F33" w:rsidP="00581F33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 дисконтирование плате</w:t>
      </w:r>
      <w:r w:rsidRPr="00F5358A">
        <w:rPr>
          <w:rFonts w:ascii="Times New Roman" w:hAnsi="Times New Roman" w:cs="Times New Roman"/>
          <w:sz w:val="28"/>
          <w:szCs w:val="28"/>
        </w:rPr>
        <w:t>жей роялти.</w:t>
      </w:r>
    </w:p>
    <w:p w14:paraId="2A63A6B0" w14:textId="2DF948C2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Расчет стоимости бренда производится по формуле</w:t>
      </w:r>
      <w:r w:rsidR="002F422B">
        <w:rPr>
          <w:rFonts w:ascii="Times New Roman" w:hAnsi="Times New Roman" w:cs="Times New Roman"/>
          <w:sz w:val="28"/>
          <w:szCs w:val="28"/>
        </w:rPr>
        <w:t xml:space="preserve"> </w:t>
      </w:r>
      <w:r w:rsidR="00CC165A">
        <w:rPr>
          <w:rFonts w:ascii="Times New Roman" w:hAnsi="Times New Roman" w:cs="Times New Roman"/>
          <w:sz w:val="28"/>
          <w:szCs w:val="28"/>
        </w:rPr>
        <w:t>(14</w:t>
      </w:r>
      <w:r w:rsidR="0046296B">
        <w:rPr>
          <w:rFonts w:ascii="Times New Roman" w:hAnsi="Times New Roman" w:cs="Times New Roman"/>
          <w:sz w:val="28"/>
          <w:szCs w:val="28"/>
        </w:rPr>
        <w:t>)</w:t>
      </w:r>
      <w:r w:rsidR="00CC165A">
        <w:rPr>
          <w:rFonts w:ascii="Times New Roman" w:hAnsi="Times New Roman" w:cs="Times New Roman"/>
          <w:sz w:val="28"/>
          <w:szCs w:val="28"/>
        </w:rPr>
        <w:t>:</w:t>
      </w:r>
    </w:p>
    <w:p w14:paraId="4BFE6FF3" w14:textId="07375236" w:rsidR="00581F33" w:rsidRPr="007B5DFD" w:rsidRDefault="006741A7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Б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аза роялти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×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×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TV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</m:oMath>
      <w:r w:rsidR="0046296B">
        <w:rPr>
          <w:rFonts w:ascii="Times New Roman" w:hAnsi="Times New Roman" w:cs="Times New Roman"/>
          <w:sz w:val="28"/>
          <w:szCs w:val="28"/>
        </w:rPr>
        <w:t>.</w:t>
      </w:r>
    </w:p>
    <w:p w14:paraId="2D5FC38E" w14:textId="77777777" w:rsidR="00581F33" w:rsidRPr="008F17AC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7AC">
        <w:rPr>
          <w:rFonts w:ascii="Times New Roman" w:hAnsi="Times New Roman" w:cs="Times New Roman"/>
          <w:i/>
          <w:sz w:val="28"/>
          <w:szCs w:val="28"/>
        </w:rPr>
        <w:t>1. Финансовый анализ</w:t>
      </w:r>
    </w:p>
    <w:p w14:paraId="4DDDDFC6" w14:textId="02F07BF2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Структура акционерного капитала ПАО </w:t>
      </w:r>
      <w:r w:rsidR="006741A7">
        <w:rPr>
          <w:rFonts w:ascii="Times New Roman" w:hAnsi="Times New Roman" w:cs="Times New Roman"/>
          <w:sz w:val="28"/>
          <w:szCs w:val="28"/>
        </w:rPr>
        <w:t>«</w:t>
      </w:r>
      <w:r w:rsidRPr="007B5DFD">
        <w:rPr>
          <w:rFonts w:ascii="Times New Roman" w:hAnsi="Times New Roman" w:cs="Times New Roman"/>
          <w:sz w:val="28"/>
          <w:szCs w:val="28"/>
        </w:rPr>
        <w:t>Сбербанк</w:t>
      </w:r>
      <w:r w:rsidR="006741A7">
        <w:rPr>
          <w:rFonts w:ascii="Times New Roman" w:hAnsi="Times New Roman" w:cs="Times New Roman"/>
          <w:sz w:val="28"/>
          <w:szCs w:val="28"/>
        </w:rPr>
        <w:t>»</w:t>
      </w:r>
      <w:r w:rsidRPr="007B5DFD">
        <w:rPr>
          <w:rFonts w:ascii="Times New Roman" w:hAnsi="Times New Roman" w:cs="Times New Roman"/>
          <w:sz w:val="28"/>
          <w:szCs w:val="28"/>
        </w:rPr>
        <w:t xml:space="preserve"> на 31.12.2016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9"/>
      </w:r>
      <w:r w:rsidRPr="007B5DFD">
        <w:rPr>
          <w:rFonts w:ascii="Times New Roman" w:hAnsi="Times New Roman" w:cs="Times New Roman"/>
          <w:sz w:val="28"/>
          <w:szCs w:val="28"/>
        </w:rPr>
        <w:t>:</w:t>
      </w:r>
    </w:p>
    <w:p w14:paraId="53DE89D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Обыкновенных акций 21 586 948 000 шт.</w:t>
      </w:r>
    </w:p>
    <w:p w14:paraId="1B59FD6E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 xml:space="preserve">Рыночная стоимость обыкновенных акций на 31.12.2016г. – 173,250 </w:t>
      </w:r>
      <w:r w:rsidRPr="007B5DFD">
        <w:rPr>
          <w:rFonts w:ascii="Calibri" w:eastAsia="Calibri" w:hAnsi="Calibri" w:cs="Calibri"/>
          <w:sz w:val="28"/>
          <w:szCs w:val="28"/>
        </w:rPr>
        <w:t>₽</w:t>
      </w:r>
      <w:r>
        <w:rPr>
          <w:rStyle w:val="a8"/>
          <w:rFonts w:ascii="Calibri" w:eastAsia="Calibri" w:hAnsi="Calibri" w:cs="Calibri"/>
          <w:sz w:val="28"/>
          <w:szCs w:val="28"/>
        </w:rPr>
        <w:footnoteReference w:id="40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665C2B04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Привилегированных акци</w:t>
      </w:r>
      <w:r w:rsidRPr="007B5DFD">
        <w:rPr>
          <w:rFonts w:ascii="Times New Roman" w:hAnsi="Times New Roman" w:cs="Times New Roman"/>
          <w:sz w:val="28"/>
          <w:szCs w:val="28"/>
        </w:rPr>
        <w:t>й 1 000 000 000 шт.</w:t>
      </w:r>
    </w:p>
    <w:p w14:paraId="78EB324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Рыночная стоимость приви</w:t>
      </w:r>
      <w:r w:rsidRPr="007B5DFD">
        <w:rPr>
          <w:rFonts w:ascii="Times New Roman" w:hAnsi="Times New Roman" w:cs="Times New Roman"/>
          <w:sz w:val="28"/>
          <w:szCs w:val="28"/>
        </w:rPr>
        <w:t xml:space="preserve">легированных акций на 31.12.2016г. – 129,750 </w:t>
      </w:r>
      <w:r w:rsidRPr="007B5DFD">
        <w:rPr>
          <w:rFonts w:ascii="Calibri" w:eastAsia="Calibri" w:hAnsi="Calibri" w:cs="Calibri"/>
          <w:sz w:val="28"/>
          <w:szCs w:val="28"/>
        </w:rPr>
        <w:t>₽</w:t>
      </w:r>
      <w:r>
        <w:rPr>
          <w:rStyle w:val="a8"/>
          <w:rFonts w:ascii="Calibri" w:eastAsia="Calibri" w:hAnsi="Calibri" w:cs="Calibri"/>
          <w:sz w:val="28"/>
          <w:szCs w:val="28"/>
        </w:rPr>
        <w:footnoteReference w:id="41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71F501B1" w14:textId="5BDA5D90" w:rsidR="00581F33" w:rsidRPr="007B5DFD" w:rsidRDefault="006741A7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следует</w:t>
      </w:r>
      <w:r w:rsidR="00581F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581F33">
        <w:rPr>
          <w:rFonts w:ascii="Times New Roman" w:hAnsi="Times New Roman" w:cs="Times New Roman"/>
          <w:sz w:val="28"/>
          <w:szCs w:val="28"/>
        </w:rPr>
        <w:t>рыночная капитализация на 31.12.2016г. составляет</w:t>
      </w:r>
      <w:r w:rsidR="00581F33" w:rsidRPr="007B5DFD">
        <w:rPr>
          <w:rFonts w:ascii="Times New Roman" w:hAnsi="Times New Roman" w:cs="Times New Roman"/>
          <w:sz w:val="28"/>
          <w:szCs w:val="28"/>
        </w:rPr>
        <w:t xml:space="preserve"> 3 869,689 млрд </w:t>
      </w:r>
      <w:r w:rsidR="00581F33" w:rsidRPr="007B5DFD">
        <w:rPr>
          <w:rFonts w:ascii="Calibri" w:eastAsia="Calibri" w:hAnsi="Calibri" w:cs="Calibri"/>
          <w:sz w:val="28"/>
          <w:szCs w:val="28"/>
        </w:rPr>
        <w:t>₽</w:t>
      </w:r>
      <w:r w:rsidR="00581F33" w:rsidRPr="007B5DFD">
        <w:rPr>
          <w:rFonts w:ascii="Times New Roman" w:hAnsi="Times New Roman" w:cs="Times New Roman"/>
          <w:sz w:val="28"/>
          <w:szCs w:val="28"/>
        </w:rPr>
        <w:t>.</w:t>
      </w:r>
    </w:p>
    <w:p w14:paraId="4DE483BB" w14:textId="7BDAFFF2" w:rsidR="006741A7" w:rsidRDefault="00581F33" w:rsidP="006741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представляет собой экономический взгляд на бухгалтерский баланс ПАО </w:t>
      </w:r>
      <w:r w:rsidR="00AC6F4C">
        <w:rPr>
          <w:rFonts w:ascii="Times New Roman" w:hAnsi="Times New Roman" w:cs="Times New Roman"/>
          <w:sz w:val="28"/>
          <w:szCs w:val="28"/>
        </w:rPr>
        <w:t>«</w:t>
      </w:r>
      <w:r w:rsidRPr="007B5DFD">
        <w:rPr>
          <w:rFonts w:ascii="Times New Roman" w:hAnsi="Times New Roman" w:cs="Times New Roman"/>
          <w:sz w:val="28"/>
          <w:szCs w:val="28"/>
        </w:rPr>
        <w:t>Сбербанк</w:t>
      </w:r>
      <w:r w:rsidR="00AC6F4C">
        <w:rPr>
          <w:rFonts w:ascii="Times New Roman" w:hAnsi="Times New Roman" w:cs="Times New Roman"/>
          <w:sz w:val="28"/>
          <w:szCs w:val="28"/>
        </w:rPr>
        <w:t>»</w:t>
      </w:r>
      <w:r w:rsidRPr="007B5DFD">
        <w:rPr>
          <w:rFonts w:ascii="Times New Roman" w:hAnsi="Times New Roman" w:cs="Times New Roman"/>
          <w:sz w:val="28"/>
          <w:szCs w:val="28"/>
        </w:rPr>
        <w:t>. Активы сгруппированы с позиции равной доходности.</w:t>
      </w:r>
    </w:p>
    <w:p w14:paraId="712CD597" w14:textId="2CEF2833" w:rsidR="00581F33" w:rsidRPr="007B5DFD" w:rsidRDefault="00581F33" w:rsidP="00F42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Таблица 8 Бухгалтерский баланс ПАО </w:t>
      </w:r>
      <w:r w:rsidR="006741A7">
        <w:rPr>
          <w:rFonts w:ascii="Times New Roman" w:hAnsi="Times New Roman" w:cs="Times New Roman"/>
          <w:sz w:val="28"/>
          <w:szCs w:val="28"/>
        </w:rPr>
        <w:t>«</w:t>
      </w:r>
      <w:r w:rsidRPr="007B5DFD">
        <w:rPr>
          <w:rFonts w:ascii="Times New Roman" w:hAnsi="Times New Roman" w:cs="Times New Roman"/>
          <w:sz w:val="28"/>
          <w:szCs w:val="28"/>
        </w:rPr>
        <w:t>Сбербанк</w:t>
      </w:r>
      <w:r w:rsidR="006741A7">
        <w:rPr>
          <w:rFonts w:ascii="Times New Roman" w:hAnsi="Times New Roman" w:cs="Times New Roman"/>
          <w:sz w:val="28"/>
          <w:szCs w:val="28"/>
        </w:rPr>
        <w:t>»</w:t>
      </w:r>
      <w:r w:rsidRPr="007B5DFD">
        <w:rPr>
          <w:rFonts w:ascii="Times New Roman" w:hAnsi="Times New Roman" w:cs="Times New Roman"/>
          <w:sz w:val="28"/>
          <w:szCs w:val="28"/>
        </w:rPr>
        <w:t>. Экономический взгляд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464"/>
        <w:gridCol w:w="2465"/>
        <w:gridCol w:w="2457"/>
      </w:tblGrid>
      <w:tr w:rsidR="00581F33" w:rsidRPr="007B5DFD" w14:paraId="28D1DC54" w14:textId="77777777" w:rsidTr="000B4FAC">
        <w:trPr>
          <w:trHeight w:val="716"/>
          <w:tblHeader/>
        </w:trPr>
        <w:tc>
          <w:tcPr>
            <w:tcW w:w="2584" w:type="dxa"/>
          </w:tcPr>
          <w:p w14:paraId="600AEF40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Класс активов</w:t>
            </w:r>
          </w:p>
        </w:tc>
        <w:tc>
          <w:tcPr>
            <w:tcW w:w="2534" w:type="dxa"/>
          </w:tcPr>
          <w:p w14:paraId="1E894B96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35" w:type="dxa"/>
          </w:tcPr>
          <w:p w14:paraId="14256B19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35" w:type="dxa"/>
          </w:tcPr>
          <w:p w14:paraId="7A8A5AFF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81F33" w:rsidRPr="007B5DFD" w14:paraId="6D1AC2AB" w14:textId="77777777" w:rsidTr="000B4FAC">
        <w:tc>
          <w:tcPr>
            <w:tcW w:w="2584" w:type="dxa"/>
          </w:tcPr>
          <w:p w14:paraId="15FE4761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2534" w:type="dxa"/>
          </w:tcPr>
          <w:p w14:paraId="570504F1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20065,4</w:t>
            </w:r>
          </w:p>
        </w:tc>
        <w:tc>
          <w:tcPr>
            <w:tcW w:w="2535" w:type="dxa"/>
          </w:tcPr>
          <w:p w14:paraId="769B6DEF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21061,4</w:t>
            </w:r>
          </w:p>
        </w:tc>
        <w:tc>
          <w:tcPr>
            <w:tcW w:w="2535" w:type="dxa"/>
          </w:tcPr>
          <w:p w14:paraId="43D5689A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19922,1</w:t>
            </w:r>
          </w:p>
        </w:tc>
      </w:tr>
      <w:tr w:rsidR="00581F33" w:rsidRPr="007B5DFD" w14:paraId="3F817066" w14:textId="77777777" w:rsidTr="000B4FAC">
        <w:tc>
          <w:tcPr>
            <w:tcW w:w="2584" w:type="dxa"/>
          </w:tcPr>
          <w:p w14:paraId="36AB1B73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Краткосрочные обязательства</w:t>
            </w:r>
          </w:p>
        </w:tc>
        <w:tc>
          <w:tcPr>
            <w:tcW w:w="2534" w:type="dxa"/>
          </w:tcPr>
          <w:p w14:paraId="5D48D208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13143,46</w:t>
            </w:r>
          </w:p>
        </w:tc>
        <w:tc>
          <w:tcPr>
            <w:tcW w:w="2535" w:type="dxa"/>
          </w:tcPr>
          <w:p w14:paraId="4DAE7325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14351,83</w:t>
            </w:r>
          </w:p>
        </w:tc>
        <w:tc>
          <w:tcPr>
            <w:tcW w:w="2535" w:type="dxa"/>
          </w:tcPr>
          <w:p w14:paraId="38841E0B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10912,7</w:t>
            </w:r>
          </w:p>
        </w:tc>
      </w:tr>
      <w:tr w:rsidR="00581F33" w:rsidRPr="007B5DFD" w14:paraId="1CB73DEF" w14:textId="77777777" w:rsidTr="000B4FAC">
        <w:tc>
          <w:tcPr>
            <w:tcW w:w="2584" w:type="dxa"/>
            <w:shd w:val="clear" w:color="auto" w:fill="auto"/>
          </w:tcPr>
          <w:p w14:paraId="63C1E22D" w14:textId="77777777" w:rsidR="00581F33" w:rsidRPr="000B4FAC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FAC">
              <w:rPr>
                <w:rFonts w:ascii="Times New Roman" w:hAnsi="Times New Roman" w:cs="Times New Roman"/>
                <w:i/>
                <w:sz w:val="28"/>
                <w:szCs w:val="28"/>
              </w:rPr>
              <w:t>Чистый рабочий капитал</w:t>
            </w:r>
          </w:p>
        </w:tc>
        <w:tc>
          <w:tcPr>
            <w:tcW w:w="2534" w:type="dxa"/>
            <w:shd w:val="clear" w:color="auto" w:fill="auto"/>
          </w:tcPr>
          <w:p w14:paraId="200ED27C" w14:textId="77777777" w:rsidR="00581F33" w:rsidRPr="000B4FAC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FAC">
              <w:rPr>
                <w:rFonts w:ascii="Times New Roman" w:hAnsi="Times New Roman" w:cs="Times New Roman"/>
                <w:i/>
                <w:sz w:val="28"/>
                <w:szCs w:val="28"/>
              </w:rPr>
              <w:t>6921,94</w:t>
            </w:r>
          </w:p>
        </w:tc>
        <w:tc>
          <w:tcPr>
            <w:tcW w:w="2535" w:type="dxa"/>
            <w:shd w:val="clear" w:color="auto" w:fill="auto"/>
          </w:tcPr>
          <w:p w14:paraId="73AD955E" w14:textId="77777777" w:rsidR="00581F33" w:rsidRPr="000B4FAC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FAC">
              <w:rPr>
                <w:rFonts w:ascii="Times New Roman" w:hAnsi="Times New Roman" w:cs="Times New Roman"/>
                <w:i/>
                <w:sz w:val="28"/>
                <w:szCs w:val="28"/>
              </w:rPr>
              <w:t>6709,57</w:t>
            </w:r>
          </w:p>
        </w:tc>
        <w:tc>
          <w:tcPr>
            <w:tcW w:w="2535" w:type="dxa"/>
            <w:shd w:val="clear" w:color="auto" w:fill="auto"/>
          </w:tcPr>
          <w:p w14:paraId="65482B6F" w14:textId="77777777" w:rsidR="00581F33" w:rsidRPr="000B4FAC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FAC">
              <w:rPr>
                <w:rFonts w:ascii="Times New Roman" w:hAnsi="Times New Roman" w:cs="Times New Roman"/>
                <w:i/>
                <w:sz w:val="28"/>
                <w:szCs w:val="28"/>
              </w:rPr>
              <w:t>9009,4</w:t>
            </w:r>
          </w:p>
        </w:tc>
      </w:tr>
      <w:tr w:rsidR="00581F33" w:rsidRPr="007B5DFD" w14:paraId="44B8377A" w14:textId="77777777" w:rsidTr="000B4FAC">
        <w:tc>
          <w:tcPr>
            <w:tcW w:w="2584" w:type="dxa"/>
          </w:tcPr>
          <w:p w14:paraId="3CCFAFEC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2534" w:type="dxa"/>
          </w:tcPr>
          <w:p w14:paraId="069CD01F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568,4</w:t>
            </w:r>
          </w:p>
        </w:tc>
        <w:tc>
          <w:tcPr>
            <w:tcW w:w="2535" w:type="dxa"/>
          </w:tcPr>
          <w:p w14:paraId="48E8F181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711,9</w:t>
            </w:r>
          </w:p>
        </w:tc>
        <w:tc>
          <w:tcPr>
            <w:tcW w:w="2535" w:type="dxa"/>
          </w:tcPr>
          <w:p w14:paraId="2B85BD34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488,7</w:t>
            </w:r>
          </w:p>
        </w:tc>
      </w:tr>
      <w:tr w:rsidR="00581F33" w:rsidRPr="007B5DFD" w14:paraId="26879FEA" w14:textId="77777777" w:rsidTr="000B4FAC">
        <w:tc>
          <w:tcPr>
            <w:tcW w:w="2584" w:type="dxa"/>
          </w:tcPr>
          <w:p w14:paraId="6A351703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2534" w:type="dxa"/>
          </w:tcPr>
          <w:p w14:paraId="11C0CA2D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2535" w:type="dxa"/>
          </w:tcPr>
          <w:p w14:paraId="2C18CC08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2535" w:type="dxa"/>
          </w:tcPr>
          <w:p w14:paraId="4E5824C6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581F33" w:rsidRPr="007B5DFD" w14:paraId="57796AB6" w14:textId="77777777" w:rsidTr="000B4FAC">
        <w:tc>
          <w:tcPr>
            <w:tcW w:w="2584" w:type="dxa"/>
          </w:tcPr>
          <w:p w14:paraId="3C0EA1A2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Вложения в ценные бумаги</w:t>
            </w:r>
          </w:p>
        </w:tc>
        <w:tc>
          <w:tcPr>
            <w:tcW w:w="2534" w:type="dxa"/>
          </w:tcPr>
          <w:p w14:paraId="185BA496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2231,9</w:t>
            </w:r>
          </w:p>
        </w:tc>
        <w:tc>
          <w:tcPr>
            <w:tcW w:w="2535" w:type="dxa"/>
          </w:tcPr>
          <w:p w14:paraId="0EC5D514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2906</w:t>
            </w:r>
          </w:p>
        </w:tc>
        <w:tc>
          <w:tcPr>
            <w:tcW w:w="2535" w:type="dxa"/>
          </w:tcPr>
          <w:p w14:paraId="568C17C9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2717,5</w:t>
            </w:r>
          </w:p>
        </w:tc>
      </w:tr>
      <w:tr w:rsidR="00581F33" w:rsidRPr="007B5DFD" w14:paraId="0FA1DE25" w14:textId="77777777" w:rsidTr="000B4FAC">
        <w:tc>
          <w:tcPr>
            <w:tcW w:w="2584" w:type="dxa"/>
          </w:tcPr>
          <w:p w14:paraId="67FFA926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Прочие активы</w:t>
            </w:r>
          </w:p>
        </w:tc>
        <w:tc>
          <w:tcPr>
            <w:tcW w:w="2534" w:type="dxa"/>
          </w:tcPr>
          <w:p w14:paraId="5608F942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2233,7</w:t>
            </w:r>
          </w:p>
        </w:tc>
        <w:tc>
          <w:tcPr>
            <w:tcW w:w="2535" w:type="dxa"/>
          </w:tcPr>
          <w:p w14:paraId="314F4CBE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  <w:tc>
          <w:tcPr>
            <w:tcW w:w="2535" w:type="dxa"/>
          </w:tcPr>
          <w:p w14:paraId="4A3FE0DA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2146,3</w:t>
            </w:r>
          </w:p>
        </w:tc>
      </w:tr>
      <w:tr w:rsidR="00581F33" w:rsidRPr="007B5DFD" w14:paraId="2ACD8EF2" w14:textId="77777777" w:rsidTr="000B4FAC">
        <w:tc>
          <w:tcPr>
            <w:tcW w:w="2584" w:type="dxa"/>
            <w:shd w:val="clear" w:color="auto" w:fill="auto"/>
          </w:tcPr>
          <w:p w14:paraId="4FD3E7D7" w14:textId="77777777" w:rsidR="00581F33" w:rsidRPr="008B676F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76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Инвестированный капитал</w:t>
            </w:r>
          </w:p>
        </w:tc>
        <w:tc>
          <w:tcPr>
            <w:tcW w:w="2534" w:type="dxa"/>
            <w:shd w:val="clear" w:color="auto" w:fill="auto"/>
          </w:tcPr>
          <w:p w14:paraId="0F71F801" w14:textId="77777777" w:rsidR="00581F33" w:rsidRPr="008B676F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76F">
              <w:rPr>
                <w:rFonts w:ascii="Times New Roman" w:hAnsi="Times New Roman" w:cs="Times New Roman"/>
                <w:i/>
                <w:sz w:val="28"/>
                <w:szCs w:val="28"/>
              </w:rPr>
              <w:t>12057,34</w:t>
            </w:r>
          </w:p>
        </w:tc>
        <w:tc>
          <w:tcPr>
            <w:tcW w:w="2535" w:type="dxa"/>
            <w:shd w:val="clear" w:color="auto" w:fill="auto"/>
          </w:tcPr>
          <w:p w14:paraId="2243EA20" w14:textId="77777777" w:rsidR="00581F33" w:rsidRPr="008B676F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76F">
              <w:rPr>
                <w:rFonts w:ascii="Times New Roman" w:hAnsi="Times New Roman" w:cs="Times New Roman"/>
                <w:i/>
                <w:sz w:val="28"/>
                <w:szCs w:val="28"/>
              </w:rPr>
              <w:t>12982,87</w:t>
            </w:r>
          </w:p>
        </w:tc>
        <w:tc>
          <w:tcPr>
            <w:tcW w:w="2535" w:type="dxa"/>
            <w:shd w:val="clear" w:color="auto" w:fill="auto"/>
          </w:tcPr>
          <w:p w14:paraId="2279841A" w14:textId="77777777" w:rsidR="00581F33" w:rsidRPr="008B676F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76F">
              <w:rPr>
                <w:rFonts w:ascii="Times New Roman" w:hAnsi="Times New Roman" w:cs="Times New Roman"/>
                <w:i/>
                <w:sz w:val="28"/>
                <w:szCs w:val="28"/>
              </w:rPr>
              <w:t>14455,8</w:t>
            </w:r>
          </w:p>
        </w:tc>
      </w:tr>
      <w:tr w:rsidR="00581F33" w:rsidRPr="007B5DFD" w14:paraId="4855C9F6" w14:textId="77777777" w:rsidTr="000B4FAC">
        <w:tc>
          <w:tcPr>
            <w:tcW w:w="2584" w:type="dxa"/>
            <w:shd w:val="clear" w:color="auto" w:fill="auto"/>
          </w:tcPr>
          <w:p w14:paraId="2AF1A7EB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2534" w:type="dxa"/>
            <w:shd w:val="clear" w:color="auto" w:fill="auto"/>
          </w:tcPr>
          <w:p w14:paraId="13C39939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10037,24</w:t>
            </w:r>
          </w:p>
        </w:tc>
        <w:tc>
          <w:tcPr>
            <w:tcW w:w="2535" w:type="dxa"/>
            <w:shd w:val="clear" w:color="auto" w:fill="auto"/>
          </w:tcPr>
          <w:p w14:paraId="51D9D1AF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10607,87</w:t>
            </w:r>
          </w:p>
        </w:tc>
        <w:tc>
          <w:tcPr>
            <w:tcW w:w="2535" w:type="dxa"/>
            <w:shd w:val="clear" w:color="auto" w:fill="auto"/>
          </w:tcPr>
          <w:p w14:paraId="2C4E0656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11634,2</w:t>
            </w:r>
          </w:p>
        </w:tc>
      </w:tr>
      <w:tr w:rsidR="00581F33" w:rsidRPr="007B5DFD" w14:paraId="0A463E9E" w14:textId="77777777" w:rsidTr="000B4FAC">
        <w:tc>
          <w:tcPr>
            <w:tcW w:w="2584" w:type="dxa"/>
            <w:shd w:val="clear" w:color="auto" w:fill="auto"/>
          </w:tcPr>
          <w:p w14:paraId="1E31CF77" w14:textId="77777777" w:rsidR="00581F33" w:rsidRPr="007B5DFD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Собственный капитал</w:t>
            </w:r>
          </w:p>
        </w:tc>
        <w:tc>
          <w:tcPr>
            <w:tcW w:w="2534" w:type="dxa"/>
            <w:shd w:val="clear" w:color="auto" w:fill="auto"/>
          </w:tcPr>
          <w:p w14:paraId="77F0CDB0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2020,1</w:t>
            </w:r>
          </w:p>
        </w:tc>
        <w:tc>
          <w:tcPr>
            <w:tcW w:w="2535" w:type="dxa"/>
            <w:shd w:val="clear" w:color="auto" w:fill="auto"/>
          </w:tcPr>
          <w:p w14:paraId="6C0FC163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2375</w:t>
            </w:r>
          </w:p>
        </w:tc>
        <w:tc>
          <w:tcPr>
            <w:tcW w:w="2535" w:type="dxa"/>
            <w:shd w:val="clear" w:color="auto" w:fill="auto"/>
          </w:tcPr>
          <w:p w14:paraId="337AD4E6" w14:textId="77777777" w:rsidR="00581F33" w:rsidRPr="007B5DFD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2821,6</w:t>
            </w:r>
          </w:p>
        </w:tc>
      </w:tr>
      <w:tr w:rsidR="00581F33" w:rsidRPr="007B5DFD" w14:paraId="3D65BBF3" w14:textId="77777777" w:rsidTr="000B4FAC">
        <w:tc>
          <w:tcPr>
            <w:tcW w:w="2584" w:type="dxa"/>
            <w:shd w:val="clear" w:color="auto" w:fill="auto"/>
          </w:tcPr>
          <w:p w14:paraId="43DCFCAE" w14:textId="77777777" w:rsidR="00581F33" w:rsidRPr="008B676F" w:rsidRDefault="00581F33" w:rsidP="000B4FAC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76F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Инвестированный капитал</w:t>
            </w:r>
          </w:p>
        </w:tc>
        <w:tc>
          <w:tcPr>
            <w:tcW w:w="2534" w:type="dxa"/>
            <w:shd w:val="clear" w:color="auto" w:fill="auto"/>
          </w:tcPr>
          <w:p w14:paraId="0FD66B6B" w14:textId="77777777" w:rsidR="00581F33" w:rsidRPr="008B676F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76F">
              <w:rPr>
                <w:rFonts w:ascii="Times New Roman" w:hAnsi="Times New Roman" w:cs="Times New Roman"/>
                <w:i/>
                <w:sz w:val="28"/>
                <w:szCs w:val="28"/>
              </w:rPr>
              <w:t>12057,34</w:t>
            </w:r>
          </w:p>
        </w:tc>
        <w:tc>
          <w:tcPr>
            <w:tcW w:w="2535" w:type="dxa"/>
            <w:shd w:val="clear" w:color="auto" w:fill="auto"/>
          </w:tcPr>
          <w:p w14:paraId="2FE390EF" w14:textId="77777777" w:rsidR="00581F33" w:rsidRPr="008B676F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76F">
              <w:rPr>
                <w:rFonts w:ascii="Times New Roman" w:hAnsi="Times New Roman" w:cs="Times New Roman"/>
                <w:i/>
                <w:sz w:val="28"/>
                <w:szCs w:val="28"/>
              </w:rPr>
              <w:t>12982,87</w:t>
            </w:r>
          </w:p>
        </w:tc>
        <w:tc>
          <w:tcPr>
            <w:tcW w:w="2535" w:type="dxa"/>
            <w:shd w:val="clear" w:color="auto" w:fill="auto"/>
          </w:tcPr>
          <w:p w14:paraId="483BE8FB" w14:textId="77777777" w:rsidR="00581F33" w:rsidRPr="008B676F" w:rsidRDefault="00581F33" w:rsidP="000B4FAC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76F">
              <w:rPr>
                <w:rFonts w:ascii="Times New Roman" w:hAnsi="Times New Roman" w:cs="Times New Roman"/>
                <w:i/>
                <w:sz w:val="28"/>
                <w:szCs w:val="28"/>
              </w:rPr>
              <w:t>14455,8</w:t>
            </w:r>
          </w:p>
        </w:tc>
      </w:tr>
    </w:tbl>
    <w:p w14:paraId="02E84028" w14:textId="41AB0ACB" w:rsidR="00581F33" w:rsidRPr="0049076E" w:rsidRDefault="00581F33" w:rsidP="00AB19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76E">
        <w:rPr>
          <w:rFonts w:ascii="Times New Roman" w:hAnsi="Times New Roman" w:cs="Times New Roman"/>
          <w:i/>
          <w:sz w:val="28"/>
          <w:szCs w:val="28"/>
        </w:rPr>
        <w:t xml:space="preserve">Рассчитано по: </w:t>
      </w:r>
      <w:r w:rsidR="00AF6546" w:rsidRPr="00AF6546">
        <w:rPr>
          <w:rFonts w:ascii="Times New Roman" w:hAnsi="Times New Roman" w:cs="Times New Roman"/>
          <w:i/>
          <w:sz w:val="28"/>
          <w:szCs w:val="28"/>
        </w:rPr>
        <w:t>Финансовая отчетность по МСФО // Sberbank URL: http://www.sberbank.com/ru/investor-relations/reports-and-publications/ifrs (дата обращения: 19.03.2017).</w:t>
      </w:r>
    </w:p>
    <w:p w14:paraId="22F20112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Рост чистого рабочего капитала по итогам 2016 года свидетельствует об упрочении финансового положения компании, эффективной финансовой политике. </w:t>
      </w:r>
    </w:p>
    <w:p w14:paraId="143E4579" w14:textId="4EB14A97" w:rsidR="00581F33" w:rsidRPr="007B5DFD" w:rsidRDefault="00581F33" w:rsidP="00103F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Доля учитываемых в балансе нематериальных активов сократилась с 0,40% в 2014 году до 0,37% в 2016 году.</w:t>
      </w:r>
      <w:r w:rsidR="00103F89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Собс</w:t>
      </w:r>
      <w:r w:rsidR="00B35FA9">
        <w:rPr>
          <w:rFonts w:ascii="Times New Roman" w:hAnsi="Times New Roman" w:cs="Times New Roman"/>
          <w:sz w:val="28"/>
          <w:szCs w:val="28"/>
        </w:rPr>
        <w:t>твенный капитал составляет 19,52</w:t>
      </w:r>
      <w:r w:rsidRPr="007B5DFD">
        <w:rPr>
          <w:rFonts w:ascii="Times New Roman" w:hAnsi="Times New Roman" w:cs="Times New Roman"/>
          <w:sz w:val="28"/>
          <w:szCs w:val="28"/>
        </w:rPr>
        <w:t xml:space="preserve">% инвестированного. Высокий уровень финансового рычага, значительная доля заемного капитала в ресурсах организации – характерная особенность банковских учреждений. Сбербанк не исключение. </w:t>
      </w:r>
    </w:p>
    <w:p w14:paraId="33FBF6B1" w14:textId="77777777" w:rsidR="00581F33" w:rsidRPr="008F17AC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7AC">
        <w:rPr>
          <w:rFonts w:ascii="Times New Roman" w:hAnsi="Times New Roman" w:cs="Times New Roman"/>
          <w:i/>
          <w:sz w:val="28"/>
          <w:szCs w:val="28"/>
        </w:rPr>
        <w:t>2. Выбор оптимальной ставки роялти</w:t>
      </w:r>
    </w:p>
    <w:p w14:paraId="6433C5EE" w14:textId="10D74072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Анализ лицензионных соглашений и баз ставок роялти по аналогичным активам, как правило, обеспечивают наилучшую основу для определения соответствующей ставки роялти. Экспертный анализ группы MARKABLES (ведущий источник оценки товарных знаков)</w:t>
      </w:r>
      <w:r>
        <w:rPr>
          <w:rFonts w:ascii="Times New Roman" w:hAnsi="Times New Roman" w:cs="Times New Roman"/>
          <w:sz w:val="28"/>
          <w:szCs w:val="28"/>
        </w:rPr>
        <w:t>, приведенный в Таблице 9,</w:t>
      </w:r>
      <w:r w:rsidRPr="007B5DFD">
        <w:rPr>
          <w:rFonts w:ascii="Times New Roman" w:hAnsi="Times New Roman" w:cs="Times New Roman"/>
          <w:sz w:val="28"/>
          <w:szCs w:val="28"/>
        </w:rPr>
        <w:t xml:space="preserve"> охватывает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34 бренда коммерческих банков с универсальным спектром услуг из 18 стран за период 2005 – 2013 гг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2"/>
      </w:r>
      <w:r w:rsidRPr="007B5DFD">
        <w:rPr>
          <w:rFonts w:ascii="Times New Roman" w:hAnsi="Times New Roman" w:cs="Times New Roman"/>
          <w:sz w:val="28"/>
          <w:szCs w:val="28"/>
        </w:rPr>
        <w:t>. Результаты анализа, проведенного в июне 2015 г., показывают, что медианная ставка роялти для банковских брендов составляет 1,0% от выручки, среднее арифметическое – 1,3%</w:t>
      </w:r>
      <w:r w:rsidR="00D5787C">
        <w:rPr>
          <w:rFonts w:ascii="Times New Roman" w:hAnsi="Times New Roman" w:cs="Times New Roman"/>
          <w:sz w:val="28"/>
          <w:szCs w:val="28"/>
        </w:rPr>
        <w:t xml:space="preserve">. База роялти определяется как </w:t>
      </w:r>
      <w:r w:rsidRPr="007B5DFD">
        <w:rPr>
          <w:rFonts w:ascii="Times New Roman" w:hAnsi="Times New Roman" w:cs="Times New Roman"/>
          <w:sz w:val="28"/>
          <w:szCs w:val="28"/>
        </w:rPr>
        <w:t>чистый процентны</w:t>
      </w:r>
      <w:r w:rsidR="00D5787C">
        <w:rPr>
          <w:rFonts w:ascii="Times New Roman" w:hAnsi="Times New Roman" w:cs="Times New Roman"/>
          <w:sz w:val="28"/>
          <w:szCs w:val="28"/>
        </w:rPr>
        <w:t>й доход плюс непроцентный доход</w:t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313D2F4D" w14:textId="77777777" w:rsidR="00581F33" w:rsidRPr="007B5DFD" w:rsidRDefault="00581F33" w:rsidP="00B21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Таблица 9 Экспертный анализ лицензионных соглашений MARKABLES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5"/>
        <w:gridCol w:w="2300"/>
        <w:gridCol w:w="3697"/>
      </w:tblGrid>
      <w:tr w:rsidR="0046296B" w:rsidRPr="007B5DFD" w14:paraId="4C808C67" w14:textId="77777777" w:rsidTr="0046296B">
        <w:tc>
          <w:tcPr>
            <w:tcW w:w="3965" w:type="dxa"/>
          </w:tcPr>
          <w:p w14:paraId="27EA8477" w14:textId="37F6EEE3" w:rsidR="00581F33" w:rsidRPr="007B5DFD" w:rsidRDefault="00581F33" w:rsidP="004629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Число наблюдений: 34</w:t>
            </w:r>
            <w:r w:rsidR="00462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Период: 2005-2013 гг.</w:t>
            </w:r>
            <w:r w:rsidR="0046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18 стран</w:t>
            </w:r>
          </w:p>
        </w:tc>
        <w:tc>
          <w:tcPr>
            <w:tcW w:w="2300" w:type="dxa"/>
          </w:tcPr>
          <w:p w14:paraId="6AE89AAD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Ставка роялти, %</w:t>
            </w:r>
          </w:p>
        </w:tc>
        <w:tc>
          <w:tcPr>
            <w:tcW w:w="3697" w:type="dxa"/>
          </w:tcPr>
          <w:p w14:paraId="7882C9B1" w14:textId="77777777" w:rsidR="00581F33" w:rsidRPr="007B5DFD" w:rsidRDefault="00581F33" w:rsidP="0046296B">
            <w:pPr>
              <w:spacing w:line="36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Мультипликатор Стоимость компании/Выручка </w:t>
            </w:r>
          </w:p>
        </w:tc>
      </w:tr>
      <w:tr w:rsidR="0046296B" w:rsidRPr="007B5DFD" w14:paraId="68E34262" w14:textId="77777777" w:rsidTr="0046296B">
        <w:tc>
          <w:tcPr>
            <w:tcW w:w="3965" w:type="dxa"/>
          </w:tcPr>
          <w:p w14:paraId="7A97240E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I квартиль (25%)</w:t>
            </w:r>
          </w:p>
        </w:tc>
        <w:tc>
          <w:tcPr>
            <w:tcW w:w="2300" w:type="dxa"/>
          </w:tcPr>
          <w:p w14:paraId="134F28B8" w14:textId="77777777" w:rsidR="00581F33" w:rsidRPr="007B5DFD" w:rsidRDefault="00581F33" w:rsidP="004629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  <w:tc>
          <w:tcPr>
            <w:tcW w:w="3697" w:type="dxa"/>
          </w:tcPr>
          <w:p w14:paraId="5ED9E998" w14:textId="77777777" w:rsidR="00581F33" w:rsidRPr="007B5DFD" w:rsidRDefault="00581F33" w:rsidP="004629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46296B" w:rsidRPr="007B5DFD" w14:paraId="1FA750F1" w14:textId="77777777" w:rsidTr="0046296B">
        <w:tc>
          <w:tcPr>
            <w:tcW w:w="3965" w:type="dxa"/>
          </w:tcPr>
          <w:p w14:paraId="7176A575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Медиана</w:t>
            </w:r>
          </w:p>
        </w:tc>
        <w:tc>
          <w:tcPr>
            <w:tcW w:w="2300" w:type="dxa"/>
          </w:tcPr>
          <w:p w14:paraId="6FB65D02" w14:textId="77777777" w:rsidR="00581F33" w:rsidRPr="007B5DFD" w:rsidRDefault="00581F33" w:rsidP="004629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1,0%</w:t>
            </w:r>
          </w:p>
        </w:tc>
        <w:tc>
          <w:tcPr>
            <w:tcW w:w="3697" w:type="dxa"/>
          </w:tcPr>
          <w:p w14:paraId="421AF7F5" w14:textId="77777777" w:rsidR="00581F33" w:rsidRPr="007B5DFD" w:rsidRDefault="00581F33" w:rsidP="004629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46296B" w:rsidRPr="007B5DFD" w14:paraId="31293701" w14:textId="77777777" w:rsidTr="0046296B">
        <w:tc>
          <w:tcPr>
            <w:tcW w:w="3965" w:type="dxa"/>
          </w:tcPr>
          <w:p w14:paraId="70D8E658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III квартиль (75%)</w:t>
            </w:r>
          </w:p>
        </w:tc>
        <w:tc>
          <w:tcPr>
            <w:tcW w:w="2300" w:type="dxa"/>
          </w:tcPr>
          <w:p w14:paraId="4C09B208" w14:textId="77777777" w:rsidR="00581F33" w:rsidRPr="007B5DFD" w:rsidRDefault="00581F33" w:rsidP="004629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1,6%</w:t>
            </w:r>
          </w:p>
        </w:tc>
        <w:tc>
          <w:tcPr>
            <w:tcW w:w="3697" w:type="dxa"/>
          </w:tcPr>
          <w:p w14:paraId="2AFFC4AF" w14:textId="77777777" w:rsidR="00581F33" w:rsidRPr="007B5DFD" w:rsidRDefault="00581F33" w:rsidP="004629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</w:tbl>
    <w:p w14:paraId="152FFB81" w14:textId="1186336F" w:rsidR="00581F33" w:rsidRPr="00B21032" w:rsidRDefault="00581F33" w:rsidP="00B2103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F17AC">
        <w:rPr>
          <w:rFonts w:ascii="Times New Roman" w:hAnsi="Times New Roman" w:cs="Times New Roman"/>
          <w:i/>
          <w:sz w:val="28"/>
          <w:szCs w:val="28"/>
        </w:rPr>
        <w:t>Источник</w:t>
      </w:r>
      <w:r w:rsidRPr="00B21032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B21032" w:rsidRPr="00B21032">
        <w:rPr>
          <w:rFonts w:ascii="Times New Roman" w:hAnsi="Times New Roman" w:cs="Times New Roman"/>
          <w:i/>
          <w:sz w:val="28"/>
          <w:szCs w:val="28"/>
          <w:lang w:val="en-US"/>
        </w:rPr>
        <w:t>Trademark valuation of global banking brands // BVR URL: https://www.bvresources.com/blogs/intellectual-property-news/2015/07/01/trademark-valuation-of-global-banking-brands (</w:t>
      </w:r>
      <w:r w:rsidR="00B21032" w:rsidRPr="00B21032">
        <w:rPr>
          <w:rFonts w:ascii="Times New Roman" w:hAnsi="Times New Roman" w:cs="Times New Roman"/>
          <w:i/>
          <w:sz w:val="28"/>
          <w:szCs w:val="28"/>
        </w:rPr>
        <w:t>дата</w:t>
      </w:r>
      <w:r w:rsidR="00B21032" w:rsidRPr="00B2103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21032" w:rsidRPr="00B21032">
        <w:rPr>
          <w:rFonts w:ascii="Times New Roman" w:hAnsi="Times New Roman" w:cs="Times New Roman"/>
          <w:i/>
          <w:sz w:val="28"/>
          <w:szCs w:val="28"/>
        </w:rPr>
        <w:t>обращения</w:t>
      </w:r>
      <w:r w:rsidR="00B21032" w:rsidRPr="00B21032">
        <w:rPr>
          <w:rFonts w:ascii="Times New Roman" w:hAnsi="Times New Roman" w:cs="Times New Roman"/>
          <w:i/>
          <w:sz w:val="28"/>
          <w:szCs w:val="28"/>
          <w:lang w:val="en-US"/>
        </w:rPr>
        <w:t>: 19.03.2017).</w:t>
      </w:r>
    </w:p>
    <w:p w14:paraId="6CD04B0B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Согласно данным группы MARKABLES ставка роялти для коммерческих банков варьируется от 0,6% до 1,6%. Как видно из таблицы, ставка роялти коррелирует с мультипликатором Стоимость компании/Выручка (Enterprise Value/Revenue).</w:t>
      </w:r>
    </w:p>
    <w:p w14:paraId="0DDBD445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Стоимость бизнеса (EV или Enterprise Value) – это финансовая метрика, отражающая стоимость компании. В отличие от рыночной капитализации, EV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учитывает долг компании, поэтому считается, что она более полно отражает стоимость компании. Показатель рассчитывается как:</w:t>
      </w:r>
    </w:p>
    <w:p w14:paraId="456B0480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Стоимость компании = Рыночная капитализация + Чистый долг + Доля меньшинства.</w:t>
      </w:r>
    </w:p>
    <w:p w14:paraId="35988D80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Капитализация Сбербанка на 31.12.2016 составляет 3869,7 млрд </w:t>
      </w:r>
      <w:r w:rsidRPr="007B5DFD">
        <w:rPr>
          <w:rFonts w:ascii="Calibri" w:eastAsia="Calibri" w:hAnsi="Calibri" w:cs="Calibri"/>
          <w:sz w:val="28"/>
          <w:szCs w:val="28"/>
        </w:rPr>
        <w:t>₽</w:t>
      </w:r>
      <w:r w:rsidRPr="007B5D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7929AA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Чистый долг по итогам 2016 года –  19986,1 млрд </w:t>
      </w:r>
      <w:r w:rsidRPr="007B5DFD">
        <w:rPr>
          <w:rFonts w:ascii="Calibri" w:eastAsia="Calibri" w:hAnsi="Calibri" w:cs="Calibri"/>
          <w:sz w:val="28"/>
          <w:szCs w:val="28"/>
        </w:rPr>
        <w:t>₽</w:t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1B402126" w14:textId="40BA3A8D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Годовая выручка на 31.12.2016 – </w:t>
      </w:r>
      <w:r w:rsidR="00410726">
        <w:rPr>
          <w:rFonts w:ascii="Times New Roman" w:hAnsi="Times New Roman" w:cs="Times New Roman"/>
          <w:sz w:val="28"/>
          <w:szCs w:val="28"/>
        </w:rPr>
        <w:t>5483,1</w:t>
      </w:r>
      <w:r w:rsidRPr="007B5DFD">
        <w:rPr>
          <w:rFonts w:ascii="Times New Roman" w:hAnsi="Times New Roman" w:cs="Times New Roman"/>
          <w:sz w:val="28"/>
          <w:szCs w:val="28"/>
        </w:rPr>
        <w:t xml:space="preserve"> млрд </w:t>
      </w:r>
      <w:r w:rsidRPr="007B5DFD">
        <w:rPr>
          <w:rFonts w:ascii="Calibri" w:eastAsia="Calibri" w:hAnsi="Calibri" w:cs="Calibri"/>
          <w:sz w:val="28"/>
          <w:szCs w:val="28"/>
        </w:rPr>
        <w:t>₽</w:t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06445FBD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Показатель EV/Revenue равен:</w:t>
      </w:r>
    </w:p>
    <w:p w14:paraId="08197A3B" w14:textId="4675B7A4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EV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Revenue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3869,7+19986,1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5483,1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=4,35</m:t>
          </m:r>
        </m:oMath>
      </m:oMathPara>
    </w:p>
    <w:p w14:paraId="5472CF1F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Согласно аналитическим исследованиям отраслевых групп, проведенным группой MARKABLES, наблюдается прямая корреляционная связь между ставкой роялти и мультипликатором Стоимость компании/Выручка (EV/Revenue). Действительно, наличие сильного бренда ведет к резкому разрыву между стоимостью компании, оцениваемой рынком, и финансовыми показателями, такими, как выручка. Следовательно, и доля, изымаемая лицензиаром в рамках лицензионного соглашения из выручки, должна быть больше (выше ставка роялти), как плата за пользование конкурентным преимуществом – сильным брендом. </w:t>
      </w:r>
    </w:p>
    <w:p w14:paraId="4FF86011" w14:textId="77777777" w:rsidR="008B676F" w:rsidRDefault="00581F33" w:rsidP="008B67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Таким обр</w:t>
      </w:r>
      <w:r w:rsidR="0067645D">
        <w:rPr>
          <w:rFonts w:ascii="Times New Roman" w:hAnsi="Times New Roman" w:cs="Times New Roman"/>
          <w:sz w:val="28"/>
          <w:szCs w:val="28"/>
        </w:rPr>
        <w:t>азом, используя данные Таблицы 9</w:t>
      </w:r>
      <w:r w:rsidRPr="007B5DFD">
        <w:rPr>
          <w:rFonts w:ascii="Times New Roman" w:hAnsi="Times New Roman" w:cs="Times New Roman"/>
          <w:sz w:val="28"/>
          <w:szCs w:val="28"/>
        </w:rPr>
        <w:t xml:space="preserve"> по действующим ставкам роялти для банковской отрасли, примем в качестве ставки роялти для 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5DFD">
        <w:rPr>
          <w:rFonts w:ascii="Times New Roman" w:hAnsi="Times New Roman" w:cs="Times New Roman"/>
          <w:sz w:val="28"/>
          <w:szCs w:val="28"/>
        </w:rPr>
        <w:t>Сбербанк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5DFD">
        <w:rPr>
          <w:rFonts w:ascii="Times New Roman" w:hAnsi="Times New Roman" w:cs="Times New Roman"/>
          <w:sz w:val="28"/>
          <w:szCs w:val="28"/>
        </w:rPr>
        <w:t xml:space="preserve"> 1,6%, что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>ствует группе компаний из квартиля с наиболее высоким показателем EV/Revenue.</w:t>
      </w:r>
    </w:p>
    <w:p w14:paraId="0D56E8F0" w14:textId="068A3F20" w:rsidR="00581F33" w:rsidRPr="008B676F" w:rsidRDefault="00581F33" w:rsidP="008B67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4E">
        <w:rPr>
          <w:rFonts w:ascii="Times New Roman" w:hAnsi="Times New Roman" w:cs="Times New Roman"/>
          <w:i/>
          <w:sz w:val="28"/>
          <w:szCs w:val="28"/>
        </w:rPr>
        <w:t>3. Расчет оптимальной ставки дисконтирования</w:t>
      </w:r>
    </w:p>
    <w:p w14:paraId="6F019C06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Для расчета ставки дисконтирования будущих потоков платежей роялти воспользуемся соотношением WACC=WARA. Данный метод широко применяется на практике и считается наиболее надежным для финансовой оценки бренда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3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2BCB7DEE" w14:textId="77777777" w:rsidR="00581F33" w:rsidRPr="00DF16B4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6B4">
        <w:rPr>
          <w:rFonts w:ascii="Times New Roman" w:hAnsi="Times New Roman" w:cs="Times New Roman"/>
          <w:i/>
          <w:sz w:val="28"/>
          <w:szCs w:val="28"/>
        </w:rPr>
        <w:t>Расчет средневзвешенной стоимости инвестированного капитала (WACC)</w:t>
      </w:r>
    </w:p>
    <w:p w14:paraId="38AACEBB" w14:textId="2F1FE802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Безрисковая ставка (R) = 8,45%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4"/>
      </w:r>
      <w:r w:rsidRPr="007B5DFD">
        <w:rPr>
          <w:rFonts w:ascii="Times New Roman" w:hAnsi="Times New Roman" w:cs="Times New Roman"/>
          <w:sz w:val="28"/>
          <w:szCs w:val="28"/>
        </w:rPr>
        <w:t xml:space="preserve">. В качестве безрисковой ставки выбрана доходность государственных облигаций со сроком до погашения 10 лет </w:t>
      </w:r>
      <w:r w:rsidR="00323A47">
        <w:rPr>
          <w:rFonts w:ascii="Times New Roman" w:hAnsi="Times New Roman" w:cs="Times New Roman"/>
          <w:sz w:val="28"/>
          <w:szCs w:val="28"/>
        </w:rPr>
        <w:t>(действительна</w:t>
      </w:r>
      <w:r w:rsidR="00C35A18"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на 31.12.2016</w:t>
      </w:r>
      <w:r w:rsidR="00323A47">
        <w:rPr>
          <w:rFonts w:ascii="Times New Roman" w:hAnsi="Times New Roman" w:cs="Times New Roman"/>
          <w:sz w:val="28"/>
          <w:szCs w:val="28"/>
        </w:rPr>
        <w:t>)</w:t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0BC9A96A" w14:textId="7299C21B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Бета (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7B5DFD">
        <w:rPr>
          <w:rFonts w:ascii="Times New Roman" w:hAnsi="Times New Roman" w:cs="Times New Roman"/>
          <w:sz w:val="28"/>
          <w:szCs w:val="28"/>
        </w:rPr>
        <w:t xml:space="preserve">) </w:t>
      </w:r>
      <w:r w:rsidR="00703E37">
        <w:rPr>
          <w:rFonts w:ascii="Times New Roman" w:hAnsi="Times New Roman" w:cs="Times New Roman"/>
          <w:sz w:val="28"/>
          <w:szCs w:val="28"/>
        </w:rPr>
        <w:t xml:space="preserve">Сбербанка </w:t>
      </w:r>
      <w:r w:rsidRPr="007B5DFD">
        <w:rPr>
          <w:rFonts w:ascii="Times New Roman" w:hAnsi="Times New Roman" w:cs="Times New Roman"/>
          <w:sz w:val="28"/>
          <w:szCs w:val="28"/>
        </w:rPr>
        <w:t>= 1,24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5"/>
      </w:r>
      <w:r w:rsidRPr="007B5D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74F3F1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Премия за риск (ERP) = 8,25%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6"/>
      </w:r>
      <w:r w:rsidRPr="007B5DFD">
        <w:rPr>
          <w:rFonts w:ascii="Times New Roman" w:hAnsi="Times New Roman" w:cs="Times New Roman"/>
          <w:sz w:val="28"/>
          <w:szCs w:val="28"/>
        </w:rPr>
        <w:t>. Основная деятельность Сбербанка на 86% сосредоточена в России, поэтому в расчетах использован показатель премии за риск инвестирования в акции российских компаний.</w:t>
      </w:r>
    </w:p>
    <w:p w14:paraId="6BBF335F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Стоимость заемного капитала = 10%, что соответствует ставке рефинансирования Центрального Банка РФ на 31.12.2016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7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2122C70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Ставка налога на прибыль (h) = 20%. Согласно годовому отчету Сбербанка, ставка налога на прибыль, применяе</w:t>
      </w:r>
      <w:r>
        <w:rPr>
          <w:rFonts w:ascii="Times New Roman" w:hAnsi="Times New Roman" w:cs="Times New Roman"/>
          <w:sz w:val="28"/>
          <w:szCs w:val="28"/>
        </w:rPr>
        <w:t>мая к большей</w:t>
      </w:r>
      <w:r w:rsidRPr="007B5DFD">
        <w:rPr>
          <w:rFonts w:ascii="Times New Roman" w:hAnsi="Times New Roman" w:cs="Times New Roman"/>
          <w:sz w:val="28"/>
          <w:szCs w:val="28"/>
        </w:rPr>
        <w:t xml:space="preserve"> части доходов группы, составляет 20%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8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4E398F89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Доля собственного капитала в инвестированном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7B5DFD">
        <w:rPr>
          <w:rFonts w:ascii="Times New Roman" w:hAnsi="Times New Roman" w:cs="Times New Roman"/>
          <w:sz w:val="28"/>
          <w:szCs w:val="28"/>
        </w:rPr>
        <w:t xml:space="preserve"> = 19,52%, согласно бухгалтерскому балансу.</w:t>
      </w:r>
    </w:p>
    <w:p w14:paraId="1144659F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Стоимость собственного капитала, рассчитанная на основе модели оценки капитальных активов (CAPM):</w:t>
      </w:r>
    </w:p>
    <w:p w14:paraId="07FB38FE" w14:textId="61A7A1A7" w:rsidR="00581F33" w:rsidRPr="007B5DFD" w:rsidRDefault="007E0728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× </m:t>
        </m:r>
        <m:r>
          <w:rPr>
            <w:rFonts w:ascii="Cambria Math" w:hAnsi="Cambria Math" w:cs="Times New Roman"/>
            <w:sz w:val="28"/>
            <w:szCs w:val="28"/>
          </w:rPr>
          <m:t>ERP</m:t>
        </m:r>
      </m:oMath>
      <w:r w:rsidR="00232AAE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(19)</w:t>
      </w:r>
    </w:p>
    <w:p w14:paraId="4BC60C8A" w14:textId="77777777" w:rsidR="00581F33" w:rsidRPr="00232AAE" w:rsidRDefault="007E0728" w:rsidP="00232AAE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=0,0845+1,24*0,0825=0,1868 или 18,68%</m:t>
          </m:r>
        </m:oMath>
      </m:oMathPara>
    </w:p>
    <w:p w14:paraId="07DBE0AE" w14:textId="31F0BBF6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По формуле</w:t>
      </w:r>
      <w:r w:rsidR="00232AAE">
        <w:rPr>
          <w:rFonts w:ascii="Times New Roman" w:hAnsi="Times New Roman" w:cs="Times New Roman"/>
          <w:sz w:val="28"/>
          <w:szCs w:val="28"/>
        </w:rPr>
        <w:t xml:space="preserve"> (1)</w:t>
      </w:r>
      <w:r w:rsidRPr="007B5DFD">
        <w:rPr>
          <w:rFonts w:ascii="Times New Roman" w:hAnsi="Times New Roman" w:cs="Times New Roman"/>
          <w:sz w:val="28"/>
          <w:szCs w:val="28"/>
        </w:rPr>
        <w:t xml:space="preserve"> найдем средневзвешенную стоимость инвестированного капитала:</w:t>
      </w:r>
    </w:p>
    <w:p w14:paraId="19471ED2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WACC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=0,1868*0,1952+0,1000*0,8048*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1-0,2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=0,1008</m:t>
        </m:r>
      </m:oMath>
      <w:r w:rsidRPr="007B5DFD">
        <w:rPr>
          <w:rFonts w:ascii="Times New Roman" w:hAnsi="Times New Roman" w:cs="Times New Roman"/>
          <w:sz w:val="28"/>
          <w:szCs w:val="28"/>
        </w:rPr>
        <w:t xml:space="preserve"> или 10,08%.</w:t>
      </w:r>
    </w:p>
    <w:p w14:paraId="58762D30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5CA">
        <w:rPr>
          <w:rFonts w:ascii="Times New Roman" w:hAnsi="Times New Roman" w:cs="Times New Roman"/>
          <w:i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i/>
          <w:sz w:val="28"/>
          <w:szCs w:val="28"/>
        </w:rPr>
        <w:t xml:space="preserve">нормы дохода на нематериальные активы </w:t>
      </w:r>
      <w:r w:rsidRPr="00DF16B4">
        <w:rPr>
          <w:rFonts w:ascii="Times New Roman" w:hAnsi="Times New Roman" w:cs="Times New Roman"/>
          <w:i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IA</m:t>
            </m:r>
          </m:sub>
        </m:sSub>
      </m:oMath>
      <w:r w:rsidRPr="00DF16B4">
        <w:rPr>
          <w:rFonts w:ascii="Times New Roman" w:hAnsi="Times New Roman" w:cs="Times New Roman"/>
          <w:i/>
          <w:sz w:val="28"/>
          <w:szCs w:val="28"/>
        </w:rPr>
        <w:t>)</w:t>
      </w:r>
    </w:p>
    <w:p w14:paraId="48B06E8B" w14:textId="7F26DA4C" w:rsidR="00581F33" w:rsidRPr="00CE4AE0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10 представлены необходимы</w:t>
      </w:r>
      <w:r w:rsidR="002E51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данные для расчета нормы дохода на нематериальные активы: балансовая стоимость класса активов и соответствующая ему норма дохода.</w:t>
      </w:r>
    </w:p>
    <w:p w14:paraId="1091833C" w14:textId="77777777" w:rsidR="002E5137" w:rsidRDefault="002E5137" w:rsidP="00B21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43E62" w14:textId="77777777" w:rsidR="002E5137" w:rsidRDefault="002E5137" w:rsidP="00B21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A082C" w14:textId="77777777" w:rsidR="002E5137" w:rsidRDefault="002E5137" w:rsidP="00B21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86044" w14:textId="77777777" w:rsidR="002E5137" w:rsidRDefault="002E5137" w:rsidP="00B21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D97C0" w14:textId="77777777" w:rsidR="00581F33" w:rsidRPr="007B5DFD" w:rsidRDefault="00581F33" w:rsidP="00B21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Таблица 10 Балансовая стоимость и доходность по группам активов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565"/>
        <w:gridCol w:w="1673"/>
        <w:gridCol w:w="4489"/>
      </w:tblGrid>
      <w:tr w:rsidR="00581F33" w:rsidRPr="007B5DFD" w14:paraId="21845858" w14:textId="77777777" w:rsidTr="000B4FAC">
        <w:trPr>
          <w:tblHeader/>
        </w:trPr>
        <w:tc>
          <w:tcPr>
            <w:tcW w:w="2235" w:type="dxa"/>
          </w:tcPr>
          <w:p w14:paraId="5A035EA4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Группа активов</w:t>
            </w:r>
          </w:p>
        </w:tc>
        <w:tc>
          <w:tcPr>
            <w:tcW w:w="1565" w:type="dxa"/>
          </w:tcPr>
          <w:p w14:paraId="4E5294C4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стоимость, млрд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₽</m:t>
              </m:r>
            </m:oMath>
          </w:p>
        </w:tc>
        <w:tc>
          <w:tcPr>
            <w:tcW w:w="1673" w:type="dxa"/>
          </w:tcPr>
          <w:p w14:paraId="5121FF37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Доходность</w:t>
            </w:r>
          </w:p>
        </w:tc>
        <w:tc>
          <w:tcPr>
            <w:tcW w:w="4489" w:type="dxa"/>
          </w:tcPr>
          <w:p w14:paraId="2048BCEB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581F33" w:rsidRPr="007B5DFD" w14:paraId="4819CB06" w14:textId="77777777" w:rsidTr="000B4FAC">
        <w:tc>
          <w:tcPr>
            <w:tcW w:w="2235" w:type="dxa"/>
          </w:tcPr>
          <w:p w14:paraId="6D3DDAB1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Чистый рабочий капитал</w:t>
            </w:r>
          </w:p>
        </w:tc>
        <w:tc>
          <w:tcPr>
            <w:tcW w:w="1565" w:type="dxa"/>
          </w:tcPr>
          <w:p w14:paraId="78FBB760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9009,4</w:t>
            </w:r>
          </w:p>
        </w:tc>
        <w:tc>
          <w:tcPr>
            <w:tcW w:w="1673" w:type="dxa"/>
          </w:tcPr>
          <w:p w14:paraId="6BB6E079" w14:textId="567B986E" w:rsidR="00581F33" w:rsidRPr="007B5DFD" w:rsidRDefault="00581F33" w:rsidP="004107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11,98%</w:t>
            </w:r>
            <w:r w:rsidR="0041072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49"/>
            </w:r>
          </w:p>
        </w:tc>
        <w:tc>
          <w:tcPr>
            <w:tcW w:w="4489" w:type="dxa"/>
          </w:tcPr>
          <w:p w14:paraId="61CE72DF" w14:textId="57E5E8A6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Кредитная деятельность – основная деятельность коммерческих банков. Чистый рабочий капитал, обеспечивающий текущую деятельность компании,</w:t>
            </w:r>
            <w:r w:rsidR="009402E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 за счет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кредитов. Поэтому за доходность ЧРК была взята средняя за 2016 г. доходность кредитов.</w:t>
            </w:r>
          </w:p>
        </w:tc>
      </w:tr>
      <w:tr w:rsidR="00581F33" w:rsidRPr="007B5DFD" w14:paraId="01E931BA" w14:textId="77777777" w:rsidTr="000B4FAC">
        <w:tc>
          <w:tcPr>
            <w:tcW w:w="2235" w:type="dxa"/>
          </w:tcPr>
          <w:p w14:paraId="208E823E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Ценные бумаги</w:t>
            </w:r>
          </w:p>
        </w:tc>
        <w:tc>
          <w:tcPr>
            <w:tcW w:w="1565" w:type="dxa"/>
          </w:tcPr>
          <w:p w14:paraId="16274EEE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2717,5</w:t>
            </w:r>
          </w:p>
        </w:tc>
        <w:tc>
          <w:tcPr>
            <w:tcW w:w="1673" w:type="dxa"/>
          </w:tcPr>
          <w:p w14:paraId="7D0BC218" w14:textId="36F61CF7" w:rsidR="00581F33" w:rsidRPr="007B5DFD" w:rsidRDefault="00581F33" w:rsidP="004107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8,45%</w:t>
            </w:r>
            <w:r w:rsidR="0041072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0"/>
            </w:r>
          </w:p>
        </w:tc>
        <w:tc>
          <w:tcPr>
            <w:tcW w:w="4489" w:type="dxa"/>
          </w:tcPr>
          <w:p w14:paraId="4722176B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Годовая доходность долгосрочных государственных облигаций.</w:t>
            </w:r>
          </w:p>
        </w:tc>
      </w:tr>
      <w:tr w:rsidR="00581F33" w:rsidRPr="007B5DFD" w14:paraId="11D6EA0E" w14:textId="77777777" w:rsidTr="000B4FAC">
        <w:tc>
          <w:tcPr>
            <w:tcW w:w="2235" w:type="dxa"/>
          </w:tcPr>
          <w:p w14:paraId="6A25557B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565" w:type="dxa"/>
          </w:tcPr>
          <w:p w14:paraId="354D3045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488,7</w:t>
            </w:r>
          </w:p>
        </w:tc>
        <w:tc>
          <w:tcPr>
            <w:tcW w:w="1673" w:type="dxa"/>
          </w:tcPr>
          <w:p w14:paraId="6D4196B6" w14:textId="0BB71739" w:rsidR="00581F33" w:rsidRPr="007B5DFD" w:rsidRDefault="00581F33" w:rsidP="004107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  <w:r w:rsidR="0041072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1"/>
            </w:r>
          </w:p>
        </w:tc>
        <w:tc>
          <w:tcPr>
            <w:tcW w:w="4489" w:type="dxa"/>
          </w:tcPr>
          <w:p w14:paraId="083FC78C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Основные средства Сбербанка – компьютеры и компьютерное оборудование. Арендная плата за 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IT-оборудованием составляет 6 –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8% годовых от стоимости. Поскольку Сбербанк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обладает одной из наиболее развитых и защищенных технологий, доходность основных средств была выставлена выше среднерыночных значений.</w:t>
            </w:r>
          </w:p>
        </w:tc>
      </w:tr>
      <w:tr w:rsidR="00581F33" w:rsidRPr="007B5DFD" w14:paraId="4BB90A99" w14:textId="77777777" w:rsidTr="000B4FAC">
        <w:tc>
          <w:tcPr>
            <w:tcW w:w="2235" w:type="dxa"/>
          </w:tcPr>
          <w:p w14:paraId="7CDDC44B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активы</w:t>
            </w:r>
          </w:p>
        </w:tc>
        <w:tc>
          <w:tcPr>
            <w:tcW w:w="1565" w:type="dxa"/>
          </w:tcPr>
          <w:p w14:paraId="62C06DB3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2146,3</w:t>
            </w:r>
          </w:p>
        </w:tc>
        <w:tc>
          <w:tcPr>
            <w:tcW w:w="1673" w:type="dxa"/>
          </w:tcPr>
          <w:p w14:paraId="0B3D60FE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4489" w:type="dxa"/>
          </w:tcPr>
          <w:p w14:paraId="4CBEB881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В состав прочих активов входят активы, которые однозначно нельзя определить в какую-либо группу. На основе анализа статей прочих активов экспертным путем была выставлена средняя доходность группы.</w:t>
            </w:r>
          </w:p>
        </w:tc>
      </w:tr>
      <w:tr w:rsidR="00581F33" w:rsidRPr="007B5DFD" w14:paraId="4FB0F0DB" w14:textId="77777777" w:rsidTr="000B4FAC">
        <w:tc>
          <w:tcPr>
            <w:tcW w:w="2235" w:type="dxa"/>
          </w:tcPr>
          <w:p w14:paraId="14D87257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1565" w:type="dxa"/>
          </w:tcPr>
          <w:p w14:paraId="4EA73684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1673" w:type="dxa"/>
          </w:tcPr>
          <w:p w14:paraId="7FE347A8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19,55%</w:t>
            </w:r>
          </w:p>
        </w:tc>
        <w:tc>
          <w:tcPr>
            <w:tcW w:w="4489" w:type="dxa"/>
          </w:tcPr>
          <w:p w14:paraId="4D40F2D7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Расчетное значение</w:t>
            </w:r>
          </w:p>
        </w:tc>
      </w:tr>
    </w:tbl>
    <w:p w14:paraId="5214D7BA" w14:textId="0E183599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Исходя из теоретического равенства WACC и WARA</w:t>
      </w:r>
      <w:r w:rsidR="00232AAE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Pr="007B5DFD">
        <w:rPr>
          <w:rFonts w:ascii="Times New Roman" w:hAnsi="Times New Roman" w:cs="Times New Roman"/>
          <w:sz w:val="28"/>
          <w:szCs w:val="28"/>
        </w:rPr>
        <w:t xml:space="preserve"> </w:t>
      </w:r>
      <w:r w:rsidR="00232AAE">
        <w:rPr>
          <w:rFonts w:ascii="Times New Roman" w:hAnsi="Times New Roman" w:cs="Times New Roman"/>
          <w:sz w:val="28"/>
          <w:szCs w:val="28"/>
        </w:rPr>
        <w:t xml:space="preserve">(3) </w:t>
      </w:r>
      <w:r w:rsidRPr="007B5DFD">
        <w:rPr>
          <w:rFonts w:ascii="Times New Roman" w:hAnsi="Times New Roman" w:cs="Times New Roman"/>
          <w:sz w:val="28"/>
          <w:szCs w:val="28"/>
        </w:rPr>
        <w:t>найдем норму дохода на нематериальные активы:</w:t>
      </w:r>
    </w:p>
    <w:p w14:paraId="04A4D011" w14:textId="51CCDACA" w:rsidR="00581F33" w:rsidRPr="007B5DFD" w:rsidRDefault="007E0728" w:rsidP="00232AAE">
      <w:pPr>
        <w:spacing w:line="360" w:lineRule="auto"/>
        <w:ind w:left="-284" w:right="-93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0,1008×14455,8-0,1198×9009,4-0,0845×2717,5-0,09×488,7-0,04×2146,3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93,9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==0,1955 или 19,55%</m:t>
          </m:r>
        </m:oMath>
      </m:oMathPara>
    </w:p>
    <w:p w14:paraId="41CED951" w14:textId="1D9A2EBC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7B5DFD">
        <w:rPr>
          <w:rFonts w:ascii="Times New Roman" w:hAnsi="Times New Roman" w:cs="Times New Roman"/>
          <w:sz w:val="28"/>
          <w:szCs w:val="28"/>
        </w:rPr>
        <w:t xml:space="preserve">гласно приведенным выше расчетам, доходность нематериальных активов выше WACC (10,08%) и стоимости собственного капитала (18,68%), что согласуется с гипотезой WARA, представленной в пункте 2.1 настоящей работы. </w:t>
      </w:r>
      <w:r w:rsidR="00103F89">
        <w:rPr>
          <w:rFonts w:ascii="Times New Roman" w:hAnsi="Times New Roman" w:cs="Times New Roman"/>
          <w:sz w:val="28"/>
          <w:szCs w:val="28"/>
        </w:rPr>
        <w:lastRenderedPageBreak/>
        <w:t>Выбирая WACC</w:t>
      </w:r>
      <w:r w:rsidRPr="007B5DFD">
        <w:rPr>
          <w:rFonts w:ascii="Times New Roman" w:hAnsi="Times New Roman" w:cs="Times New Roman"/>
          <w:sz w:val="28"/>
          <w:szCs w:val="28"/>
        </w:rPr>
        <w:t xml:space="preserve"> в качестве ставки дисконтирования будущих доходов, оценщик тем самым сильно завышает </w:t>
      </w:r>
      <w:r w:rsidR="0067645D">
        <w:rPr>
          <w:rFonts w:ascii="Times New Roman" w:hAnsi="Times New Roman" w:cs="Times New Roman"/>
          <w:sz w:val="28"/>
          <w:szCs w:val="28"/>
        </w:rPr>
        <w:t>оценку</w:t>
      </w:r>
      <w:r w:rsidRPr="007B5DFD">
        <w:rPr>
          <w:rFonts w:ascii="Times New Roman" w:hAnsi="Times New Roman" w:cs="Times New Roman"/>
          <w:sz w:val="28"/>
          <w:szCs w:val="28"/>
        </w:rPr>
        <w:t xml:space="preserve"> бренда.</w:t>
      </w:r>
    </w:p>
    <w:p w14:paraId="3773DAA8" w14:textId="77777777" w:rsidR="00581F33" w:rsidRPr="007376A4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6A4">
        <w:rPr>
          <w:rFonts w:ascii="Times New Roman" w:hAnsi="Times New Roman" w:cs="Times New Roman"/>
          <w:i/>
          <w:sz w:val="28"/>
          <w:szCs w:val="28"/>
        </w:rPr>
        <w:t>Расчет стоимости бренда методом освобождения от роялти</w:t>
      </w:r>
    </w:p>
    <w:p w14:paraId="72983DE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Если в условиях экономической и политической стабильности оптимальный срок прогнозирования составляет 3 – 5 лет, то в российских реалиях горизонт прогнозирования сокращается до 1 года, после чего точность и достоверность прогноза резко падает.</w:t>
      </w:r>
    </w:p>
    <w:p w14:paraId="558B2C05" w14:textId="028BC3A4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Вторая половина 2016 года</w:t>
      </w:r>
      <w:r w:rsidR="00ED1A31">
        <w:rPr>
          <w:rFonts w:ascii="Times New Roman" w:hAnsi="Times New Roman" w:cs="Times New Roman"/>
          <w:sz w:val="28"/>
          <w:szCs w:val="28"/>
        </w:rPr>
        <w:t>, по мнению большинства аналитиков,</w:t>
      </w:r>
      <w:r w:rsidRPr="007B5DFD">
        <w:rPr>
          <w:rFonts w:ascii="Times New Roman" w:hAnsi="Times New Roman" w:cs="Times New Roman"/>
          <w:sz w:val="28"/>
          <w:szCs w:val="28"/>
        </w:rPr>
        <w:t xml:space="preserve"> ознаменована для России началом выхода из кризиса. По оценкам экспертов Bloomberg и Moody's в 2017 году ожидается экономический подъем, сопровождаемый ростом инвес</w:t>
      </w:r>
      <w:r>
        <w:rPr>
          <w:rFonts w:ascii="Times New Roman" w:hAnsi="Times New Roman" w:cs="Times New Roman"/>
          <w:sz w:val="28"/>
          <w:szCs w:val="28"/>
        </w:rPr>
        <w:t>тиций и потреб</w:t>
      </w:r>
      <w:r w:rsidRPr="007B5DFD">
        <w:rPr>
          <w:rFonts w:ascii="Times New Roman" w:hAnsi="Times New Roman" w:cs="Times New Roman"/>
          <w:sz w:val="28"/>
          <w:szCs w:val="28"/>
        </w:rPr>
        <w:t>ления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2"/>
      </w:r>
      <w:r w:rsidRPr="007B5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Центральный Банк прогнозирует умеренное восстановление банковского сектора на уровне 4 – 7% по итогам 2017 года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3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57248DB6" w14:textId="3B07BAD0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Для оценки возможного уровня доходов Сбербанка и темпов их роста, была проанализирована ретроспектива д</w:t>
      </w:r>
      <w:r w:rsidR="001E43F7">
        <w:rPr>
          <w:rFonts w:ascii="Times New Roman" w:hAnsi="Times New Roman" w:cs="Times New Roman"/>
          <w:sz w:val="28"/>
          <w:szCs w:val="28"/>
        </w:rPr>
        <w:t>анных за 2010 – 2016 гг. Столь</w:t>
      </w:r>
      <w:r w:rsidRPr="007B5DFD">
        <w:rPr>
          <w:rFonts w:ascii="Times New Roman" w:hAnsi="Times New Roman" w:cs="Times New Roman"/>
          <w:sz w:val="28"/>
          <w:szCs w:val="28"/>
        </w:rPr>
        <w:t xml:space="preserve"> широкий диапазон данных был выбран для анализа динамики доходов в период выхода из </w:t>
      </w:r>
      <w:r w:rsidR="00ED1A31">
        <w:rPr>
          <w:rFonts w:ascii="Times New Roman" w:hAnsi="Times New Roman" w:cs="Times New Roman"/>
          <w:sz w:val="28"/>
          <w:szCs w:val="28"/>
        </w:rPr>
        <w:t xml:space="preserve">мирового финансового </w:t>
      </w:r>
      <w:r w:rsidRPr="007B5DFD">
        <w:rPr>
          <w:rFonts w:ascii="Times New Roman" w:hAnsi="Times New Roman" w:cs="Times New Roman"/>
          <w:sz w:val="28"/>
          <w:szCs w:val="28"/>
        </w:rPr>
        <w:t>кризиса 2008 г.</w:t>
      </w:r>
    </w:p>
    <w:p w14:paraId="305D6D6A" w14:textId="69B1A66D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Как видно из Таблицы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7B5DFD">
        <w:rPr>
          <w:rFonts w:ascii="Times New Roman" w:hAnsi="Times New Roman" w:cs="Times New Roman"/>
          <w:sz w:val="28"/>
          <w:szCs w:val="28"/>
        </w:rPr>
        <w:t xml:space="preserve">, динамика доходов Сбербанка имеет нестабильный характер. Темпы роста </w:t>
      </w:r>
      <w:r w:rsidR="00B60A7C">
        <w:rPr>
          <w:rFonts w:ascii="Times New Roman" w:hAnsi="Times New Roman" w:cs="Times New Roman"/>
          <w:sz w:val="28"/>
          <w:szCs w:val="28"/>
        </w:rPr>
        <w:t xml:space="preserve">за последние 7 лет </w:t>
      </w:r>
      <w:r w:rsidRPr="007B5DFD">
        <w:rPr>
          <w:rFonts w:ascii="Times New Roman" w:hAnsi="Times New Roman" w:cs="Times New Roman"/>
          <w:sz w:val="28"/>
          <w:szCs w:val="28"/>
        </w:rPr>
        <w:t xml:space="preserve">колеблются в пределах от -8,55% до +21,25%.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 xml:space="preserve">Возобновление экономического роста после мирового кризиса 2008 – </w:t>
      </w:r>
      <w:r w:rsidRPr="007B5DFD">
        <w:rPr>
          <w:rFonts w:ascii="Times New Roman" w:hAnsi="Times New Roman" w:cs="Times New Roman"/>
          <w:sz w:val="28"/>
          <w:szCs w:val="28"/>
        </w:rPr>
        <w:lastRenderedPageBreak/>
        <w:t>2010 гг. обеспечило рост валовых доходов Сбербанка на 9,84%. За началом валютного кризиса в 2014 г. последовало снижение доходов. Таким образом, можно сделать вывод о том, что фазы колебаний экономики России и уровня доходов Сбербанка совпадают. А значит, если верить оценкам экспертов, по итогам 2017 года ожидается положительный рост доходов Сбербанка как следствие роста потребления.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D">
        <w:rPr>
          <w:rFonts w:ascii="Times New Roman" w:hAnsi="Times New Roman" w:cs="Times New Roman"/>
          <w:sz w:val="28"/>
          <w:szCs w:val="28"/>
        </w:rPr>
        <w:t>Таким образом, прогноз рост</w:t>
      </w:r>
      <w:r w:rsidR="00B60A7C">
        <w:rPr>
          <w:rFonts w:ascii="Times New Roman" w:hAnsi="Times New Roman" w:cs="Times New Roman"/>
          <w:sz w:val="28"/>
          <w:szCs w:val="28"/>
        </w:rPr>
        <w:t>а</w:t>
      </w:r>
      <w:r w:rsidRPr="007B5DFD">
        <w:rPr>
          <w:rFonts w:ascii="Times New Roman" w:hAnsi="Times New Roman" w:cs="Times New Roman"/>
          <w:sz w:val="28"/>
          <w:szCs w:val="28"/>
        </w:rPr>
        <w:t xml:space="preserve"> валового дохода Сбербанка по итогам 2017 года составляет +6% согласно оценкам ЦБ РФ и Сбербанка, дальнейший рост установлен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>ствии с прогнозами уровня инфляции РФ</w:t>
      </w:r>
      <w:r w:rsidRPr="00B60A7C">
        <w:rPr>
          <w:rFonts w:ascii="Times New Roman" w:hAnsi="Times New Roman" w:cs="Times New Roman"/>
          <w:sz w:val="21"/>
          <w:szCs w:val="28"/>
        </w:rPr>
        <w:footnoteReference w:id="54"/>
      </w:r>
      <w:r w:rsidRPr="007B5DFD">
        <w:rPr>
          <w:rFonts w:ascii="Times New Roman" w:hAnsi="Times New Roman" w:cs="Times New Roman"/>
          <w:sz w:val="28"/>
          <w:szCs w:val="28"/>
        </w:rPr>
        <w:t>.</w:t>
      </w:r>
    </w:p>
    <w:p w14:paraId="0B3B3D60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бренда Сбербанка методом освобождения от роялти представлен в Таблице 11. Оценка бренда производилась на дату 31.12.2016.</w:t>
      </w:r>
    </w:p>
    <w:p w14:paraId="7AAE3263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FE7BF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pgSz w:w="12240" w:h="15840"/>
          <w:pgMar w:top="1418" w:right="567" w:bottom="1418" w:left="1701" w:header="709" w:footer="709" w:gutter="0"/>
          <w:cols w:space="720"/>
          <w:docGrid w:type="lines" w:linePitch="360"/>
        </w:sectPr>
      </w:pPr>
    </w:p>
    <w:p w14:paraId="4DFA2D87" w14:textId="77777777" w:rsidR="00581F33" w:rsidRPr="007B5DFD" w:rsidRDefault="00581F33" w:rsidP="00B21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>Таблица 11 Расчет стоимости бренда методом освобождения от роялти</w:t>
      </w:r>
    </w:p>
    <w:tbl>
      <w:tblPr>
        <w:tblStyle w:val="a5"/>
        <w:tblW w:w="13495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134"/>
        <w:gridCol w:w="1134"/>
        <w:gridCol w:w="992"/>
        <w:gridCol w:w="992"/>
        <w:gridCol w:w="992"/>
        <w:gridCol w:w="1055"/>
        <w:gridCol w:w="1072"/>
        <w:gridCol w:w="1054"/>
      </w:tblGrid>
      <w:tr w:rsidR="00581F33" w:rsidRPr="007B5DFD" w14:paraId="35AD54AF" w14:textId="77777777" w:rsidTr="000B4FAC">
        <w:trPr>
          <w:trHeight w:val="455"/>
          <w:tblHeader/>
        </w:trPr>
        <w:tc>
          <w:tcPr>
            <w:tcW w:w="3085" w:type="dxa"/>
            <w:vMerge w:val="restart"/>
          </w:tcPr>
          <w:p w14:paraId="11B17527" w14:textId="77777777" w:rsidR="00581F33" w:rsidRPr="0083610A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 xml:space="preserve">млрд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₽</m:t>
              </m:r>
            </m:oMath>
          </w:p>
        </w:tc>
        <w:tc>
          <w:tcPr>
            <w:tcW w:w="7229" w:type="dxa"/>
            <w:gridSpan w:val="7"/>
          </w:tcPr>
          <w:p w14:paraId="5FE81C3A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181" w:type="dxa"/>
            <w:gridSpan w:val="3"/>
          </w:tcPr>
          <w:p w14:paraId="668FCCB6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Прогноз Сбербанка</w:t>
            </w:r>
          </w:p>
        </w:tc>
      </w:tr>
      <w:tr w:rsidR="00581F33" w:rsidRPr="007B5DFD" w14:paraId="396B0C92" w14:textId="77777777" w:rsidTr="000B4FAC">
        <w:trPr>
          <w:trHeight w:val="491"/>
          <w:tblHeader/>
        </w:trPr>
        <w:tc>
          <w:tcPr>
            <w:tcW w:w="3085" w:type="dxa"/>
            <w:vMerge/>
          </w:tcPr>
          <w:p w14:paraId="55968CFF" w14:textId="77777777" w:rsidR="00581F33" w:rsidRPr="0083610A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AC0129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993" w:type="dxa"/>
          </w:tcPr>
          <w:p w14:paraId="60B5324C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134" w:type="dxa"/>
          </w:tcPr>
          <w:p w14:paraId="2257747D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</w:tcPr>
          <w:p w14:paraId="101CA1F3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992" w:type="dxa"/>
          </w:tcPr>
          <w:p w14:paraId="357DA625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14:paraId="305B9C21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14:paraId="45816ACA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055" w:type="dxa"/>
          </w:tcPr>
          <w:p w14:paraId="10EAA832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072" w:type="dxa"/>
          </w:tcPr>
          <w:p w14:paraId="15432D5B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054" w:type="dxa"/>
          </w:tcPr>
          <w:p w14:paraId="4D2FAF75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2019 – …</w:t>
            </w:r>
          </w:p>
        </w:tc>
      </w:tr>
      <w:tr w:rsidR="00581F33" w:rsidRPr="007B5DFD" w14:paraId="5E639591" w14:textId="77777777" w:rsidTr="000B4FAC">
        <w:trPr>
          <w:trHeight w:val="1497"/>
        </w:trPr>
        <w:tc>
          <w:tcPr>
            <w:tcW w:w="3085" w:type="dxa"/>
          </w:tcPr>
          <w:p w14:paraId="5ACE1A8C" w14:textId="77777777" w:rsidR="00581F33" w:rsidRPr="0083610A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Выручка (чистые процентные + непроцентные доходы)</w:t>
            </w:r>
          </w:p>
        </w:tc>
        <w:tc>
          <w:tcPr>
            <w:tcW w:w="992" w:type="dxa"/>
          </w:tcPr>
          <w:p w14:paraId="2FDD6113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4207,9</w:t>
            </w:r>
          </w:p>
        </w:tc>
        <w:tc>
          <w:tcPr>
            <w:tcW w:w="993" w:type="dxa"/>
          </w:tcPr>
          <w:p w14:paraId="5AE1E52D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4621,9</w:t>
            </w:r>
          </w:p>
        </w:tc>
        <w:tc>
          <w:tcPr>
            <w:tcW w:w="1134" w:type="dxa"/>
          </w:tcPr>
          <w:p w14:paraId="2721CFEF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5604,0</w:t>
            </w:r>
          </w:p>
        </w:tc>
        <w:tc>
          <w:tcPr>
            <w:tcW w:w="1134" w:type="dxa"/>
          </w:tcPr>
          <w:p w14:paraId="5732BC78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6245,5</w:t>
            </w:r>
          </w:p>
        </w:tc>
        <w:tc>
          <w:tcPr>
            <w:tcW w:w="992" w:type="dxa"/>
          </w:tcPr>
          <w:p w14:paraId="50752DB8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6162,2</w:t>
            </w:r>
          </w:p>
        </w:tc>
        <w:tc>
          <w:tcPr>
            <w:tcW w:w="992" w:type="dxa"/>
          </w:tcPr>
          <w:p w14:paraId="3A67DBCA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5995,7</w:t>
            </w:r>
          </w:p>
        </w:tc>
        <w:tc>
          <w:tcPr>
            <w:tcW w:w="992" w:type="dxa"/>
          </w:tcPr>
          <w:p w14:paraId="3D679618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5483,1</w:t>
            </w:r>
          </w:p>
        </w:tc>
        <w:tc>
          <w:tcPr>
            <w:tcW w:w="1055" w:type="dxa"/>
          </w:tcPr>
          <w:p w14:paraId="49F5FC06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5812,1</w:t>
            </w:r>
          </w:p>
        </w:tc>
        <w:tc>
          <w:tcPr>
            <w:tcW w:w="1072" w:type="dxa"/>
          </w:tcPr>
          <w:p w14:paraId="7CD23BD5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6073,6</w:t>
            </w:r>
          </w:p>
        </w:tc>
        <w:tc>
          <w:tcPr>
            <w:tcW w:w="1054" w:type="dxa"/>
          </w:tcPr>
          <w:p w14:paraId="284E496D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6316,6</w:t>
            </w:r>
          </w:p>
        </w:tc>
      </w:tr>
      <w:tr w:rsidR="00581F33" w:rsidRPr="007B5DFD" w14:paraId="175336B7" w14:textId="77777777" w:rsidTr="000B4FAC">
        <w:trPr>
          <w:trHeight w:val="472"/>
        </w:trPr>
        <w:tc>
          <w:tcPr>
            <w:tcW w:w="3085" w:type="dxa"/>
          </w:tcPr>
          <w:p w14:paraId="2D6DB3A5" w14:textId="77777777" w:rsidR="00581F33" w:rsidRPr="0083610A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Рост</w:t>
            </w:r>
          </w:p>
        </w:tc>
        <w:tc>
          <w:tcPr>
            <w:tcW w:w="992" w:type="dxa"/>
          </w:tcPr>
          <w:p w14:paraId="64917DDB" w14:textId="77777777" w:rsidR="00581F33" w:rsidRPr="0083610A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C962E40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9,84%</w:t>
            </w:r>
          </w:p>
        </w:tc>
        <w:tc>
          <w:tcPr>
            <w:tcW w:w="1134" w:type="dxa"/>
          </w:tcPr>
          <w:p w14:paraId="6879121B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21,25%</w:t>
            </w:r>
          </w:p>
        </w:tc>
        <w:tc>
          <w:tcPr>
            <w:tcW w:w="1134" w:type="dxa"/>
          </w:tcPr>
          <w:p w14:paraId="07B8933E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11,45%</w:t>
            </w:r>
          </w:p>
        </w:tc>
        <w:tc>
          <w:tcPr>
            <w:tcW w:w="992" w:type="dxa"/>
          </w:tcPr>
          <w:p w14:paraId="4EF5678C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-1,33%</w:t>
            </w:r>
          </w:p>
        </w:tc>
        <w:tc>
          <w:tcPr>
            <w:tcW w:w="992" w:type="dxa"/>
          </w:tcPr>
          <w:p w14:paraId="37923E47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-2,70%</w:t>
            </w:r>
          </w:p>
        </w:tc>
        <w:tc>
          <w:tcPr>
            <w:tcW w:w="992" w:type="dxa"/>
          </w:tcPr>
          <w:p w14:paraId="006BEA29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-8,55%</w:t>
            </w:r>
          </w:p>
        </w:tc>
        <w:tc>
          <w:tcPr>
            <w:tcW w:w="1055" w:type="dxa"/>
          </w:tcPr>
          <w:p w14:paraId="4702DB7E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6,00%</w:t>
            </w:r>
          </w:p>
        </w:tc>
        <w:tc>
          <w:tcPr>
            <w:tcW w:w="1072" w:type="dxa"/>
          </w:tcPr>
          <w:p w14:paraId="53AB5E3E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4,5%</w:t>
            </w:r>
          </w:p>
        </w:tc>
        <w:tc>
          <w:tcPr>
            <w:tcW w:w="1054" w:type="dxa"/>
          </w:tcPr>
          <w:p w14:paraId="704B6449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4%</w:t>
            </w:r>
          </w:p>
        </w:tc>
      </w:tr>
      <w:tr w:rsidR="00581F33" w:rsidRPr="007B5DFD" w14:paraId="37E94041" w14:textId="77777777" w:rsidTr="000B4FAC">
        <w:trPr>
          <w:trHeight w:val="472"/>
        </w:trPr>
        <w:tc>
          <w:tcPr>
            <w:tcW w:w="3085" w:type="dxa"/>
          </w:tcPr>
          <w:p w14:paraId="6E66B70F" w14:textId="77777777" w:rsidR="00581F33" w:rsidRPr="0083610A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Ставка роялти</w:t>
            </w:r>
          </w:p>
        </w:tc>
        <w:tc>
          <w:tcPr>
            <w:tcW w:w="992" w:type="dxa"/>
          </w:tcPr>
          <w:p w14:paraId="7589BD92" w14:textId="77777777" w:rsidR="00581F33" w:rsidRPr="0083610A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03A8572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1E468D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85446C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9EBBB9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F9495E7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24795C2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14:paraId="3F492152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1,6%</w:t>
            </w:r>
          </w:p>
        </w:tc>
        <w:tc>
          <w:tcPr>
            <w:tcW w:w="1072" w:type="dxa"/>
          </w:tcPr>
          <w:p w14:paraId="73902BB7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1,6%</w:t>
            </w:r>
          </w:p>
        </w:tc>
        <w:tc>
          <w:tcPr>
            <w:tcW w:w="1054" w:type="dxa"/>
          </w:tcPr>
          <w:p w14:paraId="7CE9FF04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1,6%</w:t>
            </w:r>
          </w:p>
        </w:tc>
      </w:tr>
      <w:tr w:rsidR="00581F33" w:rsidRPr="007B5DFD" w14:paraId="1287472B" w14:textId="77777777" w:rsidTr="000B4FAC">
        <w:trPr>
          <w:trHeight w:val="946"/>
        </w:trPr>
        <w:tc>
          <w:tcPr>
            <w:tcW w:w="3085" w:type="dxa"/>
          </w:tcPr>
          <w:p w14:paraId="0A52C493" w14:textId="77777777" w:rsidR="00581F33" w:rsidRPr="0083610A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Доналоговые платежи роялти</w:t>
            </w:r>
          </w:p>
        </w:tc>
        <w:tc>
          <w:tcPr>
            <w:tcW w:w="992" w:type="dxa"/>
          </w:tcPr>
          <w:p w14:paraId="244BEF68" w14:textId="77777777" w:rsidR="00581F33" w:rsidRPr="0083610A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02C1E82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79B1DC6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4D1DF6A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74BEF8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CF2BA7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DCA6D4D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14:paraId="49CFEF53" w14:textId="76AB19E3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93,</w:t>
            </w:r>
            <w:r w:rsidR="00E870C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72" w:type="dxa"/>
          </w:tcPr>
          <w:p w14:paraId="491D2083" w14:textId="19FD8E1D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97,</w:t>
            </w:r>
            <w:r w:rsidR="00E870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4" w:type="dxa"/>
          </w:tcPr>
          <w:p w14:paraId="7D7527DD" w14:textId="0502327B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101,</w:t>
            </w:r>
            <w:r w:rsidR="00E870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F33" w:rsidRPr="007B5DFD" w14:paraId="0E38A53D" w14:textId="77777777" w:rsidTr="000B4FAC">
        <w:trPr>
          <w:trHeight w:val="472"/>
        </w:trPr>
        <w:tc>
          <w:tcPr>
            <w:tcW w:w="3085" w:type="dxa"/>
          </w:tcPr>
          <w:p w14:paraId="6AC1F617" w14:textId="77777777" w:rsidR="00581F33" w:rsidRPr="0083610A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Ставка налога</w:t>
            </w:r>
          </w:p>
        </w:tc>
        <w:tc>
          <w:tcPr>
            <w:tcW w:w="992" w:type="dxa"/>
          </w:tcPr>
          <w:p w14:paraId="2E0AB669" w14:textId="77777777" w:rsidR="00581F33" w:rsidRPr="0083610A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C049CC1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7FE8450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A26AFA1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92C80AA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B50D70B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56A04D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14:paraId="5150ABF9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072" w:type="dxa"/>
          </w:tcPr>
          <w:p w14:paraId="1EE24EFE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054" w:type="dxa"/>
          </w:tcPr>
          <w:p w14:paraId="6AFD3073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581F33" w:rsidRPr="007B5DFD" w14:paraId="1825DCFC" w14:textId="77777777" w:rsidTr="000B4FAC">
        <w:trPr>
          <w:trHeight w:val="946"/>
        </w:trPr>
        <w:tc>
          <w:tcPr>
            <w:tcW w:w="3085" w:type="dxa"/>
          </w:tcPr>
          <w:p w14:paraId="2E27D992" w14:textId="77777777" w:rsidR="00581F33" w:rsidRPr="0083610A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Посленалоговые платежи роялти</w:t>
            </w:r>
          </w:p>
        </w:tc>
        <w:tc>
          <w:tcPr>
            <w:tcW w:w="992" w:type="dxa"/>
          </w:tcPr>
          <w:p w14:paraId="49D289A9" w14:textId="77777777" w:rsidR="00581F33" w:rsidRPr="0083610A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CF7E725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D6B4C9C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866D22A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B9978C2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9BAB312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A74987A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14:paraId="060A391F" w14:textId="6ED280EB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74,</w:t>
            </w:r>
            <w:r w:rsidR="00E870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" w:type="dxa"/>
          </w:tcPr>
          <w:p w14:paraId="513E0199" w14:textId="558A5F71" w:rsidR="00581F33" w:rsidRPr="0083610A" w:rsidRDefault="00334718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77,7</w:t>
            </w:r>
          </w:p>
        </w:tc>
        <w:tc>
          <w:tcPr>
            <w:tcW w:w="1054" w:type="dxa"/>
          </w:tcPr>
          <w:p w14:paraId="52D03248" w14:textId="158363F7" w:rsidR="00581F33" w:rsidRPr="0083610A" w:rsidRDefault="00334718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80,9</w:t>
            </w:r>
          </w:p>
        </w:tc>
      </w:tr>
      <w:tr w:rsidR="00581F33" w:rsidRPr="007B5DFD" w14:paraId="7446C8AE" w14:textId="77777777" w:rsidTr="000B4FAC">
        <w:trPr>
          <w:trHeight w:val="946"/>
        </w:trPr>
        <w:tc>
          <w:tcPr>
            <w:tcW w:w="3085" w:type="dxa"/>
          </w:tcPr>
          <w:p w14:paraId="7F9B6771" w14:textId="77777777" w:rsidR="00581F33" w:rsidRPr="0083610A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Ставка дисконтирования</w:t>
            </w:r>
          </w:p>
        </w:tc>
        <w:tc>
          <w:tcPr>
            <w:tcW w:w="992" w:type="dxa"/>
          </w:tcPr>
          <w:p w14:paraId="07DC473A" w14:textId="77777777" w:rsidR="00581F33" w:rsidRPr="0083610A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8A52236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1E368D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C1F9D42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3E0C53E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0FBB451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3414444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14:paraId="09E4D16E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19,55%</w:t>
            </w:r>
          </w:p>
        </w:tc>
        <w:tc>
          <w:tcPr>
            <w:tcW w:w="1072" w:type="dxa"/>
          </w:tcPr>
          <w:p w14:paraId="2A43170B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19,55%</w:t>
            </w:r>
          </w:p>
        </w:tc>
        <w:tc>
          <w:tcPr>
            <w:tcW w:w="1054" w:type="dxa"/>
          </w:tcPr>
          <w:p w14:paraId="6AD7CFAB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19,55%</w:t>
            </w:r>
          </w:p>
        </w:tc>
      </w:tr>
      <w:tr w:rsidR="00581F33" w:rsidRPr="007B5DFD" w14:paraId="38555E0B" w14:textId="77777777" w:rsidTr="000B4FAC">
        <w:trPr>
          <w:trHeight w:val="533"/>
        </w:trPr>
        <w:tc>
          <w:tcPr>
            <w:tcW w:w="3085" w:type="dxa"/>
          </w:tcPr>
          <w:p w14:paraId="5A8DBB43" w14:textId="77777777" w:rsidR="00581F33" w:rsidRPr="0083610A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PV платежей роялти</w:t>
            </w:r>
          </w:p>
        </w:tc>
        <w:tc>
          <w:tcPr>
            <w:tcW w:w="992" w:type="dxa"/>
          </w:tcPr>
          <w:p w14:paraId="0A55E384" w14:textId="77777777" w:rsidR="00581F33" w:rsidRPr="0083610A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C060131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687E28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BC97B4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A149FB2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43F3832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85BA96A" w14:textId="61DAF7CB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34718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1055" w:type="dxa"/>
          </w:tcPr>
          <w:p w14:paraId="0F7EF36B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</w:tcPr>
          <w:p w14:paraId="144D1449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</w:tcPr>
          <w:p w14:paraId="6C0FE1C6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F33" w:rsidRPr="007B5DFD" w14:paraId="0C8C27A0" w14:textId="77777777" w:rsidTr="000B4FAC">
        <w:trPr>
          <w:trHeight w:val="946"/>
        </w:trPr>
        <w:tc>
          <w:tcPr>
            <w:tcW w:w="3085" w:type="dxa"/>
          </w:tcPr>
          <w:p w14:paraId="3E05A23D" w14:textId="77777777" w:rsidR="00581F33" w:rsidRPr="0083610A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PV терминальной стоимости</w:t>
            </w:r>
          </w:p>
        </w:tc>
        <w:tc>
          <w:tcPr>
            <w:tcW w:w="992" w:type="dxa"/>
          </w:tcPr>
          <w:p w14:paraId="792DDA9E" w14:textId="77777777" w:rsidR="00581F33" w:rsidRPr="0083610A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F28E525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EB9F20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444AA6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6F0625F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FACCD3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6909B9C" w14:textId="10BAA758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14:paraId="04AE8B2A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</w:tcPr>
          <w:p w14:paraId="371D756B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</w:tcPr>
          <w:p w14:paraId="002E5554" w14:textId="31CFECC2" w:rsidR="00581F33" w:rsidRPr="0083610A" w:rsidRDefault="00334718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519,9</w:t>
            </w:r>
          </w:p>
        </w:tc>
      </w:tr>
      <w:tr w:rsidR="00581F33" w:rsidRPr="007B5DFD" w14:paraId="2707CD46" w14:textId="77777777" w:rsidTr="000B4FAC">
        <w:trPr>
          <w:trHeight w:val="583"/>
        </w:trPr>
        <w:tc>
          <w:tcPr>
            <w:tcW w:w="3085" w:type="dxa"/>
          </w:tcPr>
          <w:p w14:paraId="77D8C9C3" w14:textId="77777777" w:rsidR="00581F33" w:rsidRPr="0083610A" w:rsidRDefault="00581F33" w:rsidP="000B4F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Стоимость бренда</w:t>
            </w:r>
          </w:p>
        </w:tc>
        <w:tc>
          <w:tcPr>
            <w:tcW w:w="992" w:type="dxa"/>
          </w:tcPr>
          <w:p w14:paraId="52C1459A" w14:textId="77777777" w:rsidR="00581F33" w:rsidRPr="0083610A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B97F4BE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950805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619057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0EB426F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C605439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68BD585" w14:textId="56E56007" w:rsidR="00581F33" w:rsidRPr="00482CF2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610A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334718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055" w:type="dxa"/>
          </w:tcPr>
          <w:p w14:paraId="3D8AF561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</w:tcPr>
          <w:p w14:paraId="16F46E92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</w:tcPr>
          <w:p w14:paraId="3A4292D5" w14:textId="77777777" w:rsidR="00581F33" w:rsidRPr="0083610A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5AAC60" w14:textId="77777777" w:rsidR="00581F33" w:rsidRPr="007B5DFD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F33" w:rsidRPr="007B5DFD" w:rsidSect="000B4FAC">
          <w:pgSz w:w="15840" w:h="12240" w:orient="landscape"/>
          <w:pgMar w:top="1418" w:right="567" w:bottom="1418" w:left="1701" w:header="709" w:footer="709" w:gutter="0"/>
          <w:cols w:space="720"/>
          <w:docGrid w:type="lines" w:linePitch="360"/>
        </w:sectPr>
      </w:pPr>
    </w:p>
    <w:p w14:paraId="3E93D6B0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расчета методом освобождения от роялти стоимость бренда Сбербанк на 31.12.2016 составляет 420,9 млрд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₽</m:t>
        </m:r>
      </m:oMath>
      <w:r w:rsidRPr="007B5DFD">
        <w:rPr>
          <w:rFonts w:ascii="Times New Roman" w:hAnsi="Times New Roman" w:cs="Times New Roman"/>
          <w:sz w:val="28"/>
          <w:szCs w:val="28"/>
        </w:rPr>
        <w:t xml:space="preserve"> или 6,9 млрд $ (по к</w:t>
      </w:r>
      <w:r>
        <w:rPr>
          <w:rFonts w:ascii="Times New Roman" w:hAnsi="Times New Roman" w:cs="Times New Roman"/>
          <w:sz w:val="28"/>
          <w:szCs w:val="28"/>
        </w:rPr>
        <w:t>урсу на конец года). Доля бренда</w:t>
      </w:r>
      <w:r w:rsidRPr="007B5DFD">
        <w:rPr>
          <w:rFonts w:ascii="Times New Roman" w:hAnsi="Times New Roman" w:cs="Times New Roman"/>
          <w:sz w:val="28"/>
          <w:szCs w:val="28"/>
        </w:rPr>
        <w:t xml:space="preserve"> в рыночной капитализации составляет 11%.</w:t>
      </w:r>
    </w:p>
    <w:p w14:paraId="38C103B2" w14:textId="7F3090E4" w:rsidR="00581F33" w:rsidRDefault="00581F33" w:rsidP="00103F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влияния изменения ставки роялти, ставки дисконтирования и темпа условно постоянного темпа роста (используемого для расчета терминальной стоимости</w:t>
      </w:r>
      <w:r w:rsidR="00086714">
        <w:rPr>
          <w:rFonts w:ascii="Times New Roman" w:hAnsi="Times New Roman" w:cs="Times New Roman"/>
          <w:sz w:val="28"/>
          <w:szCs w:val="28"/>
        </w:rPr>
        <w:t xml:space="preserve"> по методу Гордона</w:t>
      </w:r>
      <w:r>
        <w:rPr>
          <w:rFonts w:ascii="Times New Roman" w:hAnsi="Times New Roman" w:cs="Times New Roman"/>
          <w:sz w:val="28"/>
          <w:szCs w:val="28"/>
        </w:rPr>
        <w:t xml:space="preserve">) был произведен анализ чувствительности </w:t>
      </w:r>
      <w:r w:rsidR="00086714">
        <w:rPr>
          <w:rFonts w:ascii="Times New Roman" w:hAnsi="Times New Roman" w:cs="Times New Roman"/>
          <w:sz w:val="28"/>
          <w:szCs w:val="28"/>
        </w:rPr>
        <w:t>(Таблицы</w:t>
      </w:r>
      <w:r>
        <w:rPr>
          <w:rFonts w:ascii="Times New Roman" w:hAnsi="Times New Roman" w:cs="Times New Roman"/>
          <w:sz w:val="28"/>
          <w:szCs w:val="28"/>
        </w:rPr>
        <w:t xml:space="preserve"> 12 и 13</w:t>
      </w:r>
      <w:r w:rsidR="000867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анализу чувствительности, при отклонении ставки роялти на 0,3 п.</w:t>
      </w:r>
      <w:r w:rsidR="0008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от выбранного значения (1,6</w:t>
      </w:r>
      <w:r w:rsidRPr="00CE4AE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оценка стоимости бренда изменяется на 79 млрд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₽</m:t>
        </m:r>
      </m:oMath>
      <w:r>
        <w:rPr>
          <w:rFonts w:ascii="Times New Roman" w:hAnsi="Times New Roman" w:cs="Times New Roman"/>
          <w:sz w:val="28"/>
          <w:szCs w:val="28"/>
        </w:rPr>
        <w:t xml:space="preserve"> или на 19</w:t>
      </w:r>
      <w:r w:rsidRPr="00CE4AE0">
        <w:rPr>
          <w:rFonts w:ascii="Times New Roman" w:hAnsi="Times New Roman" w:cs="Times New Roman"/>
          <w:sz w:val="28"/>
          <w:szCs w:val="28"/>
        </w:rPr>
        <w:t xml:space="preserve">% от полученного результата 420,9 </w:t>
      </w:r>
      <w:r>
        <w:rPr>
          <w:rFonts w:ascii="Times New Roman" w:hAnsi="Times New Roman" w:cs="Times New Roman"/>
          <w:sz w:val="28"/>
          <w:szCs w:val="28"/>
        </w:rPr>
        <w:t xml:space="preserve">млрд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₽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14:paraId="5FB78A2C" w14:textId="05338A2B" w:rsidR="00581F33" w:rsidRDefault="00581F33" w:rsidP="006D1E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чувствительности стоимости бренда к ставке дисконтирования не столь значительна. Отклонение в 1 п.</w:t>
      </w:r>
      <w:r w:rsidR="0008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при сохранении выбранной ставки роялти вызовет изменение стоимости бренда на 30,7 млрд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₽</m:t>
        </m:r>
      </m:oMath>
      <w:r>
        <w:rPr>
          <w:rFonts w:ascii="Times New Roman" w:hAnsi="Times New Roman" w:cs="Times New Roman"/>
          <w:sz w:val="28"/>
          <w:szCs w:val="28"/>
        </w:rPr>
        <w:t xml:space="preserve">, что составляет 7% от полученной оценки </w:t>
      </w:r>
      <w:r w:rsidRPr="00CE4AE0">
        <w:rPr>
          <w:rFonts w:ascii="Times New Roman" w:hAnsi="Times New Roman" w:cs="Times New Roman"/>
          <w:sz w:val="28"/>
          <w:szCs w:val="28"/>
        </w:rPr>
        <w:t xml:space="preserve">420,9 </w:t>
      </w:r>
      <w:r>
        <w:rPr>
          <w:rFonts w:ascii="Times New Roman" w:hAnsi="Times New Roman" w:cs="Times New Roman"/>
          <w:sz w:val="28"/>
          <w:szCs w:val="28"/>
        </w:rPr>
        <w:t xml:space="preserve">млрд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₽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r w:rsidR="00EC7FA6">
        <w:rPr>
          <w:rFonts w:ascii="Times New Roman" w:hAnsi="Times New Roman" w:cs="Times New Roman"/>
          <w:sz w:val="28"/>
          <w:szCs w:val="28"/>
        </w:rPr>
        <w:t xml:space="preserve"> </w:t>
      </w:r>
      <w:r w:rsidR="006D1E48">
        <w:rPr>
          <w:rFonts w:ascii="Times New Roman" w:hAnsi="Times New Roman" w:cs="Times New Roman"/>
          <w:sz w:val="28"/>
          <w:szCs w:val="28"/>
        </w:rPr>
        <w:t>Отсюда можно сделать вывод о допустимости принятия в качестве ставки дисконтирования стоимости собственного капитала (</w:t>
      </w:r>
      <w:r w:rsidR="00EC7FA6">
        <w:rPr>
          <w:rFonts w:ascii="Times New Roman" w:hAnsi="Times New Roman" w:cs="Times New Roman"/>
          <w:sz w:val="28"/>
          <w:szCs w:val="28"/>
        </w:rPr>
        <w:t>18,68</w:t>
      </w:r>
      <w:r w:rsidR="00EC7FA6" w:rsidRPr="00CE4AE0">
        <w:rPr>
          <w:rFonts w:ascii="Times New Roman" w:hAnsi="Times New Roman" w:cs="Times New Roman"/>
          <w:sz w:val="28"/>
          <w:szCs w:val="28"/>
        </w:rPr>
        <w:t>%</w:t>
      </w:r>
      <w:r w:rsidR="006D1E48" w:rsidRPr="00CE4AE0">
        <w:rPr>
          <w:rFonts w:ascii="Times New Roman" w:hAnsi="Times New Roman" w:cs="Times New Roman"/>
          <w:sz w:val="28"/>
          <w:szCs w:val="28"/>
        </w:rPr>
        <w:t xml:space="preserve">), рассчитанной по модели </w:t>
      </w:r>
      <w:r w:rsidR="006D1E48">
        <w:rPr>
          <w:rFonts w:ascii="Times New Roman" w:hAnsi="Times New Roman" w:cs="Times New Roman"/>
          <w:sz w:val="28"/>
          <w:szCs w:val="28"/>
          <w:lang w:val="en-US"/>
        </w:rPr>
        <w:t>CAPM</w:t>
      </w:r>
      <w:r w:rsidR="006D1E48">
        <w:rPr>
          <w:rFonts w:ascii="Times New Roman" w:hAnsi="Times New Roman" w:cs="Times New Roman"/>
          <w:sz w:val="28"/>
          <w:szCs w:val="28"/>
        </w:rPr>
        <w:t>. Действительно, р</w:t>
      </w:r>
      <w:r w:rsidR="006D1E48" w:rsidRPr="006A363E">
        <w:rPr>
          <w:rFonts w:ascii="Times New Roman" w:hAnsi="Times New Roman" w:cs="Times New Roman"/>
          <w:sz w:val="28"/>
          <w:szCs w:val="28"/>
        </w:rPr>
        <w:t xml:space="preserve">иски, </w:t>
      </w:r>
      <w:r w:rsidR="006D1E48">
        <w:rPr>
          <w:rFonts w:ascii="Times New Roman" w:hAnsi="Times New Roman" w:cs="Times New Roman"/>
          <w:sz w:val="28"/>
          <w:szCs w:val="28"/>
        </w:rPr>
        <w:t>связанные</w:t>
      </w:r>
      <w:r w:rsidR="006D1E48" w:rsidRPr="006A363E">
        <w:rPr>
          <w:rFonts w:ascii="Times New Roman" w:hAnsi="Times New Roman" w:cs="Times New Roman"/>
          <w:sz w:val="28"/>
          <w:szCs w:val="28"/>
        </w:rPr>
        <w:t xml:space="preserve"> с </w:t>
      </w:r>
      <w:r w:rsidR="006D1E48">
        <w:rPr>
          <w:rFonts w:ascii="Times New Roman" w:hAnsi="Times New Roman" w:cs="Times New Roman"/>
          <w:sz w:val="28"/>
          <w:szCs w:val="28"/>
        </w:rPr>
        <w:t>брендом, как нематериальным активом</w:t>
      </w:r>
      <w:r w:rsidR="006D1E48" w:rsidRPr="006A363E">
        <w:rPr>
          <w:rFonts w:ascii="Times New Roman" w:hAnsi="Times New Roman" w:cs="Times New Roman"/>
          <w:sz w:val="28"/>
          <w:szCs w:val="28"/>
        </w:rPr>
        <w:t xml:space="preserve">, в большей степени ложатся на акционеров компании. </w:t>
      </w:r>
      <w:r w:rsidR="006D1E48">
        <w:rPr>
          <w:rFonts w:ascii="Times New Roman" w:hAnsi="Times New Roman" w:cs="Times New Roman"/>
          <w:sz w:val="28"/>
          <w:szCs w:val="28"/>
        </w:rPr>
        <w:t>В таком случае разумно использовать</w:t>
      </w:r>
      <w:r w:rsidR="006D1E48" w:rsidRPr="006A363E">
        <w:rPr>
          <w:rFonts w:ascii="Times New Roman" w:hAnsi="Times New Roman" w:cs="Times New Roman"/>
          <w:sz w:val="28"/>
          <w:szCs w:val="28"/>
        </w:rPr>
        <w:t xml:space="preserve"> стоимость акционерного капитала </w:t>
      </w:r>
      <w:r w:rsidR="006D1E48">
        <w:rPr>
          <w:rFonts w:ascii="Times New Roman" w:hAnsi="Times New Roman" w:cs="Times New Roman"/>
          <w:sz w:val="28"/>
          <w:szCs w:val="28"/>
        </w:rPr>
        <w:t xml:space="preserve">в качестве ставки дисконтирования будущих доходов. Данный вывод также согласуется с базовым соотношением ставок дисконтирования, представленным в пункте 2.1 настоящей работы, в котором нематериальные активы и собственный капитал имеют </w:t>
      </w:r>
      <w:r w:rsidR="00A74A93">
        <w:rPr>
          <w:rFonts w:ascii="Times New Roman" w:hAnsi="Times New Roman" w:cs="Times New Roman"/>
          <w:sz w:val="28"/>
          <w:szCs w:val="28"/>
        </w:rPr>
        <w:t xml:space="preserve">наиболее высокую доходность и </w:t>
      </w:r>
      <w:r w:rsidR="006D1E48">
        <w:rPr>
          <w:rFonts w:ascii="Times New Roman" w:hAnsi="Times New Roman" w:cs="Times New Roman"/>
          <w:sz w:val="28"/>
          <w:szCs w:val="28"/>
        </w:rPr>
        <w:t xml:space="preserve">риски. </w:t>
      </w:r>
    </w:p>
    <w:p w14:paraId="1F3C90E7" w14:textId="744F9D40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спрогнозированного условно постоянного роста доходов оказывает еще меньшее влияние на </w:t>
      </w:r>
      <w:r w:rsidR="006F7202">
        <w:rPr>
          <w:rFonts w:ascii="Times New Roman" w:hAnsi="Times New Roman" w:cs="Times New Roman"/>
          <w:sz w:val="28"/>
          <w:szCs w:val="28"/>
        </w:rPr>
        <w:t>оценку стоимости</w:t>
      </w:r>
      <w:r>
        <w:rPr>
          <w:rFonts w:ascii="Times New Roman" w:hAnsi="Times New Roman" w:cs="Times New Roman"/>
          <w:sz w:val="28"/>
          <w:szCs w:val="28"/>
        </w:rPr>
        <w:t xml:space="preserve"> бренда. Отклонение в 1 п.</w:t>
      </w:r>
      <w:r w:rsidR="00D76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п. при сохранении выбранной ставки роялти вызовет изменение стоимости бренда на 24,1 млрд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₽</m:t>
        </m:r>
      </m:oMath>
      <w:r>
        <w:rPr>
          <w:rFonts w:ascii="Times New Roman" w:hAnsi="Times New Roman" w:cs="Times New Roman"/>
          <w:sz w:val="28"/>
          <w:szCs w:val="28"/>
        </w:rPr>
        <w:t xml:space="preserve"> или 6% от полученной оценки </w:t>
      </w:r>
      <w:r w:rsidRPr="00CE4AE0">
        <w:rPr>
          <w:rFonts w:ascii="Times New Roman" w:hAnsi="Times New Roman" w:cs="Times New Roman"/>
          <w:sz w:val="28"/>
          <w:szCs w:val="28"/>
        </w:rPr>
        <w:t xml:space="preserve">420,9 </w:t>
      </w:r>
      <w:r>
        <w:rPr>
          <w:rFonts w:ascii="Times New Roman" w:hAnsi="Times New Roman" w:cs="Times New Roman"/>
          <w:sz w:val="28"/>
          <w:szCs w:val="28"/>
        </w:rPr>
        <w:t xml:space="preserve">млрд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₽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14:paraId="718FBC5D" w14:textId="01D9AEF9" w:rsidR="00581F33" w:rsidRPr="008B6E22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Таблицах 12 и 13 выделен диапазон веро</w:t>
      </w:r>
      <w:r w:rsidR="00EC7FA6">
        <w:rPr>
          <w:rFonts w:ascii="Times New Roman" w:hAnsi="Times New Roman" w:cs="Times New Roman"/>
          <w:sz w:val="28"/>
          <w:szCs w:val="28"/>
        </w:rPr>
        <w:t xml:space="preserve">ятных оценок бренда «Сбербанк» </w:t>
      </w:r>
      <w:r w:rsidR="00EC7FA6" w:rsidRPr="00F771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320,2 млрд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₽</m:t>
        </m:r>
      </m:oMath>
      <w:r>
        <w:rPr>
          <w:rFonts w:ascii="Times New Roman" w:hAnsi="Times New Roman" w:cs="Times New Roman"/>
          <w:sz w:val="28"/>
          <w:szCs w:val="28"/>
        </w:rPr>
        <w:t xml:space="preserve"> до 536,3 млрд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₽</m:t>
        </m:r>
      </m:oMath>
      <w:r>
        <w:rPr>
          <w:rFonts w:ascii="Times New Roman" w:hAnsi="Times New Roman" w:cs="Times New Roman"/>
          <w:sz w:val="28"/>
          <w:szCs w:val="28"/>
        </w:rPr>
        <w:t xml:space="preserve"> (от 5,3 млрд </w:t>
      </w:r>
      <w:r w:rsidRPr="00CE4AE0">
        <w:rPr>
          <w:rFonts w:ascii="Times New Roman" w:hAnsi="Times New Roman" w:cs="Times New Roman"/>
          <w:sz w:val="28"/>
          <w:szCs w:val="28"/>
        </w:rPr>
        <w:t xml:space="preserve">$ </w:t>
      </w:r>
      <w:r>
        <w:rPr>
          <w:rFonts w:ascii="Times New Roman" w:hAnsi="Times New Roman" w:cs="Times New Roman"/>
          <w:sz w:val="28"/>
          <w:szCs w:val="28"/>
        </w:rPr>
        <w:t xml:space="preserve">до 8,8 млрд </w:t>
      </w:r>
      <w:r w:rsidRPr="00CE4AE0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) в зависимости от выбранных оценщиком параметров. </w:t>
      </w:r>
    </w:p>
    <w:p w14:paraId="27E7509F" w14:textId="77777777" w:rsidR="00581F33" w:rsidRPr="007B5DFD" w:rsidRDefault="00581F33" w:rsidP="00B21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Таблица 12 Анализ чувствительности по ставкам роялти и дисконтирования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826"/>
        <w:gridCol w:w="1498"/>
        <w:gridCol w:w="1027"/>
        <w:gridCol w:w="1027"/>
        <w:gridCol w:w="1027"/>
        <w:gridCol w:w="1027"/>
        <w:gridCol w:w="1027"/>
        <w:gridCol w:w="1027"/>
        <w:gridCol w:w="1044"/>
      </w:tblGrid>
      <w:tr w:rsidR="00581F33" w:rsidRPr="008B2D03" w14:paraId="5D094693" w14:textId="77777777" w:rsidTr="000B4FAC">
        <w:trPr>
          <w:trHeight w:val="376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A89E" w14:textId="77777777" w:rsidR="00581F33" w:rsidRPr="008B2D03" w:rsidRDefault="00581F33" w:rsidP="000B4F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B2D4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4B8E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Ставка роялти</w:t>
            </w:r>
          </w:p>
        </w:tc>
      </w:tr>
      <w:tr w:rsidR="00581F33" w:rsidRPr="008B2D03" w14:paraId="31CEC551" w14:textId="77777777" w:rsidTr="000B4FAC">
        <w:trPr>
          <w:trHeight w:val="376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53E3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072D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02FC7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A46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1B32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00D9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296AA4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296AA4"/>
                <w:sz w:val="28"/>
                <w:szCs w:val="28"/>
                <w:lang w:eastAsia="ru-RU"/>
              </w:rPr>
              <w:t>1,6%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AEE0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FB0CD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71C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2,5%</w:t>
            </w:r>
          </w:p>
        </w:tc>
      </w:tr>
      <w:tr w:rsidR="00581F33" w:rsidRPr="008B2D03" w14:paraId="5F98540B" w14:textId="77777777" w:rsidTr="000B4FAC">
        <w:trPr>
          <w:trHeight w:val="376"/>
        </w:trPr>
        <w:tc>
          <w:tcPr>
            <w:tcW w:w="8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7483D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Ставка дисконтирования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0A5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15,55%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F576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96BF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DFE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45F8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EE6B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684,4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68F8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792,5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D3B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900,5</w:t>
            </w:r>
          </w:p>
        </w:tc>
      </w:tr>
      <w:tr w:rsidR="00581F33" w:rsidRPr="008B2D03" w14:paraId="31C8692C" w14:textId="77777777" w:rsidTr="000B4FAC">
        <w:trPr>
          <w:trHeight w:val="376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D2327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845B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16,55%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7433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738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32A7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0004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810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DE40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23C2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825,0</w:t>
            </w:r>
          </w:p>
        </w:tc>
      </w:tr>
      <w:tr w:rsidR="00581F33" w:rsidRPr="008B2D03" w14:paraId="12B1AAB9" w14:textId="77777777" w:rsidTr="000B4FAC">
        <w:trPr>
          <w:trHeight w:val="376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79074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A4D2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17,55%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D318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3283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898E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395,6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EEBF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486,9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C6E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578,2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DB5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669,5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AA3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760,8</w:t>
            </w:r>
          </w:p>
        </w:tc>
      </w:tr>
      <w:tr w:rsidR="00581F33" w:rsidRPr="008B2D03" w14:paraId="67B01991" w14:textId="77777777" w:rsidTr="000B4FAC">
        <w:trPr>
          <w:trHeight w:val="376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F367A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B3C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18,55%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6BE8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721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6A1952F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688FDF4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451,6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7275D765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42C4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2374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705,6</w:t>
            </w:r>
          </w:p>
        </w:tc>
      </w:tr>
      <w:tr w:rsidR="00581F33" w:rsidRPr="008B2D03" w14:paraId="0692C8C4" w14:textId="77777777" w:rsidTr="000B4FAC">
        <w:trPr>
          <w:trHeight w:val="376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1B640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A8A4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296AA4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296AA4"/>
                <w:sz w:val="28"/>
                <w:szCs w:val="28"/>
                <w:lang w:eastAsia="ru-RU"/>
              </w:rPr>
              <w:t>19,55%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6AE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EDA6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263,1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1902D458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8BAE0"/>
            <w:noWrap/>
            <w:vAlign w:val="center"/>
            <w:hideMark/>
          </w:tcPr>
          <w:p w14:paraId="1C99020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34F0442D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4692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578,8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08D0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657,7</w:t>
            </w:r>
          </w:p>
        </w:tc>
      </w:tr>
      <w:tr w:rsidR="00581F33" w:rsidRPr="008B2D03" w14:paraId="1615AF99" w14:textId="77777777" w:rsidTr="000B4FAC">
        <w:trPr>
          <w:trHeight w:val="376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CC4D5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F55B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20,55%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A1A4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D48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53B3824E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289AD1D0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394,1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566FEC7B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154F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541,9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3D62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615,7</w:t>
            </w:r>
          </w:p>
        </w:tc>
      </w:tr>
      <w:tr w:rsidR="00581F33" w:rsidRPr="008B2D03" w14:paraId="5DF6420B" w14:textId="77777777" w:rsidTr="000B4FAC">
        <w:trPr>
          <w:trHeight w:val="376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E2FA3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5CC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21,55%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181B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7BEF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352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BF6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04AD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439,8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191F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509,2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7D8D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578,7</w:t>
            </w:r>
          </w:p>
        </w:tc>
      </w:tr>
      <w:tr w:rsidR="00581F33" w:rsidRPr="008B2D03" w14:paraId="15937D33" w14:textId="77777777" w:rsidTr="000B4FAC">
        <w:trPr>
          <w:trHeight w:val="376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08633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2313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22,55%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73D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7E63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7008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DB77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481D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38E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005B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545,8</w:t>
            </w:r>
          </w:p>
        </w:tc>
      </w:tr>
      <w:tr w:rsidR="00581F33" w:rsidRPr="008B2D03" w14:paraId="650D3B32" w14:textId="77777777" w:rsidTr="000B4FAC">
        <w:trPr>
          <w:trHeight w:val="376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6D4B5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1307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23,55%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9CE7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144,6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2DF2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8990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1B53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19F8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392,4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F844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454,3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12E3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516,3</w:t>
            </w:r>
          </w:p>
        </w:tc>
      </w:tr>
    </w:tbl>
    <w:p w14:paraId="47A4D7DD" w14:textId="77777777" w:rsidR="00581F33" w:rsidRPr="007B5DFD" w:rsidRDefault="00581F33" w:rsidP="0058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A05F0" w14:textId="77777777" w:rsidR="00581F33" w:rsidRPr="007B5DFD" w:rsidRDefault="00581F33" w:rsidP="00B21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 xml:space="preserve">Таблица 13 Анализ чувствительности по ставке роялти и темпу условно постоянного роста 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827"/>
        <w:gridCol w:w="1499"/>
        <w:gridCol w:w="1028"/>
        <w:gridCol w:w="1028"/>
        <w:gridCol w:w="1028"/>
        <w:gridCol w:w="1028"/>
        <w:gridCol w:w="1028"/>
        <w:gridCol w:w="1028"/>
        <w:gridCol w:w="1039"/>
      </w:tblGrid>
      <w:tr w:rsidR="00581F33" w:rsidRPr="008B2D03" w14:paraId="589BBAE1" w14:textId="77777777" w:rsidTr="000B4FAC">
        <w:trPr>
          <w:trHeight w:val="409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9B0F" w14:textId="77777777" w:rsidR="00581F33" w:rsidRPr="008B2D03" w:rsidRDefault="00581F33" w:rsidP="000B4F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643D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778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Ставка роялти</w:t>
            </w:r>
          </w:p>
        </w:tc>
      </w:tr>
      <w:tr w:rsidR="00581F33" w:rsidRPr="008B2D03" w14:paraId="4B136181" w14:textId="77777777" w:rsidTr="000B4FAC">
        <w:trPr>
          <w:trHeight w:val="409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2A18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CB30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3BC9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5CF23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817A0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51E2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296AA4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296AA4"/>
                <w:sz w:val="28"/>
                <w:szCs w:val="28"/>
                <w:lang w:eastAsia="ru-RU"/>
              </w:rPr>
              <w:t>1,6%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0F36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68B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86CE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2,5%</w:t>
            </w:r>
          </w:p>
        </w:tc>
      </w:tr>
      <w:tr w:rsidR="00581F33" w:rsidRPr="008B2D03" w14:paraId="22EFA15F" w14:textId="77777777" w:rsidTr="000B4FAC">
        <w:trPr>
          <w:trHeight w:val="409"/>
        </w:trPr>
        <w:tc>
          <w:tcPr>
            <w:tcW w:w="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90757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постоянный темп роста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5940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C6FD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B07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069F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D47B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60E7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5F2D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125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847,0</w:t>
            </w:r>
          </w:p>
        </w:tc>
      </w:tr>
      <w:tr w:rsidR="00581F33" w:rsidRPr="008B2D03" w14:paraId="650BE9C9" w14:textId="77777777" w:rsidTr="000B4FAC">
        <w:trPr>
          <w:trHeight w:val="409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E8676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4B9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8B5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8990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315,3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FD94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ED4E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C1A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B28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FD72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788,4</w:t>
            </w:r>
          </w:p>
        </w:tc>
      </w:tr>
      <w:tr w:rsidR="00581F33" w:rsidRPr="008B2D03" w14:paraId="632D9826" w14:textId="77777777" w:rsidTr="000B4FAC">
        <w:trPr>
          <w:trHeight w:val="409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4A91A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FF32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F635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2F50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E4A8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DDA5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C9E5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56E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519B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738,4</w:t>
            </w:r>
          </w:p>
        </w:tc>
      </w:tr>
      <w:tr w:rsidR="00581F33" w:rsidRPr="008B2D03" w14:paraId="09EA5898" w14:textId="77777777" w:rsidTr="000B4FAC">
        <w:trPr>
          <w:trHeight w:val="409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2D8C5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FE25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9F9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4F0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59CAA976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361,5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4ED40B6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37C55737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9DB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586E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695,3</w:t>
            </w:r>
          </w:p>
        </w:tc>
      </w:tr>
      <w:tr w:rsidR="00581F33" w:rsidRPr="008B2D03" w14:paraId="5931C1DD" w14:textId="77777777" w:rsidTr="000B4FAC">
        <w:trPr>
          <w:trHeight w:val="409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57098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6BF5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296AA4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296AA4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6FD8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8325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2771D578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88BAE0"/>
            <w:noWrap/>
            <w:vAlign w:val="center"/>
            <w:hideMark/>
          </w:tcPr>
          <w:p w14:paraId="55172AD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74D2860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1FF9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747D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657,7</w:t>
            </w:r>
          </w:p>
        </w:tc>
      </w:tr>
      <w:tr w:rsidR="00581F33" w:rsidRPr="008B2D03" w14:paraId="7EF101CA" w14:textId="77777777" w:rsidTr="000B4FAC">
        <w:trPr>
          <w:trHeight w:val="409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72F0C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18E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E12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0B62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23DF837F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324,8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50C47142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9E3F7"/>
            <w:noWrap/>
            <w:vAlign w:val="center"/>
            <w:hideMark/>
          </w:tcPr>
          <w:p w14:paraId="1B39CDD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474,8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806D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A39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624,7</w:t>
            </w:r>
          </w:p>
        </w:tc>
      </w:tr>
      <w:tr w:rsidR="00581F33" w:rsidRPr="008B2D03" w14:paraId="599A0F44" w14:textId="77777777" w:rsidTr="000B4FAC">
        <w:trPr>
          <w:trHeight w:val="409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EA116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BFC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2534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30C7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29EB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FE3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D974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452,5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FD93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C05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595,4</w:t>
            </w:r>
          </w:p>
        </w:tc>
      </w:tr>
      <w:tr w:rsidR="00581F33" w:rsidRPr="008B2D03" w14:paraId="561DDA82" w14:textId="77777777" w:rsidTr="000B4FAC">
        <w:trPr>
          <w:trHeight w:val="409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883FD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440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509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38C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13E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BCA4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C81B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763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3375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569,3</w:t>
            </w:r>
          </w:p>
        </w:tc>
      </w:tr>
      <w:tr w:rsidR="00581F33" w:rsidRPr="008B2D03" w14:paraId="55299EDE" w14:textId="77777777" w:rsidTr="000B4FAC">
        <w:trPr>
          <w:trHeight w:val="409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4803F" w14:textId="77777777" w:rsidR="00581F33" w:rsidRPr="008B2D03" w:rsidRDefault="00581F33" w:rsidP="000B4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D49F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822C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A47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DC01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B343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BADA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144D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9AB3" w14:textId="77777777" w:rsidR="00581F33" w:rsidRPr="008B2D03" w:rsidRDefault="00581F33" w:rsidP="000B4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545,9</w:t>
            </w:r>
          </w:p>
        </w:tc>
      </w:tr>
    </w:tbl>
    <w:p w14:paraId="38C07C52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E2F2E" w14:textId="21F59734" w:rsidR="00581F33" w:rsidRPr="00CE4AE0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главный фокус в процессе оценки стоимости бренда должен быть направлен на выбор оптимальной ставки роялти. Чем больше масштабы компании (высокие доходы, прибыль</w:t>
      </w:r>
      <w:r w:rsidR="0075336E">
        <w:rPr>
          <w:rFonts w:ascii="Times New Roman" w:hAnsi="Times New Roman" w:cs="Times New Roman"/>
          <w:sz w:val="28"/>
          <w:szCs w:val="28"/>
        </w:rPr>
        <w:t xml:space="preserve"> – база роялти</w:t>
      </w:r>
      <w:r>
        <w:rPr>
          <w:rFonts w:ascii="Times New Roman" w:hAnsi="Times New Roman" w:cs="Times New Roman"/>
          <w:sz w:val="28"/>
          <w:szCs w:val="28"/>
        </w:rPr>
        <w:t>), тем шире диапазон возможных значений оценок.</w:t>
      </w:r>
    </w:p>
    <w:p w14:paraId="5D14C5EF" w14:textId="77777777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9D6">
        <w:rPr>
          <w:rFonts w:ascii="Times New Roman" w:hAnsi="Times New Roman" w:cs="Times New Roman"/>
          <w:i/>
          <w:sz w:val="28"/>
          <w:szCs w:val="28"/>
        </w:rPr>
        <w:t>Бенчмарки оценок: BrandFinance, Millward Brown</w:t>
      </w:r>
    </w:p>
    <w:p w14:paraId="00FA53F2" w14:textId="7CBED56C" w:rsidR="00581F33" w:rsidRPr="002132FF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стоимости </w:t>
      </w:r>
      <w:r w:rsidR="00DD71F1">
        <w:rPr>
          <w:rFonts w:ascii="Times New Roman" w:hAnsi="Times New Roman" w:cs="Times New Roman"/>
          <w:sz w:val="28"/>
          <w:szCs w:val="28"/>
        </w:rPr>
        <w:t xml:space="preserve">одних и тех же </w:t>
      </w:r>
      <w:r>
        <w:rPr>
          <w:rFonts w:ascii="Times New Roman" w:hAnsi="Times New Roman" w:cs="Times New Roman"/>
          <w:sz w:val="28"/>
          <w:szCs w:val="28"/>
        </w:rPr>
        <w:t>крупнейших брендов расходятся, в этом нет ничего удивительного. Все дело в разных</w:t>
      </w:r>
      <w:r w:rsidR="006F20E5">
        <w:rPr>
          <w:rFonts w:ascii="Times New Roman" w:hAnsi="Times New Roman" w:cs="Times New Roman"/>
          <w:sz w:val="28"/>
          <w:szCs w:val="28"/>
        </w:rPr>
        <w:t xml:space="preserve"> методиках</w:t>
      </w:r>
      <w:r w:rsidR="00411B25">
        <w:rPr>
          <w:rFonts w:ascii="Times New Roman" w:hAnsi="Times New Roman" w:cs="Times New Roman"/>
          <w:sz w:val="28"/>
          <w:szCs w:val="28"/>
        </w:rPr>
        <w:t xml:space="preserve"> оценки. Ситуация такова</w:t>
      </w:r>
      <w:r>
        <w:rPr>
          <w:rFonts w:ascii="Times New Roman" w:hAnsi="Times New Roman" w:cs="Times New Roman"/>
          <w:sz w:val="28"/>
          <w:szCs w:val="28"/>
        </w:rPr>
        <w:t>, что практически кажд</w:t>
      </w:r>
      <w:r w:rsidR="00BA2134">
        <w:rPr>
          <w:rFonts w:ascii="Times New Roman" w:hAnsi="Times New Roman" w:cs="Times New Roman"/>
          <w:sz w:val="28"/>
          <w:szCs w:val="28"/>
        </w:rPr>
        <w:t xml:space="preserve">ое консалтинговое агентство </w:t>
      </w:r>
      <w:r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411B25">
        <w:rPr>
          <w:rFonts w:ascii="Times New Roman" w:hAnsi="Times New Roman" w:cs="Times New Roman"/>
          <w:sz w:val="28"/>
          <w:szCs w:val="28"/>
        </w:rPr>
        <w:t>нужным</w:t>
      </w:r>
      <w:r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Pr="002132FF">
        <w:rPr>
          <w:rFonts w:ascii="Times New Roman" w:hAnsi="Times New Roman" w:cs="Times New Roman"/>
          <w:sz w:val="28"/>
          <w:szCs w:val="28"/>
        </w:rPr>
        <w:t>свою собственную</w:t>
      </w:r>
      <w:r w:rsidR="009D5F7E">
        <w:rPr>
          <w:rFonts w:ascii="Times New Roman" w:hAnsi="Times New Roman" w:cs="Times New Roman"/>
          <w:sz w:val="28"/>
          <w:szCs w:val="28"/>
        </w:rPr>
        <w:t xml:space="preserve"> уникальную методику оценки, не признавая</w:t>
      </w:r>
      <w:r w:rsidR="00FE70F9">
        <w:rPr>
          <w:rFonts w:ascii="Times New Roman" w:hAnsi="Times New Roman" w:cs="Times New Roman"/>
          <w:sz w:val="28"/>
          <w:szCs w:val="28"/>
        </w:rPr>
        <w:t xml:space="preserve"> стандартные методы и методы</w:t>
      </w:r>
      <w:r w:rsidRPr="002132FF">
        <w:rPr>
          <w:rFonts w:ascii="Times New Roman" w:hAnsi="Times New Roman" w:cs="Times New Roman"/>
          <w:sz w:val="28"/>
          <w:szCs w:val="28"/>
        </w:rPr>
        <w:t xml:space="preserve"> конкурентов.</w:t>
      </w:r>
    </w:p>
    <w:p w14:paraId="1E731088" w14:textId="77320BAB" w:rsidR="00581F33" w:rsidRPr="002132FF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FF">
        <w:rPr>
          <w:rFonts w:ascii="Times New Roman" w:hAnsi="Times New Roman" w:cs="Times New Roman"/>
          <w:sz w:val="28"/>
          <w:szCs w:val="28"/>
        </w:rPr>
        <w:t xml:space="preserve">Рейтинги консалтинговых агентств BrandFinance, Interbrand ежегодно просматривают представители компаний со всего мира. Несмотря на то, что у агентств значительно различаются результаты оценок одних и тех же брендов, </w:t>
      </w:r>
      <w:r w:rsidR="00BD31D3">
        <w:rPr>
          <w:rFonts w:ascii="Times New Roman" w:hAnsi="Times New Roman" w:cs="Times New Roman"/>
          <w:sz w:val="28"/>
          <w:szCs w:val="28"/>
        </w:rPr>
        <w:t>рейтинги продолжают цитировать и публиковать</w:t>
      </w:r>
      <w:r w:rsidRPr="002132FF">
        <w:rPr>
          <w:rFonts w:ascii="Times New Roman" w:hAnsi="Times New Roman" w:cs="Times New Roman"/>
          <w:sz w:val="28"/>
          <w:szCs w:val="28"/>
        </w:rPr>
        <w:t xml:space="preserve"> как авторитетные источники.</w:t>
      </w:r>
    </w:p>
    <w:p w14:paraId="3F4DEBED" w14:textId="70979768" w:rsidR="00581F33" w:rsidRPr="00E20235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</w:t>
      </w:r>
      <w:r w:rsidRPr="007B5DFD">
        <w:rPr>
          <w:rFonts w:ascii="Times New Roman" w:hAnsi="Times New Roman" w:cs="Times New Roman"/>
          <w:sz w:val="28"/>
          <w:szCs w:val="28"/>
        </w:rPr>
        <w:t>аблицы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7B5DFD">
        <w:rPr>
          <w:rFonts w:ascii="Times New Roman" w:hAnsi="Times New Roman" w:cs="Times New Roman"/>
          <w:sz w:val="28"/>
          <w:szCs w:val="28"/>
        </w:rPr>
        <w:t>, точность результатов оцен</w:t>
      </w:r>
      <w:r w:rsidR="00103F89">
        <w:rPr>
          <w:rFonts w:ascii="Times New Roman" w:hAnsi="Times New Roman" w:cs="Times New Roman"/>
          <w:sz w:val="28"/>
          <w:szCs w:val="28"/>
        </w:rPr>
        <w:t>ки варьируется в пределах 16,3%</w:t>
      </w:r>
      <w:r w:rsidRPr="007B5DFD">
        <w:rPr>
          <w:rFonts w:ascii="Times New Roman" w:hAnsi="Times New Roman" w:cs="Times New Roman"/>
          <w:sz w:val="28"/>
          <w:szCs w:val="28"/>
        </w:rPr>
        <w:t xml:space="preserve"> от стоимости всей компании. Такая </w:t>
      </w:r>
      <w:r>
        <w:rPr>
          <w:rFonts w:ascii="Times New Roman" w:hAnsi="Times New Roman" w:cs="Times New Roman"/>
          <w:sz w:val="28"/>
          <w:szCs w:val="28"/>
        </w:rPr>
        <w:t>колеблемость</w:t>
      </w:r>
      <w:r w:rsidRPr="007B5DFD">
        <w:rPr>
          <w:rFonts w:ascii="Times New Roman" w:hAnsi="Times New Roman" w:cs="Times New Roman"/>
          <w:sz w:val="28"/>
          <w:szCs w:val="28"/>
        </w:rPr>
        <w:t xml:space="preserve"> результатов доказывает отсу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5DFD">
        <w:rPr>
          <w:rFonts w:ascii="Times New Roman" w:hAnsi="Times New Roman" w:cs="Times New Roman"/>
          <w:sz w:val="28"/>
          <w:szCs w:val="28"/>
        </w:rPr>
        <w:t>ствие точной и однозначной мет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5DFD">
        <w:rPr>
          <w:rFonts w:ascii="Times New Roman" w:hAnsi="Times New Roman" w:cs="Times New Roman"/>
          <w:sz w:val="28"/>
          <w:szCs w:val="28"/>
        </w:rPr>
        <w:t>дологии оценки брендов.</w:t>
      </w:r>
    </w:p>
    <w:p w14:paraId="2B60C31F" w14:textId="77777777" w:rsidR="00581F33" w:rsidRPr="007B5DFD" w:rsidRDefault="00581F33" w:rsidP="00B21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D">
        <w:rPr>
          <w:rFonts w:ascii="Times New Roman" w:hAnsi="Times New Roman" w:cs="Times New Roman"/>
          <w:sz w:val="28"/>
          <w:szCs w:val="28"/>
        </w:rPr>
        <w:t>Таблица 14 Разница в оценках бренда Сбербанк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093"/>
        <w:gridCol w:w="1066"/>
        <w:gridCol w:w="2052"/>
        <w:gridCol w:w="4395"/>
      </w:tblGrid>
      <w:tr w:rsidR="00581F33" w:rsidRPr="007B5DFD" w14:paraId="3D6F4EC1" w14:textId="77777777" w:rsidTr="00103F89">
        <w:trPr>
          <w:tblHeader/>
        </w:trPr>
        <w:tc>
          <w:tcPr>
            <w:tcW w:w="2093" w:type="dxa"/>
          </w:tcPr>
          <w:p w14:paraId="3A2A3A27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066" w:type="dxa"/>
          </w:tcPr>
          <w:p w14:paraId="0105C55C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Год оценки</w:t>
            </w:r>
          </w:p>
        </w:tc>
        <w:tc>
          <w:tcPr>
            <w:tcW w:w="2052" w:type="dxa"/>
          </w:tcPr>
          <w:p w14:paraId="55711012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Стоимость бренда, млрд $</w:t>
            </w:r>
          </w:p>
        </w:tc>
        <w:tc>
          <w:tcPr>
            <w:tcW w:w="4395" w:type="dxa"/>
          </w:tcPr>
          <w:p w14:paraId="6D825E7A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581F33" w:rsidRPr="007B5DFD" w14:paraId="31928A08" w14:textId="77777777" w:rsidTr="000B4FAC">
        <w:tc>
          <w:tcPr>
            <w:tcW w:w="2093" w:type="dxa"/>
          </w:tcPr>
          <w:p w14:paraId="722D1342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BrandFinance</w:t>
            </w:r>
          </w:p>
        </w:tc>
        <w:tc>
          <w:tcPr>
            <w:tcW w:w="1066" w:type="dxa"/>
          </w:tcPr>
          <w:p w14:paraId="4648C050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052" w:type="dxa"/>
          </w:tcPr>
          <w:p w14:paraId="7006A848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9,075</w:t>
            </w:r>
          </w:p>
        </w:tc>
        <w:tc>
          <w:tcPr>
            <w:tcW w:w="4395" w:type="dxa"/>
          </w:tcPr>
          <w:p w14:paraId="4A72CF96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Впервые за четыре года бренд Сбербанка показал рост стоимости на 33%, став 6 самым дорогим банковским брендом в Европе.</w:t>
            </w:r>
          </w:p>
        </w:tc>
      </w:tr>
      <w:tr w:rsidR="00581F33" w:rsidRPr="007B5DFD" w14:paraId="1C8D1355" w14:textId="77777777" w:rsidTr="000B4FAC">
        <w:tc>
          <w:tcPr>
            <w:tcW w:w="2093" w:type="dxa"/>
          </w:tcPr>
          <w:p w14:paraId="5DC614E5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Millward Brown</w:t>
            </w:r>
          </w:p>
        </w:tc>
        <w:tc>
          <w:tcPr>
            <w:tcW w:w="1066" w:type="dxa"/>
          </w:tcPr>
          <w:p w14:paraId="131C73AE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052" w:type="dxa"/>
          </w:tcPr>
          <w:p w14:paraId="458E8F8F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12,637</w:t>
            </w:r>
          </w:p>
        </w:tc>
        <w:tc>
          <w:tcPr>
            <w:tcW w:w="4395" w:type="dxa"/>
          </w:tcPr>
          <w:p w14:paraId="09264761" w14:textId="31D9C187" w:rsidR="00581F33" w:rsidRPr="007B5DFD" w:rsidRDefault="00581F33" w:rsidP="00D766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год, когда бренд Сбербанка фигурирует в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ежегодном рейтинге аген</w:t>
            </w:r>
            <w:r w:rsidR="00D766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ства. Входной порог в первую сотню составляет $11,044 млрд, что говорит о том, что бренд Сбербанка пока не превысил </w:t>
            </w:r>
            <w:r w:rsidR="00D76629">
              <w:rPr>
                <w:rFonts w:ascii="Times New Roman" w:hAnsi="Times New Roman" w:cs="Times New Roman"/>
                <w:sz w:val="28"/>
                <w:szCs w:val="28"/>
              </w:rPr>
              <w:t xml:space="preserve">данной отметки. Согласно 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BrandFinance</w:t>
            </w:r>
            <w:r w:rsidR="00D76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бр</w:t>
            </w:r>
            <w:r w:rsidR="00103F89">
              <w:rPr>
                <w:rFonts w:ascii="Times New Roman" w:hAnsi="Times New Roman" w:cs="Times New Roman"/>
                <w:sz w:val="28"/>
                <w:szCs w:val="28"/>
              </w:rPr>
              <w:t>енда также не превышала 11 млрд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 $ за этот период.</w:t>
            </w:r>
          </w:p>
        </w:tc>
      </w:tr>
      <w:tr w:rsidR="00581F33" w:rsidRPr="007B5DFD" w14:paraId="68E5DFCB" w14:textId="77777777" w:rsidTr="000B4FAC">
        <w:tc>
          <w:tcPr>
            <w:tcW w:w="2093" w:type="dxa"/>
          </w:tcPr>
          <w:p w14:paraId="6B2B551B" w14:textId="77777777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BrandFinance</w:t>
            </w:r>
          </w:p>
        </w:tc>
        <w:tc>
          <w:tcPr>
            <w:tcW w:w="1066" w:type="dxa"/>
          </w:tcPr>
          <w:p w14:paraId="786CD39B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052" w:type="dxa"/>
          </w:tcPr>
          <w:p w14:paraId="01FEE99B" w14:textId="77777777" w:rsidR="00581F33" w:rsidRPr="007B5DFD" w:rsidRDefault="00581F33" w:rsidP="000B4F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8,668</w:t>
            </w:r>
          </w:p>
        </w:tc>
        <w:tc>
          <w:tcPr>
            <w:tcW w:w="4395" w:type="dxa"/>
          </w:tcPr>
          <w:p w14:paraId="2B54A25F" w14:textId="2A73050E" w:rsidR="00581F33" w:rsidRPr="007B5DFD" w:rsidRDefault="00581F33" w:rsidP="000B4F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>Оценка бренда по версии BrandFinance на 3,966 млрд $ меньше стоимости согласно Millward Brown. Отклонение составляет шестую часть рын</w:t>
            </w:r>
            <w:r w:rsidR="00103F89">
              <w:rPr>
                <w:rFonts w:ascii="Times New Roman" w:hAnsi="Times New Roman" w:cs="Times New Roman"/>
                <w:sz w:val="28"/>
                <w:szCs w:val="28"/>
              </w:rPr>
              <w:t>очной</w:t>
            </w:r>
            <w:r w:rsidRPr="007B5DFD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всей компании – 16,3%.</w:t>
            </w:r>
          </w:p>
        </w:tc>
      </w:tr>
    </w:tbl>
    <w:p w14:paraId="55C751F3" w14:textId="70371150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FF">
        <w:rPr>
          <w:rFonts w:ascii="Times New Roman" w:hAnsi="Times New Roman" w:cs="Times New Roman"/>
          <w:sz w:val="28"/>
          <w:szCs w:val="28"/>
        </w:rPr>
        <w:t>В рейтинги Interbrand российские бренды никогда не попадали: согласно своей</w:t>
      </w:r>
      <w:r w:rsidR="00BD31D3">
        <w:rPr>
          <w:rFonts w:ascii="Times New Roman" w:hAnsi="Times New Roman" w:cs="Times New Roman"/>
          <w:sz w:val="28"/>
          <w:szCs w:val="28"/>
        </w:rPr>
        <w:t xml:space="preserve"> методологии, агентство ранжируе</w:t>
      </w:r>
      <w:r w:rsidRPr="002132FF">
        <w:rPr>
          <w:rFonts w:ascii="Times New Roman" w:hAnsi="Times New Roman" w:cs="Times New Roman"/>
          <w:sz w:val="28"/>
          <w:szCs w:val="28"/>
        </w:rPr>
        <w:t>т компании, у которых треть выручки обеспечивают операции за пределами родной страны. Ни один отечественный владелец крупного бренда этому требованию пока не отвечает.</w:t>
      </w:r>
    </w:p>
    <w:p w14:paraId="5A9FC3FF" w14:textId="0DCA1149" w:rsidR="00581F33" w:rsidRDefault="00581F33" w:rsidP="00581F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бренда «Сбербанк», найденная в рамках исследования, меньше бенчмарки (9,1 млрд </w:t>
      </w:r>
      <w:r w:rsidRPr="00CE4AE0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en-US"/>
        </w:rPr>
        <w:t>BrandFinance</w:t>
      </w:r>
      <w:r>
        <w:rPr>
          <w:rFonts w:ascii="Times New Roman" w:hAnsi="Times New Roman" w:cs="Times New Roman"/>
          <w:sz w:val="28"/>
          <w:szCs w:val="28"/>
        </w:rPr>
        <w:t xml:space="preserve">) на 2,2 млрд </w:t>
      </w:r>
      <w:r w:rsidRPr="00CE4AE0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. Отклонение объясняется </w:t>
      </w:r>
      <w:r w:rsidR="00411B25">
        <w:rPr>
          <w:rFonts w:ascii="Times New Roman" w:hAnsi="Times New Roman" w:cs="Times New Roman"/>
          <w:sz w:val="28"/>
          <w:szCs w:val="28"/>
        </w:rPr>
        <w:t>разницей в использованных методах, возможностях</w:t>
      </w:r>
      <w:r>
        <w:rPr>
          <w:rFonts w:ascii="Times New Roman" w:hAnsi="Times New Roman" w:cs="Times New Roman"/>
          <w:sz w:val="28"/>
          <w:szCs w:val="28"/>
        </w:rPr>
        <w:t xml:space="preserve"> доступа к базам данным, оценках переменных. </w:t>
      </w:r>
    </w:p>
    <w:p w14:paraId="3372E707" w14:textId="77777777" w:rsidR="008B676F" w:rsidRDefault="008B676F" w:rsidP="00D7662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5C9B9C" w14:textId="70CAB5B7" w:rsidR="00D76629" w:rsidRPr="00D76629" w:rsidRDefault="00D76629" w:rsidP="00D7662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629">
        <w:rPr>
          <w:rFonts w:ascii="Times New Roman" w:hAnsi="Times New Roman" w:cs="Times New Roman"/>
          <w:i/>
          <w:sz w:val="28"/>
          <w:szCs w:val="28"/>
        </w:rPr>
        <w:lastRenderedPageBreak/>
        <w:t>Выводы по главе</w:t>
      </w:r>
    </w:p>
    <w:p w14:paraId="7CF34F55" w14:textId="77777777" w:rsidR="002A0DB2" w:rsidRDefault="002A0DB2" w:rsidP="00D766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рекомендации, выявленные в ходе процесса оценки бренда «Сбербанк»:</w:t>
      </w:r>
    </w:p>
    <w:p w14:paraId="37ADAC7E" w14:textId="490A6B7E" w:rsidR="002A0DB2" w:rsidRPr="002A0DB2" w:rsidRDefault="00AC40CA" w:rsidP="002A0DB2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смешанный</w:t>
      </w:r>
      <w:r w:rsidR="002A0DB2" w:rsidRPr="002A0DB2">
        <w:rPr>
          <w:rFonts w:ascii="Times New Roman" w:hAnsi="Times New Roman" w:cs="Times New Roman"/>
          <w:sz w:val="28"/>
          <w:szCs w:val="28"/>
        </w:rPr>
        <w:t xml:space="preserve"> подход (доходный + рыночный)</w:t>
      </w:r>
      <w:r w:rsidR="002A0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достоверно отражае</w:t>
      </w:r>
      <w:r w:rsidR="00F81401">
        <w:rPr>
          <w:rFonts w:ascii="Times New Roman" w:hAnsi="Times New Roman" w:cs="Times New Roman"/>
          <w:sz w:val="28"/>
          <w:szCs w:val="28"/>
        </w:rPr>
        <w:t>т справедливую стоимость бренда;</w:t>
      </w:r>
    </w:p>
    <w:p w14:paraId="1CBF3572" w14:textId="0BA0166A" w:rsidR="002A0DB2" w:rsidRPr="002A0DB2" w:rsidRDefault="004F06AA" w:rsidP="002A0DB2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как можно более простого, а значит легко проверяемого</w:t>
      </w:r>
      <w:r w:rsidR="002A0DB2" w:rsidRPr="002A0DB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9D0446">
        <w:rPr>
          <w:rFonts w:ascii="Times New Roman" w:hAnsi="Times New Roman" w:cs="Times New Roman"/>
          <w:sz w:val="28"/>
          <w:szCs w:val="28"/>
        </w:rPr>
        <w:t xml:space="preserve">а. Это позволит достичь прозрачности </w:t>
      </w:r>
      <w:r w:rsidR="00BD31D3">
        <w:rPr>
          <w:rFonts w:ascii="Times New Roman" w:hAnsi="Times New Roman" w:cs="Times New Roman"/>
          <w:sz w:val="28"/>
          <w:szCs w:val="28"/>
        </w:rPr>
        <w:t xml:space="preserve">для всех участников </w:t>
      </w:r>
      <w:r w:rsidR="009D0446">
        <w:rPr>
          <w:rFonts w:ascii="Times New Roman" w:hAnsi="Times New Roman" w:cs="Times New Roman"/>
          <w:sz w:val="28"/>
          <w:szCs w:val="28"/>
        </w:rPr>
        <w:t xml:space="preserve">в </w:t>
      </w:r>
      <w:r w:rsidR="00ED43DF">
        <w:rPr>
          <w:rFonts w:ascii="Times New Roman" w:hAnsi="Times New Roman" w:cs="Times New Roman"/>
          <w:sz w:val="28"/>
          <w:szCs w:val="28"/>
        </w:rPr>
        <w:t>ходе</w:t>
      </w:r>
      <w:r w:rsidR="00CD5887">
        <w:rPr>
          <w:rFonts w:ascii="Times New Roman" w:hAnsi="Times New Roman" w:cs="Times New Roman"/>
          <w:sz w:val="28"/>
          <w:szCs w:val="28"/>
        </w:rPr>
        <w:t xml:space="preserve"> проведения сделок;</w:t>
      </w:r>
    </w:p>
    <w:p w14:paraId="6E720E75" w14:textId="0AC64D19" w:rsidR="002A0DB2" w:rsidRPr="002A0DB2" w:rsidRDefault="002A0DB2" w:rsidP="002A0DB2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B2">
        <w:rPr>
          <w:rFonts w:ascii="Times New Roman" w:hAnsi="Times New Roman" w:cs="Times New Roman"/>
          <w:sz w:val="28"/>
          <w:szCs w:val="28"/>
        </w:rPr>
        <w:t>проверяемая и понятная исходная</w:t>
      </w:r>
      <w:r w:rsidR="009D0446">
        <w:rPr>
          <w:rFonts w:ascii="Times New Roman" w:hAnsi="Times New Roman" w:cs="Times New Roman"/>
          <w:sz w:val="28"/>
          <w:szCs w:val="28"/>
        </w:rPr>
        <w:t xml:space="preserve"> информация;</w:t>
      </w:r>
    </w:p>
    <w:p w14:paraId="28A1999D" w14:textId="22DE7001" w:rsidR="002A0DB2" w:rsidRDefault="002A0DB2" w:rsidP="00667FF3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B2">
        <w:rPr>
          <w:rFonts w:ascii="Times New Roman" w:hAnsi="Times New Roman" w:cs="Times New Roman"/>
          <w:sz w:val="28"/>
          <w:szCs w:val="28"/>
        </w:rPr>
        <w:t>финансовые коэффициенты как инструмент снижения субъективности</w:t>
      </w:r>
      <w:r w:rsidR="009D0446">
        <w:rPr>
          <w:rFonts w:ascii="Times New Roman" w:hAnsi="Times New Roman" w:cs="Times New Roman"/>
          <w:sz w:val="28"/>
          <w:szCs w:val="28"/>
        </w:rPr>
        <w:t>. Сталкиваясь с необходимостью применять поправочные коэф</w:t>
      </w:r>
      <w:r w:rsidR="001D7DCF">
        <w:rPr>
          <w:rFonts w:ascii="Times New Roman" w:hAnsi="Times New Roman" w:cs="Times New Roman"/>
          <w:sz w:val="28"/>
          <w:szCs w:val="28"/>
        </w:rPr>
        <w:t xml:space="preserve">фициенты, оценщик </w:t>
      </w:r>
      <w:r w:rsidR="00DD4C0A">
        <w:rPr>
          <w:rFonts w:ascii="Times New Roman" w:hAnsi="Times New Roman" w:cs="Times New Roman"/>
          <w:sz w:val="28"/>
          <w:szCs w:val="28"/>
        </w:rPr>
        <w:t xml:space="preserve">рассчитывает силу бренда на основе собственных суждений. Снизить субъективность </w:t>
      </w:r>
      <w:r w:rsidR="004B6DC4">
        <w:rPr>
          <w:rFonts w:ascii="Times New Roman" w:hAnsi="Times New Roman" w:cs="Times New Roman"/>
          <w:sz w:val="28"/>
          <w:szCs w:val="28"/>
        </w:rPr>
        <w:t xml:space="preserve">реально за счет </w:t>
      </w:r>
      <w:r w:rsidR="00FE1E67">
        <w:rPr>
          <w:rFonts w:ascii="Times New Roman" w:hAnsi="Times New Roman" w:cs="Times New Roman"/>
          <w:sz w:val="28"/>
          <w:szCs w:val="28"/>
        </w:rPr>
        <w:t>использования</w:t>
      </w:r>
      <w:r w:rsidR="00667FF3">
        <w:rPr>
          <w:rFonts w:ascii="Times New Roman" w:hAnsi="Times New Roman" w:cs="Times New Roman"/>
          <w:sz w:val="28"/>
          <w:szCs w:val="28"/>
        </w:rPr>
        <w:t xml:space="preserve"> финансовых коэффициентов в качестве поправочных (таких как: </w:t>
      </w:r>
      <w:r w:rsidR="00667FF3" w:rsidRPr="00667FF3">
        <w:rPr>
          <w:rFonts w:ascii="Times New Roman" w:hAnsi="Times New Roman" w:cs="Times New Roman"/>
          <w:sz w:val="28"/>
          <w:szCs w:val="28"/>
        </w:rPr>
        <w:t>EV/Revenue, EV/EBIT, P/B Ratio</w:t>
      </w:r>
      <w:r w:rsidR="00667FF3">
        <w:rPr>
          <w:rFonts w:ascii="Times New Roman" w:hAnsi="Times New Roman" w:cs="Times New Roman"/>
          <w:sz w:val="28"/>
          <w:szCs w:val="28"/>
        </w:rPr>
        <w:t>)</w:t>
      </w:r>
      <w:r w:rsidR="00DE33F1">
        <w:rPr>
          <w:rFonts w:ascii="Times New Roman" w:hAnsi="Times New Roman" w:cs="Times New Roman"/>
          <w:sz w:val="28"/>
          <w:szCs w:val="28"/>
        </w:rPr>
        <w:t>. Финансовые коэффициенты объективно отражают влияние бренда на по</w:t>
      </w:r>
      <w:r w:rsidR="00DA0738">
        <w:rPr>
          <w:rFonts w:ascii="Times New Roman" w:hAnsi="Times New Roman" w:cs="Times New Roman"/>
          <w:sz w:val="28"/>
          <w:szCs w:val="28"/>
        </w:rPr>
        <w:t>казатели эффективности компании;</w:t>
      </w:r>
    </w:p>
    <w:p w14:paraId="3DD09C34" w14:textId="29F13763" w:rsidR="00525DB2" w:rsidRDefault="00525DB2" w:rsidP="00667FF3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сильное влияние на оценку стоимости бренда оказывает ставка роялти. </w:t>
      </w:r>
      <w:r w:rsidR="00C90F77">
        <w:rPr>
          <w:rFonts w:ascii="Times New Roman" w:hAnsi="Times New Roman" w:cs="Times New Roman"/>
          <w:sz w:val="28"/>
          <w:szCs w:val="28"/>
        </w:rPr>
        <w:t xml:space="preserve">Реальные ставки роялти, применяемые на рынке, публикуются в </w:t>
      </w:r>
      <w:r w:rsidR="004E60A7">
        <w:rPr>
          <w:rFonts w:ascii="Times New Roman" w:hAnsi="Times New Roman" w:cs="Times New Roman"/>
          <w:sz w:val="28"/>
          <w:szCs w:val="28"/>
        </w:rPr>
        <w:t>специализированных базах;</w:t>
      </w:r>
    </w:p>
    <w:p w14:paraId="19BA8073" w14:textId="2E849908" w:rsidR="00DA0738" w:rsidRPr="00667FF3" w:rsidRDefault="00DA0738" w:rsidP="00667FF3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WACC как ставка дисконта </w:t>
      </w:r>
      <w:r w:rsidR="0089343A">
        <w:rPr>
          <w:rFonts w:ascii="Times New Roman" w:hAnsi="Times New Roman" w:cs="Times New Roman"/>
          <w:sz w:val="28"/>
          <w:szCs w:val="28"/>
        </w:rPr>
        <w:t>несправедливо</w:t>
      </w:r>
      <w:r>
        <w:rPr>
          <w:rFonts w:ascii="Times New Roman" w:hAnsi="Times New Roman" w:cs="Times New Roman"/>
          <w:sz w:val="28"/>
          <w:szCs w:val="28"/>
        </w:rPr>
        <w:t xml:space="preserve"> завышает оценку бренда. Для дисконтирования </w:t>
      </w:r>
      <w:r w:rsidR="0089343A">
        <w:rPr>
          <w:rFonts w:ascii="Times New Roman" w:hAnsi="Times New Roman" w:cs="Times New Roman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>потоков, приходящихся на бренд, следует применять норму дохода на нематериальные активы или стоимость собственного капитала.</w:t>
      </w:r>
    </w:p>
    <w:p w14:paraId="3E2EFCFB" w14:textId="1D3757CF" w:rsidR="00581F33" w:rsidRPr="00CE4AE0" w:rsidRDefault="002A0DB2" w:rsidP="00D76629">
      <w:pPr>
        <w:spacing w:line="360" w:lineRule="auto"/>
        <w:jc w:val="both"/>
        <w:rPr>
          <w:rFonts w:ascii="Times New Roman" w:eastAsiaTheme="majorEastAsia" w:hAnsi="Times New Roman" w:cstheme="majorBidi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F33" w:rsidRPr="00D76629">
        <w:rPr>
          <w:rFonts w:ascii="Times New Roman" w:hAnsi="Times New Roman" w:cs="Times New Roman"/>
          <w:sz w:val="28"/>
          <w:szCs w:val="28"/>
        </w:rPr>
        <w:br w:type="page"/>
      </w:r>
    </w:p>
    <w:p w14:paraId="2BABFFE1" w14:textId="77777777" w:rsidR="00581F33" w:rsidRPr="00CE4AE0" w:rsidRDefault="00581F33" w:rsidP="00581F33">
      <w:pPr>
        <w:pStyle w:val="10"/>
        <w:rPr>
          <w:lang w:val="ru-RU"/>
        </w:rPr>
      </w:pPr>
      <w:bookmarkStart w:id="34" w:name="_Toc481137259"/>
      <w:r w:rsidRPr="00CE4AE0">
        <w:rPr>
          <w:lang w:val="ru-RU"/>
        </w:rPr>
        <w:lastRenderedPageBreak/>
        <w:t>Заключение</w:t>
      </w:r>
      <w:bookmarkEnd w:id="34"/>
    </w:p>
    <w:p w14:paraId="57C87094" w14:textId="2E51CA99" w:rsidR="002F5634" w:rsidRPr="00704F5F" w:rsidRDefault="002F5634" w:rsidP="00F771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Бренды уникальны, поэтому достаточно сложно определить их рыночную стоимость. «Как вы отделите бренд от потребителей, которые генерируют продажи?» </w:t>
      </w:r>
      <w:r w:rsidRPr="007B5D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задается вопросом</w:t>
      </w:r>
      <w:r w:rsidR="007D5320">
        <w:rPr>
          <w:rFonts w:ascii="Times New Roman" w:hAnsi="Times New Roman" w:cs="Times New Roman"/>
          <w:sz w:val="28"/>
          <w:szCs w:val="28"/>
        </w:rPr>
        <w:t xml:space="preserve"> Хилари Истме</w:t>
      </w:r>
      <w:r w:rsidR="00704F5F">
        <w:rPr>
          <w:rFonts w:ascii="Times New Roman" w:hAnsi="Times New Roman" w:cs="Times New Roman"/>
          <w:sz w:val="28"/>
          <w:szCs w:val="28"/>
        </w:rPr>
        <w:t xml:space="preserve">н, директор по привлечению клиентов </w:t>
      </w:r>
      <w:r w:rsidR="00704F5F"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="0052286E">
        <w:rPr>
          <w:rStyle w:val="a8"/>
          <w:rFonts w:ascii="Times New Roman" w:hAnsi="Times New Roman" w:cs="Times New Roman"/>
          <w:sz w:val="28"/>
          <w:szCs w:val="28"/>
          <w:lang w:val="en-US"/>
        </w:rPr>
        <w:footnoteReference w:id="55"/>
      </w:r>
      <w:r w:rsidR="00704F5F">
        <w:rPr>
          <w:rFonts w:ascii="Times New Roman" w:hAnsi="Times New Roman" w:cs="Times New Roman"/>
          <w:sz w:val="28"/>
          <w:szCs w:val="28"/>
        </w:rPr>
        <w:t>.</w:t>
      </w:r>
      <w:r w:rsidR="00E44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4144A" w14:textId="30FA68E1" w:rsidR="00581F33" w:rsidRDefault="00482CF2" w:rsidP="00F771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6">
        <w:rPr>
          <w:rFonts w:ascii="Times New Roman" w:hAnsi="Times New Roman" w:cs="Times New Roman"/>
          <w:sz w:val="28"/>
          <w:szCs w:val="28"/>
        </w:rPr>
        <w:t xml:space="preserve">В самом широком смысле бренд – набор </w:t>
      </w:r>
      <w:r w:rsidR="00F771F6">
        <w:rPr>
          <w:rFonts w:ascii="Times New Roman" w:hAnsi="Times New Roman" w:cs="Times New Roman"/>
          <w:sz w:val="28"/>
          <w:szCs w:val="28"/>
        </w:rPr>
        <w:t>ожиданий и мнений клиентов, персонала и других стейкхолдеров об организации и ее продуктах. Однако, рассматривая бренд как актив бизнеса, который можно купить, продать или получить лицензию, требуется более техническое определение.</w:t>
      </w:r>
    </w:p>
    <w:p w14:paraId="5109AF36" w14:textId="347508D1" w:rsidR="00F771F6" w:rsidRDefault="00C332D0" w:rsidP="00F771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Автором была предложена</w:t>
      </w:r>
      <w:r w:rsidR="00F771F6">
        <w:rPr>
          <w:rFonts w:ascii="Times New Roman" w:hAnsi="Times New Roman" w:cs="Times New Roman"/>
          <w:sz w:val="28"/>
          <w:szCs w:val="28"/>
        </w:rPr>
        <w:t xml:space="preserve"> следующая формулировка понятия «бренд»: маркетинговый </w:t>
      </w:r>
      <w:r w:rsidR="00F771F6" w:rsidRPr="007B5DFD">
        <w:rPr>
          <w:rFonts w:ascii="Times New Roman" w:hAnsi="Times New Roman" w:cs="Times New Roman"/>
          <w:sz w:val="28"/>
          <w:szCs w:val="28"/>
        </w:rPr>
        <w:t>нематериальный актив, включающий (но не ограничивающийся</w:t>
      </w:r>
      <w:r w:rsidR="00C26DE9">
        <w:rPr>
          <w:rFonts w:ascii="Times New Roman" w:hAnsi="Times New Roman" w:cs="Times New Roman"/>
          <w:sz w:val="28"/>
          <w:szCs w:val="28"/>
        </w:rPr>
        <w:t xml:space="preserve"> ими</w:t>
      </w:r>
      <w:r w:rsidR="00F771F6" w:rsidRPr="007B5DFD">
        <w:rPr>
          <w:rFonts w:ascii="Times New Roman" w:hAnsi="Times New Roman" w:cs="Times New Roman"/>
          <w:sz w:val="28"/>
          <w:szCs w:val="28"/>
        </w:rPr>
        <w:t>) названия, знаки, символы, логотипы и дизайн, или их комбинацию, предназначенный для идентификации товаров, услуг или организаций и создания образов и ассоциаций у заинтересованных лиц (стейкхолдеров), и таким образом создающий экономическую ценность.</w:t>
      </w:r>
    </w:p>
    <w:p w14:paraId="785C597A" w14:textId="77777777" w:rsidR="00C571E8" w:rsidRDefault="00783787" w:rsidP="00F771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главе настоящей работы были рассмотрены и проанализированы основные методы </w:t>
      </w:r>
      <w:r w:rsidR="00900CAE">
        <w:rPr>
          <w:rFonts w:ascii="Times New Roman" w:hAnsi="Times New Roman" w:cs="Times New Roman"/>
          <w:sz w:val="28"/>
          <w:szCs w:val="28"/>
        </w:rPr>
        <w:t xml:space="preserve">трех подходов к оценке бренда: затратного, доходного, рыночного (сравнительного). </w:t>
      </w:r>
      <w:r w:rsidR="00C571E8">
        <w:rPr>
          <w:rFonts w:ascii="Times New Roman" w:hAnsi="Times New Roman" w:cs="Times New Roman"/>
          <w:sz w:val="28"/>
          <w:szCs w:val="28"/>
        </w:rPr>
        <w:t xml:space="preserve">Автором приведены основные преимущества и недостатки каждого из методов, составлено резюме с подробными характеристиками. </w:t>
      </w:r>
    </w:p>
    <w:p w14:paraId="043CF1A5" w14:textId="17B953FF" w:rsidR="00783787" w:rsidRDefault="00900CAE" w:rsidP="00F771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методов</w:t>
      </w:r>
      <w:r w:rsidR="00495518">
        <w:rPr>
          <w:rFonts w:ascii="Times New Roman" w:hAnsi="Times New Roman" w:cs="Times New Roman"/>
          <w:sz w:val="28"/>
          <w:szCs w:val="28"/>
        </w:rPr>
        <w:t xml:space="preserve"> имеет свои принципы, вводные переменные, сферу применения. Оценки одного и того же бренда, </w:t>
      </w:r>
      <w:r w:rsidR="00C332D0">
        <w:rPr>
          <w:rFonts w:ascii="Times New Roman" w:hAnsi="Times New Roman" w:cs="Times New Roman"/>
          <w:sz w:val="28"/>
          <w:szCs w:val="28"/>
        </w:rPr>
        <w:t>рассчитанные</w:t>
      </w:r>
      <w:r w:rsidR="00495518">
        <w:rPr>
          <w:rFonts w:ascii="Times New Roman" w:hAnsi="Times New Roman" w:cs="Times New Roman"/>
          <w:sz w:val="28"/>
          <w:szCs w:val="28"/>
        </w:rPr>
        <w:t xml:space="preserve"> по различным </w:t>
      </w:r>
      <w:r w:rsidR="00495518">
        <w:rPr>
          <w:rFonts w:ascii="Times New Roman" w:hAnsi="Times New Roman" w:cs="Times New Roman"/>
          <w:sz w:val="28"/>
          <w:szCs w:val="28"/>
        </w:rPr>
        <w:lastRenderedPageBreak/>
        <w:t>методологиям, разными оценщиками, расходятся. Поэтому важно, что</w:t>
      </w:r>
      <w:r w:rsidR="00D76629">
        <w:rPr>
          <w:rFonts w:ascii="Times New Roman" w:hAnsi="Times New Roman" w:cs="Times New Roman"/>
          <w:sz w:val="28"/>
          <w:szCs w:val="28"/>
        </w:rPr>
        <w:t>бы определение цели было первым</w:t>
      </w:r>
      <w:r w:rsidR="00495518">
        <w:rPr>
          <w:rFonts w:ascii="Times New Roman" w:hAnsi="Times New Roman" w:cs="Times New Roman"/>
          <w:sz w:val="28"/>
          <w:szCs w:val="28"/>
        </w:rPr>
        <w:t xml:space="preserve"> шагом при оценке брендов. Заранее выдвинутые требования к оценке, а также анализ доступной информации сужают круг возможных методов, которые могут применяться в данной хозяйственной ситуации.</w:t>
      </w:r>
    </w:p>
    <w:p w14:paraId="56C31A38" w14:textId="00924166" w:rsidR="00197D75" w:rsidRPr="00F95D91" w:rsidRDefault="00C571E8" w:rsidP="00F771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анализа научной литературы был сделан вывод о том, что смешанный подход является наиболее точным в определении оценки стоимости бренда. </w:t>
      </w:r>
      <w:r w:rsidR="00F95D91">
        <w:rPr>
          <w:rFonts w:ascii="Times New Roman" w:hAnsi="Times New Roman" w:cs="Times New Roman"/>
          <w:sz w:val="28"/>
          <w:szCs w:val="28"/>
        </w:rPr>
        <w:t>Наиболее часто применяющимся среди методов смешанного подхода является метод освобождения от роялти и его производные. Несмотря на высокие оценки практиков, низкую степень субъективности вариации одного и того же метода освобождения от роялти ведут к результатам с 16,3</w:t>
      </w:r>
      <w:r w:rsidR="00103F89">
        <w:rPr>
          <w:rFonts w:ascii="Times New Roman" w:hAnsi="Times New Roman" w:cs="Times New Roman"/>
          <w:sz w:val="28"/>
          <w:szCs w:val="28"/>
        </w:rPr>
        <w:t xml:space="preserve">% </w:t>
      </w:r>
      <w:r w:rsidR="00F95D91">
        <w:rPr>
          <w:rFonts w:ascii="Times New Roman" w:hAnsi="Times New Roman" w:cs="Times New Roman"/>
          <w:sz w:val="28"/>
          <w:szCs w:val="28"/>
        </w:rPr>
        <w:t>разницей</w:t>
      </w:r>
      <w:r w:rsidR="000E163A">
        <w:rPr>
          <w:rFonts w:ascii="Times New Roman" w:hAnsi="Times New Roman" w:cs="Times New Roman"/>
          <w:sz w:val="28"/>
          <w:szCs w:val="28"/>
        </w:rPr>
        <w:t xml:space="preserve"> для одного и того же бренда</w:t>
      </w:r>
      <w:r w:rsidR="00F95D91">
        <w:rPr>
          <w:rFonts w:ascii="Times New Roman" w:hAnsi="Times New Roman" w:cs="Times New Roman"/>
          <w:sz w:val="28"/>
          <w:szCs w:val="28"/>
        </w:rPr>
        <w:t>.</w:t>
      </w:r>
    </w:p>
    <w:p w14:paraId="3CA0B87E" w14:textId="4D455F0F" w:rsidR="00A642C7" w:rsidRPr="005C13CC" w:rsidRDefault="001352EE" w:rsidP="004151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заключительной главе была проведена финансовая оценка бренда «Сбербанк» методом освобождения от роялти. </w:t>
      </w:r>
      <w:r w:rsidR="00A642C7">
        <w:rPr>
          <w:rFonts w:ascii="Times New Roman" w:hAnsi="Times New Roman" w:cs="Times New Roman"/>
          <w:sz w:val="28"/>
          <w:szCs w:val="28"/>
        </w:rPr>
        <w:t xml:space="preserve">На 31 декабря 2016 года бренд оценивается в 420,9 млрд рублей или 6,9 млрд долларов. Точность конечного результата зависит от сделанных предположений: выбор подходящей ставки роялти, правильный расчет ставки дисконтирования, прогноз будущих доходов компании. Оценка стоимости бренда оказалась наиболее чувствительна к ставке роялти. </w:t>
      </w:r>
      <w:r w:rsidR="005C13CC">
        <w:rPr>
          <w:rFonts w:ascii="Times New Roman" w:hAnsi="Times New Roman" w:cs="Times New Roman"/>
          <w:sz w:val="28"/>
          <w:szCs w:val="28"/>
        </w:rPr>
        <w:t>Установив</w:t>
      </w:r>
      <w:r w:rsidR="00A642C7">
        <w:rPr>
          <w:rFonts w:ascii="Times New Roman" w:hAnsi="Times New Roman" w:cs="Times New Roman"/>
          <w:sz w:val="28"/>
          <w:szCs w:val="28"/>
        </w:rPr>
        <w:t xml:space="preserve"> </w:t>
      </w:r>
      <w:r w:rsidR="005C13CC">
        <w:rPr>
          <w:rFonts w:ascii="Times New Roman" w:hAnsi="Times New Roman" w:cs="Times New Roman"/>
          <w:sz w:val="28"/>
          <w:szCs w:val="28"/>
        </w:rPr>
        <w:t>ставку</w:t>
      </w:r>
      <w:r w:rsidR="00A642C7">
        <w:rPr>
          <w:rFonts w:ascii="Times New Roman" w:hAnsi="Times New Roman" w:cs="Times New Roman"/>
          <w:sz w:val="28"/>
          <w:szCs w:val="28"/>
        </w:rPr>
        <w:t xml:space="preserve"> роялти на 0,3 п.</w:t>
      </w:r>
      <w:r w:rsidR="00D76629">
        <w:rPr>
          <w:rFonts w:ascii="Times New Roman" w:hAnsi="Times New Roman" w:cs="Times New Roman"/>
          <w:sz w:val="28"/>
          <w:szCs w:val="28"/>
        </w:rPr>
        <w:t xml:space="preserve"> </w:t>
      </w:r>
      <w:r w:rsidR="00A642C7">
        <w:rPr>
          <w:rFonts w:ascii="Times New Roman" w:hAnsi="Times New Roman" w:cs="Times New Roman"/>
          <w:sz w:val="28"/>
          <w:szCs w:val="28"/>
        </w:rPr>
        <w:t xml:space="preserve">п. </w:t>
      </w:r>
      <w:r w:rsidR="005C13CC">
        <w:rPr>
          <w:rFonts w:ascii="Times New Roman" w:hAnsi="Times New Roman" w:cs="Times New Roman"/>
          <w:sz w:val="28"/>
          <w:szCs w:val="28"/>
        </w:rPr>
        <w:t xml:space="preserve">выше или ниже выбранного значения, </w:t>
      </w:r>
      <w:r w:rsidR="00A642C7">
        <w:rPr>
          <w:rFonts w:ascii="Times New Roman" w:hAnsi="Times New Roman" w:cs="Times New Roman"/>
          <w:sz w:val="28"/>
          <w:szCs w:val="28"/>
        </w:rPr>
        <w:t>оценка стоимости бренда изменяется на 19</w:t>
      </w:r>
      <w:r w:rsidR="00A642C7" w:rsidRPr="00CE4AE0">
        <w:rPr>
          <w:rFonts w:ascii="Times New Roman" w:hAnsi="Times New Roman" w:cs="Times New Roman"/>
          <w:sz w:val="28"/>
          <w:szCs w:val="28"/>
        </w:rPr>
        <w:t>% от полученного результата</w:t>
      </w:r>
      <w:r w:rsidR="005C13CC" w:rsidRPr="00CE4AE0">
        <w:rPr>
          <w:rFonts w:ascii="Times New Roman" w:hAnsi="Times New Roman" w:cs="Times New Roman"/>
          <w:sz w:val="28"/>
          <w:szCs w:val="28"/>
        </w:rPr>
        <w:t>.</w:t>
      </w:r>
      <w:r w:rsidR="005C13CC">
        <w:rPr>
          <w:rFonts w:ascii="Times New Roman" w:hAnsi="Times New Roman" w:cs="Times New Roman"/>
          <w:sz w:val="28"/>
          <w:szCs w:val="28"/>
        </w:rPr>
        <w:t xml:space="preserve"> </w:t>
      </w:r>
      <w:r w:rsidR="00A642C7">
        <w:rPr>
          <w:rFonts w:ascii="Times New Roman" w:hAnsi="Times New Roman" w:cs="Times New Roman"/>
          <w:sz w:val="28"/>
          <w:szCs w:val="28"/>
        </w:rPr>
        <w:t>Отклонение в 1 п.</w:t>
      </w:r>
      <w:r w:rsidR="00D76629">
        <w:rPr>
          <w:rFonts w:ascii="Times New Roman" w:hAnsi="Times New Roman" w:cs="Times New Roman"/>
          <w:sz w:val="28"/>
          <w:szCs w:val="28"/>
        </w:rPr>
        <w:t xml:space="preserve"> </w:t>
      </w:r>
      <w:r w:rsidR="00A642C7">
        <w:rPr>
          <w:rFonts w:ascii="Times New Roman" w:hAnsi="Times New Roman" w:cs="Times New Roman"/>
          <w:sz w:val="28"/>
          <w:szCs w:val="28"/>
        </w:rPr>
        <w:t xml:space="preserve">п. </w:t>
      </w:r>
      <w:r w:rsidR="005C13CC">
        <w:rPr>
          <w:rFonts w:ascii="Times New Roman" w:hAnsi="Times New Roman" w:cs="Times New Roman"/>
          <w:sz w:val="28"/>
          <w:szCs w:val="28"/>
        </w:rPr>
        <w:t>от выбранной ставки дисконтирования</w:t>
      </w:r>
      <w:r w:rsidR="00A642C7">
        <w:rPr>
          <w:rFonts w:ascii="Times New Roman" w:hAnsi="Times New Roman" w:cs="Times New Roman"/>
          <w:sz w:val="28"/>
          <w:szCs w:val="28"/>
        </w:rPr>
        <w:t xml:space="preserve"> </w:t>
      </w:r>
      <w:r w:rsidR="005C13CC">
        <w:rPr>
          <w:rFonts w:ascii="Times New Roman" w:hAnsi="Times New Roman" w:cs="Times New Roman"/>
          <w:sz w:val="28"/>
          <w:szCs w:val="28"/>
        </w:rPr>
        <w:t>приведет к изменению</w:t>
      </w:r>
      <w:r w:rsidR="00A642C7">
        <w:rPr>
          <w:rFonts w:ascii="Times New Roman" w:hAnsi="Times New Roman" w:cs="Times New Roman"/>
          <w:sz w:val="28"/>
          <w:szCs w:val="28"/>
        </w:rPr>
        <w:t xml:space="preserve"> стоимости бренда на 7%</w:t>
      </w:r>
      <w:r w:rsidR="005C13CC">
        <w:rPr>
          <w:rFonts w:ascii="Times New Roman" w:hAnsi="Times New Roman" w:cs="Times New Roman"/>
          <w:sz w:val="28"/>
          <w:szCs w:val="28"/>
        </w:rPr>
        <w:t xml:space="preserve">. Наименьшее влияние на вариабельность стоимости оказывает прогноз условно постоянного темпа роста (для расчета терминальной стоимости) – изменение результата на </w:t>
      </w:r>
      <w:r w:rsidR="005C13CC" w:rsidRPr="00CE4AE0">
        <w:rPr>
          <w:rFonts w:ascii="Times New Roman" w:hAnsi="Times New Roman" w:cs="Times New Roman"/>
          <w:sz w:val="28"/>
          <w:szCs w:val="28"/>
        </w:rPr>
        <w:t xml:space="preserve">6% </w:t>
      </w:r>
      <w:r w:rsidR="005C13CC">
        <w:rPr>
          <w:rFonts w:ascii="Times New Roman" w:hAnsi="Times New Roman" w:cs="Times New Roman"/>
          <w:sz w:val="28"/>
          <w:szCs w:val="28"/>
        </w:rPr>
        <w:t>при отклонении на 1 п.</w:t>
      </w:r>
      <w:r w:rsidR="00D76629">
        <w:rPr>
          <w:rFonts w:ascii="Times New Roman" w:hAnsi="Times New Roman" w:cs="Times New Roman"/>
          <w:sz w:val="28"/>
          <w:szCs w:val="28"/>
        </w:rPr>
        <w:t xml:space="preserve"> </w:t>
      </w:r>
      <w:r w:rsidR="005C13CC">
        <w:rPr>
          <w:rFonts w:ascii="Times New Roman" w:hAnsi="Times New Roman" w:cs="Times New Roman"/>
          <w:sz w:val="28"/>
          <w:szCs w:val="28"/>
        </w:rPr>
        <w:t>п.</w:t>
      </w:r>
    </w:p>
    <w:p w14:paraId="05BF1F53" w14:textId="77777777" w:rsidR="000E163A" w:rsidRDefault="00E46B7B" w:rsidP="004151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 был определен наиболее вероятный диапазон стоимости бренда «Сбербанк».</w:t>
      </w:r>
    </w:p>
    <w:p w14:paraId="584CBF9D" w14:textId="77777777" w:rsidR="00E44A21" w:rsidRDefault="00E44A21" w:rsidP="004151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E163A">
        <w:rPr>
          <w:rFonts w:ascii="Times New Roman" w:hAnsi="Times New Roman" w:cs="Times New Roman"/>
          <w:sz w:val="28"/>
          <w:szCs w:val="28"/>
        </w:rPr>
        <w:t>инансовая оценка бренда по-прежнему является одним из наиболее актуальных и спорных предметов исследования в маркетинге.</w:t>
      </w:r>
      <w:r w:rsidR="00FC3CAC">
        <w:rPr>
          <w:rFonts w:ascii="Times New Roman" w:hAnsi="Times New Roman" w:cs="Times New Roman"/>
          <w:sz w:val="28"/>
          <w:szCs w:val="28"/>
        </w:rPr>
        <w:t xml:space="preserve"> Совершенствование методов оценки ведет лишь к </w:t>
      </w:r>
      <w:r w:rsidR="00F00260">
        <w:rPr>
          <w:rFonts w:ascii="Times New Roman" w:hAnsi="Times New Roman" w:cs="Times New Roman"/>
          <w:sz w:val="28"/>
          <w:szCs w:val="28"/>
        </w:rPr>
        <w:t xml:space="preserve">достижению консенсуса между заказчиком оценки и </w:t>
      </w:r>
      <w:r w:rsidR="001F03A3">
        <w:rPr>
          <w:rFonts w:ascii="Times New Roman" w:hAnsi="Times New Roman" w:cs="Times New Roman"/>
          <w:sz w:val="28"/>
          <w:szCs w:val="28"/>
        </w:rPr>
        <w:t>иных заинтересованных лиц</w:t>
      </w:r>
      <w:r w:rsidR="00FC3CAC">
        <w:rPr>
          <w:rFonts w:ascii="Times New Roman" w:hAnsi="Times New Roman" w:cs="Times New Roman"/>
          <w:sz w:val="28"/>
          <w:szCs w:val="28"/>
        </w:rPr>
        <w:t xml:space="preserve">, </w:t>
      </w:r>
      <w:r w:rsidR="001F03A3">
        <w:rPr>
          <w:rFonts w:ascii="Times New Roman" w:hAnsi="Times New Roman" w:cs="Times New Roman"/>
          <w:sz w:val="28"/>
          <w:szCs w:val="28"/>
        </w:rPr>
        <w:t>при этом</w:t>
      </w:r>
      <w:r w:rsidR="00FC3CAC">
        <w:rPr>
          <w:rFonts w:ascii="Times New Roman" w:hAnsi="Times New Roman" w:cs="Times New Roman"/>
          <w:sz w:val="28"/>
          <w:szCs w:val="28"/>
        </w:rPr>
        <w:t xml:space="preserve"> точная стоимость не может быть определена в силу </w:t>
      </w:r>
      <w:r w:rsidR="001F03A3">
        <w:rPr>
          <w:rFonts w:ascii="Times New Roman" w:hAnsi="Times New Roman" w:cs="Times New Roman"/>
          <w:sz w:val="28"/>
          <w:szCs w:val="28"/>
        </w:rPr>
        <w:t xml:space="preserve">характерной </w:t>
      </w:r>
      <w:r w:rsidR="00FC3CAC">
        <w:rPr>
          <w:rFonts w:ascii="Times New Roman" w:hAnsi="Times New Roman" w:cs="Times New Roman"/>
          <w:sz w:val="28"/>
          <w:szCs w:val="28"/>
        </w:rPr>
        <w:t>нематериальной природы бренда.</w:t>
      </w:r>
    </w:p>
    <w:p w14:paraId="660AFB2D" w14:textId="7D256E67" w:rsidR="00581F33" w:rsidRPr="00CE4AE0" w:rsidRDefault="00E44A21" w:rsidP="004151D1">
      <w:pPr>
        <w:spacing w:line="360" w:lineRule="auto"/>
        <w:ind w:firstLine="709"/>
        <w:jc w:val="both"/>
        <w:rPr>
          <w:rFonts w:ascii="Times New Roman" w:eastAsiaTheme="majorEastAsia" w:hAnsi="Times New Roman" w:cstheme="majorBidi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отметим, что стоимость бренда невидима, пока он создается внутри компании. </w:t>
      </w:r>
      <w:r w:rsidR="00AE7616">
        <w:rPr>
          <w:rFonts w:ascii="Times New Roman" w:hAnsi="Times New Roman" w:cs="Times New Roman"/>
          <w:sz w:val="28"/>
          <w:szCs w:val="28"/>
        </w:rPr>
        <w:t>Она</w:t>
      </w:r>
      <w:bookmarkStart w:id="35" w:name="_GoBack"/>
      <w:bookmarkEnd w:id="35"/>
      <w:r w:rsidR="00B63300">
        <w:rPr>
          <w:rFonts w:ascii="Times New Roman" w:hAnsi="Times New Roman" w:cs="Times New Roman"/>
          <w:sz w:val="28"/>
          <w:szCs w:val="28"/>
        </w:rPr>
        <w:t xml:space="preserve"> </w:t>
      </w:r>
      <w:r w:rsidR="00365000">
        <w:rPr>
          <w:rFonts w:ascii="Times New Roman" w:hAnsi="Times New Roman" w:cs="Times New Roman"/>
          <w:sz w:val="28"/>
          <w:szCs w:val="28"/>
        </w:rPr>
        <w:t>определяется</w:t>
      </w:r>
      <w:r w:rsidR="00B63300">
        <w:rPr>
          <w:rFonts w:ascii="Times New Roman" w:hAnsi="Times New Roman" w:cs="Times New Roman"/>
          <w:sz w:val="28"/>
          <w:szCs w:val="28"/>
        </w:rPr>
        <w:t>, когда другая компания его покупает.</w:t>
      </w:r>
      <w:r w:rsidR="00581F33">
        <w:br w:type="page"/>
      </w:r>
    </w:p>
    <w:p w14:paraId="4E52D234" w14:textId="1CDCC096" w:rsidR="00581F33" w:rsidRPr="00C332D0" w:rsidRDefault="00581F33" w:rsidP="00581F33">
      <w:pPr>
        <w:pStyle w:val="10"/>
        <w:rPr>
          <w:lang w:val="ru-RU"/>
        </w:rPr>
      </w:pPr>
      <w:bookmarkStart w:id="36" w:name="_Toc481137260"/>
      <w:r w:rsidRPr="00C332D0">
        <w:rPr>
          <w:lang w:val="ru-RU"/>
        </w:rPr>
        <w:lastRenderedPageBreak/>
        <w:t>Список использованн</w:t>
      </w:r>
      <w:r w:rsidR="005C22E4" w:rsidRPr="00C332D0">
        <w:rPr>
          <w:lang w:val="ru-RU"/>
        </w:rPr>
        <w:t>ой литературы</w:t>
      </w:r>
      <w:bookmarkEnd w:id="36"/>
    </w:p>
    <w:p w14:paraId="6C8FAC53" w14:textId="34D500B0" w:rsidR="00322ED0" w:rsidRPr="004C5BF1" w:rsidRDefault="00322ED0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>Аакер Д. Создание сильных брендов. - М.: Издательский Дом Гребенникова, 2008. - 440 с.</w:t>
      </w:r>
    </w:p>
    <w:p w14:paraId="5A56E690" w14:textId="448B7B89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 xml:space="preserve">Аакер Д., Йохимштайлер Э. Бренд-лидерство: новая концепция брендинга. </w:t>
      </w:r>
      <w:r w:rsidR="00587D8E" w:rsidRPr="004C5BF1">
        <w:rPr>
          <w:rFonts w:ascii="Times New Roman" w:hAnsi="Times New Roman" w:cs="Times New Roman"/>
          <w:sz w:val="28"/>
          <w:szCs w:val="28"/>
        </w:rPr>
        <w:t>– М.: Издательский</w:t>
      </w:r>
      <w:r w:rsidRPr="004C5BF1">
        <w:rPr>
          <w:rFonts w:ascii="Times New Roman" w:hAnsi="Times New Roman" w:cs="Times New Roman"/>
          <w:sz w:val="28"/>
          <w:szCs w:val="28"/>
        </w:rPr>
        <w:t xml:space="preserve"> Дом Гребенникова, 2003. 380 с. </w:t>
      </w:r>
    </w:p>
    <w:p w14:paraId="42DFF69E" w14:textId="79CBD921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>Валдайцев С.В. Оценка бизнеса.</w:t>
      </w:r>
      <w:r w:rsidR="00CC08A0" w:rsidRPr="004C5BF1">
        <w:rPr>
          <w:rFonts w:ascii="Times New Roman" w:hAnsi="Times New Roman" w:cs="Times New Roman"/>
          <w:sz w:val="28"/>
          <w:szCs w:val="28"/>
        </w:rPr>
        <w:t xml:space="preserve"> – </w:t>
      </w:r>
      <w:r w:rsidRPr="004C5BF1">
        <w:rPr>
          <w:rFonts w:ascii="Times New Roman" w:hAnsi="Times New Roman" w:cs="Times New Roman"/>
          <w:sz w:val="28"/>
          <w:szCs w:val="28"/>
        </w:rPr>
        <w:t xml:space="preserve"> СПб.: Проспект, 2008. 576 с.</w:t>
      </w:r>
    </w:p>
    <w:p w14:paraId="2504D727" w14:textId="4CA14ECA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>Валдайцев, С. В. Оценка интел</w:t>
      </w:r>
      <w:r w:rsidR="00921379" w:rsidRPr="004C5BF1">
        <w:rPr>
          <w:rFonts w:ascii="Times New Roman" w:hAnsi="Times New Roman" w:cs="Times New Roman"/>
          <w:sz w:val="28"/>
          <w:szCs w:val="28"/>
        </w:rPr>
        <w:t>лектуальной собственности. – М.</w:t>
      </w:r>
      <w:r w:rsidRPr="004C5BF1">
        <w:rPr>
          <w:rFonts w:ascii="Times New Roman" w:hAnsi="Times New Roman" w:cs="Times New Roman"/>
          <w:sz w:val="28"/>
          <w:szCs w:val="28"/>
        </w:rPr>
        <w:t>: Экономика, 2009. – 470 с.</w:t>
      </w:r>
    </w:p>
    <w:p w14:paraId="1EA77B92" w14:textId="77777777" w:rsidR="0051381E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 xml:space="preserve">Дойль П. Маркетинг, ориентированный на стоимость. </w:t>
      </w:r>
      <w:r w:rsidR="00CC08A0" w:rsidRPr="004C5BF1">
        <w:rPr>
          <w:rFonts w:ascii="Times New Roman" w:hAnsi="Times New Roman" w:cs="Times New Roman"/>
          <w:sz w:val="28"/>
          <w:szCs w:val="28"/>
        </w:rPr>
        <w:t xml:space="preserve">– </w:t>
      </w:r>
      <w:r w:rsidRPr="004C5BF1">
        <w:rPr>
          <w:rFonts w:ascii="Times New Roman" w:hAnsi="Times New Roman" w:cs="Times New Roman"/>
          <w:sz w:val="28"/>
          <w:szCs w:val="28"/>
        </w:rPr>
        <w:t>СПб.: Питер, 2001. 480 с.</w:t>
      </w:r>
    </w:p>
    <w:p w14:paraId="72B5435E" w14:textId="0FA30ABC" w:rsidR="0051381E" w:rsidRPr="004C5BF1" w:rsidRDefault="0051381E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Дэвис С. М. Управление активами торговой </w:t>
      </w:r>
      <w:r w:rsidR="008C1914" w:rsidRPr="004C5BF1">
        <w:rPr>
          <w:rFonts w:ascii="Times New Roman" w:hAnsi="Times New Roman" w:cs="Times New Roman"/>
          <w:color w:val="000000" w:themeColor="text1"/>
          <w:sz w:val="28"/>
          <w:szCs w:val="28"/>
        </w:rPr>
        <w:t>марки. – СПБ.: Питер, 2001. 272 с.</w:t>
      </w:r>
    </w:p>
    <w:p w14:paraId="41B7CF53" w14:textId="36110548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>Келлер К. Стратегический брэнд-менеджмент: создание, оценка и управление марочным капиталом.</w:t>
      </w:r>
      <w:r w:rsidR="00CC08A0" w:rsidRPr="004C5BF1">
        <w:rPr>
          <w:rFonts w:ascii="Times New Roman" w:hAnsi="Times New Roman" w:cs="Times New Roman"/>
          <w:sz w:val="28"/>
          <w:szCs w:val="28"/>
        </w:rPr>
        <w:t xml:space="preserve"> –</w:t>
      </w:r>
      <w:r w:rsidRPr="004C5BF1">
        <w:rPr>
          <w:rFonts w:ascii="Times New Roman" w:hAnsi="Times New Roman" w:cs="Times New Roman"/>
          <w:sz w:val="28"/>
          <w:szCs w:val="28"/>
        </w:rPr>
        <w:t xml:space="preserve"> М., 2005.</w:t>
      </w:r>
      <w:r w:rsidR="0051381E" w:rsidRPr="004C5BF1">
        <w:rPr>
          <w:rFonts w:ascii="Times New Roman" w:hAnsi="Times New Roman" w:cs="Times New Roman"/>
          <w:sz w:val="28"/>
          <w:szCs w:val="28"/>
        </w:rPr>
        <w:t xml:space="preserve"> 704 с.</w:t>
      </w:r>
    </w:p>
    <w:p w14:paraId="439977AC" w14:textId="541B01BE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 xml:space="preserve">Котлер Ф., Келлер К. Маркетинг. Менеджмент. </w:t>
      </w:r>
      <w:r w:rsidR="00CC08A0" w:rsidRPr="004C5BF1">
        <w:rPr>
          <w:rFonts w:ascii="Times New Roman" w:hAnsi="Times New Roman" w:cs="Times New Roman"/>
          <w:sz w:val="28"/>
          <w:szCs w:val="28"/>
        </w:rPr>
        <w:t xml:space="preserve">– </w:t>
      </w:r>
      <w:r w:rsidRPr="004C5BF1">
        <w:rPr>
          <w:rFonts w:ascii="Times New Roman" w:hAnsi="Times New Roman" w:cs="Times New Roman"/>
          <w:sz w:val="28"/>
          <w:szCs w:val="28"/>
        </w:rPr>
        <w:t>СПб.: Наука, 1996. 589 с.</w:t>
      </w:r>
    </w:p>
    <w:p w14:paraId="6BDD5620" w14:textId="77777777" w:rsidR="0041525F" w:rsidRPr="004C5BF1" w:rsidRDefault="009C169E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>Котляров И. Д. Оценка стоимости бренда и классификация брендов // Практический маркетинг. - 2011. - №7 (173). – С. 11-17.</w:t>
      </w:r>
    </w:p>
    <w:p w14:paraId="40339B79" w14:textId="41215D9F" w:rsidR="0041525F" w:rsidRPr="004C5BF1" w:rsidRDefault="0041525F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>Леонтьев Ю. Б. Техника профессиональной оценки ИС и Н</w:t>
      </w:r>
      <w:r w:rsidR="00166AA8" w:rsidRPr="004C5BF1">
        <w:rPr>
          <w:rFonts w:ascii="Times New Roman" w:hAnsi="Times New Roman" w:cs="Times New Roman"/>
          <w:sz w:val="28"/>
          <w:szCs w:val="28"/>
        </w:rPr>
        <w:t>МА. - М.: Октопус, 2005. - С. 9-15</w:t>
      </w:r>
      <w:r w:rsidRPr="004C5BF1">
        <w:rPr>
          <w:rFonts w:ascii="Times New Roman" w:hAnsi="Times New Roman" w:cs="Times New Roman"/>
          <w:sz w:val="28"/>
          <w:szCs w:val="28"/>
        </w:rPr>
        <w:t>.</w:t>
      </w:r>
    </w:p>
    <w:p w14:paraId="63BE86BE" w14:textId="77777777" w:rsidR="00805BC5" w:rsidRPr="004C5BF1" w:rsidRDefault="00805BC5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 xml:space="preserve">Макшанов С.И. Управление нематериальным капиталом как стратегический императив бизнеса новой экономики / С.И. Макшанов, Д.А. Козейчук // Бренд-менеджмент. – 2007. - No 06(37). – С. 362-368. </w:t>
      </w:r>
    </w:p>
    <w:p w14:paraId="70433CD3" w14:textId="721BAEDA" w:rsidR="00805BC5" w:rsidRPr="004C5BF1" w:rsidRDefault="00805BC5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>Методические рекомендации по оценке стоимости нематериальных активов и интеллектуальной собственности // Система нормативных и методических документов Российского общества оценщиков URL: http://samroo.ru/sites/share/fso/snmd_roo_04-030-</w:t>
      </w:r>
      <w:r w:rsidRPr="004C5BF1">
        <w:rPr>
          <w:rFonts w:ascii="Times New Roman" w:hAnsi="Times New Roman" w:cs="Times New Roman"/>
          <w:sz w:val="28"/>
          <w:szCs w:val="28"/>
        </w:rPr>
        <w:lastRenderedPageBreak/>
        <w:t>2015_metodicheskie_rekomendacii_po_ocenke_stoimosti_nematerialnyh_aktivov_i_intellektualnoy_sobstvennosti.pdf (дата обращения: 05.09.2016).</w:t>
      </w:r>
    </w:p>
    <w:p w14:paraId="517339A4" w14:textId="77777777" w:rsidR="00805BC5" w:rsidRPr="004C5BF1" w:rsidRDefault="00805BC5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1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914" w:rsidRPr="004C5BF1">
        <w:rPr>
          <w:rFonts w:ascii="Times New Roman" w:hAnsi="Times New Roman" w:cs="Times New Roman"/>
          <w:color w:val="000000" w:themeColor="text1"/>
          <w:sz w:val="28"/>
          <w:szCs w:val="28"/>
        </w:rPr>
        <w:t>МСФО</w:t>
      </w:r>
      <w:r w:rsidR="008C1914" w:rsidRPr="004C5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(IAS) 38 </w:t>
      </w:r>
      <w:r w:rsidR="008C1914" w:rsidRPr="004C5BF1">
        <w:rPr>
          <w:rFonts w:ascii="Times New Roman" w:hAnsi="Times New Roman" w:cs="Times New Roman"/>
          <w:color w:val="000000" w:themeColor="text1"/>
          <w:sz w:val="28"/>
          <w:szCs w:val="28"/>
        </w:rPr>
        <w:t>Нематериальные</w:t>
      </w:r>
      <w:r w:rsidR="008C1914" w:rsidRPr="004C5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C1914" w:rsidRPr="004C5BF1">
        <w:rPr>
          <w:rFonts w:ascii="Times New Roman" w:hAnsi="Times New Roman" w:cs="Times New Roman"/>
          <w:color w:val="000000" w:themeColor="text1"/>
          <w:sz w:val="28"/>
          <w:szCs w:val="28"/>
        </w:rPr>
        <w:t>активы</w:t>
      </w:r>
      <w:r w:rsidR="008C1914" w:rsidRPr="004C5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(Intangible assets) // ADE Professional Solutions URL: http://www.ade-solutions.com/sites/default/files/ias_38_version02.pdf (</w:t>
      </w:r>
      <w:r w:rsidR="008C1914" w:rsidRPr="004C5BF1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8C1914" w:rsidRPr="004C5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C1914" w:rsidRPr="004C5BF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="008C1914" w:rsidRPr="004C5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21.10.2016).</w:t>
      </w:r>
    </w:p>
    <w:p w14:paraId="0A4E9D1A" w14:textId="38BAB9DB" w:rsidR="00805BC5" w:rsidRPr="004C5BF1" w:rsidRDefault="00805BC5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>Рейли Р., Швайс Р. Оценка нематериальных активов. - М.: КВИНТО-КОНСАЛТИНГ, 2005. 792 с.</w:t>
      </w:r>
    </w:p>
    <w:p w14:paraId="65137993" w14:textId="30038CD0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>Рудая Е</w:t>
      </w:r>
      <w:r w:rsidR="009C169E" w:rsidRPr="004C5BF1">
        <w:rPr>
          <w:rFonts w:ascii="Times New Roman" w:hAnsi="Times New Roman" w:cs="Times New Roman"/>
          <w:sz w:val="28"/>
          <w:szCs w:val="28"/>
        </w:rPr>
        <w:t>. Л</w:t>
      </w:r>
      <w:r w:rsidRPr="004C5BF1">
        <w:rPr>
          <w:rFonts w:ascii="Times New Roman" w:hAnsi="Times New Roman" w:cs="Times New Roman"/>
          <w:sz w:val="28"/>
          <w:szCs w:val="28"/>
        </w:rPr>
        <w:t>. Бр</w:t>
      </w:r>
      <w:r w:rsidR="00E72D88" w:rsidRPr="004C5BF1">
        <w:rPr>
          <w:rFonts w:ascii="Times New Roman" w:hAnsi="Times New Roman" w:cs="Times New Roman"/>
          <w:sz w:val="28"/>
          <w:szCs w:val="28"/>
        </w:rPr>
        <w:t>енд-менеджмент во внутрифирмен</w:t>
      </w:r>
      <w:r w:rsidRPr="004C5BF1">
        <w:rPr>
          <w:rFonts w:ascii="Times New Roman" w:hAnsi="Times New Roman" w:cs="Times New Roman"/>
          <w:sz w:val="28"/>
          <w:szCs w:val="28"/>
        </w:rPr>
        <w:t>ном управлен</w:t>
      </w:r>
      <w:r w:rsidR="009C169E" w:rsidRPr="004C5BF1">
        <w:rPr>
          <w:rFonts w:ascii="Times New Roman" w:hAnsi="Times New Roman" w:cs="Times New Roman"/>
          <w:sz w:val="28"/>
          <w:szCs w:val="28"/>
        </w:rPr>
        <w:t>ии // Бренд-менеджмент. 2002. – №</w:t>
      </w:r>
      <w:r w:rsidRPr="004C5BF1">
        <w:rPr>
          <w:rFonts w:ascii="Times New Roman" w:hAnsi="Times New Roman" w:cs="Times New Roman"/>
          <w:sz w:val="28"/>
          <w:szCs w:val="28"/>
        </w:rPr>
        <w:t xml:space="preserve"> 3 (7). </w:t>
      </w:r>
      <w:r w:rsidR="009C169E" w:rsidRPr="004C5BF1">
        <w:rPr>
          <w:rFonts w:ascii="Times New Roman" w:hAnsi="Times New Roman" w:cs="Times New Roman"/>
          <w:sz w:val="28"/>
          <w:szCs w:val="28"/>
        </w:rPr>
        <w:t xml:space="preserve">– </w:t>
      </w:r>
      <w:r w:rsidRPr="004C5BF1">
        <w:rPr>
          <w:rFonts w:ascii="Times New Roman" w:hAnsi="Times New Roman" w:cs="Times New Roman"/>
          <w:sz w:val="28"/>
          <w:szCs w:val="28"/>
        </w:rPr>
        <w:t>С. 38–45.</w:t>
      </w:r>
    </w:p>
    <w:p w14:paraId="372BF27D" w14:textId="275471D7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</w:rPr>
        <w:t>Старов</w:t>
      </w:r>
      <w:r w:rsidR="009C169E" w:rsidRPr="004C5BF1">
        <w:rPr>
          <w:rFonts w:ascii="Times New Roman" w:hAnsi="Times New Roman" w:cs="Times New Roman"/>
          <w:sz w:val="28"/>
          <w:szCs w:val="28"/>
        </w:rPr>
        <w:t xml:space="preserve"> С. А</w:t>
      </w:r>
      <w:r w:rsidRPr="004C5BF1">
        <w:rPr>
          <w:rFonts w:ascii="Times New Roman" w:hAnsi="Times New Roman" w:cs="Times New Roman"/>
          <w:sz w:val="28"/>
          <w:szCs w:val="28"/>
        </w:rPr>
        <w:t>. Управление брендами.</w:t>
      </w:r>
      <w:r w:rsidR="009C169E" w:rsidRPr="004C5BF1">
        <w:rPr>
          <w:rFonts w:ascii="Times New Roman" w:hAnsi="Times New Roman" w:cs="Times New Roman"/>
          <w:sz w:val="28"/>
          <w:szCs w:val="28"/>
        </w:rPr>
        <w:t xml:space="preserve"> – </w:t>
      </w:r>
      <w:r w:rsidRPr="004C5BF1">
        <w:rPr>
          <w:rFonts w:ascii="Times New Roman" w:hAnsi="Times New Roman" w:cs="Times New Roman"/>
          <w:sz w:val="28"/>
          <w:szCs w:val="28"/>
        </w:rPr>
        <w:t xml:space="preserve">СПб.: Высшая школа менеджмента, 2010. 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875 </w:t>
      </w:r>
      <w:r w:rsidRPr="004C5BF1">
        <w:rPr>
          <w:rFonts w:ascii="Times New Roman" w:hAnsi="Times New Roman" w:cs="Times New Roman"/>
          <w:sz w:val="28"/>
          <w:szCs w:val="28"/>
        </w:rPr>
        <w:t>с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7B0F7B2" w14:textId="4F8E06E9" w:rsidR="0051381E" w:rsidRPr="004C5BF1" w:rsidRDefault="0051381E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</w:rPr>
        <w:t>Чернатони Л. От видения бренда к оценке бренда. – МСК.: Группа ИТД, 2007. 332 с.</w:t>
      </w:r>
    </w:p>
    <w:p w14:paraId="669906C5" w14:textId="77777777" w:rsidR="008C1914" w:rsidRPr="004C5BF1" w:rsidRDefault="00BE1C98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Aaker D. Managing Brand Equity: Capitalizing on the Value of a Brand Name. - New York: Free Press, 2000.</w:t>
      </w:r>
    </w:p>
    <w:p w14:paraId="49B0A8A3" w14:textId="17A5B20C" w:rsidR="008C1914" w:rsidRPr="004C5BF1" w:rsidRDefault="008C1914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Annual Study of Intangible Asset Market Value from Ocean Tomo, LLC // Ocean Tomo URL: http://www.oceantomo.com/2015/03/04/2015-intangible-asset-market-value-study/ (</w:t>
      </w:r>
      <w:r w:rsidRPr="004C5BF1">
        <w:rPr>
          <w:rFonts w:ascii="Times New Roman" w:hAnsi="Times New Roman" w:cs="Times New Roman"/>
          <w:sz w:val="28"/>
          <w:szCs w:val="28"/>
        </w:rPr>
        <w:t>дата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5BF1">
        <w:rPr>
          <w:rFonts w:ascii="Times New Roman" w:hAnsi="Times New Roman" w:cs="Times New Roman"/>
          <w:sz w:val="28"/>
          <w:szCs w:val="28"/>
        </w:rPr>
        <w:t>обращения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>: 21.09.2016).</w:t>
      </w:r>
    </w:p>
    <w:p w14:paraId="5B8A1FF5" w14:textId="4F13F673" w:rsidR="00485419" w:rsidRPr="004C5BF1" w:rsidRDefault="00485419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>Anson, W., Noble, D. and Samala J.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5BF1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IP Valuation: What Methods Are Used to Value Intellectual Property and Intangible Assets?, 2014</w:t>
      </w:r>
    </w:p>
    <w:p w14:paraId="10DCC739" w14:textId="00D38298" w:rsidR="008C1914" w:rsidRPr="004C5BF1" w:rsidRDefault="008C1914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Best Global Brands 2016 // Interbrand URL: http://interbrand.com/best-brands/best-global-brands/2016/ (дата обращения: 30.08.2016).</w:t>
      </w:r>
    </w:p>
    <w:p w14:paraId="1506D935" w14:textId="29D9E9D5" w:rsidR="00B81711" w:rsidRPr="004C5BF1" w:rsidRDefault="00B81711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Determination of Fair Value of Intangible Assets for IFRS Reporting Purposes // IVSC URL: http://www.ssbv.org/pics/ssbv_intangibleassets_ivsc_07_2007.pdf (дата обращения: 19.10.2016).</w:t>
      </w:r>
    </w:p>
    <w:p w14:paraId="5E8CCF55" w14:textId="77777777" w:rsidR="00D05949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lastRenderedPageBreak/>
        <w:t>Dillon W.R., Madden T.J., Kirmani A., Mukherjee S. Understanding What’s in a Brand Rating: A Model for Assessing Brand and Attribute Effects and their Relationship to Brand Equity // Journal of Marketing Research. 2001. Vol. 38 (4). P. 415–429.</w:t>
      </w:r>
    </w:p>
    <w:p w14:paraId="1739927B" w14:textId="77777777" w:rsidR="008C1914" w:rsidRPr="004C5BF1" w:rsidRDefault="00C67C99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Giving valuation a voice. Annual report 2014 - 2015 // IVSC URL: </w:t>
      </w:r>
      <w:hyperlink r:id="rId35" w:history="1">
        <w:r w:rsidRPr="004C5BF1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https://www.ivsc.org/files/file/download/id/575</w:t>
        </w:r>
      </w:hyperlink>
      <w:r w:rsidRPr="004C5B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4C5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(дата обращения: 10.10.2016).</w:t>
      </w:r>
    </w:p>
    <w:p w14:paraId="4713660B" w14:textId="16B5359A" w:rsidR="008C1914" w:rsidRPr="004C5BF1" w:rsidRDefault="008C1914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Global Intangible Financial Tracker 2016 An annual review of the world’s intangible value // BrandFinance URL: http://brandfinance.com/images/upload/gift_report_2016_for_print.pdf (</w:t>
      </w:r>
      <w:r w:rsidRPr="004C5BF1">
        <w:rPr>
          <w:rFonts w:ascii="Times New Roman" w:hAnsi="Times New Roman" w:cs="Times New Roman"/>
          <w:sz w:val="28"/>
          <w:szCs w:val="28"/>
        </w:rPr>
        <w:t>дата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5BF1">
        <w:rPr>
          <w:rFonts w:ascii="Times New Roman" w:hAnsi="Times New Roman" w:cs="Times New Roman"/>
          <w:sz w:val="28"/>
          <w:szCs w:val="28"/>
        </w:rPr>
        <w:t>обращения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>: 30.08.2016).</w:t>
      </w:r>
    </w:p>
    <w:p w14:paraId="627F5155" w14:textId="7B8653DC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Goldfarb A., Lu Q., Moorthy S. Measuring Brand Value in an Equilibrium Framework // Marketing Science. 2009. Vol. 28. P. 69–86.</w:t>
      </w:r>
    </w:p>
    <w:p w14:paraId="49601E04" w14:textId="0B8CE0B0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G. Rubio et al. / European Journal of Management and Business </w:t>
      </w:r>
      <w:r w:rsidR="004E490F" w:rsidRPr="004C5BF1">
        <w:rPr>
          <w:rFonts w:ascii="Times New Roman" w:hAnsi="Times New Roman" w:cs="Times New Roman"/>
          <w:sz w:val="28"/>
          <w:szCs w:val="28"/>
          <w:lang w:val="en-US"/>
        </w:rPr>
        <w:t>Economics 25. 2016.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90F"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>76–87.</w:t>
      </w:r>
    </w:p>
    <w:p w14:paraId="22384588" w14:textId="08DB9743" w:rsidR="00F00DDA" w:rsidRPr="004C5BF1" w:rsidRDefault="00F00DDA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Haigh D., Knowles J. Brand valuation: what it means and why it matters // Brands in the Boardroom IAM supplement. - 2004. - №1.</w:t>
      </w:r>
    </w:p>
    <w:p w14:paraId="7E3F055D" w14:textId="77777777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International Glossary of Business Valuation Terms. The National Association of Certified Valuation Analysts (NACVA) / American Institute of CPAs. URL: http://www.aicpa.org/InterestAreas/ForensicAndValuation/Membership/DownloadableDocuments/Intl%20Glos sary%20of%20BV%20Terms.pdf (</w:t>
      </w:r>
      <w:r w:rsidRPr="004C5BF1">
        <w:rPr>
          <w:rFonts w:ascii="Times New Roman" w:hAnsi="Times New Roman" w:cs="Times New Roman"/>
          <w:sz w:val="28"/>
          <w:szCs w:val="28"/>
        </w:rPr>
        <w:t>дата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5BF1">
        <w:rPr>
          <w:rFonts w:ascii="Times New Roman" w:hAnsi="Times New Roman" w:cs="Times New Roman"/>
          <w:sz w:val="28"/>
          <w:szCs w:val="28"/>
        </w:rPr>
        <w:t>обращения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: 20.07.2016). </w:t>
      </w:r>
    </w:p>
    <w:p w14:paraId="1ECCB947" w14:textId="77777777" w:rsidR="004C5BF1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Indré Jucaityté, Regina Virvilaite, Integrated Model of Brand Valuation. </w:t>
      </w:r>
      <w:r w:rsidRPr="004C5BF1">
        <w:rPr>
          <w:rFonts w:ascii="Times New Roman" w:hAnsi="Times New Roman" w:cs="Times New Roman"/>
          <w:sz w:val="28"/>
          <w:szCs w:val="28"/>
        </w:rPr>
        <w:t>2007.</w:t>
      </w:r>
    </w:p>
    <w:p w14:paraId="78EBDAAD" w14:textId="18FDEB69" w:rsidR="004C5BF1" w:rsidRPr="004C5BF1" w:rsidRDefault="004C5BF1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 xml:space="preserve">James R. Hitchner, </w:t>
      </w:r>
      <w:r w:rsidRPr="004C5BF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/>
        </w:rPr>
        <w:t>Financial Valuation Applications and Models</w:t>
      </w: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>, 3d ed. New York: John Wiley &amp; Sons. 2011</w:t>
      </w:r>
    </w:p>
    <w:p w14:paraId="7DBC76E1" w14:textId="0A0571CA" w:rsidR="004C5BF1" w:rsidRPr="004C5BF1" w:rsidRDefault="004C5BF1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lastRenderedPageBreak/>
        <w:t xml:space="preserve">Jay E. Fishman, Shannon P. Pratt, J. Clifford Griffith, James H. Hitchner, Stanton L. Meltzer, Mark W. Wells, and Eric G. Lipnicky, PPC’s </w:t>
      </w:r>
      <w:r w:rsidRPr="004C5BF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/>
        </w:rPr>
        <w:t>Guide to Business Valuations</w:t>
      </w: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 xml:space="preserve">, 22nd ed., (Fort Worth, TX: Thomson Reuters/PPC, 2012), 5–7. </w:t>
      </w:r>
      <w:r w:rsidRPr="004C5BF1">
        <w:rPr>
          <w:rFonts w:ascii="MS Mincho" w:eastAsia="MS Mincho" w:hAnsi="MS Mincho" w:cs="MS Mincho"/>
          <w:color w:val="000000"/>
          <w:sz w:val="28"/>
          <w:szCs w:val="28"/>
          <w:lang w:val="en-US"/>
        </w:rPr>
        <w:t> </w:t>
      </w:r>
    </w:p>
    <w:p w14:paraId="514042A9" w14:textId="5DB42366" w:rsidR="00581F33" w:rsidRPr="004C5BF1" w:rsidRDefault="00C67C99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Kapferer, J.-N.</w:t>
      </w:r>
      <w:r w:rsidR="00581F33"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 The new strategic brand management: Creating and sustaining.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 2004.</w:t>
      </w:r>
    </w:p>
    <w:p w14:paraId="1B012F4B" w14:textId="77777777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Kartono B., Rao V.R. Brand Equity Measurement: A Comparative Rewiew and a Normative Guide. Johnson School Research Paper </w:t>
      </w:r>
      <w:r w:rsidRPr="004C5BF1">
        <w:rPr>
          <w:rFonts w:ascii="Times New Roman" w:hAnsi="Times New Roman" w:cs="Times New Roman"/>
          <w:sz w:val="28"/>
          <w:szCs w:val="28"/>
        </w:rPr>
        <w:t>Series. 2008. Vol. 24 (9). P. 1–45.</w:t>
      </w:r>
    </w:p>
    <w:p w14:paraId="0302AD5C" w14:textId="77777777" w:rsidR="0041525F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Keller K.L., Lehmann D.R. How do Brands Create Value? // Marketing Management. </w:t>
      </w:r>
      <w:r w:rsidRPr="004C5BF1">
        <w:rPr>
          <w:rFonts w:ascii="Times New Roman" w:hAnsi="Times New Roman" w:cs="Times New Roman"/>
          <w:sz w:val="28"/>
          <w:szCs w:val="28"/>
        </w:rPr>
        <w:t>2003. Vol. 12. P. 26–31.</w:t>
      </w:r>
    </w:p>
    <w:p w14:paraId="3A8ECC18" w14:textId="54F2430C" w:rsidR="0041525F" w:rsidRPr="004C5BF1" w:rsidRDefault="0041525F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Knoppe Cf., Besteuerung D. Lizenz- und Know-how-Verträge. - 2nd ed. 1972. </w:t>
      </w:r>
    </w:p>
    <w:p w14:paraId="26BC6F21" w14:textId="77777777" w:rsidR="00581F33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Marc B.J. Schauten. Valuation, Capital Structure Decisions and the Cost of Capital. </w:t>
      </w:r>
      <w:r w:rsidRPr="004C5BF1">
        <w:rPr>
          <w:rFonts w:ascii="Times New Roman" w:hAnsi="Times New Roman" w:cs="Times New Roman"/>
          <w:sz w:val="28"/>
          <w:szCs w:val="28"/>
        </w:rPr>
        <w:t>2008.</w:t>
      </w:r>
    </w:p>
    <w:p w14:paraId="50FC64D2" w14:textId="77777777" w:rsidR="00805BC5" w:rsidRPr="004C5BF1" w:rsidRDefault="003B48F7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New International Standard on Brand Valuation // BrandFinance URL: http://brandfinance.com/images/upload/global_500_iso10668_310310.pdf (</w:t>
      </w:r>
      <w:r w:rsidRPr="004C5BF1">
        <w:rPr>
          <w:rFonts w:ascii="Times New Roman" w:hAnsi="Times New Roman" w:cs="Times New Roman"/>
          <w:sz w:val="28"/>
          <w:szCs w:val="28"/>
        </w:rPr>
        <w:t>дата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5BF1">
        <w:rPr>
          <w:rFonts w:ascii="Times New Roman" w:hAnsi="Times New Roman" w:cs="Times New Roman"/>
          <w:sz w:val="28"/>
          <w:szCs w:val="28"/>
        </w:rPr>
        <w:t>обращения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>: 03.03.2017).</w:t>
      </w:r>
    </w:p>
    <w:p w14:paraId="43C77108" w14:textId="603EE05F" w:rsidR="00805BC5" w:rsidRPr="004C5BF1" w:rsidRDefault="00805BC5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Parr R., Smith G. V. Intellectual property: valuation, exploitation and infringement damages. - 4th ed. - New Jersey: Wiley, 2017. </w:t>
      </w:r>
    </w:p>
    <w:p w14:paraId="29D794C4" w14:textId="17E5D7AE" w:rsidR="00485419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Reilly R., Schweihs R. Valuing Intangible Assets. </w:t>
      </w:r>
      <w:r w:rsidR="00C67C99"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NY, 1998. </w:t>
      </w:r>
    </w:p>
    <w:p w14:paraId="371B4EAD" w14:textId="549E861E" w:rsidR="00485419" w:rsidRPr="004C5BF1" w:rsidRDefault="00485419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>Reyneke, J., Abratt, R. and Bick, G.</w:t>
      </w:r>
      <w:r w:rsidRPr="004C5BF1">
        <w:rPr>
          <w:rFonts w:ascii="MS Mincho" w:eastAsia="MS Mincho" w:hAnsi="MS Mincho" w:cs="MS Mincho"/>
          <w:color w:val="000000"/>
          <w:sz w:val="28"/>
          <w:szCs w:val="28"/>
          <w:lang w:val="en-US"/>
        </w:rPr>
        <w:t> 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5BF1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What is your corporate brand worth? </w:t>
      </w:r>
      <w:r w:rsidRPr="004C5BF1">
        <w:rPr>
          <w:rFonts w:ascii="Times New Roman" w:eastAsia="MS Mincho" w:hAnsi="Times New Roman" w:cs="Times New Roman"/>
          <w:color w:val="000000"/>
          <w:sz w:val="28"/>
          <w:szCs w:val="28"/>
        </w:rPr>
        <w:t>A guide to brand valuation approaches, 2014</w:t>
      </w:r>
      <w:r w:rsidR="00E9234C" w:rsidRPr="004C5BF1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14:paraId="05248B15" w14:textId="77777777" w:rsidR="00805BC5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Roger Sinclair, A rationale and proposed set of principles for brand valuation. </w:t>
      </w:r>
      <w:r w:rsidRPr="004C5BF1">
        <w:rPr>
          <w:rFonts w:ascii="Times New Roman" w:hAnsi="Times New Roman" w:cs="Times New Roman"/>
          <w:sz w:val="28"/>
          <w:szCs w:val="28"/>
        </w:rPr>
        <w:t>2011.</w:t>
      </w:r>
    </w:p>
    <w:p w14:paraId="50D2EF45" w14:textId="65F85960" w:rsidR="00805BC5" w:rsidRPr="003B123B" w:rsidRDefault="00805BC5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Royalty rates // Royalty Range. European Royalty Database URL: https://www.royaltyrange.com (дата обращения: 02.10.2017).</w:t>
      </w:r>
    </w:p>
    <w:p w14:paraId="623A3E76" w14:textId="77777777" w:rsidR="00D05949" w:rsidRPr="004C5BF1" w:rsidRDefault="00D05949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Salinas G. The International Brand Valuation Manual: A complete overview and analysis of brand valuation techniques, methodologies and applications 1st Edition. 2009. 448 p.</w:t>
      </w:r>
    </w:p>
    <w:p w14:paraId="7F079DB6" w14:textId="4E633102" w:rsidR="00D05949" w:rsidRPr="004C5BF1" w:rsidRDefault="00D05949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lastRenderedPageBreak/>
        <w:t>Salinas G. The international brand valuation manual, 2013.</w:t>
      </w:r>
    </w:p>
    <w:p w14:paraId="72569DEA" w14:textId="3583B4B6" w:rsidR="00485419" w:rsidRPr="004C5BF1" w:rsidRDefault="00F20D3B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 xml:space="preserve">Salinas, G., </w:t>
      </w:r>
      <w:r w:rsidR="00485419"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>Ambler, T. A taxonomy of brand valuation practice: Methodologies and purposes, 2009</w:t>
      </w: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>.</w:t>
      </w:r>
    </w:p>
    <w:p w14:paraId="6B6212A1" w14:textId="77777777" w:rsidR="00485419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Sattler H., Högl S., Hupp O. Evaluation of the financial value of brands // Research papers on Marketing and Retailing. </w:t>
      </w:r>
      <w:r w:rsidRPr="004C5BF1">
        <w:rPr>
          <w:rFonts w:ascii="Times New Roman" w:hAnsi="Times New Roman" w:cs="Times New Roman"/>
          <w:sz w:val="28"/>
          <w:szCs w:val="28"/>
        </w:rPr>
        <w:t>2002. No 007. Р. 1–21.</w:t>
      </w:r>
    </w:p>
    <w:p w14:paraId="0C19762C" w14:textId="5DF6BA94" w:rsidR="00805BC5" w:rsidRPr="004C5BF1" w:rsidRDefault="00805BC5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Seetharaman A. A conceptual study on brand valuation // Journal of Product &amp; Brand Management. - 2001. - №10. </w:t>
      </w:r>
    </w:p>
    <w:p w14:paraId="2AD7ED77" w14:textId="77777777" w:rsidR="00805BC5" w:rsidRPr="004C5BF1" w:rsidRDefault="00485419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>Singh Gill, M. and Dawra, J.</w:t>
      </w:r>
      <w:r w:rsidR="00F20D3B"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C5BF1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Evaluating Aaker's sources of brand equity and the mediating role of brand image, 2010</w:t>
      </w:r>
      <w:r w:rsidR="00F20D3B" w:rsidRPr="004C5BF1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.</w:t>
      </w:r>
    </w:p>
    <w:p w14:paraId="7A8BF89E" w14:textId="77777777" w:rsidR="004C5BF1" w:rsidRPr="004C5BF1" w:rsidRDefault="00805BC5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Schauten M.B.J., Stegink R., de Graaff G. The discount rate for discounted cash flow valuations of intangible assets // Managerial Finance. - 2007. - №36. </w:t>
      </w:r>
    </w:p>
    <w:p w14:paraId="603CD42A" w14:textId="3DDA2AE6" w:rsidR="004C5BF1" w:rsidRPr="004C5BF1" w:rsidRDefault="004C5BF1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 xml:space="preserve">Shannon P. Pratt, </w:t>
      </w:r>
      <w:r w:rsidRPr="004C5BF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/>
        </w:rPr>
        <w:t>Valuing a Business: The Analysis and Appraisal of Closely Held Companies</w:t>
      </w: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>, 5th ed. (New York: McGraw-Hill. 2008.</w:t>
      </w:r>
    </w:p>
    <w:p w14:paraId="02BBDB57" w14:textId="77777777" w:rsidR="008C1914" w:rsidRPr="004C5BF1" w:rsidRDefault="00581F33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Tatiana Soto J. Methods for Assessing Brand Value. A Comparison between the Interbrand Model and the BBDO's Brand Equity Evaluator model, 2008. </w:t>
      </w:r>
      <w:r w:rsidRPr="004C5BF1">
        <w:rPr>
          <w:rFonts w:ascii="Times New Roman" w:hAnsi="Times New Roman" w:cs="Times New Roman"/>
          <w:sz w:val="28"/>
          <w:szCs w:val="28"/>
        </w:rPr>
        <w:t>110 p.</w:t>
      </w:r>
    </w:p>
    <w:p w14:paraId="1AA0001D" w14:textId="77777777" w:rsidR="00805BC5" w:rsidRPr="004C5BF1" w:rsidRDefault="008C1914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The Seagram Company Ltd. History // Funding Universe URL: http://www.fundinguniverse.com/company-histories/the-seagram-company-ltd-history/ (</w:t>
      </w:r>
      <w:r w:rsidRPr="004C5BF1">
        <w:rPr>
          <w:rFonts w:ascii="Times New Roman" w:hAnsi="Times New Roman" w:cs="Times New Roman"/>
          <w:sz w:val="28"/>
          <w:szCs w:val="28"/>
        </w:rPr>
        <w:t>дата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5BF1">
        <w:rPr>
          <w:rFonts w:ascii="Times New Roman" w:hAnsi="Times New Roman" w:cs="Times New Roman"/>
          <w:sz w:val="28"/>
          <w:szCs w:val="28"/>
        </w:rPr>
        <w:t>обращения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>: 19.09.2016).</w:t>
      </w:r>
    </w:p>
    <w:p w14:paraId="6CAF4412" w14:textId="77777777" w:rsidR="004C5BF1" w:rsidRPr="004C5BF1" w:rsidRDefault="00805BC5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hAnsi="Times New Roman" w:cs="Times New Roman"/>
          <w:sz w:val="28"/>
          <w:szCs w:val="28"/>
          <w:lang w:val="en-US"/>
        </w:rPr>
        <w:t>Tollington T. The brand accounting side</w:t>
      </w:r>
      <w:r w:rsidRPr="004C5BF1">
        <w:rPr>
          <w:rFonts w:ascii="Calibri" w:eastAsia="Calibri" w:hAnsi="Calibri" w:cs="Calibri"/>
          <w:sz w:val="28"/>
          <w:szCs w:val="28"/>
          <w:lang w:val="en-US"/>
        </w:rPr>
        <w:t>‐</w:t>
      </w:r>
      <w:r w:rsidRPr="004C5BF1">
        <w:rPr>
          <w:rFonts w:ascii="Times New Roman" w:hAnsi="Times New Roman" w:cs="Times New Roman"/>
          <w:sz w:val="28"/>
          <w:szCs w:val="28"/>
          <w:lang w:val="en-US"/>
        </w:rPr>
        <w:t>show // Journal of Product &amp; Brand Management. - 1999. - №8.</w:t>
      </w:r>
    </w:p>
    <w:p w14:paraId="6AC49DDF" w14:textId="005C8877" w:rsidR="004C5BF1" w:rsidRPr="004C5BF1" w:rsidRDefault="004C5BF1" w:rsidP="004C5BF1">
      <w:pPr>
        <w:pStyle w:val="a4"/>
        <w:numPr>
          <w:ilvl w:val="0"/>
          <w:numId w:val="29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 xml:space="preserve">Trugman G., </w:t>
      </w:r>
      <w:r w:rsidRPr="004C5BF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/>
        </w:rPr>
        <w:t>Understanding Business Valuation</w:t>
      </w:r>
      <w:r w:rsidRPr="004C5BF1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 xml:space="preserve">, 4th ed. (New York: American Institute of Certified Public Accountants, 2012), 237–38. </w:t>
      </w:r>
      <w:r w:rsidRPr="004C5BF1">
        <w:rPr>
          <w:rFonts w:ascii="MS Mincho" w:eastAsia="MS Mincho" w:hAnsi="MS Mincho" w:cs="MS Mincho"/>
          <w:color w:val="000000"/>
          <w:sz w:val="28"/>
          <w:szCs w:val="28"/>
          <w:lang w:val="en-US"/>
        </w:rPr>
        <w:t> </w:t>
      </w:r>
    </w:p>
    <w:p w14:paraId="1E07CEF2" w14:textId="77777777" w:rsidR="00581F33" w:rsidRPr="004C5BF1" w:rsidRDefault="00581F33" w:rsidP="004C5BF1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9AD69C" w14:textId="77777777" w:rsidR="00581F33" w:rsidRPr="004C5BF1" w:rsidRDefault="00581F33" w:rsidP="004C5BF1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bookmarkEnd w:id="1"/>
    <w:p w14:paraId="34BFE77F" w14:textId="32180FE5" w:rsidR="00F77897" w:rsidRPr="004C5BF1" w:rsidRDefault="00F77897" w:rsidP="004C5B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77897" w:rsidRPr="004C5BF1" w:rsidSect="000B4FAC">
      <w:pgSz w:w="11900" w:h="16840"/>
      <w:pgMar w:top="1418" w:right="567" w:bottom="1418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E0988" w14:textId="77777777" w:rsidR="00356B75" w:rsidRDefault="00356B75" w:rsidP="00581F33">
      <w:r>
        <w:separator/>
      </w:r>
    </w:p>
  </w:endnote>
  <w:endnote w:type="continuationSeparator" w:id="0">
    <w:p w14:paraId="7BA601C7" w14:textId="77777777" w:rsidR="00356B75" w:rsidRDefault="00356B75" w:rsidP="0058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141AF" w14:textId="77777777" w:rsidR="007E0728" w:rsidRDefault="007E0728" w:rsidP="00CE4AE0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661B00B" w14:textId="77777777" w:rsidR="007E0728" w:rsidRDefault="007E0728" w:rsidP="000B4FAC">
    <w:pPr>
      <w:pStyle w:val="af0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C40A7" w14:textId="77777777" w:rsidR="007E0728" w:rsidRPr="00D46EAA" w:rsidRDefault="007E0728" w:rsidP="00CE4AE0">
    <w:pPr>
      <w:pStyle w:val="af0"/>
      <w:framePr w:wrap="none" w:vAnchor="text" w:hAnchor="margin" w:xAlign="right" w:y="1"/>
      <w:rPr>
        <w:rStyle w:val="af2"/>
        <w:color w:val="000000" w:themeColor="text1"/>
        <w:sz w:val="28"/>
      </w:rPr>
    </w:pPr>
    <w:r w:rsidRPr="00D46EAA">
      <w:rPr>
        <w:rStyle w:val="af2"/>
        <w:rFonts w:ascii="Times New Roman" w:hAnsi="Times New Roman" w:cs="Times New Roman"/>
        <w:color w:val="000000" w:themeColor="text1"/>
        <w:sz w:val="28"/>
      </w:rPr>
      <w:fldChar w:fldCharType="begin"/>
    </w:r>
    <w:r w:rsidRPr="00D46EAA">
      <w:rPr>
        <w:rStyle w:val="af2"/>
        <w:rFonts w:ascii="Times New Roman" w:hAnsi="Times New Roman" w:cs="Times New Roman"/>
        <w:color w:val="000000" w:themeColor="text1"/>
        <w:sz w:val="28"/>
      </w:rPr>
      <w:instrText xml:space="preserve">PAGE  </w:instrText>
    </w:r>
    <w:r w:rsidRPr="00D46EAA">
      <w:rPr>
        <w:rStyle w:val="af2"/>
        <w:rFonts w:ascii="Times New Roman" w:hAnsi="Times New Roman" w:cs="Times New Roman"/>
        <w:color w:val="000000" w:themeColor="text1"/>
        <w:sz w:val="28"/>
      </w:rPr>
      <w:fldChar w:fldCharType="separate"/>
    </w:r>
    <w:r w:rsidR="00AE7616">
      <w:rPr>
        <w:rStyle w:val="af2"/>
        <w:rFonts w:ascii="Times New Roman" w:hAnsi="Times New Roman" w:cs="Times New Roman"/>
        <w:noProof/>
        <w:color w:val="000000" w:themeColor="text1"/>
        <w:sz w:val="28"/>
      </w:rPr>
      <w:t>103</w:t>
    </w:r>
    <w:r w:rsidRPr="00D46EAA">
      <w:rPr>
        <w:rStyle w:val="af2"/>
        <w:rFonts w:ascii="Times New Roman" w:hAnsi="Times New Roman" w:cs="Times New Roman"/>
        <w:color w:val="000000" w:themeColor="text1"/>
        <w:sz w:val="28"/>
      </w:rPr>
      <w:fldChar w:fldCharType="end"/>
    </w:r>
  </w:p>
  <w:p w14:paraId="16C8ECA9" w14:textId="77777777" w:rsidR="007E0728" w:rsidRPr="006E04A4" w:rsidRDefault="007E0728" w:rsidP="000B4FAC">
    <w:pPr>
      <w:pStyle w:val="af0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9E48F" w14:textId="77777777" w:rsidR="00356B75" w:rsidRDefault="00356B75" w:rsidP="00581F33">
      <w:r>
        <w:separator/>
      </w:r>
    </w:p>
  </w:footnote>
  <w:footnote w:type="continuationSeparator" w:id="0">
    <w:p w14:paraId="03C2C2C5" w14:textId="77777777" w:rsidR="00356B75" w:rsidRDefault="00356B75" w:rsidP="00581F33">
      <w:r>
        <w:continuationSeparator/>
      </w:r>
    </w:p>
  </w:footnote>
  <w:footnote w:id="1">
    <w:p w14:paraId="3D4DD0EA" w14:textId="1D83056B" w:rsidR="007E0728" w:rsidRPr="00CE4AE0" w:rsidRDefault="007E0728" w:rsidP="00AF130C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3041D">
        <w:rPr>
          <w:rStyle w:val="a8"/>
          <w:rFonts w:ascii="Times New Roman" w:hAnsi="Times New Roman" w:cs="Times New Roman"/>
          <w:szCs w:val="20"/>
        </w:rPr>
        <w:footnoteRef/>
      </w:r>
      <w:r w:rsidRPr="00EB3722">
        <w:rPr>
          <w:rFonts w:ascii="Times New Roman" w:hAnsi="Times New Roman" w:cs="Times New Roman"/>
          <w:szCs w:val="20"/>
          <w:lang w:val="en-US"/>
        </w:rPr>
        <w:t>Haigh D., Knowles J. Brand valuation: what it means and why it matters // Brands in the Boardroom I</w:t>
      </w:r>
      <w:r>
        <w:rPr>
          <w:rFonts w:ascii="Times New Roman" w:hAnsi="Times New Roman" w:cs="Times New Roman"/>
          <w:szCs w:val="20"/>
          <w:lang w:val="en-US"/>
        </w:rPr>
        <w:t>AM supplement. - 2004. - №1. - P</w:t>
      </w:r>
      <w:r w:rsidRPr="00EB3722">
        <w:rPr>
          <w:rFonts w:ascii="Times New Roman" w:hAnsi="Times New Roman" w:cs="Times New Roman"/>
          <w:szCs w:val="20"/>
          <w:lang w:val="en-US"/>
        </w:rPr>
        <w:t>. 18.</w:t>
      </w:r>
    </w:p>
  </w:footnote>
  <w:footnote w:id="2">
    <w:p w14:paraId="6D546890" w14:textId="77777777" w:rsidR="007E0728" w:rsidRPr="0033041D" w:rsidRDefault="007E0728" w:rsidP="00AF130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CE4AE0">
        <w:rPr>
          <w:rFonts w:ascii="Times New Roman" w:hAnsi="Times New Roman" w:cs="Times New Roman"/>
        </w:rPr>
        <w:t>Котлер Ф. Маркетинг менеджмент. 11-е изд. – СПб.: Питер, 2003. – С. 448.</w:t>
      </w:r>
    </w:p>
  </w:footnote>
  <w:footnote w:id="3">
    <w:p w14:paraId="5A3C480F" w14:textId="4EFD08B7" w:rsidR="007E0728" w:rsidRPr="0033041D" w:rsidRDefault="007E0728" w:rsidP="00AF130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CE4AE0">
        <w:rPr>
          <w:rFonts w:ascii="Times New Roman" w:hAnsi="Times New Roman" w:cs="Times New Roman"/>
        </w:rPr>
        <w:t>Чернатони</w:t>
      </w:r>
      <w:r>
        <w:rPr>
          <w:rFonts w:ascii="Times New Roman" w:hAnsi="Times New Roman" w:cs="Times New Roman"/>
        </w:rPr>
        <w:t xml:space="preserve"> Л</w:t>
      </w:r>
      <w:r w:rsidRPr="00CE4AE0">
        <w:rPr>
          <w:rFonts w:ascii="Times New Roman" w:hAnsi="Times New Roman" w:cs="Times New Roman"/>
        </w:rPr>
        <w:t>. От видения бренда к оцен</w:t>
      </w:r>
      <w:r>
        <w:rPr>
          <w:rFonts w:ascii="Times New Roman" w:hAnsi="Times New Roman" w:cs="Times New Roman"/>
        </w:rPr>
        <w:t xml:space="preserve">ке бренда. – МСК.: Группа ИТД, </w:t>
      </w:r>
      <w:r w:rsidRPr="00CE4AE0">
        <w:rPr>
          <w:rFonts w:ascii="Times New Roman" w:hAnsi="Times New Roman" w:cs="Times New Roman"/>
        </w:rPr>
        <w:t>2007. – С. 51.</w:t>
      </w:r>
    </w:p>
  </w:footnote>
  <w:footnote w:id="4">
    <w:p w14:paraId="55A54914" w14:textId="5C0DF141" w:rsidR="007E0728" w:rsidRPr="00AF130C" w:rsidRDefault="007E0728" w:rsidP="00AF130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AF130C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F130C">
        <w:rPr>
          <w:rFonts w:ascii="Times New Roman" w:hAnsi="Times New Roman" w:cs="Times New Roman"/>
        </w:rPr>
        <w:t>Дэвис С. М. Управление активами торговой марки. – СПБ.: Питер, 2001. – С. 13.</w:t>
      </w:r>
    </w:p>
  </w:footnote>
  <w:footnote w:id="5">
    <w:p w14:paraId="40F1781B" w14:textId="6A3E619A" w:rsidR="007E0728" w:rsidRPr="00AF130C" w:rsidRDefault="007E0728" w:rsidP="00AF130C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F130C">
        <w:rPr>
          <w:rStyle w:val="a8"/>
          <w:rFonts w:ascii="Times New Roman" w:hAnsi="Times New Roman" w:cs="Times New Roman"/>
        </w:rPr>
        <w:footnoteRef/>
      </w:r>
      <w:r w:rsidRPr="00AF130C">
        <w:rPr>
          <w:rFonts w:ascii="Times New Roman" w:hAnsi="Times New Roman" w:cs="Times New Roman"/>
          <w:lang w:val="en-US"/>
        </w:rPr>
        <w:t xml:space="preserve"> </w:t>
      </w:r>
      <w:r w:rsidRPr="00AF130C">
        <w:rPr>
          <w:rFonts w:ascii="Times New Roman" w:hAnsi="Times New Roman" w:cs="Times New Roman"/>
        </w:rPr>
        <w:t>МСФО</w:t>
      </w:r>
      <w:r w:rsidRPr="00AF130C">
        <w:rPr>
          <w:rFonts w:ascii="Times New Roman" w:hAnsi="Times New Roman" w:cs="Times New Roman"/>
          <w:lang w:val="en-US"/>
        </w:rPr>
        <w:t xml:space="preserve"> (IAS) 38 </w:t>
      </w:r>
      <w:r w:rsidRPr="00AF130C">
        <w:rPr>
          <w:rFonts w:ascii="Times New Roman" w:hAnsi="Times New Roman" w:cs="Times New Roman"/>
        </w:rPr>
        <w:t>Нематериальные</w:t>
      </w:r>
      <w:r w:rsidRPr="00AF130C">
        <w:rPr>
          <w:rFonts w:ascii="Times New Roman" w:hAnsi="Times New Roman" w:cs="Times New Roman"/>
          <w:lang w:val="en-US"/>
        </w:rPr>
        <w:t xml:space="preserve"> </w:t>
      </w:r>
      <w:r w:rsidRPr="00AF130C">
        <w:rPr>
          <w:rFonts w:ascii="Times New Roman" w:hAnsi="Times New Roman" w:cs="Times New Roman"/>
        </w:rPr>
        <w:t>активы</w:t>
      </w:r>
      <w:r w:rsidRPr="00AF130C">
        <w:rPr>
          <w:rFonts w:ascii="Times New Roman" w:hAnsi="Times New Roman" w:cs="Times New Roman"/>
          <w:lang w:val="en-US"/>
        </w:rPr>
        <w:t xml:space="preserve"> (Intangible assets) // ADE Professional Solutions URL: http://www.ade-solutions.com/sites/default/files/ias_38_version02.pdf (</w:t>
      </w:r>
      <w:r w:rsidRPr="00AF130C">
        <w:rPr>
          <w:rFonts w:ascii="Times New Roman" w:hAnsi="Times New Roman" w:cs="Times New Roman"/>
        </w:rPr>
        <w:t>дата</w:t>
      </w:r>
      <w:r w:rsidRPr="00AF130C">
        <w:rPr>
          <w:rFonts w:ascii="Times New Roman" w:hAnsi="Times New Roman" w:cs="Times New Roman"/>
          <w:lang w:val="en-US"/>
        </w:rPr>
        <w:t xml:space="preserve"> </w:t>
      </w:r>
      <w:r w:rsidRPr="00AF130C">
        <w:rPr>
          <w:rFonts w:ascii="Times New Roman" w:hAnsi="Times New Roman" w:cs="Times New Roman"/>
        </w:rPr>
        <w:t>обращения</w:t>
      </w:r>
      <w:r w:rsidRPr="00AF130C">
        <w:rPr>
          <w:rFonts w:ascii="Times New Roman" w:hAnsi="Times New Roman" w:cs="Times New Roman"/>
          <w:lang w:val="en-US"/>
        </w:rPr>
        <w:t>: 21.10.2016).</w:t>
      </w:r>
    </w:p>
  </w:footnote>
  <w:footnote w:id="6">
    <w:p w14:paraId="648B492A" w14:textId="2D4BCB6F" w:rsidR="007E0728" w:rsidRPr="009A35A2" w:rsidRDefault="007E0728" w:rsidP="00AF130C">
      <w:pPr>
        <w:pStyle w:val="a6"/>
        <w:spacing w:line="276" w:lineRule="auto"/>
        <w:jc w:val="both"/>
        <w:rPr>
          <w:lang w:val="en-US"/>
        </w:rPr>
      </w:pPr>
      <w:r w:rsidRPr="00AF130C">
        <w:rPr>
          <w:rStyle w:val="a8"/>
          <w:rFonts w:ascii="Times New Roman" w:hAnsi="Times New Roman" w:cs="Times New Roman"/>
        </w:rPr>
        <w:footnoteRef/>
      </w:r>
      <w:r w:rsidRPr="00AF130C">
        <w:rPr>
          <w:rFonts w:ascii="Times New Roman" w:hAnsi="Times New Roman" w:cs="Times New Roman"/>
          <w:lang w:val="en-US"/>
        </w:rPr>
        <w:t>General Dynamics Price to Book Value // Ycharts URL: https://ycharts.com/companies/GD/price_to_book_value (</w:t>
      </w:r>
      <w:r w:rsidRPr="00AF130C">
        <w:rPr>
          <w:rFonts w:ascii="Times New Roman" w:hAnsi="Times New Roman" w:cs="Times New Roman"/>
        </w:rPr>
        <w:t>дата</w:t>
      </w:r>
      <w:r w:rsidRPr="00AF130C">
        <w:rPr>
          <w:rFonts w:ascii="Times New Roman" w:hAnsi="Times New Roman" w:cs="Times New Roman"/>
          <w:lang w:val="en-US"/>
        </w:rPr>
        <w:t xml:space="preserve"> </w:t>
      </w:r>
      <w:r w:rsidRPr="00AF130C">
        <w:rPr>
          <w:rFonts w:ascii="Times New Roman" w:hAnsi="Times New Roman" w:cs="Times New Roman"/>
        </w:rPr>
        <w:t>обращения</w:t>
      </w:r>
      <w:r w:rsidRPr="00AF130C">
        <w:rPr>
          <w:rFonts w:ascii="Times New Roman" w:hAnsi="Times New Roman" w:cs="Times New Roman"/>
          <w:lang w:val="en-US"/>
        </w:rPr>
        <w:t>: 20.11.2016).</w:t>
      </w:r>
    </w:p>
  </w:footnote>
  <w:footnote w:id="7">
    <w:p w14:paraId="0A99769C" w14:textId="0BE70B82" w:rsidR="007E0728" w:rsidRPr="00677BDC" w:rsidRDefault="007E0728" w:rsidP="00AF130C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77BDC">
        <w:rPr>
          <w:rStyle w:val="a8"/>
          <w:rFonts w:ascii="Times New Roman" w:hAnsi="Times New Roman" w:cs="Times New Roman"/>
        </w:rPr>
        <w:footnoteRef/>
      </w:r>
      <w:r w:rsidRPr="00677BDC">
        <w:rPr>
          <w:rFonts w:ascii="Times New Roman" w:hAnsi="Times New Roman" w:cs="Times New Roman"/>
          <w:lang w:val="en-US"/>
        </w:rPr>
        <w:t>The Seagram Company Ltd. History // Funding</w:t>
      </w:r>
      <w:r>
        <w:rPr>
          <w:rFonts w:ascii="Times New Roman" w:hAnsi="Times New Roman" w:cs="Times New Roman"/>
          <w:lang w:val="en-US"/>
        </w:rPr>
        <w:t xml:space="preserve"> </w:t>
      </w:r>
      <w:r w:rsidRPr="00677BDC">
        <w:rPr>
          <w:rFonts w:ascii="Times New Roman" w:hAnsi="Times New Roman" w:cs="Times New Roman"/>
          <w:lang w:val="en-US"/>
        </w:rPr>
        <w:t>Universe URL: http://www.fundinguniverse.com/company-histories/the-seagram-company-ltd-history/ (</w:t>
      </w:r>
      <w:r w:rsidRPr="00677BDC">
        <w:rPr>
          <w:rFonts w:ascii="Times New Roman" w:hAnsi="Times New Roman" w:cs="Times New Roman"/>
        </w:rPr>
        <w:t>дата</w:t>
      </w:r>
      <w:r w:rsidRPr="00677BDC">
        <w:rPr>
          <w:rFonts w:ascii="Times New Roman" w:hAnsi="Times New Roman" w:cs="Times New Roman"/>
          <w:lang w:val="en-US"/>
        </w:rPr>
        <w:t xml:space="preserve"> </w:t>
      </w:r>
      <w:r w:rsidRPr="00677BDC">
        <w:rPr>
          <w:rFonts w:ascii="Times New Roman" w:hAnsi="Times New Roman" w:cs="Times New Roman"/>
        </w:rPr>
        <w:t>обращения</w:t>
      </w:r>
      <w:r w:rsidRPr="00677BDC">
        <w:rPr>
          <w:rFonts w:ascii="Times New Roman" w:hAnsi="Times New Roman" w:cs="Times New Roman"/>
          <w:lang w:val="en-US"/>
        </w:rPr>
        <w:t>: 19.09.2016).</w:t>
      </w:r>
    </w:p>
  </w:footnote>
  <w:footnote w:id="8">
    <w:p w14:paraId="47FFB1B5" w14:textId="49F6C04B" w:rsidR="007E0728" w:rsidRPr="00FE74B5" w:rsidRDefault="007E0728" w:rsidP="00AF130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FE74B5">
        <w:rPr>
          <w:rStyle w:val="a8"/>
          <w:rFonts w:ascii="Times New Roman" w:hAnsi="Times New Roman" w:cs="Times New Roman"/>
        </w:rPr>
        <w:footnoteRef/>
      </w:r>
      <w:r w:rsidRPr="00FE74B5">
        <w:rPr>
          <w:rFonts w:ascii="Times New Roman" w:hAnsi="Times New Roman" w:cs="Times New Roman"/>
        </w:rPr>
        <w:t xml:space="preserve"> Оценка стоимости бизнеса // МАЭУ URL: http://www.studfiles.ru/preview/5715003/ (дата обращения: 20.03.2017).</w:t>
      </w:r>
    </w:p>
  </w:footnote>
  <w:footnote w:id="9">
    <w:p w14:paraId="791AE07C" w14:textId="3CCC0751" w:rsidR="007E0728" w:rsidRPr="0033041D" w:rsidRDefault="007E0728" w:rsidP="00AF130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CE4AE0">
        <w:rPr>
          <w:rFonts w:ascii="Times New Roman" w:hAnsi="Times New Roman" w:cs="Times New Roman"/>
        </w:rPr>
        <w:t>Чернатони</w:t>
      </w:r>
      <w:r>
        <w:rPr>
          <w:rFonts w:ascii="Times New Roman" w:hAnsi="Times New Roman" w:cs="Times New Roman"/>
        </w:rPr>
        <w:t xml:space="preserve"> Л</w:t>
      </w:r>
      <w:r w:rsidRPr="00CE4AE0">
        <w:rPr>
          <w:rFonts w:ascii="Times New Roman" w:hAnsi="Times New Roman" w:cs="Times New Roman"/>
        </w:rPr>
        <w:t>. От видения бренда к оце</w:t>
      </w:r>
      <w:r>
        <w:rPr>
          <w:rFonts w:ascii="Times New Roman" w:hAnsi="Times New Roman" w:cs="Times New Roman"/>
        </w:rPr>
        <w:t>нке бренда. – МСК.: Группа ИТД,</w:t>
      </w:r>
      <w:r w:rsidRPr="00CE4AE0">
        <w:rPr>
          <w:rFonts w:ascii="Times New Roman" w:hAnsi="Times New Roman" w:cs="Times New Roman"/>
        </w:rPr>
        <w:t xml:space="preserve"> 2007. – С. 20</w:t>
      </w:r>
      <w:r w:rsidRPr="0033041D">
        <w:rPr>
          <w:rFonts w:ascii="Times New Roman" w:hAnsi="Times New Roman" w:cs="Times New Roman"/>
        </w:rPr>
        <w:t>.</w:t>
      </w:r>
    </w:p>
  </w:footnote>
  <w:footnote w:id="10">
    <w:p w14:paraId="1722ECC9" w14:textId="228B166E" w:rsidR="007E0728" w:rsidRPr="00647F9B" w:rsidRDefault="007E0728" w:rsidP="00AF130C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47F9B">
        <w:rPr>
          <w:rStyle w:val="a8"/>
          <w:rFonts w:ascii="Times New Roman" w:hAnsi="Times New Roman" w:cs="Times New Roman"/>
        </w:rPr>
        <w:footnoteRef/>
      </w:r>
      <w:r w:rsidRPr="00647F9B">
        <w:rPr>
          <w:rFonts w:ascii="Times New Roman" w:hAnsi="Times New Roman" w:cs="Times New Roman"/>
          <w:lang w:val="en-US"/>
        </w:rPr>
        <w:t xml:space="preserve"> Annual Study of Intangible Asset Market Value from Ocean Tomo, LLC // Ocean Tomo URL: http://www.oceantomo.com/2015/03/04/2015-intangible-asset-market-value-study/ (</w:t>
      </w:r>
      <w:r w:rsidRPr="00647F9B">
        <w:rPr>
          <w:rFonts w:ascii="Times New Roman" w:hAnsi="Times New Roman" w:cs="Times New Roman"/>
        </w:rPr>
        <w:t>дата</w:t>
      </w:r>
      <w:r w:rsidRPr="00647F9B">
        <w:rPr>
          <w:rFonts w:ascii="Times New Roman" w:hAnsi="Times New Roman" w:cs="Times New Roman"/>
          <w:lang w:val="en-US"/>
        </w:rPr>
        <w:t xml:space="preserve"> </w:t>
      </w:r>
      <w:r w:rsidRPr="00647F9B">
        <w:rPr>
          <w:rFonts w:ascii="Times New Roman" w:hAnsi="Times New Roman" w:cs="Times New Roman"/>
        </w:rPr>
        <w:t>обращения</w:t>
      </w:r>
      <w:r w:rsidRPr="00647F9B">
        <w:rPr>
          <w:rFonts w:ascii="Times New Roman" w:hAnsi="Times New Roman" w:cs="Times New Roman"/>
          <w:lang w:val="en-US"/>
        </w:rPr>
        <w:t>: 21.09.2016).</w:t>
      </w:r>
    </w:p>
  </w:footnote>
  <w:footnote w:id="11">
    <w:p w14:paraId="08D74637" w14:textId="445613DF" w:rsidR="007E0728" w:rsidRPr="00AF130C" w:rsidRDefault="007E0728" w:rsidP="00AF130C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F130C">
        <w:rPr>
          <w:rStyle w:val="a8"/>
          <w:rFonts w:ascii="Times New Roman" w:hAnsi="Times New Roman" w:cs="Times New Roman"/>
        </w:rPr>
        <w:footnoteRef/>
      </w:r>
      <w:r w:rsidRPr="00AF130C">
        <w:rPr>
          <w:rFonts w:ascii="Times New Roman" w:hAnsi="Times New Roman" w:cs="Times New Roman"/>
          <w:lang w:val="en-US"/>
        </w:rPr>
        <w:t xml:space="preserve"> Global Intangible Financial Tracker 2016 An annual review of the world’s intangible value // BrandFinance URL: http://brandfinance.com/images/upload/gift_report_2016_for_print.pdf (</w:t>
      </w:r>
      <w:r w:rsidRPr="00AF130C">
        <w:rPr>
          <w:rFonts w:ascii="Times New Roman" w:hAnsi="Times New Roman" w:cs="Times New Roman"/>
        </w:rPr>
        <w:t>дата</w:t>
      </w:r>
      <w:r w:rsidRPr="00AF130C">
        <w:rPr>
          <w:rFonts w:ascii="Times New Roman" w:hAnsi="Times New Roman" w:cs="Times New Roman"/>
          <w:lang w:val="en-US"/>
        </w:rPr>
        <w:t xml:space="preserve"> </w:t>
      </w:r>
      <w:r w:rsidRPr="00AF130C">
        <w:rPr>
          <w:rFonts w:ascii="Times New Roman" w:hAnsi="Times New Roman" w:cs="Times New Roman"/>
        </w:rPr>
        <w:t>обращения</w:t>
      </w:r>
      <w:r w:rsidRPr="00AF130C">
        <w:rPr>
          <w:rFonts w:ascii="Times New Roman" w:hAnsi="Times New Roman" w:cs="Times New Roman"/>
          <w:lang w:val="en-US"/>
        </w:rPr>
        <w:t>: 30.08.2016).</w:t>
      </w:r>
    </w:p>
  </w:footnote>
  <w:footnote w:id="12">
    <w:p w14:paraId="31E298B0" w14:textId="3034192E" w:rsidR="007E0728" w:rsidRPr="007A5698" w:rsidRDefault="007E0728" w:rsidP="00AF130C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7A5698">
        <w:rPr>
          <w:rStyle w:val="a8"/>
          <w:rFonts w:ascii="Times New Roman" w:hAnsi="Times New Roman" w:cs="Times New Roman"/>
        </w:rPr>
        <w:footnoteRef/>
      </w:r>
      <w:r w:rsidRPr="007A5698">
        <w:rPr>
          <w:rFonts w:ascii="Times New Roman" w:hAnsi="Times New Roman" w:cs="Times New Roman"/>
          <w:lang w:val="en-US"/>
        </w:rPr>
        <w:t xml:space="preserve"> Global Intangible Financial Tracker 2016 An annual review of the world’s intangible value // BrandFinance URL: http://brandfinance.com/images/upload/gift_report_2016_for_print.pdf (</w:t>
      </w:r>
      <w:r w:rsidRPr="007A5698">
        <w:rPr>
          <w:rFonts w:ascii="Times New Roman" w:hAnsi="Times New Roman" w:cs="Times New Roman"/>
        </w:rPr>
        <w:t>дата</w:t>
      </w:r>
      <w:r w:rsidRPr="007A5698">
        <w:rPr>
          <w:rFonts w:ascii="Times New Roman" w:hAnsi="Times New Roman" w:cs="Times New Roman"/>
          <w:lang w:val="en-US"/>
        </w:rPr>
        <w:t xml:space="preserve"> </w:t>
      </w:r>
      <w:r w:rsidRPr="007A5698">
        <w:rPr>
          <w:rFonts w:ascii="Times New Roman" w:hAnsi="Times New Roman" w:cs="Times New Roman"/>
        </w:rPr>
        <w:t>обращения</w:t>
      </w:r>
      <w:r w:rsidRPr="007A5698">
        <w:rPr>
          <w:rFonts w:ascii="Times New Roman" w:hAnsi="Times New Roman" w:cs="Times New Roman"/>
          <w:lang w:val="en-US"/>
        </w:rPr>
        <w:t>: 30.08.2016).</w:t>
      </w:r>
    </w:p>
  </w:footnote>
  <w:footnote w:id="13">
    <w:p w14:paraId="5D085E38" w14:textId="7A418DBB" w:rsidR="007E0728" w:rsidRPr="003909E9" w:rsidRDefault="007E0728" w:rsidP="00AF130C">
      <w:pPr>
        <w:pStyle w:val="a6"/>
        <w:spacing w:line="276" w:lineRule="auto"/>
        <w:jc w:val="both"/>
        <w:rPr>
          <w:lang w:val="en-US"/>
        </w:rPr>
      </w:pPr>
      <w:r w:rsidRPr="007A5698">
        <w:rPr>
          <w:rStyle w:val="a8"/>
          <w:rFonts w:ascii="Times New Roman" w:hAnsi="Times New Roman" w:cs="Times New Roman"/>
        </w:rPr>
        <w:footnoteRef/>
      </w:r>
      <w:r w:rsidRPr="003909E9">
        <w:rPr>
          <w:rFonts w:ascii="Times New Roman" w:hAnsi="Times New Roman" w:cs="Times New Roman"/>
          <w:lang w:val="en-US"/>
        </w:rPr>
        <w:t>Best Global Brands 2016 // Interbrand URL: http://interbrand.com/best-brands/best-global-brands/2016/ (дата обращения: 30.08.2016).</w:t>
      </w:r>
    </w:p>
  </w:footnote>
  <w:footnote w:id="14">
    <w:p w14:paraId="7624D7A7" w14:textId="305B7B3C" w:rsidR="007E0728" w:rsidRPr="0033041D" w:rsidRDefault="007E0728" w:rsidP="004D1DF3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91718D">
        <w:rPr>
          <w:rFonts w:ascii="Times New Roman" w:hAnsi="Times New Roman" w:cs="Times New Roman"/>
        </w:rPr>
        <w:t>Макшанов</w:t>
      </w:r>
      <w:r>
        <w:rPr>
          <w:rFonts w:ascii="Times New Roman" w:hAnsi="Times New Roman" w:cs="Times New Roman"/>
        </w:rPr>
        <w:t xml:space="preserve"> С.И., </w:t>
      </w:r>
      <w:r w:rsidRPr="0091718D">
        <w:rPr>
          <w:rFonts w:ascii="Times New Roman" w:hAnsi="Times New Roman" w:cs="Times New Roman"/>
        </w:rPr>
        <w:t>Козейчук</w:t>
      </w:r>
      <w:r>
        <w:rPr>
          <w:rFonts w:ascii="Times New Roman" w:hAnsi="Times New Roman" w:cs="Times New Roman"/>
        </w:rPr>
        <w:t xml:space="preserve"> Д.А.</w:t>
      </w:r>
      <w:r w:rsidRPr="0091718D">
        <w:rPr>
          <w:rFonts w:ascii="Times New Roman" w:hAnsi="Times New Roman" w:cs="Times New Roman"/>
        </w:rPr>
        <w:t xml:space="preserve"> Управление нематериальным капиталом как стратегический императив бизнеса новой экономики // Бренд-менеджмент. - 2007. - №06 (37). - С. 362.</w:t>
      </w:r>
    </w:p>
  </w:footnote>
  <w:footnote w:id="15">
    <w:p w14:paraId="7E722790" w14:textId="2D886F15" w:rsidR="007E0728" w:rsidRPr="001A02D7" w:rsidRDefault="007E0728" w:rsidP="00032C36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1A02D7">
        <w:rPr>
          <w:rFonts w:ascii="Times New Roman" w:hAnsi="Times New Roman" w:cs="Times New Roman"/>
          <w:lang w:val="en-US"/>
        </w:rPr>
        <w:t xml:space="preserve"> </w:t>
      </w:r>
      <w:r w:rsidRPr="007A5698">
        <w:rPr>
          <w:rFonts w:ascii="Times New Roman" w:hAnsi="Times New Roman" w:cs="Times New Roman"/>
          <w:lang w:val="en-US"/>
        </w:rPr>
        <w:t>Global Intangible Financial Tracker 2016 An annual review of the world’s intangible value // BrandFinance URL: http://brandfinance.com/images/upload/gift_report_2016_for_print.pdf (</w:t>
      </w:r>
      <w:r w:rsidRPr="007A5698">
        <w:rPr>
          <w:rFonts w:ascii="Times New Roman" w:hAnsi="Times New Roman" w:cs="Times New Roman"/>
        </w:rPr>
        <w:t>дата</w:t>
      </w:r>
      <w:r w:rsidRPr="007A5698">
        <w:rPr>
          <w:rFonts w:ascii="Times New Roman" w:hAnsi="Times New Roman" w:cs="Times New Roman"/>
          <w:lang w:val="en-US"/>
        </w:rPr>
        <w:t xml:space="preserve"> </w:t>
      </w:r>
      <w:r w:rsidRPr="007A5698">
        <w:rPr>
          <w:rFonts w:ascii="Times New Roman" w:hAnsi="Times New Roman" w:cs="Times New Roman"/>
        </w:rPr>
        <w:t>обращения</w:t>
      </w:r>
      <w:r>
        <w:rPr>
          <w:rFonts w:ascii="Times New Roman" w:hAnsi="Times New Roman" w:cs="Times New Roman"/>
          <w:lang w:val="en-US"/>
        </w:rPr>
        <w:t>: 03.09</w:t>
      </w:r>
      <w:r w:rsidRPr="007A5698">
        <w:rPr>
          <w:rFonts w:ascii="Times New Roman" w:hAnsi="Times New Roman" w:cs="Times New Roman"/>
          <w:lang w:val="en-US"/>
        </w:rPr>
        <w:t>.2016).</w:t>
      </w:r>
    </w:p>
  </w:footnote>
  <w:footnote w:id="16">
    <w:p w14:paraId="7C64AFED" w14:textId="4093807E" w:rsidR="007E0728" w:rsidRPr="0033041D" w:rsidRDefault="007E0728" w:rsidP="00101822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E41C52">
        <w:rPr>
          <w:rFonts w:ascii="Times New Roman" w:hAnsi="Times New Roman" w:cs="Times New Roman"/>
        </w:rPr>
        <w:t>Как оценить инвестиции в бренд // Комсомольская правда URL: http://www.kp.ru/daily/26605.4/3621672/ (дата обращения: 03.09.2016).</w:t>
      </w:r>
    </w:p>
  </w:footnote>
  <w:footnote w:id="17">
    <w:p w14:paraId="3DBE179A" w14:textId="4524074E" w:rsidR="007E0728" w:rsidRPr="0033041D" w:rsidRDefault="007E0728" w:rsidP="00581F33">
      <w:pPr>
        <w:pStyle w:val="a6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6600EC">
        <w:rPr>
          <w:rFonts w:ascii="Times New Roman" w:hAnsi="Times New Roman" w:cs="Times New Roman"/>
        </w:rPr>
        <w:t>Валдайцев С. В. Оценка интеллектуальной собственности. - М.: Экономика, 2009. - С. 375.</w:t>
      </w:r>
    </w:p>
  </w:footnote>
  <w:footnote w:id="18">
    <w:p w14:paraId="409C3634" w14:textId="486CC10D" w:rsidR="007E0728" w:rsidRPr="0033041D" w:rsidRDefault="007E0728" w:rsidP="004308DF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F246DC">
        <w:rPr>
          <w:rFonts w:ascii="Times New Roman" w:hAnsi="Times New Roman" w:cs="Times New Roman"/>
        </w:rPr>
        <w:t>Методические рекомендации по оценке стоимости нематериальных активов и интеллектуальной собственности // Система нормативных и методических документов Российского общества оценщиков URL: http://samroo.ru/sites/share/fso/snmd_roo_04-030-2015_metodicheskie_rekomendacii_po_ocenke_stoimosti_nematerialnyh_aktivov_i_intellektualnoy_sobstvennosti.pdf (дата обращения: 05.09.2016).</w:t>
      </w:r>
    </w:p>
  </w:footnote>
  <w:footnote w:id="19">
    <w:p w14:paraId="613EE213" w14:textId="758A40E6" w:rsidR="007E0728" w:rsidRPr="00AF60A8" w:rsidRDefault="007E0728" w:rsidP="00985698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F60A8">
        <w:rPr>
          <w:rStyle w:val="a8"/>
          <w:rFonts w:ascii="Times New Roman" w:hAnsi="Times New Roman" w:cs="Times New Roman"/>
        </w:rPr>
        <w:footnoteRef/>
      </w:r>
      <w:r w:rsidRPr="00AF60A8">
        <w:rPr>
          <w:rFonts w:ascii="Times New Roman" w:hAnsi="Times New Roman" w:cs="Times New Roman"/>
          <w:lang w:val="en-US"/>
        </w:rPr>
        <w:t xml:space="preserve"> Schauten M.B.J., Stegink R., de Graaff G. The discount rate for discounted cash flow valuations of intangible assets // Managerial Finance. - 2007. - №36. - P. 5.</w:t>
      </w:r>
    </w:p>
  </w:footnote>
  <w:footnote w:id="20">
    <w:p w14:paraId="43D838C4" w14:textId="5417136A" w:rsidR="007E0728" w:rsidRPr="0033041D" w:rsidRDefault="007E0728" w:rsidP="00985698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03693B">
        <w:rPr>
          <w:rFonts w:ascii="Times New Roman" w:hAnsi="Times New Roman" w:cs="Times New Roman"/>
        </w:rPr>
        <w:t>Рейли Р., Швайс Р. Оценка нематериальных активов. - М.: КВИНТО-КОНСАЛТИНГ, 2005. - С. 592.</w:t>
      </w:r>
    </w:p>
  </w:footnote>
  <w:footnote w:id="21">
    <w:p w14:paraId="7C5CA0D9" w14:textId="5BB4BB93" w:rsidR="007E0728" w:rsidRPr="00C571E7" w:rsidRDefault="007E0728" w:rsidP="00985698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571E7">
        <w:rPr>
          <w:rStyle w:val="a8"/>
          <w:rFonts w:ascii="Times New Roman" w:hAnsi="Times New Roman" w:cs="Times New Roman"/>
        </w:rPr>
        <w:footnoteRef/>
      </w:r>
      <w:r w:rsidRPr="00C571E7">
        <w:rPr>
          <w:rFonts w:ascii="Times New Roman" w:hAnsi="Times New Roman" w:cs="Times New Roman"/>
          <w:lang w:val="en-US"/>
        </w:rPr>
        <w:t xml:space="preserve"> Schauten M.B.J., Stegink R., de Graaff G. The discount rate for discounted cash flow valuations of intangible assets // Managerial Finance. - 2007. - №36. - С. 6.</w:t>
      </w:r>
    </w:p>
  </w:footnote>
  <w:footnote w:id="22">
    <w:p w14:paraId="590682CE" w14:textId="05A7BC78" w:rsidR="007E0728" w:rsidRPr="00814750" w:rsidRDefault="007E0728" w:rsidP="00985698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814750">
        <w:rPr>
          <w:rFonts w:ascii="Times New Roman" w:hAnsi="Times New Roman" w:cs="Times New Roman"/>
          <w:lang w:val="en-US"/>
        </w:rPr>
        <w:t xml:space="preserve"> Salinas, G. &amp; Ambler A taxonomy of brand valuation practice: Methodologies and purposes // Journal of Brand Management. - 2009. - №17. - </w:t>
      </w:r>
      <w:r w:rsidRPr="00814750">
        <w:rPr>
          <w:rFonts w:ascii="Times New Roman" w:hAnsi="Times New Roman" w:cs="Times New Roman"/>
        </w:rPr>
        <w:t>С</w:t>
      </w:r>
      <w:r w:rsidRPr="00814750">
        <w:rPr>
          <w:rFonts w:ascii="Times New Roman" w:hAnsi="Times New Roman" w:cs="Times New Roman"/>
          <w:lang w:val="en-US"/>
        </w:rPr>
        <w:t>. 41.</w:t>
      </w:r>
    </w:p>
  </w:footnote>
  <w:footnote w:id="23">
    <w:p w14:paraId="69D4FD3D" w14:textId="636FEF19" w:rsidR="007E0728" w:rsidRPr="0033041D" w:rsidRDefault="007E0728" w:rsidP="00690AD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6600EC">
        <w:rPr>
          <w:rFonts w:ascii="Times New Roman" w:hAnsi="Times New Roman" w:cs="Times New Roman"/>
        </w:rPr>
        <w:t>Валдайцев С. В. Оценка интеллектуальной собственности.</w:t>
      </w:r>
      <w:r>
        <w:rPr>
          <w:rFonts w:ascii="Times New Roman" w:hAnsi="Times New Roman" w:cs="Times New Roman"/>
        </w:rPr>
        <w:t xml:space="preserve"> - М.: Экономика, 2009. - С. 267</w:t>
      </w:r>
      <w:r w:rsidRPr="006600EC">
        <w:rPr>
          <w:rFonts w:ascii="Times New Roman" w:hAnsi="Times New Roman" w:cs="Times New Roman"/>
        </w:rPr>
        <w:t>.</w:t>
      </w:r>
    </w:p>
  </w:footnote>
  <w:footnote w:id="24">
    <w:p w14:paraId="119072F0" w14:textId="69B967CE" w:rsidR="007E0728" w:rsidRPr="001A39A4" w:rsidRDefault="007E0728" w:rsidP="0044083C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A39A4">
        <w:rPr>
          <w:rStyle w:val="a8"/>
          <w:rFonts w:ascii="Times New Roman" w:hAnsi="Times New Roman" w:cs="Times New Roman"/>
        </w:rPr>
        <w:footnoteRef/>
      </w:r>
      <w:r w:rsidRPr="001A39A4">
        <w:rPr>
          <w:rFonts w:ascii="Times New Roman" w:hAnsi="Times New Roman" w:cs="Times New Roman"/>
          <w:lang w:val="en-US"/>
        </w:rPr>
        <w:t xml:space="preserve"> Aaker D. Managing Brand Equity. - San Francisco: Free Press, 1991. - </w:t>
      </w:r>
      <w:r w:rsidRPr="001A39A4">
        <w:rPr>
          <w:rFonts w:ascii="Times New Roman" w:hAnsi="Times New Roman" w:cs="Times New Roman"/>
        </w:rPr>
        <w:t>С</w:t>
      </w:r>
      <w:r w:rsidRPr="001A39A4">
        <w:rPr>
          <w:rFonts w:ascii="Times New Roman" w:hAnsi="Times New Roman" w:cs="Times New Roman"/>
          <w:lang w:val="en-US"/>
        </w:rPr>
        <w:t>. 168.</w:t>
      </w:r>
    </w:p>
  </w:footnote>
  <w:footnote w:id="25">
    <w:p w14:paraId="2B03F649" w14:textId="0B8E6605" w:rsidR="007E0728" w:rsidRPr="00E8657B" w:rsidRDefault="007E0728" w:rsidP="0044083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E8657B">
        <w:rPr>
          <w:rStyle w:val="a8"/>
          <w:rFonts w:ascii="Times New Roman" w:hAnsi="Times New Roman" w:cs="Times New Roman"/>
        </w:rPr>
        <w:footnoteRef/>
      </w:r>
      <w:r w:rsidRPr="00E8657B">
        <w:rPr>
          <w:rFonts w:ascii="Times New Roman" w:hAnsi="Times New Roman" w:cs="Times New Roman"/>
        </w:rPr>
        <w:t xml:space="preserve"> Аакер Д. Создание сильных брендов. - М.: Гребенников, 2008. - С. 112.</w:t>
      </w:r>
    </w:p>
  </w:footnote>
  <w:footnote w:id="26">
    <w:p w14:paraId="520C224A" w14:textId="1B6F94EE" w:rsidR="007E0728" w:rsidRPr="00E8657B" w:rsidRDefault="007E0728" w:rsidP="0044083C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E8657B">
        <w:rPr>
          <w:rStyle w:val="a8"/>
          <w:rFonts w:ascii="Times New Roman" w:hAnsi="Times New Roman" w:cs="Times New Roman"/>
        </w:rPr>
        <w:footnoteRef/>
      </w:r>
      <w:r w:rsidRPr="00E8657B">
        <w:rPr>
          <w:rFonts w:ascii="Times New Roman" w:hAnsi="Times New Roman" w:cs="Times New Roman"/>
          <w:lang w:val="en-US"/>
        </w:rPr>
        <w:t xml:space="preserve"> Seetharaman A. A conceptual study on brand valuation // Journal of Product &amp; Brand Management. - 2001. - №10. - </w:t>
      </w:r>
      <w:r w:rsidRPr="00E8657B">
        <w:rPr>
          <w:rFonts w:ascii="Times New Roman" w:hAnsi="Times New Roman" w:cs="Times New Roman"/>
        </w:rPr>
        <w:t>С</w:t>
      </w:r>
      <w:r w:rsidRPr="00E8657B">
        <w:rPr>
          <w:rFonts w:ascii="Times New Roman" w:hAnsi="Times New Roman" w:cs="Times New Roman"/>
          <w:lang w:val="en-US"/>
        </w:rPr>
        <w:t>. 249.</w:t>
      </w:r>
    </w:p>
  </w:footnote>
  <w:footnote w:id="27">
    <w:p w14:paraId="0CA73B3F" w14:textId="1655CFAA" w:rsidR="007E0728" w:rsidRPr="00E8657B" w:rsidRDefault="007E0728" w:rsidP="0044083C">
      <w:pPr>
        <w:pStyle w:val="a6"/>
        <w:spacing w:line="276" w:lineRule="auto"/>
        <w:jc w:val="both"/>
        <w:rPr>
          <w:lang w:val="en-US"/>
        </w:rPr>
      </w:pPr>
      <w:r w:rsidRPr="00E8657B">
        <w:rPr>
          <w:rStyle w:val="a8"/>
          <w:rFonts w:ascii="Times New Roman" w:hAnsi="Times New Roman" w:cs="Times New Roman"/>
        </w:rPr>
        <w:footnoteRef/>
      </w:r>
      <w:r w:rsidRPr="00E8657B">
        <w:rPr>
          <w:rFonts w:ascii="Times New Roman" w:hAnsi="Times New Roman" w:cs="Times New Roman"/>
          <w:lang w:val="en-US"/>
        </w:rPr>
        <w:t>Pricing and Value Research Techniques. BPTO // B2B market research specialists URL: https://www.b2binternational.com/research/methods/pricing-research/bpto/ (</w:t>
      </w:r>
      <w:r w:rsidRPr="00E8657B">
        <w:rPr>
          <w:rFonts w:ascii="Times New Roman" w:hAnsi="Times New Roman" w:cs="Times New Roman"/>
        </w:rPr>
        <w:t>дата</w:t>
      </w:r>
      <w:r w:rsidRPr="00E8657B">
        <w:rPr>
          <w:rFonts w:ascii="Times New Roman" w:hAnsi="Times New Roman" w:cs="Times New Roman"/>
          <w:lang w:val="en-US"/>
        </w:rPr>
        <w:t xml:space="preserve"> </w:t>
      </w:r>
      <w:r w:rsidRPr="00E8657B">
        <w:rPr>
          <w:rFonts w:ascii="Times New Roman" w:hAnsi="Times New Roman" w:cs="Times New Roman"/>
        </w:rPr>
        <w:t>обращения</w:t>
      </w:r>
      <w:r w:rsidRPr="00E8657B">
        <w:rPr>
          <w:rFonts w:ascii="Times New Roman" w:hAnsi="Times New Roman" w:cs="Times New Roman"/>
          <w:lang w:val="en-US"/>
        </w:rPr>
        <w:t>: 12.12.2016).</w:t>
      </w:r>
    </w:p>
  </w:footnote>
  <w:footnote w:id="28">
    <w:p w14:paraId="15CE103F" w14:textId="34EEB6E4" w:rsidR="007E0728" w:rsidRPr="00144484" w:rsidRDefault="007E0728" w:rsidP="0055735B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44484">
        <w:rPr>
          <w:rStyle w:val="a8"/>
          <w:rFonts w:ascii="Times New Roman" w:hAnsi="Times New Roman" w:cs="Times New Roman"/>
        </w:rPr>
        <w:footnoteRef/>
      </w:r>
      <w:r w:rsidRPr="00144484">
        <w:rPr>
          <w:rFonts w:ascii="Times New Roman" w:hAnsi="Times New Roman" w:cs="Times New Roman"/>
          <w:lang w:val="en-US"/>
        </w:rPr>
        <w:t xml:space="preserve"> Salinas G. The International Brand Valuation Manual: A complete overview and analysis of brand valuation techniques, methodologies and applications. - Chichester: Wiley, 2009. - P. 264.</w:t>
      </w:r>
    </w:p>
  </w:footnote>
  <w:footnote w:id="29">
    <w:p w14:paraId="368C4D92" w14:textId="65C0790B" w:rsidR="007E0728" w:rsidRPr="0055735B" w:rsidRDefault="007E0728" w:rsidP="0055735B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55735B">
        <w:rPr>
          <w:rStyle w:val="a8"/>
          <w:rFonts w:ascii="Times New Roman" w:hAnsi="Times New Roman" w:cs="Times New Roman"/>
        </w:rPr>
        <w:footnoteRef/>
      </w:r>
      <w:r w:rsidRPr="0055735B">
        <w:rPr>
          <w:rFonts w:ascii="Times New Roman" w:hAnsi="Times New Roman" w:cs="Times New Roman"/>
          <w:lang w:val="en-US"/>
        </w:rPr>
        <w:t xml:space="preserve"> Tollington T. The brand accounting side</w:t>
      </w:r>
      <w:r w:rsidRPr="0055735B">
        <w:rPr>
          <w:rFonts w:ascii="Calibri" w:eastAsia="Calibri" w:hAnsi="Calibri" w:cs="Calibri"/>
          <w:lang w:val="en-US"/>
        </w:rPr>
        <w:t>‐</w:t>
      </w:r>
      <w:r w:rsidRPr="0055735B">
        <w:rPr>
          <w:rFonts w:ascii="Times New Roman" w:hAnsi="Times New Roman" w:cs="Times New Roman"/>
          <w:lang w:val="en-US"/>
        </w:rPr>
        <w:t>show // Journal of Product &amp; Brand Management. - 1999. - №8. - P. 209.</w:t>
      </w:r>
    </w:p>
  </w:footnote>
  <w:footnote w:id="30">
    <w:p w14:paraId="3F88A7F7" w14:textId="278AD074" w:rsidR="007E0728" w:rsidRPr="00CE4AE0" w:rsidRDefault="007E0728" w:rsidP="0055735B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CE4AE0">
        <w:rPr>
          <w:rFonts w:ascii="Times New Roman" w:hAnsi="Times New Roman" w:cs="Times New Roman"/>
          <w:lang w:val="en-US"/>
        </w:rPr>
        <w:t xml:space="preserve"> </w:t>
      </w:r>
      <w:r w:rsidRPr="00487B47">
        <w:rPr>
          <w:rFonts w:ascii="Times New Roman" w:hAnsi="Times New Roman" w:cs="Times New Roman"/>
          <w:lang w:val="en-US"/>
        </w:rPr>
        <w:t>Parr R., Smith G. V. Intellectual property: valuation, exploitation and infringe</w:t>
      </w:r>
      <w:r>
        <w:rPr>
          <w:rFonts w:ascii="Times New Roman" w:hAnsi="Times New Roman" w:cs="Times New Roman"/>
          <w:lang w:val="en-US"/>
        </w:rPr>
        <w:t>ment damages. - 4th ed. - New Jersey: Wiley, 2017. - P</w:t>
      </w:r>
      <w:r w:rsidRPr="00487B47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303</w:t>
      </w:r>
      <w:r w:rsidRPr="00487B47">
        <w:rPr>
          <w:rFonts w:ascii="Times New Roman" w:hAnsi="Times New Roman" w:cs="Times New Roman"/>
          <w:lang w:val="en-US"/>
        </w:rPr>
        <w:t>.</w:t>
      </w:r>
    </w:p>
  </w:footnote>
  <w:footnote w:id="31">
    <w:p w14:paraId="78A084F8" w14:textId="7EC71244" w:rsidR="007E0728" w:rsidRPr="0033041D" w:rsidRDefault="007E0728" w:rsidP="00581F33">
      <w:pPr>
        <w:pStyle w:val="a6"/>
        <w:rPr>
          <w:rFonts w:ascii="Times New Roman" w:hAnsi="Times New Roman" w:cs="Times New Roman"/>
          <w:lang w:val="en-US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CE4AE0">
        <w:rPr>
          <w:rFonts w:ascii="Times New Roman" w:hAnsi="Times New Roman" w:cs="Times New Roman"/>
          <w:lang w:val="en-US"/>
        </w:rPr>
        <w:t xml:space="preserve"> </w:t>
      </w:r>
      <w:r w:rsidRPr="002741F8">
        <w:rPr>
          <w:rFonts w:ascii="Times New Roman" w:hAnsi="Times New Roman" w:cs="Times New Roman"/>
          <w:lang w:val="en-US"/>
        </w:rPr>
        <w:t>Royalty rates // Royalty Range. European Royalty Database URL: https://www.royaltyrange.com (дата обращения: 02.10.2017).</w:t>
      </w:r>
    </w:p>
  </w:footnote>
  <w:footnote w:id="32">
    <w:p w14:paraId="411A20EB" w14:textId="5A23E7F7" w:rsidR="007E0728" w:rsidRPr="00CE4AE0" w:rsidRDefault="007E0728" w:rsidP="0055735B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CE4AE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Knoppe Cf.</w:t>
      </w:r>
      <w:r w:rsidRPr="00BB4232">
        <w:rPr>
          <w:rFonts w:ascii="Times New Roman" w:hAnsi="Times New Roman" w:cs="Times New Roman"/>
          <w:lang w:val="en-US"/>
        </w:rPr>
        <w:t xml:space="preserve">, Besteuerung D. Lizenz- </w:t>
      </w:r>
      <w:r>
        <w:rPr>
          <w:rFonts w:ascii="Times New Roman" w:hAnsi="Times New Roman" w:cs="Times New Roman"/>
          <w:lang w:val="en-US"/>
        </w:rPr>
        <w:t>und Know-how-Verträge. - 2nd ed</w:t>
      </w:r>
      <w:r w:rsidRPr="00BB4232">
        <w:rPr>
          <w:rFonts w:ascii="Times New Roman" w:hAnsi="Times New Roman" w:cs="Times New Roman"/>
          <w:lang w:val="en-US"/>
        </w:rPr>
        <w:t>. 1972</w:t>
      </w:r>
      <w:r>
        <w:rPr>
          <w:rFonts w:ascii="Times New Roman" w:hAnsi="Times New Roman" w:cs="Times New Roman"/>
          <w:lang w:val="en-US"/>
        </w:rPr>
        <w:t>. - P. 102.</w:t>
      </w:r>
    </w:p>
  </w:footnote>
  <w:footnote w:id="33">
    <w:p w14:paraId="226DB6E8" w14:textId="0A7EF054" w:rsidR="007E0728" w:rsidRPr="0033041D" w:rsidRDefault="007E0728" w:rsidP="0055735B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6600EC">
        <w:rPr>
          <w:rFonts w:ascii="Times New Roman" w:hAnsi="Times New Roman" w:cs="Times New Roman"/>
        </w:rPr>
        <w:t xml:space="preserve">Валдайцев С. В. Оценка интеллектуальной собственности. </w:t>
      </w:r>
      <w:r>
        <w:rPr>
          <w:rFonts w:ascii="Times New Roman" w:hAnsi="Times New Roman" w:cs="Times New Roman"/>
        </w:rPr>
        <w:t xml:space="preserve">- М.: Экономика, 2009. - С. </w:t>
      </w:r>
      <w:r w:rsidRPr="0033041D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>.</w:t>
      </w:r>
    </w:p>
  </w:footnote>
  <w:footnote w:id="34">
    <w:p w14:paraId="660EAC75" w14:textId="3DD2E1BE" w:rsidR="007E0728" w:rsidRDefault="007E0728" w:rsidP="00182A01">
      <w:pPr>
        <w:pStyle w:val="a6"/>
        <w:spacing w:line="276" w:lineRule="auto"/>
        <w:jc w:val="both"/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1C7CAC">
        <w:rPr>
          <w:rFonts w:ascii="Times New Roman" w:hAnsi="Times New Roman" w:cs="Times New Roman"/>
        </w:rPr>
        <w:t>Трансакционные издержки, связанные с созданием и использованием прав на товарные знаки в России</w:t>
      </w:r>
      <w:r>
        <w:rPr>
          <w:rFonts w:ascii="Times New Roman" w:hAnsi="Times New Roman" w:cs="Times New Roman"/>
        </w:rPr>
        <w:t xml:space="preserve"> / Вальцескини Э., Кокорев Р.А.</w:t>
      </w:r>
      <w:r w:rsidRPr="001C7CAC">
        <w:rPr>
          <w:rFonts w:ascii="Times New Roman" w:hAnsi="Times New Roman" w:cs="Times New Roman"/>
        </w:rPr>
        <w:t xml:space="preserve">, Менар К. и др.; под ред. Шаститко </w:t>
      </w:r>
      <w:r>
        <w:rPr>
          <w:rFonts w:ascii="Times New Roman" w:hAnsi="Times New Roman" w:cs="Times New Roman"/>
        </w:rPr>
        <w:t>А.Е. - М.: ТЕИС, 2000. - С. 67</w:t>
      </w:r>
      <w:r w:rsidRPr="001C7CAC">
        <w:rPr>
          <w:rFonts w:ascii="Times New Roman" w:hAnsi="Times New Roman" w:cs="Times New Roman"/>
        </w:rPr>
        <w:t>.</w:t>
      </w:r>
    </w:p>
  </w:footnote>
  <w:footnote w:id="35">
    <w:p w14:paraId="5BFAFDF6" w14:textId="6382CF7B" w:rsidR="007E0728" w:rsidRPr="0033041D" w:rsidRDefault="007E0728" w:rsidP="00182A01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733C35">
        <w:rPr>
          <w:rFonts w:ascii="Times New Roman" w:hAnsi="Times New Roman" w:cs="Times New Roman"/>
        </w:rPr>
        <w:t>Леонтьев Ю. Б. Техника профессиональной оценки ИС и НМА. - М.: Октопус, 2005. - С. 11.</w:t>
      </w:r>
    </w:p>
  </w:footnote>
  <w:footnote w:id="36">
    <w:p w14:paraId="46EDB111" w14:textId="265743E9" w:rsidR="007E0728" w:rsidRPr="00644B55" w:rsidRDefault="007E0728" w:rsidP="00182A01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644B55">
        <w:rPr>
          <w:rFonts w:ascii="Times New Roman" w:hAnsi="Times New Roman" w:cs="Times New Roman"/>
          <w:lang w:val="en-US"/>
        </w:rPr>
        <w:t xml:space="preserve"> Research and Standard Setting // Australian Accounting Standards Board (AASB) URL: http://www.aasb.gov.au/admin/file/content102/c3/IASB_Research_and_Standard_Setting.pdf (дата обращения: 19.10.2016).</w:t>
      </w:r>
    </w:p>
  </w:footnote>
  <w:footnote w:id="37">
    <w:p w14:paraId="27AEA5D4" w14:textId="750C7476" w:rsidR="007E0728" w:rsidRPr="0033041D" w:rsidRDefault="007E0728" w:rsidP="00307B52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AD2538">
        <w:rPr>
          <w:rFonts w:ascii="Times New Roman" w:hAnsi="Times New Roman" w:cs="Times New Roman"/>
        </w:rPr>
        <w:t>«Сбербанк» России начал масштабный ребрендинг // НТВ URL: http://www.ntv.ru/novosti/182059 (дата обращения: 24.10.2016).</w:t>
      </w:r>
    </w:p>
  </w:footnote>
  <w:footnote w:id="38">
    <w:p w14:paraId="721C88E2" w14:textId="53227D77" w:rsidR="007E0728" w:rsidRPr="00422F25" w:rsidRDefault="007E0728" w:rsidP="0046296B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422F25">
        <w:rPr>
          <w:rStyle w:val="a8"/>
          <w:rFonts w:ascii="Times New Roman" w:hAnsi="Times New Roman" w:cs="Times New Roman"/>
        </w:rPr>
        <w:footnoteRef/>
      </w:r>
      <w:r w:rsidRPr="00422F25">
        <w:rPr>
          <w:rFonts w:ascii="Times New Roman" w:hAnsi="Times New Roman" w:cs="Times New Roman"/>
        </w:rPr>
        <w:t>Банк сегодня // Sberbank URL: http://www.sberbank.ru/ru/about/today (дата обращения: 02.03.2017).</w:t>
      </w:r>
    </w:p>
  </w:footnote>
  <w:footnote w:id="39">
    <w:p w14:paraId="4BBC4242" w14:textId="6FCD7AAB" w:rsidR="007E0728" w:rsidRPr="000777A3" w:rsidRDefault="007E0728" w:rsidP="0046296B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0777A3">
        <w:rPr>
          <w:rStyle w:val="a8"/>
          <w:rFonts w:ascii="Times New Roman" w:hAnsi="Times New Roman" w:cs="Times New Roman"/>
        </w:rPr>
        <w:footnoteRef/>
      </w:r>
      <w:r w:rsidRPr="000777A3">
        <w:rPr>
          <w:rFonts w:ascii="Times New Roman" w:hAnsi="Times New Roman" w:cs="Times New Roman"/>
        </w:rPr>
        <w:t xml:space="preserve"> Структура акционерного капитала // Sberbank URL: http://www.sberbank.com/ru/investor-relations/share-profile/shareholders-structure (дата обращения: 02.03.2017).</w:t>
      </w:r>
    </w:p>
  </w:footnote>
  <w:footnote w:id="40">
    <w:p w14:paraId="1046B712" w14:textId="2269B19C" w:rsidR="007E0728" w:rsidRPr="000777A3" w:rsidRDefault="007E0728" w:rsidP="0046296B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0777A3">
        <w:rPr>
          <w:rStyle w:val="a8"/>
          <w:rFonts w:ascii="Times New Roman" w:hAnsi="Times New Roman" w:cs="Times New Roman"/>
        </w:rPr>
        <w:footnoteRef/>
      </w:r>
      <w:r w:rsidRPr="000777A3">
        <w:rPr>
          <w:rFonts w:ascii="Times New Roman" w:hAnsi="Times New Roman" w:cs="Times New Roman"/>
        </w:rPr>
        <w:t>Сбербанк России, акция обыкновенная // Invesfunds. Группа Cbonds URL: http://stocks.investfunds.ru/stocks/20/ (дата обращения: 03.03.2017).</w:t>
      </w:r>
    </w:p>
  </w:footnote>
  <w:footnote w:id="41">
    <w:p w14:paraId="03E9DFE5" w14:textId="7288EA07" w:rsidR="007E0728" w:rsidRDefault="007E0728" w:rsidP="0046296B">
      <w:pPr>
        <w:pStyle w:val="a6"/>
        <w:spacing w:line="276" w:lineRule="auto"/>
        <w:jc w:val="both"/>
      </w:pPr>
      <w:r w:rsidRPr="000777A3">
        <w:rPr>
          <w:rStyle w:val="a8"/>
          <w:rFonts w:ascii="Times New Roman" w:hAnsi="Times New Roman" w:cs="Times New Roman"/>
        </w:rPr>
        <w:footnoteRef/>
      </w:r>
      <w:r w:rsidRPr="000777A3">
        <w:rPr>
          <w:rFonts w:ascii="Times New Roman" w:hAnsi="Times New Roman" w:cs="Times New Roman"/>
        </w:rPr>
        <w:t>Сбербанк России, акция привилегированная // Invesfunds. Группа Cbonds URL: http://stocks.investfunds.ru/stocks/21/ (дата обращения: 03.03.2017).</w:t>
      </w:r>
    </w:p>
  </w:footnote>
  <w:footnote w:id="42">
    <w:p w14:paraId="3E3F0A11" w14:textId="098705AF" w:rsidR="007E0728" w:rsidRPr="001B3972" w:rsidRDefault="007E0728" w:rsidP="0046296B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B3972">
        <w:rPr>
          <w:rStyle w:val="a8"/>
          <w:rFonts w:ascii="Times New Roman" w:hAnsi="Times New Roman" w:cs="Times New Roman"/>
        </w:rPr>
        <w:footnoteRef/>
      </w:r>
      <w:r w:rsidRPr="001B3972">
        <w:rPr>
          <w:rFonts w:ascii="Times New Roman" w:hAnsi="Times New Roman" w:cs="Times New Roman"/>
          <w:lang w:val="en-US"/>
        </w:rPr>
        <w:t>Trademark valuation of global banking brands // BVR URL: https://www.bvresources.com/blogs/intellectual-property-news/2015/07/01/trademark-valuation-of-global-banking-brands (</w:t>
      </w:r>
      <w:r w:rsidRPr="001B3972">
        <w:rPr>
          <w:rFonts w:ascii="Times New Roman" w:hAnsi="Times New Roman" w:cs="Times New Roman"/>
        </w:rPr>
        <w:t>дата</w:t>
      </w:r>
      <w:r w:rsidRPr="001B3972">
        <w:rPr>
          <w:rFonts w:ascii="Times New Roman" w:hAnsi="Times New Roman" w:cs="Times New Roman"/>
          <w:lang w:val="en-US"/>
        </w:rPr>
        <w:t xml:space="preserve"> </w:t>
      </w:r>
      <w:r w:rsidRPr="001B3972">
        <w:rPr>
          <w:rFonts w:ascii="Times New Roman" w:hAnsi="Times New Roman" w:cs="Times New Roman"/>
        </w:rPr>
        <w:t>обращения</w:t>
      </w:r>
      <w:r w:rsidRPr="001B3972">
        <w:rPr>
          <w:rFonts w:ascii="Times New Roman" w:hAnsi="Times New Roman" w:cs="Times New Roman"/>
          <w:lang w:val="en-US"/>
        </w:rPr>
        <w:t>: 10.03.2017).</w:t>
      </w:r>
    </w:p>
  </w:footnote>
  <w:footnote w:id="43">
    <w:p w14:paraId="1371F8A8" w14:textId="00703684" w:rsidR="007E0728" w:rsidRPr="008825F2" w:rsidRDefault="007E0728" w:rsidP="009C4342">
      <w:pPr>
        <w:pStyle w:val="a6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825F2">
        <w:rPr>
          <w:rStyle w:val="a8"/>
          <w:rFonts w:ascii="Times New Roman" w:hAnsi="Times New Roman" w:cs="Times New Roman"/>
        </w:rPr>
        <w:footnoteRef/>
      </w:r>
      <w:r w:rsidRPr="008825F2">
        <w:rPr>
          <w:rFonts w:ascii="Times New Roman" w:hAnsi="Times New Roman" w:cs="Times New Roman"/>
          <w:lang w:val="en-US"/>
        </w:rPr>
        <w:t xml:space="preserve"> Parr R., Smith G. V. Intellectual property: valuation, exploitation and infringement damages. - 4th ed. - New Jersey: Wiley, 2017. - P. 240.</w:t>
      </w:r>
    </w:p>
  </w:footnote>
  <w:footnote w:id="44">
    <w:p w14:paraId="165D0DA4" w14:textId="486B785B" w:rsidR="007E0728" w:rsidRPr="008825F2" w:rsidRDefault="007E0728" w:rsidP="009C4342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8825F2">
        <w:rPr>
          <w:rStyle w:val="a8"/>
          <w:rFonts w:ascii="Times New Roman" w:hAnsi="Times New Roman" w:cs="Times New Roman"/>
        </w:rPr>
        <w:footnoteRef/>
      </w:r>
      <w:r w:rsidRPr="008825F2">
        <w:rPr>
          <w:rFonts w:ascii="Times New Roman" w:hAnsi="Times New Roman" w:cs="Times New Roman"/>
        </w:rPr>
        <w:t>Значения кривой бескупонной доходности государственных облигаций (% годовых) // Центральный банк Российской Федерации URL: http://cbr.ru/hd_base/Default.aspx?Prtid=zcyc_params (дата обращения: 12.03.2017).</w:t>
      </w:r>
    </w:p>
  </w:footnote>
  <w:footnote w:id="45">
    <w:p w14:paraId="0AE1006F" w14:textId="0F5EF1B5" w:rsidR="007E0728" w:rsidRPr="0033041D" w:rsidRDefault="007E0728" w:rsidP="009C4342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8825F2">
        <w:rPr>
          <w:rStyle w:val="a8"/>
          <w:rFonts w:ascii="Times New Roman" w:hAnsi="Times New Roman" w:cs="Times New Roman"/>
        </w:rPr>
        <w:footnoteRef/>
      </w:r>
      <w:r w:rsidRPr="008825F2">
        <w:rPr>
          <w:rFonts w:ascii="Times New Roman" w:hAnsi="Times New Roman" w:cs="Times New Roman"/>
        </w:rPr>
        <w:t>Сбербанк России, акция обыкновенная // Invesfunds. Группа Cbonds URL: http://stocks.investfunds.ru/stocks/20/ (дата обращения: 12.03.2017).</w:t>
      </w:r>
    </w:p>
  </w:footnote>
  <w:footnote w:id="46">
    <w:p w14:paraId="74DA4A1C" w14:textId="0E7B6F63" w:rsidR="007E0728" w:rsidRPr="0030762A" w:rsidRDefault="007E0728" w:rsidP="00581F33">
      <w:pPr>
        <w:pStyle w:val="a6"/>
        <w:rPr>
          <w:rFonts w:ascii="Times New Roman" w:hAnsi="Times New Roman" w:cs="Times New Roman"/>
          <w:lang w:val="en-US"/>
        </w:rPr>
      </w:pPr>
      <w:r w:rsidRPr="0030762A">
        <w:rPr>
          <w:rStyle w:val="a8"/>
          <w:rFonts w:ascii="Times New Roman" w:hAnsi="Times New Roman" w:cs="Times New Roman"/>
        </w:rPr>
        <w:footnoteRef/>
      </w:r>
      <w:r w:rsidRPr="0030762A">
        <w:rPr>
          <w:rFonts w:ascii="Times New Roman" w:hAnsi="Times New Roman" w:cs="Times New Roman"/>
          <w:lang w:val="en-US"/>
        </w:rPr>
        <w:t xml:space="preserve"> Country Default Spreads and Risk Premiums // NYU Stern URL: http://pages.stern.nyu.edu/~adamodar/New_Home_Page/datafile/ctryprem.html (</w:t>
      </w:r>
      <w:r w:rsidRPr="0030762A">
        <w:rPr>
          <w:rFonts w:ascii="Times New Roman" w:hAnsi="Times New Roman" w:cs="Times New Roman"/>
        </w:rPr>
        <w:t>дата</w:t>
      </w:r>
      <w:r w:rsidRPr="0030762A">
        <w:rPr>
          <w:rFonts w:ascii="Times New Roman" w:hAnsi="Times New Roman" w:cs="Times New Roman"/>
          <w:lang w:val="en-US"/>
        </w:rPr>
        <w:t xml:space="preserve"> </w:t>
      </w:r>
      <w:r w:rsidRPr="0030762A">
        <w:rPr>
          <w:rFonts w:ascii="Times New Roman" w:hAnsi="Times New Roman" w:cs="Times New Roman"/>
        </w:rPr>
        <w:t>обращения</w:t>
      </w:r>
      <w:r w:rsidRPr="0030762A">
        <w:rPr>
          <w:rFonts w:ascii="Times New Roman" w:hAnsi="Times New Roman" w:cs="Times New Roman"/>
          <w:lang w:val="en-US"/>
        </w:rPr>
        <w:t>: 12.03.2017).</w:t>
      </w:r>
    </w:p>
  </w:footnote>
  <w:footnote w:id="47">
    <w:p w14:paraId="7559FF51" w14:textId="55F49D27" w:rsidR="007E0728" w:rsidRPr="0030762A" w:rsidRDefault="007E0728" w:rsidP="00581F33">
      <w:pPr>
        <w:pStyle w:val="a6"/>
        <w:rPr>
          <w:rFonts w:ascii="Times New Roman" w:hAnsi="Times New Roman" w:cs="Times New Roman"/>
        </w:rPr>
      </w:pPr>
      <w:r w:rsidRPr="0030762A">
        <w:rPr>
          <w:rStyle w:val="a8"/>
          <w:rFonts w:ascii="Times New Roman" w:hAnsi="Times New Roman" w:cs="Times New Roman"/>
        </w:rPr>
        <w:footnoteRef/>
      </w:r>
      <w:r w:rsidRPr="0030762A">
        <w:rPr>
          <w:rFonts w:ascii="Times New Roman" w:hAnsi="Times New Roman" w:cs="Times New Roman"/>
        </w:rPr>
        <w:t xml:space="preserve"> Ставка рефинансирования Центрального банка Российской Федерации // Центральный банк Российской Федерации URL: http://www.cbr.ru/print.asp?file=/statistics/credit_statistics/refinancing_rates.htm (дата обращения: 13.03.2017).</w:t>
      </w:r>
    </w:p>
  </w:footnote>
  <w:footnote w:id="48">
    <w:p w14:paraId="18A4BD0A" w14:textId="3C92DB77" w:rsidR="007E0728" w:rsidRDefault="007E0728" w:rsidP="00581F33">
      <w:pPr>
        <w:pStyle w:val="a6"/>
      </w:pPr>
      <w:r w:rsidRPr="0030762A">
        <w:rPr>
          <w:rStyle w:val="a8"/>
          <w:rFonts w:ascii="Times New Roman" w:hAnsi="Times New Roman" w:cs="Times New Roman"/>
        </w:rPr>
        <w:footnoteRef/>
      </w:r>
      <w:r w:rsidRPr="0030762A">
        <w:rPr>
          <w:rFonts w:ascii="Times New Roman" w:hAnsi="Times New Roman" w:cs="Times New Roman"/>
        </w:rPr>
        <w:t xml:space="preserve"> Итоги группы Сбербанка по МСФО 2016 // Sberbank URL: http://www.sberbank.com/common/img/uploaded/files/info/Prezentatsiya_MSFO_UE16_RU.pdf (дата обращения: 13.03.2017).</w:t>
      </w:r>
    </w:p>
  </w:footnote>
  <w:footnote w:id="49">
    <w:p w14:paraId="47C1B5AF" w14:textId="48598CCB" w:rsidR="007E0728" w:rsidRPr="008A118C" w:rsidRDefault="007E0728" w:rsidP="008A118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8A118C">
        <w:rPr>
          <w:rStyle w:val="a8"/>
          <w:rFonts w:ascii="Times New Roman" w:hAnsi="Times New Roman" w:cs="Times New Roman"/>
        </w:rPr>
        <w:footnoteRef/>
      </w:r>
      <w:r w:rsidRPr="008A118C">
        <w:rPr>
          <w:rFonts w:ascii="Times New Roman" w:hAnsi="Times New Roman" w:cs="Times New Roman"/>
        </w:rPr>
        <w:t>Итоги группы Сбербанка по МСФО 2016 // Sberbank URL: http://www.sberbank.com/common/img/uploaded/files/info/Prezentatsiya_MSFO_UE16_RU.pdf (дата обращения: 13.03.2017).</w:t>
      </w:r>
    </w:p>
  </w:footnote>
  <w:footnote w:id="50">
    <w:p w14:paraId="5EAAF805" w14:textId="671A8A05" w:rsidR="007E0728" w:rsidRPr="00B27C5D" w:rsidRDefault="007E0728" w:rsidP="008A118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8A118C">
        <w:rPr>
          <w:rStyle w:val="a8"/>
          <w:rFonts w:ascii="Times New Roman" w:hAnsi="Times New Roman" w:cs="Times New Roman"/>
        </w:rPr>
        <w:footnoteRef/>
      </w:r>
      <w:r w:rsidRPr="008A118C">
        <w:rPr>
          <w:rFonts w:ascii="Times New Roman" w:hAnsi="Times New Roman" w:cs="Times New Roman"/>
        </w:rPr>
        <w:t xml:space="preserve"> Россия - Государственные Облигации // Investing.com URL: https://ru.investing.com/rates-bonds/russia-government-bonds?maturity_from=230&amp;maturity_to=260 (дата обращения: 15.03.2017).</w:t>
      </w:r>
    </w:p>
  </w:footnote>
  <w:footnote w:id="51">
    <w:p w14:paraId="1E75231B" w14:textId="00A46507" w:rsidR="007E0728" w:rsidRPr="00B27C5D" w:rsidRDefault="007E0728" w:rsidP="008A118C">
      <w:pPr>
        <w:pStyle w:val="a6"/>
        <w:spacing w:line="276" w:lineRule="auto"/>
        <w:jc w:val="both"/>
        <w:rPr>
          <w:lang w:val="en-US"/>
        </w:rPr>
      </w:pPr>
      <w:r w:rsidRPr="00B27C5D">
        <w:rPr>
          <w:rStyle w:val="a8"/>
          <w:rFonts w:ascii="Times New Roman" w:hAnsi="Times New Roman" w:cs="Times New Roman"/>
        </w:rPr>
        <w:footnoteRef/>
      </w:r>
      <w:r w:rsidRPr="00B27C5D">
        <w:rPr>
          <w:rFonts w:ascii="Times New Roman" w:hAnsi="Times New Roman" w:cs="Times New Roman"/>
          <w:lang w:val="en-US"/>
        </w:rPr>
        <w:t>How Much Does it Cost to Lease IT Equipment? // Cost Owl URL: http://www.costowl.com/rental/equipment-leasing-it-cost.html (</w:t>
      </w:r>
      <w:r w:rsidRPr="00B27C5D">
        <w:rPr>
          <w:rFonts w:ascii="Times New Roman" w:hAnsi="Times New Roman" w:cs="Times New Roman"/>
        </w:rPr>
        <w:t>дата</w:t>
      </w:r>
      <w:r w:rsidRPr="00B27C5D">
        <w:rPr>
          <w:rFonts w:ascii="Times New Roman" w:hAnsi="Times New Roman" w:cs="Times New Roman"/>
          <w:lang w:val="en-US"/>
        </w:rPr>
        <w:t xml:space="preserve"> </w:t>
      </w:r>
      <w:r w:rsidRPr="00B27C5D">
        <w:rPr>
          <w:rFonts w:ascii="Times New Roman" w:hAnsi="Times New Roman" w:cs="Times New Roman"/>
        </w:rPr>
        <w:t>обращения</w:t>
      </w:r>
      <w:r w:rsidRPr="00B27C5D">
        <w:rPr>
          <w:rFonts w:ascii="Times New Roman" w:hAnsi="Times New Roman" w:cs="Times New Roman"/>
          <w:lang w:val="en-US"/>
        </w:rPr>
        <w:t>: 24.03.2017).</w:t>
      </w:r>
    </w:p>
  </w:footnote>
  <w:footnote w:id="52">
    <w:p w14:paraId="7A45F71A" w14:textId="1A5F1D16" w:rsidR="007E0728" w:rsidRPr="0033041D" w:rsidRDefault="007E0728" w:rsidP="008A118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67070C">
        <w:rPr>
          <w:rFonts w:ascii="Times New Roman" w:hAnsi="Times New Roman" w:cs="Times New Roman"/>
        </w:rPr>
        <w:t>Bloomberg: в 2017 году РФ ждет экономический подъем и "любовь инвесторов" // РИА Новости URL: https://ria.ru/economy/20161228/1484851820.html (дата обращения: 24.03.2017).</w:t>
      </w:r>
    </w:p>
  </w:footnote>
  <w:footnote w:id="53">
    <w:p w14:paraId="692593B8" w14:textId="2DAA069C" w:rsidR="007E0728" w:rsidRDefault="007E0728" w:rsidP="008A118C">
      <w:pPr>
        <w:pStyle w:val="a6"/>
        <w:spacing w:line="276" w:lineRule="auto"/>
        <w:jc w:val="both"/>
      </w:pPr>
      <w:r w:rsidRPr="0033041D">
        <w:rPr>
          <w:rStyle w:val="a8"/>
          <w:rFonts w:ascii="Times New Roman" w:hAnsi="Times New Roman" w:cs="Times New Roman"/>
        </w:rPr>
        <w:footnoteRef/>
      </w:r>
      <w:r w:rsidRPr="0033041D">
        <w:rPr>
          <w:rFonts w:ascii="Times New Roman" w:hAnsi="Times New Roman" w:cs="Times New Roman"/>
        </w:rPr>
        <w:t xml:space="preserve"> </w:t>
      </w:r>
      <w:r w:rsidRPr="00A6396D">
        <w:rPr>
          <w:rFonts w:ascii="Times New Roman" w:hAnsi="Times New Roman" w:cs="Times New Roman"/>
        </w:rPr>
        <w:t>Банковская система РФ в 2016 году потеряла 100 банков, но вышла на прибыль в 1 трлн руб. // ТАСС URL: http://tass.ru/ekonomika/3910412 (дата обращения: 26.03.2017).</w:t>
      </w:r>
    </w:p>
  </w:footnote>
  <w:footnote w:id="54">
    <w:p w14:paraId="61A0F865" w14:textId="3DC46C13" w:rsidR="007E0728" w:rsidRPr="0033041D" w:rsidRDefault="007E0728" w:rsidP="008A118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3041D">
        <w:rPr>
          <w:rStyle w:val="a8"/>
          <w:rFonts w:ascii="Times New Roman" w:hAnsi="Times New Roman" w:cs="Times New Roman"/>
        </w:rPr>
        <w:footnoteRef/>
      </w:r>
      <w:r w:rsidRPr="0030762A">
        <w:rPr>
          <w:rFonts w:ascii="Times New Roman" w:hAnsi="Times New Roman" w:cs="Times New Roman"/>
        </w:rPr>
        <w:t>Итоги группы Сбербанка по МСФО 2016 // Sberbank URL: http://www.sberbank.com/common/img/uploaded/files/info/Prezentatsiya_MSFO</w:t>
      </w:r>
      <w:r>
        <w:rPr>
          <w:rFonts w:ascii="Times New Roman" w:hAnsi="Times New Roman" w:cs="Times New Roman"/>
        </w:rPr>
        <w:t>_UE16_RU.pdf (дата обращения: 15</w:t>
      </w:r>
      <w:r w:rsidRPr="0030762A">
        <w:rPr>
          <w:rFonts w:ascii="Times New Roman" w:hAnsi="Times New Roman" w:cs="Times New Roman"/>
        </w:rPr>
        <w:t>.03.2017).</w:t>
      </w:r>
    </w:p>
  </w:footnote>
  <w:footnote w:id="55">
    <w:p w14:paraId="44CAB4BC" w14:textId="50CFAD9A" w:rsidR="0052286E" w:rsidRPr="0052286E" w:rsidRDefault="0052286E" w:rsidP="0052286E">
      <w:pPr>
        <w:pStyle w:val="a6"/>
        <w:jc w:val="both"/>
        <w:rPr>
          <w:rFonts w:ascii="Times New Roman" w:hAnsi="Times New Roman" w:cs="Times New Roman"/>
          <w:lang w:val="en-US"/>
        </w:rPr>
      </w:pPr>
      <w:r w:rsidRPr="0052286E">
        <w:rPr>
          <w:rStyle w:val="a8"/>
          <w:rFonts w:ascii="Times New Roman" w:hAnsi="Times New Roman" w:cs="Times New Roman"/>
        </w:rPr>
        <w:footnoteRef/>
      </w:r>
      <w:r w:rsidRPr="0052286E">
        <w:rPr>
          <w:rFonts w:ascii="Times New Roman" w:hAnsi="Times New Roman" w:cs="Times New Roman"/>
          <w:lang w:val="en-US"/>
        </w:rPr>
        <w:t xml:space="preserve"> Untouchable intangibles // The Economist URL: http://www.economist.com/news/business/21614153-sometimes-you-see-brands-balance-sheet-sometimes-you-dont-untouchable-intangibles (</w:t>
      </w:r>
      <w:r w:rsidRPr="0052286E">
        <w:rPr>
          <w:rFonts w:ascii="Times New Roman" w:hAnsi="Times New Roman" w:cs="Times New Roman"/>
        </w:rPr>
        <w:t>дата</w:t>
      </w:r>
      <w:r w:rsidRPr="0052286E">
        <w:rPr>
          <w:rFonts w:ascii="Times New Roman" w:hAnsi="Times New Roman" w:cs="Times New Roman"/>
          <w:lang w:val="en-US"/>
        </w:rPr>
        <w:t xml:space="preserve"> </w:t>
      </w:r>
      <w:r w:rsidRPr="0052286E">
        <w:rPr>
          <w:rFonts w:ascii="Times New Roman" w:hAnsi="Times New Roman" w:cs="Times New Roman"/>
        </w:rPr>
        <w:t>обращения</w:t>
      </w:r>
      <w:r w:rsidRPr="0052286E">
        <w:rPr>
          <w:rFonts w:ascii="Times New Roman" w:hAnsi="Times New Roman" w:cs="Times New Roman"/>
          <w:lang w:val="en-US"/>
        </w:rPr>
        <w:t>: 30.04.2017).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4BEDE" w14:textId="77777777" w:rsidR="007E0728" w:rsidRDefault="007E0728" w:rsidP="001D1A70">
    <w:pPr>
      <w:pStyle w:val="ad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8BBE732" w14:textId="77777777" w:rsidR="007E0728" w:rsidRPr="00CE4AE0" w:rsidRDefault="007E0728" w:rsidP="00C82D6F">
    <w:pPr>
      <w:pStyle w:val="ad"/>
      <w:ind w:right="360"/>
      <w:rPr>
        <w:lang w:val="en-US"/>
      </w:rPr>
    </w:pPr>
    <w:sdt>
      <w:sdtPr>
        <w:id w:val="171999623"/>
        <w:temporary/>
        <w:showingPlcHdr/>
      </w:sdtPr>
      <w:sdtContent>
        <w:r w:rsidRPr="00CE4AE0">
          <w:rPr>
            <w:lang w:val="en-US"/>
          </w:rPr>
          <w:t>[Type text]</w:t>
        </w:r>
      </w:sdtContent>
    </w:sdt>
    <w:r>
      <w:ptab w:relativeTo="margin" w:alignment="center" w:leader="none"/>
    </w:r>
    <w:sdt>
      <w:sdtPr>
        <w:id w:val="171999624"/>
        <w:temporary/>
        <w:showingPlcHdr/>
      </w:sdtPr>
      <w:sdtContent>
        <w:r w:rsidRPr="00CE4AE0">
          <w:rPr>
            <w:lang w:val="en-US"/>
          </w:rPr>
          <w:t>[Type text]</w:t>
        </w:r>
      </w:sdtContent>
    </w:sdt>
    <w:r>
      <w:ptab w:relativeTo="margin" w:alignment="right" w:leader="none"/>
    </w:r>
    <w:sdt>
      <w:sdtPr>
        <w:id w:val="171999625"/>
        <w:temporary/>
        <w:showingPlcHdr/>
      </w:sdtPr>
      <w:sdtContent>
        <w:r w:rsidRPr="00CE4AE0">
          <w:rPr>
            <w:lang w:val="en-US"/>
          </w:rPr>
          <w:t>[Type text]</w:t>
        </w:r>
      </w:sdtContent>
    </w:sdt>
  </w:p>
  <w:p w14:paraId="6BA13C2F" w14:textId="77777777" w:rsidR="007E0728" w:rsidRPr="00CE4AE0" w:rsidRDefault="007E0728">
    <w:pPr>
      <w:pStyle w:val="ad"/>
      <w:rPr>
        <w:lang w:val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D2624" w14:textId="77777777" w:rsidR="007E0728" w:rsidRDefault="007E0728" w:rsidP="00C82D6F">
    <w:pPr>
      <w:pStyle w:val="ad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6DC1B" w14:textId="1B353361" w:rsidR="007E0728" w:rsidRDefault="007E0728">
    <w:pPr>
      <w:pStyle w:val="ad"/>
      <w:tabs>
        <w:tab w:val="clear" w:pos="4677"/>
        <w:tab w:val="clear" w:pos="9355"/>
        <w:tab w:val="right" w:pos="9380"/>
      </w:tabs>
      <w:ind w:left="-360"/>
      <w:rPr>
        <w:rFonts w:ascii="Verdana" w:eastAsia="ＭＳ ゴシック" w:hAnsi="Verdana"/>
        <w:sz w:val="36"/>
        <w:szCs w:val="36"/>
      </w:rPr>
    </w:pPr>
    <w:bookmarkStart w:id="2" w:name="_WNSectionTitle"/>
    <w:bookmarkStart w:id="3" w:name="_WNTabType_0"/>
  </w:p>
  <w:bookmarkEnd w:id="2"/>
  <w:bookmarkEnd w:id="3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E79BD" w14:textId="77777777" w:rsidR="007E0728" w:rsidRDefault="007E0728">
    <w:pPr>
      <w:pStyle w:val="ad"/>
    </w:pPr>
    <w:bookmarkStart w:id="8" w:name="_WNSectionTitle_3"/>
    <w:bookmarkStart w:id="9" w:name="_WNTabType_2"/>
  </w:p>
  <w:bookmarkEnd w:id="8"/>
  <w:bookmarkEnd w:id="9"/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7C224" w14:textId="77777777" w:rsidR="007E0728" w:rsidRDefault="007E0728">
    <w:pPr>
      <w:pStyle w:val="ad"/>
    </w:pPr>
    <w:bookmarkStart w:id="11" w:name="_WNSectionTitle_7"/>
    <w:bookmarkStart w:id="12" w:name="_WNTabType_6"/>
  </w:p>
  <w:bookmarkEnd w:id="11"/>
  <w:bookmarkEnd w:id="12"/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5D7A" w14:textId="77777777" w:rsidR="007E0728" w:rsidRDefault="007E0728">
    <w:pPr>
      <w:pStyle w:val="ad"/>
    </w:pPr>
    <w:bookmarkStart w:id="14" w:name="_WNSectionTitle_4"/>
    <w:bookmarkStart w:id="15" w:name="_WNTabType_3"/>
  </w:p>
  <w:bookmarkEnd w:id="14"/>
  <w:bookmarkEnd w:id="15"/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E97F4" w14:textId="77777777" w:rsidR="007E0728" w:rsidRDefault="007E0728">
    <w:pPr>
      <w:pStyle w:val="ad"/>
    </w:pPr>
    <w:bookmarkStart w:id="16" w:name="_WNSectionTitle_6"/>
    <w:bookmarkStart w:id="17" w:name="_WNTabType_5"/>
  </w:p>
  <w:bookmarkEnd w:id="16"/>
  <w:bookmarkEnd w:id="17"/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A99D6" w14:textId="77777777" w:rsidR="007E0728" w:rsidRDefault="007E0728">
    <w:pPr>
      <w:pStyle w:val="ad"/>
    </w:pPr>
    <w:bookmarkStart w:id="18" w:name="_WNSectionTitle_5"/>
    <w:bookmarkStart w:id="19" w:name="_WNTabType_4"/>
  </w:p>
  <w:bookmarkEnd w:id="18"/>
  <w:bookmarkEnd w:id="19"/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19F8A" w14:textId="77777777" w:rsidR="007E0728" w:rsidRDefault="007E0728">
    <w:pPr>
      <w:pStyle w:val="ad"/>
      <w:tabs>
        <w:tab w:val="clear" w:pos="4677"/>
        <w:tab w:val="clear" w:pos="9355"/>
        <w:tab w:val="right" w:pos="9380"/>
      </w:tabs>
      <w:ind w:left="-360"/>
      <w:rPr>
        <w:rFonts w:ascii="Verdana" w:eastAsia="ＭＳ ゴシック" w:hAnsi="Verdana"/>
        <w:sz w:val="36"/>
        <w:szCs w:val="36"/>
      </w:rPr>
    </w:pPr>
    <w:bookmarkStart w:id="27" w:name="_WNSectionTitle_2"/>
    <w:bookmarkStart w:id="28" w:name="_WNTabType_1"/>
    <w:r>
      <w:rPr>
        <w:rFonts w:ascii="Verdana" w:eastAsia="ＭＳ ゴシック" w:hAnsi="Verdana"/>
        <w:sz w:val="36"/>
        <w:szCs w:val="36"/>
      </w:rPr>
      <w:tab/>
    </w:r>
    <w:r>
      <w:rPr>
        <w:rFonts w:ascii="Verdana" w:eastAsia="ＭＳ ゴシック" w:hAnsi="Verdana"/>
        <w:sz w:val="36"/>
        <w:szCs w:val="36"/>
      </w:rPr>
      <w:fldChar w:fldCharType="begin"/>
    </w:r>
    <w:r>
      <w:rPr>
        <w:rFonts w:ascii="Verdana" w:eastAsia="ＭＳ ゴシック" w:hAnsi="Verdana"/>
      </w:rPr>
      <w:instrText xml:space="preserve"> CREATEDATE </w:instrText>
    </w:r>
    <w:r>
      <w:rPr>
        <w:rFonts w:ascii="Verdana" w:eastAsia="ＭＳ ゴシック" w:hAnsi="Verdana"/>
        <w:sz w:val="36"/>
        <w:szCs w:val="36"/>
      </w:rPr>
      <w:fldChar w:fldCharType="separate"/>
    </w:r>
    <w:r>
      <w:rPr>
        <w:rFonts w:ascii="Verdana" w:eastAsia="ＭＳ ゴシック" w:hAnsi="Verdana" w:hint="eastAsia"/>
        <w:noProof/>
      </w:rPr>
      <w:t xml:space="preserve">07.03.17 9:56 </w:t>
    </w:r>
    <w:r>
      <w:rPr>
        <w:rFonts w:ascii="Verdana" w:eastAsia="ＭＳ ゴシック" w:hAnsi="Verdana" w:hint="eastAsia"/>
        <w:noProof/>
      </w:rPr>
      <w:t>ПП</w:t>
    </w:r>
    <w:r>
      <w:rPr>
        <w:rFonts w:ascii="Verdana" w:eastAsia="ＭＳ ゴシック" w:hAnsi="Verdana"/>
        <w:sz w:val="36"/>
        <w:szCs w:val="36"/>
      </w:rPr>
      <w:fldChar w:fldCharType="end"/>
    </w:r>
  </w:p>
  <w:bookmarkEnd w:id="27"/>
  <w:bookmarkEnd w:id="2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11.65pt;height:114.05pt" o:bullet="t">
        <v:imagedata r:id="rId1" o:title="Снимок экрана 2017-04-04 в 10"/>
      </v:shape>
    </w:pict>
  </w:numPicBullet>
  <w:abstractNum w:abstractNumId="0">
    <w:nsid w:val="FFFFFF1D"/>
    <w:multiLevelType w:val="multilevel"/>
    <w:tmpl w:val="02DAC4F6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B23F16"/>
    <w:multiLevelType w:val="hybridMultilevel"/>
    <w:tmpl w:val="C12AF6EA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540EC2"/>
    <w:multiLevelType w:val="hybridMultilevel"/>
    <w:tmpl w:val="BFCC88C4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0B0DAA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092DAF"/>
    <w:multiLevelType w:val="hybridMultilevel"/>
    <w:tmpl w:val="809A309C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E0DBA"/>
    <w:multiLevelType w:val="hybridMultilevel"/>
    <w:tmpl w:val="7F80CA8C"/>
    <w:lvl w:ilvl="0" w:tplc="8A32111E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8255D"/>
    <w:multiLevelType w:val="hybridMultilevel"/>
    <w:tmpl w:val="4DBC75CE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E929A0"/>
    <w:multiLevelType w:val="hybridMultilevel"/>
    <w:tmpl w:val="2FEE3564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1C0F36"/>
    <w:multiLevelType w:val="hybridMultilevel"/>
    <w:tmpl w:val="6B2E6206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F6A29"/>
    <w:multiLevelType w:val="hybridMultilevel"/>
    <w:tmpl w:val="B038CFAE"/>
    <w:lvl w:ilvl="0" w:tplc="CA9EB52E">
      <w:start w:val="1"/>
      <w:numFmt w:val="decimal"/>
      <w:pStyle w:val="a"/>
      <w:lvlText w:val="(%1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95FD2"/>
    <w:multiLevelType w:val="multilevel"/>
    <w:tmpl w:val="B1E0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A719C"/>
    <w:multiLevelType w:val="hybridMultilevel"/>
    <w:tmpl w:val="90DA88FC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D0079A"/>
    <w:multiLevelType w:val="hybridMultilevel"/>
    <w:tmpl w:val="BDFE65B8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B5024"/>
    <w:multiLevelType w:val="hybridMultilevel"/>
    <w:tmpl w:val="00F2B316"/>
    <w:lvl w:ilvl="0" w:tplc="8A32111E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2F7826"/>
    <w:multiLevelType w:val="hybridMultilevel"/>
    <w:tmpl w:val="52C82EBA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972272"/>
    <w:multiLevelType w:val="hybridMultilevel"/>
    <w:tmpl w:val="8200B600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1A0526"/>
    <w:multiLevelType w:val="hybridMultilevel"/>
    <w:tmpl w:val="4F167DEE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442D5A"/>
    <w:multiLevelType w:val="hybridMultilevel"/>
    <w:tmpl w:val="5DC6FC22"/>
    <w:lvl w:ilvl="0" w:tplc="2CAC385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064376"/>
    <w:multiLevelType w:val="hybridMultilevel"/>
    <w:tmpl w:val="AEFEC586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C708EB"/>
    <w:multiLevelType w:val="hybridMultilevel"/>
    <w:tmpl w:val="9252C23C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E733C5"/>
    <w:multiLevelType w:val="hybridMultilevel"/>
    <w:tmpl w:val="92846FCA"/>
    <w:lvl w:ilvl="0" w:tplc="8A9A9D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35CBA"/>
    <w:multiLevelType w:val="hybridMultilevel"/>
    <w:tmpl w:val="3F945CA8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FC3E56"/>
    <w:multiLevelType w:val="hybridMultilevel"/>
    <w:tmpl w:val="84DE97CE"/>
    <w:lvl w:ilvl="0" w:tplc="D12296AA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773D1C"/>
    <w:multiLevelType w:val="hybridMultilevel"/>
    <w:tmpl w:val="2F0C5BB2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CA0B64"/>
    <w:multiLevelType w:val="hybridMultilevel"/>
    <w:tmpl w:val="38208A1E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524E30"/>
    <w:multiLevelType w:val="hybridMultilevel"/>
    <w:tmpl w:val="9092CA46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4C12D4"/>
    <w:multiLevelType w:val="hybridMultilevel"/>
    <w:tmpl w:val="F9527B10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9B5552"/>
    <w:multiLevelType w:val="hybridMultilevel"/>
    <w:tmpl w:val="FF14303C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113730"/>
    <w:multiLevelType w:val="hybridMultilevel"/>
    <w:tmpl w:val="DA1A92C4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FE7916"/>
    <w:multiLevelType w:val="hybridMultilevel"/>
    <w:tmpl w:val="357C4554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E81799"/>
    <w:multiLevelType w:val="hybridMultilevel"/>
    <w:tmpl w:val="07CEE5E2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816479"/>
    <w:multiLevelType w:val="hybridMultilevel"/>
    <w:tmpl w:val="7D38481E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280FDA"/>
    <w:multiLevelType w:val="hybridMultilevel"/>
    <w:tmpl w:val="89DEA3B0"/>
    <w:lvl w:ilvl="0" w:tplc="8A9A9DE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7"/>
  </w:num>
  <w:num w:numId="5">
    <w:abstractNumId w:val="22"/>
  </w:num>
  <w:num w:numId="6">
    <w:abstractNumId w:val="16"/>
  </w:num>
  <w:num w:numId="7">
    <w:abstractNumId w:val="12"/>
  </w:num>
  <w:num w:numId="8">
    <w:abstractNumId w:val="8"/>
  </w:num>
  <w:num w:numId="9">
    <w:abstractNumId w:val="28"/>
  </w:num>
  <w:num w:numId="10">
    <w:abstractNumId w:val="7"/>
  </w:num>
  <w:num w:numId="11">
    <w:abstractNumId w:val="29"/>
  </w:num>
  <w:num w:numId="12">
    <w:abstractNumId w:val="20"/>
  </w:num>
  <w:num w:numId="13">
    <w:abstractNumId w:val="24"/>
  </w:num>
  <w:num w:numId="14">
    <w:abstractNumId w:val="18"/>
  </w:num>
  <w:num w:numId="15">
    <w:abstractNumId w:val="26"/>
  </w:num>
  <w:num w:numId="16">
    <w:abstractNumId w:val="19"/>
  </w:num>
  <w:num w:numId="17">
    <w:abstractNumId w:val="33"/>
  </w:num>
  <w:num w:numId="18">
    <w:abstractNumId w:val="30"/>
  </w:num>
  <w:num w:numId="19">
    <w:abstractNumId w:val="31"/>
  </w:num>
  <w:num w:numId="20">
    <w:abstractNumId w:val="9"/>
  </w:num>
  <w:num w:numId="21">
    <w:abstractNumId w:val="2"/>
  </w:num>
  <w:num w:numId="22">
    <w:abstractNumId w:val="32"/>
  </w:num>
  <w:num w:numId="23">
    <w:abstractNumId w:val="5"/>
  </w:num>
  <w:num w:numId="24">
    <w:abstractNumId w:val="3"/>
  </w:num>
  <w:num w:numId="25">
    <w:abstractNumId w:val="13"/>
  </w:num>
  <w:num w:numId="26">
    <w:abstractNumId w:val="25"/>
  </w:num>
  <w:num w:numId="27">
    <w:abstractNumId w:val="15"/>
  </w:num>
  <w:num w:numId="28">
    <w:abstractNumId w:val="14"/>
  </w:num>
  <w:num w:numId="29">
    <w:abstractNumId w:val="6"/>
  </w:num>
  <w:num w:numId="30">
    <w:abstractNumId w:val="17"/>
  </w:num>
  <w:num w:numId="31">
    <w:abstractNumId w:val="23"/>
  </w:num>
  <w:num w:numId="32">
    <w:abstractNumId w:val="21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33"/>
    <w:rsid w:val="00005DE7"/>
    <w:rsid w:val="0002209F"/>
    <w:rsid w:val="00025FCD"/>
    <w:rsid w:val="00032C36"/>
    <w:rsid w:val="00033610"/>
    <w:rsid w:val="000349C0"/>
    <w:rsid w:val="000362C0"/>
    <w:rsid w:val="0003693B"/>
    <w:rsid w:val="0004102C"/>
    <w:rsid w:val="00050960"/>
    <w:rsid w:val="00056AA7"/>
    <w:rsid w:val="00065E6D"/>
    <w:rsid w:val="00075252"/>
    <w:rsid w:val="00077786"/>
    <w:rsid w:val="000777A3"/>
    <w:rsid w:val="00083C7E"/>
    <w:rsid w:val="00086714"/>
    <w:rsid w:val="000A0AF2"/>
    <w:rsid w:val="000A5D87"/>
    <w:rsid w:val="000B404D"/>
    <w:rsid w:val="000B4FAC"/>
    <w:rsid w:val="000C119A"/>
    <w:rsid w:val="000D0BAF"/>
    <w:rsid w:val="000D268D"/>
    <w:rsid w:val="000D4839"/>
    <w:rsid w:val="000E163A"/>
    <w:rsid w:val="000E41D8"/>
    <w:rsid w:val="000E7492"/>
    <w:rsid w:val="000F3646"/>
    <w:rsid w:val="000F6E15"/>
    <w:rsid w:val="00101822"/>
    <w:rsid w:val="00103F89"/>
    <w:rsid w:val="001079F3"/>
    <w:rsid w:val="00111641"/>
    <w:rsid w:val="00111ED1"/>
    <w:rsid w:val="0011329D"/>
    <w:rsid w:val="00126AB6"/>
    <w:rsid w:val="00130989"/>
    <w:rsid w:val="00130C18"/>
    <w:rsid w:val="00132E94"/>
    <w:rsid w:val="001352EE"/>
    <w:rsid w:val="00141440"/>
    <w:rsid w:val="00144484"/>
    <w:rsid w:val="00166673"/>
    <w:rsid w:val="00166AA8"/>
    <w:rsid w:val="00173FFB"/>
    <w:rsid w:val="001807AD"/>
    <w:rsid w:val="00180E06"/>
    <w:rsid w:val="00182A01"/>
    <w:rsid w:val="00187B56"/>
    <w:rsid w:val="0019169F"/>
    <w:rsid w:val="00196518"/>
    <w:rsid w:val="00197D75"/>
    <w:rsid w:val="001A02D7"/>
    <w:rsid w:val="001A39A4"/>
    <w:rsid w:val="001B3972"/>
    <w:rsid w:val="001C7CAC"/>
    <w:rsid w:val="001D1A70"/>
    <w:rsid w:val="001D48DB"/>
    <w:rsid w:val="001D7169"/>
    <w:rsid w:val="001D7DCF"/>
    <w:rsid w:val="001E43F7"/>
    <w:rsid w:val="001E56D9"/>
    <w:rsid w:val="001F03A3"/>
    <w:rsid w:val="001F6845"/>
    <w:rsid w:val="002031D0"/>
    <w:rsid w:val="00207950"/>
    <w:rsid w:val="00217C16"/>
    <w:rsid w:val="00221E88"/>
    <w:rsid w:val="00225C16"/>
    <w:rsid w:val="00232AAE"/>
    <w:rsid w:val="00232D3C"/>
    <w:rsid w:val="002446E1"/>
    <w:rsid w:val="00266BB7"/>
    <w:rsid w:val="002741F8"/>
    <w:rsid w:val="0027541C"/>
    <w:rsid w:val="002768BC"/>
    <w:rsid w:val="00276E17"/>
    <w:rsid w:val="002811C8"/>
    <w:rsid w:val="00294278"/>
    <w:rsid w:val="002A051B"/>
    <w:rsid w:val="002A0DB2"/>
    <w:rsid w:val="002A2F82"/>
    <w:rsid w:val="002B3EE6"/>
    <w:rsid w:val="002E5137"/>
    <w:rsid w:val="002F422B"/>
    <w:rsid w:val="002F5634"/>
    <w:rsid w:val="002F7318"/>
    <w:rsid w:val="00307574"/>
    <w:rsid w:val="0030762A"/>
    <w:rsid w:val="00307B52"/>
    <w:rsid w:val="00314407"/>
    <w:rsid w:val="0031473B"/>
    <w:rsid w:val="00315839"/>
    <w:rsid w:val="0031627D"/>
    <w:rsid w:val="00322ED0"/>
    <w:rsid w:val="00323962"/>
    <w:rsid w:val="00323A47"/>
    <w:rsid w:val="003267AF"/>
    <w:rsid w:val="003274E0"/>
    <w:rsid w:val="00332653"/>
    <w:rsid w:val="00334718"/>
    <w:rsid w:val="003441F2"/>
    <w:rsid w:val="00354402"/>
    <w:rsid w:val="00356B75"/>
    <w:rsid w:val="00365000"/>
    <w:rsid w:val="0036521C"/>
    <w:rsid w:val="00366B8F"/>
    <w:rsid w:val="00367B94"/>
    <w:rsid w:val="00382644"/>
    <w:rsid w:val="003909E9"/>
    <w:rsid w:val="00395001"/>
    <w:rsid w:val="003A0B62"/>
    <w:rsid w:val="003A41D7"/>
    <w:rsid w:val="003B123B"/>
    <w:rsid w:val="003B137A"/>
    <w:rsid w:val="003B3C01"/>
    <w:rsid w:val="003B48F7"/>
    <w:rsid w:val="003B5DAD"/>
    <w:rsid w:val="003C348D"/>
    <w:rsid w:val="003C36E3"/>
    <w:rsid w:val="003C6D57"/>
    <w:rsid w:val="00405BA0"/>
    <w:rsid w:val="004072B5"/>
    <w:rsid w:val="00410726"/>
    <w:rsid w:val="00411B25"/>
    <w:rsid w:val="004151D1"/>
    <w:rsid w:val="0041525F"/>
    <w:rsid w:val="00422F25"/>
    <w:rsid w:val="004249C6"/>
    <w:rsid w:val="004278F3"/>
    <w:rsid w:val="004308DF"/>
    <w:rsid w:val="0044083C"/>
    <w:rsid w:val="004432B5"/>
    <w:rsid w:val="0046296B"/>
    <w:rsid w:val="00464C12"/>
    <w:rsid w:val="00482CF2"/>
    <w:rsid w:val="00485419"/>
    <w:rsid w:val="004855C3"/>
    <w:rsid w:val="004860AF"/>
    <w:rsid w:val="00487B47"/>
    <w:rsid w:val="0049209C"/>
    <w:rsid w:val="0049442B"/>
    <w:rsid w:val="00495518"/>
    <w:rsid w:val="0049602F"/>
    <w:rsid w:val="004A0D16"/>
    <w:rsid w:val="004A13E2"/>
    <w:rsid w:val="004A3D41"/>
    <w:rsid w:val="004A4268"/>
    <w:rsid w:val="004B15DF"/>
    <w:rsid w:val="004B15ED"/>
    <w:rsid w:val="004B46E9"/>
    <w:rsid w:val="004B6DC4"/>
    <w:rsid w:val="004C4C03"/>
    <w:rsid w:val="004C5B6F"/>
    <w:rsid w:val="004C5BF1"/>
    <w:rsid w:val="004C63B3"/>
    <w:rsid w:val="004D0BA0"/>
    <w:rsid w:val="004D1DF3"/>
    <w:rsid w:val="004D1EA9"/>
    <w:rsid w:val="004D5C57"/>
    <w:rsid w:val="004E0220"/>
    <w:rsid w:val="004E490F"/>
    <w:rsid w:val="004E60A7"/>
    <w:rsid w:val="004F06AA"/>
    <w:rsid w:val="00511B90"/>
    <w:rsid w:val="0051381E"/>
    <w:rsid w:val="0052286E"/>
    <w:rsid w:val="00525DB2"/>
    <w:rsid w:val="00545308"/>
    <w:rsid w:val="00545541"/>
    <w:rsid w:val="00553C42"/>
    <w:rsid w:val="0055735B"/>
    <w:rsid w:val="00557ABC"/>
    <w:rsid w:val="005765AF"/>
    <w:rsid w:val="00581F33"/>
    <w:rsid w:val="00587D8E"/>
    <w:rsid w:val="00587DA3"/>
    <w:rsid w:val="00590413"/>
    <w:rsid w:val="00590C1F"/>
    <w:rsid w:val="00592BB2"/>
    <w:rsid w:val="005B2CE8"/>
    <w:rsid w:val="005B4CC7"/>
    <w:rsid w:val="005C13CC"/>
    <w:rsid w:val="005C22E4"/>
    <w:rsid w:val="005C3128"/>
    <w:rsid w:val="005D5C1E"/>
    <w:rsid w:val="005E7A29"/>
    <w:rsid w:val="005E7FB5"/>
    <w:rsid w:val="005F52CF"/>
    <w:rsid w:val="00605AAD"/>
    <w:rsid w:val="00611A7E"/>
    <w:rsid w:val="00614E9B"/>
    <w:rsid w:val="00622171"/>
    <w:rsid w:val="00635D6C"/>
    <w:rsid w:val="00636842"/>
    <w:rsid w:val="00644B55"/>
    <w:rsid w:val="006462B5"/>
    <w:rsid w:val="00647F9B"/>
    <w:rsid w:val="00650213"/>
    <w:rsid w:val="006536E9"/>
    <w:rsid w:val="006600EC"/>
    <w:rsid w:val="006629BE"/>
    <w:rsid w:val="00663992"/>
    <w:rsid w:val="00667FF3"/>
    <w:rsid w:val="0067070C"/>
    <w:rsid w:val="006741A7"/>
    <w:rsid w:val="0067645D"/>
    <w:rsid w:val="00677BDC"/>
    <w:rsid w:val="00690ADA"/>
    <w:rsid w:val="00696BED"/>
    <w:rsid w:val="006A4C2B"/>
    <w:rsid w:val="006B367A"/>
    <w:rsid w:val="006B452A"/>
    <w:rsid w:val="006B7F12"/>
    <w:rsid w:val="006C5999"/>
    <w:rsid w:val="006D1E48"/>
    <w:rsid w:val="006D3A42"/>
    <w:rsid w:val="006D40C2"/>
    <w:rsid w:val="006E7B0B"/>
    <w:rsid w:val="006F20E5"/>
    <w:rsid w:val="006F2724"/>
    <w:rsid w:val="006F7202"/>
    <w:rsid w:val="007035FE"/>
    <w:rsid w:val="00703E37"/>
    <w:rsid w:val="00704F5F"/>
    <w:rsid w:val="00723EE5"/>
    <w:rsid w:val="007255B4"/>
    <w:rsid w:val="00726F46"/>
    <w:rsid w:val="00733C35"/>
    <w:rsid w:val="007349C3"/>
    <w:rsid w:val="00747276"/>
    <w:rsid w:val="0075336E"/>
    <w:rsid w:val="007544ED"/>
    <w:rsid w:val="00770184"/>
    <w:rsid w:val="007800C4"/>
    <w:rsid w:val="00780AFA"/>
    <w:rsid w:val="00783787"/>
    <w:rsid w:val="00783F17"/>
    <w:rsid w:val="007921C5"/>
    <w:rsid w:val="00793E22"/>
    <w:rsid w:val="007A3B19"/>
    <w:rsid w:val="007A5698"/>
    <w:rsid w:val="007C01C8"/>
    <w:rsid w:val="007C2055"/>
    <w:rsid w:val="007D5320"/>
    <w:rsid w:val="007E0728"/>
    <w:rsid w:val="00805BC5"/>
    <w:rsid w:val="00806306"/>
    <w:rsid w:val="00811A28"/>
    <w:rsid w:val="00814750"/>
    <w:rsid w:val="008223A5"/>
    <w:rsid w:val="00826CAB"/>
    <w:rsid w:val="00840BB0"/>
    <w:rsid w:val="00850C18"/>
    <w:rsid w:val="00855799"/>
    <w:rsid w:val="00856AC0"/>
    <w:rsid w:val="00862382"/>
    <w:rsid w:val="00870325"/>
    <w:rsid w:val="008825F2"/>
    <w:rsid w:val="00884547"/>
    <w:rsid w:val="00892FA6"/>
    <w:rsid w:val="0089343A"/>
    <w:rsid w:val="0089633A"/>
    <w:rsid w:val="00897930"/>
    <w:rsid w:val="008A118C"/>
    <w:rsid w:val="008A2671"/>
    <w:rsid w:val="008B676F"/>
    <w:rsid w:val="008B7ED4"/>
    <w:rsid w:val="008C1914"/>
    <w:rsid w:val="008C3E4D"/>
    <w:rsid w:val="008E3797"/>
    <w:rsid w:val="008E4826"/>
    <w:rsid w:val="008E52F6"/>
    <w:rsid w:val="008F2C03"/>
    <w:rsid w:val="00900CAE"/>
    <w:rsid w:val="00900E05"/>
    <w:rsid w:val="00915A7B"/>
    <w:rsid w:val="0091718D"/>
    <w:rsid w:val="00917420"/>
    <w:rsid w:val="00921379"/>
    <w:rsid w:val="00924B3A"/>
    <w:rsid w:val="009402EE"/>
    <w:rsid w:val="009609B6"/>
    <w:rsid w:val="00967A09"/>
    <w:rsid w:val="00985698"/>
    <w:rsid w:val="009A0266"/>
    <w:rsid w:val="009A2902"/>
    <w:rsid w:val="009A35A2"/>
    <w:rsid w:val="009A483C"/>
    <w:rsid w:val="009C169E"/>
    <w:rsid w:val="009C4342"/>
    <w:rsid w:val="009D0446"/>
    <w:rsid w:val="009D5F7E"/>
    <w:rsid w:val="00A20EBE"/>
    <w:rsid w:val="00A466C4"/>
    <w:rsid w:val="00A5456B"/>
    <w:rsid w:val="00A61181"/>
    <w:rsid w:val="00A6396D"/>
    <w:rsid w:val="00A642C7"/>
    <w:rsid w:val="00A7177F"/>
    <w:rsid w:val="00A73285"/>
    <w:rsid w:val="00A74A93"/>
    <w:rsid w:val="00A75258"/>
    <w:rsid w:val="00AA3DDE"/>
    <w:rsid w:val="00AB19C4"/>
    <w:rsid w:val="00AC04FB"/>
    <w:rsid w:val="00AC40CA"/>
    <w:rsid w:val="00AC5972"/>
    <w:rsid w:val="00AC6F4C"/>
    <w:rsid w:val="00AD0C69"/>
    <w:rsid w:val="00AD2538"/>
    <w:rsid w:val="00AE1AAF"/>
    <w:rsid w:val="00AE7616"/>
    <w:rsid w:val="00AF130C"/>
    <w:rsid w:val="00AF1D17"/>
    <w:rsid w:val="00AF60A8"/>
    <w:rsid w:val="00AF6546"/>
    <w:rsid w:val="00B03084"/>
    <w:rsid w:val="00B0653C"/>
    <w:rsid w:val="00B1356D"/>
    <w:rsid w:val="00B178B1"/>
    <w:rsid w:val="00B209DD"/>
    <w:rsid w:val="00B21032"/>
    <w:rsid w:val="00B27C5D"/>
    <w:rsid w:val="00B35FA9"/>
    <w:rsid w:val="00B60A7C"/>
    <w:rsid w:val="00B63300"/>
    <w:rsid w:val="00B81711"/>
    <w:rsid w:val="00BA2134"/>
    <w:rsid w:val="00BA5B9E"/>
    <w:rsid w:val="00BB1BC1"/>
    <w:rsid w:val="00BB4232"/>
    <w:rsid w:val="00BD31D3"/>
    <w:rsid w:val="00BE1C98"/>
    <w:rsid w:val="00BE3B06"/>
    <w:rsid w:val="00BF1041"/>
    <w:rsid w:val="00C07C9D"/>
    <w:rsid w:val="00C11C79"/>
    <w:rsid w:val="00C12360"/>
    <w:rsid w:val="00C1345C"/>
    <w:rsid w:val="00C25BC5"/>
    <w:rsid w:val="00C26DE9"/>
    <w:rsid w:val="00C332D0"/>
    <w:rsid w:val="00C35A18"/>
    <w:rsid w:val="00C377C7"/>
    <w:rsid w:val="00C43742"/>
    <w:rsid w:val="00C46055"/>
    <w:rsid w:val="00C5638C"/>
    <w:rsid w:val="00C571E7"/>
    <w:rsid w:val="00C571E8"/>
    <w:rsid w:val="00C67C99"/>
    <w:rsid w:val="00C719C2"/>
    <w:rsid w:val="00C82D6F"/>
    <w:rsid w:val="00C90F77"/>
    <w:rsid w:val="00C9126A"/>
    <w:rsid w:val="00C9270B"/>
    <w:rsid w:val="00C95322"/>
    <w:rsid w:val="00CA65F2"/>
    <w:rsid w:val="00CC08A0"/>
    <w:rsid w:val="00CC0EFB"/>
    <w:rsid w:val="00CC165A"/>
    <w:rsid w:val="00CC726B"/>
    <w:rsid w:val="00CD5887"/>
    <w:rsid w:val="00CE4AE0"/>
    <w:rsid w:val="00CE6506"/>
    <w:rsid w:val="00CE7236"/>
    <w:rsid w:val="00CF37B8"/>
    <w:rsid w:val="00D05949"/>
    <w:rsid w:val="00D10A9D"/>
    <w:rsid w:val="00D255F6"/>
    <w:rsid w:val="00D376D8"/>
    <w:rsid w:val="00D45796"/>
    <w:rsid w:val="00D56897"/>
    <w:rsid w:val="00D5787C"/>
    <w:rsid w:val="00D654AF"/>
    <w:rsid w:val="00D76629"/>
    <w:rsid w:val="00D85416"/>
    <w:rsid w:val="00D85C04"/>
    <w:rsid w:val="00D90BB9"/>
    <w:rsid w:val="00D97A12"/>
    <w:rsid w:val="00DA0738"/>
    <w:rsid w:val="00DC2BD9"/>
    <w:rsid w:val="00DC5FA3"/>
    <w:rsid w:val="00DC7225"/>
    <w:rsid w:val="00DD4C0A"/>
    <w:rsid w:val="00DD71F1"/>
    <w:rsid w:val="00DE33F1"/>
    <w:rsid w:val="00DE668B"/>
    <w:rsid w:val="00E04EBC"/>
    <w:rsid w:val="00E10FCB"/>
    <w:rsid w:val="00E1389A"/>
    <w:rsid w:val="00E26435"/>
    <w:rsid w:val="00E30419"/>
    <w:rsid w:val="00E32A79"/>
    <w:rsid w:val="00E41C52"/>
    <w:rsid w:val="00E42705"/>
    <w:rsid w:val="00E44A21"/>
    <w:rsid w:val="00E46B7B"/>
    <w:rsid w:val="00E53930"/>
    <w:rsid w:val="00E543FF"/>
    <w:rsid w:val="00E66597"/>
    <w:rsid w:val="00E66FD6"/>
    <w:rsid w:val="00E7126A"/>
    <w:rsid w:val="00E7292A"/>
    <w:rsid w:val="00E72D88"/>
    <w:rsid w:val="00E7631E"/>
    <w:rsid w:val="00E8657B"/>
    <w:rsid w:val="00E870C1"/>
    <w:rsid w:val="00E91A9D"/>
    <w:rsid w:val="00E9234C"/>
    <w:rsid w:val="00EA19B8"/>
    <w:rsid w:val="00EB3722"/>
    <w:rsid w:val="00EB6CE4"/>
    <w:rsid w:val="00EC7FA6"/>
    <w:rsid w:val="00ED18CB"/>
    <w:rsid w:val="00ED1A31"/>
    <w:rsid w:val="00ED43DF"/>
    <w:rsid w:val="00EE65DE"/>
    <w:rsid w:val="00F00260"/>
    <w:rsid w:val="00F00DDA"/>
    <w:rsid w:val="00F205C0"/>
    <w:rsid w:val="00F20D3B"/>
    <w:rsid w:val="00F246DC"/>
    <w:rsid w:val="00F31275"/>
    <w:rsid w:val="00F34B63"/>
    <w:rsid w:val="00F42DEB"/>
    <w:rsid w:val="00F625E3"/>
    <w:rsid w:val="00F72B2E"/>
    <w:rsid w:val="00F771F6"/>
    <w:rsid w:val="00F77897"/>
    <w:rsid w:val="00F81401"/>
    <w:rsid w:val="00F85457"/>
    <w:rsid w:val="00F94C11"/>
    <w:rsid w:val="00F95D91"/>
    <w:rsid w:val="00FA22E3"/>
    <w:rsid w:val="00FA247C"/>
    <w:rsid w:val="00FB2D2A"/>
    <w:rsid w:val="00FC3CAC"/>
    <w:rsid w:val="00FD0B79"/>
    <w:rsid w:val="00FD118A"/>
    <w:rsid w:val="00FD1FEF"/>
    <w:rsid w:val="00FE1E67"/>
    <w:rsid w:val="00FE31B0"/>
    <w:rsid w:val="00FE4AF6"/>
    <w:rsid w:val="00FE5D27"/>
    <w:rsid w:val="00FE70F9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68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581F33"/>
    <w:rPr>
      <w:rFonts w:eastAsiaTheme="minorEastAsia"/>
    </w:rPr>
  </w:style>
  <w:style w:type="paragraph" w:styleId="10">
    <w:name w:val="heading 1"/>
    <w:basedOn w:val="a0"/>
    <w:next w:val="a0"/>
    <w:link w:val="11"/>
    <w:uiPriority w:val="9"/>
    <w:qFormat/>
    <w:rsid w:val="00581F33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Cs/>
      <w:color w:val="000000" w:themeColor="text1"/>
      <w:sz w:val="32"/>
      <w:szCs w:val="32"/>
      <w:lang w:val="en-US"/>
    </w:rPr>
  </w:style>
  <w:style w:type="paragraph" w:styleId="20">
    <w:name w:val="heading 2"/>
    <w:basedOn w:val="a0"/>
    <w:next w:val="a0"/>
    <w:link w:val="21"/>
    <w:uiPriority w:val="9"/>
    <w:unhideWhenUsed/>
    <w:qFormat/>
    <w:rsid w:val="00581F33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Cs/>
      <w:color w:val="000000" w:themeColor="text1"/>
      <w:sz w:val="30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581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81F33"/>
    <w:rPr>
      <w:rFonts w:ascii="Times New Roman" w:eastAsiaTheme="majorEastAsia" w:hAnsi="Times New Roman" w:cstheme="majorBidi"/>
      <w:bCs/>
      <w:color w:val="000000" w:themeColor="text1"/>
      <w:sz w:val="32"/>
      <w:szCs w:val="32"/>
      <w:lang w:val="en-US"/>
    </w:rPr>
  </w:style>
  <w:style w:type="character" w:customStyle="1" w:styleId="21">
    <w:name w:val="Заголовок 2 Знак"/>
    <w:basedOn w:val="a1"/>
    <w:link w:val="20"/>
    <w:uiPriority w:val="9"/>
    <w:rsid w:val="00581F33"/>
    <w:rPr>
      <w:rFonts w:ascii="Times New Roman" w:eastAsiaTheme="majorEastAsia" w:hAnsi="Times New Roman" w:cstheme="majorBidi"/>
      <w:bCs/>
      <w:color w:val="000000" w:themeColor="text1"/>
      <w:sz w:val="30"/>
      <w:szCs w:val="26"/>
    </w:rPr>
  </w:style>
  <w:style w:type="character" w:customStyle="1" w:styleId="31">
    <w:name w:val="Заголовок 3 Знак"/>
    <w:basedOn w:val="a1"/>
    <w:link w:val="30"/>
    <w:uiPriority w:val="9"/>
    <w:rsid w:val="00581F33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Style3">
    <w:name w:val="Style3"/>
    <w:uiPriority w:val="99"/>
    <w:rsid w:val="00581F33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581F33"/>
    <w:pPr>
      <w:ind w:left="720"/>
      <w:contextualSpacing/>
    </w:pPr>
  </w:style>
  <w:style w:type="table" w:styleId="a5">
    <w:name w:val="Table Grid"/>
    <w:basedOn w:val="a2"/>
    <w:uiPriority w:val="59"/>
    <w:rsid w:val="00581F33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0"/>
    <w:link w:val="a7"/>
    <w:uiPriority w:val="99"/>
    <w:unhideWhenUsed/>
    <w:rsid w:val="00581F33"/>
  </w:style>
  <w:style w:type="character" w:customStyle="1" w:styleId="a7">
    <w:name w:val="Текст сноски Знак"/>
    <w:basedOn w:val="a1"/>
    <w:link w:val="a6"/>
    <w:uiPriority w:val="99"/>
    <w:rsid w:val="00581F33"/>
    <w:rPr>
      <w:rFonts w:eastAsiaTheme="minorEastAsia"/>
    </w:rPr>
  </w:style>
  <w:style w:type="character" w:styleId="a8">
    <w:name w:val="footnote reference"/>
    <w:basedOn w:val="a1"/>
    <w:uiPriority w:val="99"/>
    <w:unhideWhenUsed/>
    <w:rsid w:val="00581F33"/>
    <w:rPr>
      <w:vertAlign w:val="superscript"/>
    </w:rPr>
  </w:style>
  <w:style w:type="character" w:styleId="a9">
    <w:name w:val="Hyperlink"/>
    <w:basedOn w:val="a1"/>
    <w:uiPriority w:val="99"/>
    <w:unhideWhenUsed/>
    <w:rsid w:val="00581F33"/>
    <w:rPr>
      <w:color w:val="0563C1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81F33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581F33"/>
    <w:rPr>
      <w:rFonts w:ascii="Lucida Grande CY" w:eastAsiaTheme="minorEastAsia" w:hAnsi="Lucida Grande CY" w:cs="Lucida Grande CY"/>
      <w:sz w:val="18"/>
      <w:szCs w:val="18"/>
    </w:rPr>
  </w:style>
  <w:style w:type="character" w:styleId="ac">
    <w:name w:val="Placeholder Text"/>
    <w:basedOn w:val="a1"/>
    <w:uiPriority w:val="99"/>
    <w:semiHidden/>
    <w:rsid w:val="00581F33"/>
    <w:rPr>
      <w:color w:val="808080"/>
    </w:rPr>
  </w:style>
  <w:style w:type="paragraph" w:styleId="1">
    <w:name w:val="Note Level 1"/>
    <w:basedOn w:val="a0"/>
    <w:uiPriority w:val="99"/>
    <w:unhideWhenUsed/>
    <w:rsid w:val="00581F33"/>
    <w:pPr>
      <w:keepNext/>
      <w:numPr>
        <w:numId w:val="2"/>
      </w:numPr>
      <w:contextualSpacing/>
      <w:outlineLvl w:val="0"/>
    </w:pPr>
    <w:rPr>
      <w:rFonts w:ascii="Verdana" w:eastAsia="ＭＳ ゴシック" w:hAnsi="Verdana"/>
    </w:rPr>
  </w:style>
  <w:style w:type="paragraph" w:styleId="2">
    <w:name w:val="Note Level 2"/>
    <w:basedOn w:val="a0"/>
    <w:uiPriority w:val="99"/>
    <w:unhideWhenUsed/>
    <w:rsid w:val="00581F33"/>
    <w:pPr>
      <w:keepNext/>
      <w:numPr>
        <w:ilvl w:val="1"/>
        <w:numId w:val="2"/>
      </w:numPr>
      <w:contextualSpacing/>
      <w:outlineLvl w:val="1"/>
    </w:pPr>
    <w:rPr>
      <w:rFonts w:ascii="Verdana" w:eastAsia="ＭＳ ゴシック" w:hAnsi="Verdana"/>
    </w:rPr>
  </w:style>
  <w:style w:type="paragraph" w:styleId="3">
    <w:name w:val="Note Level 3"/>
    <w:basedOn w:val="a0"/>
    <w:uiPriority w:val="99"/>
    <w:semiHidden/>
    <w:unhideWhenUsed/>
    <w:rsid w:val="00581F33"/>
    <w:pPr>
      <w:keepNext/>
      <w:numPr>
        <w:ilvl w:val="2"/>
        <w:numId w:val="2"/>
      </w:numPr>
      <w:contextualSpacing/>
      <w:outlineLvl w:val="2"/>
    </w:pPr>
    <w:rPr>
      <w:rFonts w:ascii="Verdana" w:eastAsia="ＭＳ ゴシック" w:hAnsi="Verdana"/>
    </w:rPr>
  </w:style>
  <w:style w:type="paragraph" w:styleId="4">
    <w:name w:val="Note Level 4"/>
    <w:basedOn w:val="a0"/>
    <w:uiPriority w:val="99"/>
    <w:semiHidden/>
    <w:unhideWhenUsed/>
    <w:rsid w:val="00581F33"/>
    <w:pPr>
      <w:keepNext/>
      <w:numPr>
        <w:ilvl w:val="3"/>
        <w:numId w:val="2"/>
      </w:numPr>
      <w:contextualSpacing/>
      <w:outlineLvl w:val="3"/>
    </w:pPr>
    <w:rPr>
      <w:rFonts w:ascii="Verdana" w:eastAsia="ＭＳ ゴシック" w:hAnsi="Verdana"/>
    </w:rPr>
  </w:style>
  <w:style w:type="paragraph" w:styleId="5">
    <w:name w:val="Note Level 5"/>
    <w:basedOn w:val="a0"/>
    <w:uiPriority w:val="99"/>
    <w:semiHidden/>
    <w:unhideWhenUsed/>
    <w:rsid w:val="00581F33"/>
    <w:pPr>
      <w:keepNext/>
      <w:numPr>
        <w:ilvl w:val="4"/>
        <w:numId w:val="2"/>
      </w:numPr>
      <w:contextualSpacing/>
      <w:outlineLvl w:val="4"/>
    </w:pPr>
    <w:rPr>
      <w:rFonts w:ascii="Verdana" w:eastAsia="ＭＳ ゴシック" w:hAnsi="Verdana"/>
    </w:rPr>
  </w:style>
  <w:style w:type="paragraph" w:styleId="6">
    <w:name w:val="Note Level 6"/>
    <w:basedOn w:val="a0"/>
    <w:uiPriority w:val="99"/>
    <w:semiHidden/>
    <w:unhideWhenUsed/>
    <w:rsid w:val="00581F33"/>
    <w:pPr>
      <w:keepNext/>
      <w:numPr>
        <w:ilvl w:val="5"/>
        <w:numId w:val="2"/>
      </w:numPr>
      <w:contextualSpacing/>
      <w:outlineLvl w:val="5"/>
    </w:pPr>
    <w:rPr>
      <w:rFonts w:ascii="Verdana" w:eastAsia="ＭＳ ゴシック" w:hAnsi="Verdana"/>
    </w:rPr>
  </w:style>
  <w:style w:type="paragraph" w:styleId="7">
    <w:name w:val="Note Level 7"/>
    <w:basedOn w:val="a0"/>
    <w:uiPriority w:val="99"/>
    <w:semiHidden/>
    <w:unhideWhenUsed/>
    <w:rsid w:val="00581F33"/>
    <w:pPr>
      <w:keepNext/>
      <w:numPr>
        <w:ilvl w:val="6"/>
        <w:numId w:val="2"/>
      </w:numPr>
      <w:contextualSpacing/>
      <w:outlineLvl w:val="6"/>
    </w:pPr>
    <w:rPr>
      <w:rFonts w:ascii="Verdana" w:eastAsia="ＭＳ ゴシック" w:hAnsi="Verdana"/>
    </w:rPr>
  </w:style>
  <w:style w:type="paragraph" w:styleId="8">
    <w:name w:val="Note Level 8"/>
    <w:basedOn w:val="a0"/>
    <w:uiPriority w:val="99"/>
    <w:semiHidden/>
    <w:unhideWhenUsed/>
    <w:rsid w:val="00581F33"/>
    <w:pPr>
      <w:keepNext/>
      <w:numPr>
        <w:ilvl w:val="7"/>
        <w:numId w:val="2"/>
      </w:numPr>
      <w:contextualSpacing/>
      <w:outlineLvl w:val="7"/>
    </w:pPr>
    <w:rPr>
      <w:rFonts w:ascii="Verdana" w:eastAsia="ＭＳ ゴシック" w:hAnsi="Verdana"/>
    </w:rPr>
  </w:style>
  <w:style w:type="paragraph" w:styleId="9">
    <w:name w:val="Note Level 9"/>
    <w:basedOn w:val="a0"/>
    <w:uiPriority w:val="99"/>
    <w:semiHidden/>
    <w:unhideWhenUsed/>
    <w:rsid w:val="00581F33"/>
    <w:pPr>
      <w:keepNext/>
      <w:numPr>
        <w:ilvl w:val="8"/>
        <w:numId w:val="2"/>
      </w:numPr>
      <w:contextualSpacing/>
      <w:outlineLvl w:val="8"/>
    </w:pPr>
    <w:rPr>
      <w:rFonts w:ascii="Verdana" w:eastAsia="ＭＳ ゴシック" w:hAnsi="Verdana"/>
    </w:rPr>
  </w:style>
  <w:style w:type="paragraph" w:styleId="ad">
    <w:name w:val="header"/>
    <w:basedOn w:val="a0"/>
    <w:link w:val="ae"/>
    <w:uiPriority w:val="99"/>
    <w:unhideWhenUsed/>
    <w:rsid w:val="00581F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81F33"/>
    <w:rPr>
      <w:rFonts w:eastAsiaTheme="minorEastAsia"/>
    </w:rPr>
  </w:style>
  <w:style w:type="paragraph" w:styleId="af">
    <w:name w:val="TOC Heading"/>
    <w:basedOn w:val="10"/>
    <w:next w:val="a0"/>
    <w:uiPriority w:val="39"/>
    <w:unhideWhenUsed/>
    <w:qFormat/>
    <w:rsid w:val="00581F33"/>
    <w:pPr>
      <w:spacing w:line="276" w:lineRule="auto"/>
      <w:outlineLvl w:val="9"/>
    </w:pPr>
    <w:rPr>
      <w:rFonts w:asciiTheme="majorHAnsi" w:hAnsiTheme="majorHAnsi"/>
      <w:b/>
      <w:color w:val="2E74B5" w:themeColor="accent1" w:themeShade="BF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581F33"/>
    <w:pPr>
      <w:spacing w:before="120"/>
    </w:pPr>
    <w:rPr>
      <w:b/>
    </w:rPr>
  </w:style>
  <w:style w:type="paragraph" w:styleId="22">
    <w:name w:val="toc 2"/>
    <w:basedOn w:val="a0"/>
    <w:next w:val="a0"/>
    <w:autoRedefine/>
    <w:uiPriority w:val="39"/>
    <w:unhideWhenUsed/>
    <w:rsid w:val="00581F33"/>
    <w:pPr>
      <w:tabs>
        <w:tab w:val="right" w:leader="dot" w:pos="9622"/>
      </w:tabs>
      <w:spacing w:line="360" w:lineRule="auto"/>
      <w:ind w:left="240"/>
    </w:pPr>
    <w:rPr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semiHidden/>
    <w:unhideWhenUsed/>
    <w:rsid w:val="00581F33"/>
    <w:pPr>
      <w:ind w:left="480"/>
    </w:pPr>
    <w:rPr>
      <w:sz w:val="22"/>
      <w:szCs w:val="22"/>
    </w:rPr>
  </w:style>
  <w:style w:type="paragraph" w:styleId="40">
    <w:name w:val="toc 4"/>
    <w:basedOn w:val="a0"/>
    <w:next w:val="a0"/>
    <w:autoRedefine/>
    <w:uiPriority w:val="39"/>
    <w:semiHidden/>
    <w:unhideWhenUsed/>
    <w:rsid w:val="00581F33"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uiPriority w:val="39"/>
    <w:semiHidden/>
    <w:unhideWhenUsed/>
    <w:rsid w:val="00581F33"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uiPriority w:val="39"/>
    <w:semiHidden/>
    <w:unhideWhenUsed/>
    <w:rsid w:val="00581F33"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uiPriority w:val="39"/>
    <w:semiHidden/>
    <w:unhideWhenUsed/>
    <w:rsid w:val="00581F33"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uiPriority w:val="39"/>
    <w:semiHidden/>
    <w:unhideWhenUsed/>
    <w:rsid w:val="00581F33"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uiPriority w:val="39"/>
    <w:semiHidden/>
    <w:unhideWhenUsed/>
    <w:rsid w:val="00581F33"/>
    <w:pPr>
      <w:ind w:left="1920"/>
    </w:pPr>
    <w:rPr>
      <w:sz w:val="20"/>
      <w:szCs w:val="20"/>
    </w:rPr>
  </w:style>
  <w:style w:type="paragraph" w:customStyle="1" w:styleId="a">
    <w:name w:val="Формула"/>
    <w:basedOn w:val="a0"/>
    <w:next w:val="a0"/>
    <w:autoRedefine/>
    <w:rsid w:val="00581F33"/>
    <w:pPr>
      <w:numPr>
        <w:numId w:val="3"/>
      </w:numPr>
      <w:spacing w:before="200" w:after="200" w:line="36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en-US" w:eastAsia="ru-RU"/>
    </w:rPr>
  </w:style>
  <w:style w:type="table" w:styleId="-2">
    <w:name w:val="Light Shading Accent 2"/>
    <w:basedOn w:val="a2"/>
    <w:uiPriority w:val="60"/>
    <w:rsid w:val="00581F33"/>
    <w:rPr>
      <w:rFonts w:eastAsiaTheme="minorEastAsia"/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-2">
    <w:name w:val="Medium Shading 1 Accent 2"/>
    <w:basedOn w:val="a2"/>
    <w:uiPriority w:val="63"/>
    <w:rsid w:val="00581F33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2"/>
    <w:uiPriority w:val="62"/>
    <w:rsid w:val="00581F33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af0">
    <w:name w:val="footer"/>
    <w:basedOn w:val="a0"/>
    <w:link w:val="af1"/>
    <w:uiPriority w:val="99"/>
    <w:unhideWhenUsed/>
    <w:rsid w:val="00581F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581F33"/>
    <w:rPr>
      <w:rFonts w:eastAsiaTheme="minorEastAsia"/>
    </w:rPr>
  </w:style>
  <w:style w:type="character" w:styleId="af2">
    <w:name w:val="page number"/>
    <w:basedOn w:val="a1"/>
    <w:uiPriority w:val="99"/>
    <w:semiHidden/>
    <w:unhideWhenUsed/>
    <w:rsid w:val="00581F33"/>
  </w:style>
  <w:style w:type="paragraph" w:styleId="af3">
    <w:name w:val="Normal (Web)"/>
    <w:basedOn w:val="a0"/>
    <w:uiPriority w:val="99"/>
    <w:unhideWhenUsed/>
    <w:rsid w:val="00581F3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ru-RU"/>
    </w:rPr>
  </w:style>
  <w:style w:type="table" w:styleId="-1">
    <w:name w:val="Light Shading Accent 1"/>
    <w:basedOn w:val="a2"/>
    <w:uiPriority w:val="60"/>
    <w:rsid w:val="00581F33"/>
    <w:rPr>
      <w:rFonts w:eastAsiaTheme="minorEastAsia"/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-1">
    <w:name w:val="Medium Shading 1 Accent 1"/>
    <w:basedOn w:val="a2"/>
    <w:uiPriority w:val="63"/>
    <w:rsid w:val="00581F33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Grid 1 Accent 1"/>
    <w:basedOn w:val="a2"/>
    <w:uiPriority w:val="67"/>
    <w:rsid w:val="00581F33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af4">
    <w:name w:val="Light Shading"/>
    <w:basedOn w:val="a2"/>
    <w:uiPriority w:val="60"/>
    <w:rsid w:val="00581F33"/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5">
    <w:name w:val="FollowedHyperlink"/>
    <w:basedOn w:val="a1"/>
    <w:uiPriority w:val="99"/>
    <w:semiHidden/>
    <w:unhideWhenUsed/>
    <w:rsid w:val="00581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microsoft.com/office/2007/relationships/diagramDrawing" Target="diagrams/drawing1.xml"/><Relationship Id="rId21" Type="http://schemas.openxmlformats.org/officeDocument/2006/relationships/header" Target="header7.xml"/><Relationship Id="rId22" Type="http://schemas.openxmlformats.org/officeDocument/2006/relationships/image" Target="media/image2.png"/><Relationship Id="rId23" Type="http://schemas.openxmlformats.org/officeDocument/2006/relationships/header" Target="header8.xml"/><Relationship Id="rId24" Type="http://schemas.openxmlformats.org/officeDocument/2006/relationships/chart" Target="charts/chart1.xml"/><Relationship Id="rId25" Type="http://schemas.openxmlformats.org/officeDocument/2006/relationships/chart" Target="charts/chart2.xml"/><Relationship Id="rId26" Type="http://schemas.openxmlformats.org/officeDocument/2006/relationships/chart" Target="charts/chart3.xml"/><Relationship Id="rId27" Type="http://schemas.openxmlformats.org/officeDocument/2006/relationships/chart" Target="charts/chart4.xml"/><Relationship Id="rId28" Type="http://schemas.openxmlformats.org/officeDocument/2006/relationships/chart" Target="charts/chart5.xml"/><Relationship Id="rId29" Type="http://schemas.openxmlformats.org/officeDocument/2006/relationships/chart" Target="charts/chart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3.png"/><Relationship Id="rId31" Type="http://schemas.openxmlformats.org/officeDocument/2006/relationships/header" Target="header9.xml"/><Relationship Id="rId32" Type="http://schemas.openxmlformats.org/officeDocument/2006/relationships/chart" Target="charts/chart7.xml"/><Relationship Id="rId9" Type="http://schemas.openxmlformats.org/officeDocument/2006/relationships/header" Target="header2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33" Type="http://schemas.openxmlformats.org/officeDocument/2006/relationships/chart" Target="charts/chart8.xml"/><Relationship Id="rId34" Type="http://schemas.openxmlformats.org/officeDocument/2006/relationships/chart" Target="charts/chart9.xml"/><Relationship Id="rId35" Type="http://schemas.openxmlformats.org/officeDocument/2006/relationships/hyperlink" Target="https://www.ivsc.org/files/file/download/id/575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diagramData" Target="diagrams/data1.xml"/><Relationship Id="rId17" Type="http://schemas.openxmlformats.org/officeDocument/2006/relationships/diagramLayout" Target="diagrams/layout1.xml"/><Relationship Id="rId18" Type="http://schemas.openxmlformats.org/officeDocument/2006/relationships/diagramQuickStyle" Target="diagrams/quickStyle1.xml"/><Relationship Id="rId19" Type="http://schemas.openxmlformats.org/officeDocument/2006/relationships/diagramColors" Target="diagrams/colors1.xml"/><Relationship Id="rId3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evgenia/Downloads/Nefin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Материальные активы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1975.0</c:v>
                </c:pt>
                <c:pt idx="1">
                  <c:v>1985.0</c:v>
                </c:pt>
                <c:pt idx="2">
                  <c:v>1995.0</c:v>
                </c:pt>
                <c:pt idx="3">
                  <c:v>2005.0</c:v>
                </c:pt>
                <c:pt idx="4">
                  <c:v>2015.0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>
                  <c:v>0.83</c:v>
                </c:pt>
                <c:pt idx="1">
                  <c:v>0.68</c:v>
                </c:pt>
                <c:pt idx="2">
                  <c:v>0.32</c:v>
                </c:pt>
                <c:pt idx="3">
                  <c:v>0.2</c:v>
                </c:pt>
                <c:pt idx="4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Нематериальные активы</c:v>
                </c:pt>
              </c:strCache>
            </c:strRef>
          </c:tx>
          <c:spPr>
            <a:solidFill>
              <a:srgbClr val="5AAAE5"/>
            </a:solidFill>
            <a:ln>
              <a:noFill/>
            </a:ln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1975.0</c:v>
                </c:pt>
                <c:pt idx="1">
                  <c:v>1985.0</c:v>
                </c:pt>
                <c:pt idx="2">
                  <c:v>1995.0</c:v>
                </c:pt>
                <c:pt idx="3">
                  <c:v>2005.0</c:v>
                </c:pt>
                <c:pt idx="4">
                  <c:v>2015.0</c:v>
                </c:pt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0">
                  <c:v>0.17</c:v>
                </c:pt>
                <c:pt idx="1">
                  <c:v>0.32</c:v>
                </c:pt>
                <c:pt idx="2">
                  <c:v>0.68</c:v>
                </c:pt>
                <c:pt idx="3">
                  <c:v>0.8</c:v>
                </c:pt>
                <c:pt idx="4">
                  <c:v>0.87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0"/>
        <c:overlap val="100"/>
        <c:axId val="-1426003664"/>
        <c:axId val="-1425997696"/>
      </c:barChart>
      <c:catAx>
        <c:axId val="-142600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endParaRPr lang="ru-RU"/>
          </a:p>
        </c:txPr>
        <c:crossAx val="-1425997696"/>
        <c:crosses val="autoZero"/>
        <c:auto val="1"/>
        <c:lblAlgn val="ctr"/>
        <c:lblOffset val="100"/>
        <c:noMultiLvlLbl val="0"/>
      </c:catAx>
      <c:valAx>
        <c:axId val="-142599769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endParaRPr lang="ru-RU"/>
          </a:p>
        </c:txPr>
        <c:crossAx val="-1426003664"/>
        <c:crosses val="autoZero"/>
        <c:crossBetween val="between"/>
      </c:valAx>
      <c:spPr>
        <a:ln>
          <a:noFill/>
        </a:ln>
      </c:spPr>
    </c:plotArea>
    <c:legend>
      <c:legendPos val="b"/>
      <c:overlay val="0"/>
      <c:txPr>
        <a:bodyPr/>
        <a:lstStyle/>
        <a:p>
          <a:pPr>
            <a:defRPr sz="14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24708177037"/>
          <c:y val="0.0303209993487656"/>
          <c:w val="0.557328034849465"/>
          <c:h val="0.8147046356047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Рыночная стоимость компаний</c:v>
                </c:pt>
              </c:strCache>
            </c:strRef>
          </c:tx>
          <c:spPr>
            <a:solidFill>
              <a:srgbClr val="46A9C1"/>
            </a:solidFill>
          </c:spPr>
          <c:dPt>
            <c:idx val="0"/>
            <c:bubble3D val="0"/>
            <c:spPr>
              <a:solidFill>
                <a:srgbClr val="2A6AA3"/>
              </a:solidFill>
              <a:ln>
                <a:solidFill>
                  <a:srgbClr val="3376AA"/>
                </a:solidFill>
              </a:ln>
            </c:spPr>
          </c:dPt>
          <c:dPt>
            <c:idx val="1"/>
            <c:bubble3D val="0"/>
            <c:spPr>
              <a:solidFill>
                <a:srgbClr val="C8E3F6"/>
              </a:solidFill>
              <a:ln>
                <a:solidFill>
                  <a:srgbClr val="CDE6F6"/>
                </a:solidFill>
              </a:ln>
            </c:spPr>
          </c:dPt>
          <c:dPt>
            <c:idx val="2"/>
            <c:bubble3D val="0"/>
            <c:spPr>
              <a:solidFill>
                <a:srgbClr val="91C6ED"/>
              </a:solidFill>
              <a:ln>
                <a:solidFill>
                  <a:srgbClr val="9ACBEE"/>
                </a:solidFill>
              </a:ln>
            </c:spPr>
          </c:dPt>
          <c:dPt>
            <c:idx val="3"/>
            <c:bubble3D val="0"/>
            <c:spPr>
              <a:solidFill>
                <a:srgbClr val="5AAAE5"/>
              </a:solidFill>
              <a:ln>
                <a:solidFill>
                  <a:srgbClr val="66B1E6"/>
                </a:solidFill>
              </a:ln>
            </c:spPr>
          </c:dPt>
          <c:dLbls>
            <c:dLbl>
              <c:idx val="0"/>
              <c:layout>
                <c:manualLayout>
                  <c:x val="0.156362514144635"/>
                  <c:y val="-0.112027470250429"/>
                </c:manualLayout>
              </c:layout>
              <c:tx>
                <c:rich>
                  <a:bodyPr/>
                  <a:lstStyle/>
                  <a:p>
                    <a:pPr algn="ctr">
                      <a:defRPr/>
                    </a:pPr>
                    <a:r>
                      <a:rPr lang="ru-RU" sz="1300">
                        <a:latin typeface="Times New Roman"/>
                        <a:cs typeface="Times New Roman"/>
                      </a:rPr>
                      <a:t>Нераскрытые нематериальные активы $27 трлн
37%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0477155148323"/>
                  <c:y val="0.145474157835534"/>
                </c:manualLayout>
              </c:layout>
              <c:tx>
                <c:rich>
                  <a:bodyPr/>
                  <a:lstStyle/>
                  <a:p>
                    <a:r>
                      <a:rPr lang="ru-RU" sz="1300">
                        <a:latin typeface="Times New Roman"/>
                        <a:cs typeface="Times New Roman"/>
                      </a:rPr>
                      <a:t>Раскрытые нематериальные активы $6 трлн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0617204250559103"/>
                  <c:y val="0.156390977443609"/>
                </c:manualLayout>
              </c:layout>
              <c:tx>
                <c:rich>
                  <a:bodyPr/>
                  <a:lstStyle/>
                  <a:p>
                    <a:r>
                      <a:rPr lang="ru-RU" sz="1300">
                        <a:latin typeface="Times New Roman"/>
                        <a:cs typeface="Times New Roman"/>
                      </a:rPr>
                      <a:t>Гудвилл $5 трлн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1932928711038"/>
                  <c:y val="-0.192481203007519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/>
                        <a:cs typeface="Times New Roman"/>
                      </a:defRPr>
                    </a:pPr>
                    <a:r>
                      <a:rPr lang="ru-RU" sz="1300"/>
                      <a:t>Материальные активы $34 трлн
47%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noFill/>
                  <a:prstDash val="solid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Нераскрытые нематериальные активы $27 трлн</c:v>
                </c:pt>
                <c:pt idx="1">
                  <c:v>Раскрытые нематериальные активы $6 трлн</c:v>
                </c:pt>
                <c:pt idx="2">
                  <c:v>Гудвилл $5 трлн</c:v>
                </c:pt>
                <c:pt idx="3">
                  <c:v>Материальные активы $34 трлн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0.373</c:v>
                </c:pt>
                <c:pt idx="1">
                  <c:v>0.083</c:v>
                </c:pt>
                <c:pt idx="2">
                  <c:v>0.072</c:v>
                </c:pt>
                <c:pt idx="3">
                  <c:v>0.472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74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Автомобилестроение</c:v>
                </c:pt>
                <c:pt idx="1">
                  <c:v>Розничная торговля</c:v>
                </c:pt>
                <c:pt idx="2">
                  <c:v>Телеком</c:v>
                </c:pt>
                <c:pt idx="3">
                  <c:v>Банки</c:v>
                </c:pt>
                <c:pt idx="4">
                  <c:v>Информационные технологии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200.0</c:v>
                </c:pt>
                <c:pt idx="1">
                  <c:v>320.0</c:v>
                </c:pt>
                <c:pt idx="2">
                  <c:v>290.0</c:v>
                </c:pt>
                <c:pt idx="3">
                  <c:v>510.0</c:v>
                </c:pt>
                <c:pt idx="4">
                  <c:v>410.0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5AAAE5"/>
            </a:solidFill>
            <a:ln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Автомобилестроение</c:v>
                </c:pt>
                <c:pt idx="1">
                  <c:v>Розничная торговля</c:v>
                </c:pt>
                <c:pt idx="2">
                  <c:v>Телеком</c:v>
                </c:pt>
                <c:pt idx="3">
                  <c:v>Банки</c:v>
                </c:pt>
                <c:pt idx="4">
                  <c:v>Информационные технологии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370.0</c:v>
                </c:pt>
                <c:pt idx="1">
                  <c:v>380.0</c:v>
                </c:pt>
                <c:pt idx="2">
                  <c:v>580.0</c:v>
                </c:pt>
                <c:pt idx="3">
                  <c:v>800.0</c:v>
                </c:pt>
                <c:pt idx="4">
                  <c:v>1040.0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7"/>
        <c:axId val="-1425922672"/>
        <c:axId val="-1425579520"/>
      </c:barChart>
      <c:catAx>
        <c:axId val="-14259226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endParaRPr lang="ru-RU"/>
          </a:p>
        </c:txPr>
        <c:crossAx val="-1425579520"/>
        <c:crosses val="autoZero"/>
        <c:auto val="1"/>
        <c:lblAlgn val="ctr"/>
        <c:lblOffset val="100"/>
        <c:noMultiLvlLbl val="0"/>
      </c:catAx>
      <c:valAx>
        <c:axId val="-142557952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400"/>
                </a:pPr>
                <a:r>
                  <a:rPr lang="ru-RU" sz="1400" b="0">
                    <a:latin typeface="Times New Roman"/>
                    <a:cs typeface="Times New Roman"/>
                  </a:rPr>
                  <a:t>Стоимость</a:t>
                </a:r>
                <a:r>
                  <a:rPr lang="ru-RU" sz="1400" b="0" baseline="0">
                    <a:latin typeface="Times New Roman"/>
                    <a:cs typeface="Times New Roman"/>
                  </a:rPr>
                  <a:t> брендов, млрд </a:t>
                </a:r>
                <a:r>
                  <a:rPr lang="en-US" sz="1400" b="0" baseline="0">
                    <a:latin typeface="Times New Roman"/>
                    <a:cs typeface="Times New Roman"/>
                  </a:rPr>
                  <a:t>$</a:t>
                </a:r>
                <a:endParaRPr lang="ru-RU" sz="1400" b="0">
                  <a:latin typeface="Times New Roman"/>
                  <a:cs typeface="Times New Roman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endParaRPr lang="ru-RU"/>
          </a:p>
        </c:txPr>
        <c:crossAx val="-142592267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35539240100387"/>
          <c:y val="0.0856723965842298"/>
          <c:w val="0.590867016352977"/>
          <c:h val="0.80915492957746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31546D"/>
              </a:solidFill>
            </c:spPr>
          </c:dPt>
          <c:dPt>
            <c:idx val="1"/>
            <c:bubble3D val="0"/>
            <c:spPr>
              <a:solidFill>
                <a:srgbClr val="3A6E91"/>
              </a:solidFill>
              <a:ln>
                <a:solidFill>
                  <a:srgbClr val="396E91"/>
                </a:solidFill>
              </a:ln>
            </c:spPr>
          </c:dPt>
          <c:dPt>
            <c:idx val="2"/>
            <c:bubble3D val="0"/>
            <c:spPr>
              <a:solidFill>
                <a:srgbClr val="4184B5"/>
              </a:solidFill>
              <a:ln>
                <a:solidFill>
                  <a:srgbClr val="4184B6"/>
                </a:solidFill>
              </a:ln>
            </c:spPr>
          </c:dPt>
          <c:dPt>
            <c:idx val="3"/>
            <c:bubble3D val="0"/>
            <c:spPr>
              <a:solidFill>
                <a:srgbClr val="74BAE9"/>
              </a:solidFill>
              <a:ln>
                <a:solidFill>
                  <a:srgbClr val="74BBE9"/>
                </a:solidFill>
              </a:ln>
            </c:spPr>
          </c:dPt>
          <c:dPt>
            <c:idx val="4"/>
            <c:bubble3D val="0"/>
            <c:spPr>
              <a:solidFill>
                <a:srgbClr val="A5D1F0"/>
              </a:solidFill>
              <a:ln>
                <a:solidFill>
                  <a:srgbClr val="A5D1F0"/>
                </a:solidFill>
              </a:ln>
            </c:spPr>
          </c:dPt>
          <c:dPt>
            <c:idx val="5"/>
            <c:bubble3D val="0"/>
            <c:spPr>
              <a:solidFill>
                <a:srgbClr val="C8E3F6"/>
              </a:solidFill>
              <a:ln>
                <a:solidFill>
                  <a:srgbClr val="C9E3F7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noFill/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Оценка недвижимого имущества</c:v>
                </c:pt>
                <c:pt idx="1">
                  <c:v>Оценка бизнеса и ценных бумаг</c:v>
                </c:pt>
                <c:pt idx="2">
                  <c:v>Переоценка основных фондов (в том числе в целях МСФО)</c:v>
                </c:pt>
                <c:pt idx="3">
                  <c:v>Оценка оборудования и транспортных средств</c:v>
                </c:pt>
                <c:pt idx="4">
                  <c:v>Оценка инвестиционных проектов</c:v>
                </c:pt>
                <c:pt idx="5">
                  <c:v>Оценка нематериальных активов и интеллектуальной собственности</c:v>
                </c:pt>
                <c:pt idx="6">
                  <c:v>Другие виды оценки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0.37</c:v>
                </c:pt>
                <c:pt idx="1">
                  <c:v>0.3</c:v>
                </c:pt>
                <c:pt idx="2">
                  <c:v>0.11</c:v>
                </c:pt>
                <c:pt idx="3">
                  <c:v>0.1</c:v>
                </c:pt>
                <c:pt idx="4">
                  <c:v>0.05</c:v>
                </c:pt>
                <c:pt idx="5">
                  <c:v>0.03</c:v>
                </c:pt>
                <c:pt idx="6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1"/>
      </c:doughnutChart>
    </c:plotArea>
    <c:legend>
      <c:legendPos val="r"/>
      <c:layout>
        <c:manualLayout>
          <c:xMode val="edge"/>
          <c:yMode val="edge"/>
          <c:x val="0.644039905378998"/>
          <c:y val="0.0370018794672609"/>
          <c:w val="0.341561246528849"/>
          <c:h val="0.962998114672286"/>
        </c:manualLayout>
      </c:layout>
      <c:overlay val="0"/>
      <c:txPr>
        <a:bodyPr/>
        <a:lstStyle/>
        <a:p>
          <a:pPr>
            <a:defRPr sz="14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989524529964509"/>
          <c:y val="0.0407651301348385"/>
          <c:w val="0.811384521185006"/>
          <c:h val="0.625078824461717"/>
        </c:manualLayout>
      </c:layout>
      <c:lineChart>
        <c:grouping val="standard"/>
        <c:varyColors val="0"/>
        <c:ser>
          <c:idx val="1"/>
          <c:order val="0"/>
          <c:tx>
            <c:strRef>
              <c:f>Лист3!$D$55</c:f>
              <c:strCache>
                <c:ptCount val="1"/>
                <c:pt idx="0">
                  <c:v>инвестиции в объекты интеллектуальной собственности, млрд руб</c:v>
                </c:pt>
              </c:strCache>
            </c:strRef>
          </c:tx>
          <c:spPr>
            <a:ln>
              <a:solidFill>
                <a:srgbClr val="C8E3F6"/>
              </a:solidFill>
            </a:ln>
          </c:spPr>
          <c:marker>
            <c:symbol val="none"/>
          </c:marker>
          <c:cat>
            <c:numRef>
              <c:f>Лист3!$C$56:$C$68</c:f>
              <c:numCache>
                <c:formatCode>General</c:formatCode>
                <c:ptCount val="13"/>
                <c:pt idx="0">
                  <c:v>2000.0</c:v>
                </c:pt>
                <c:pt idx="1">
                  <c:v>2001.0</c:v>
                </c:pt>
                <c:pt idx="2">
                  <c:v>2002.0</c:v>
                </c:pt>
                <c:pt idx="3">
                  <c:v>2003.0</c:v>
                </c:pt>
                <c:pt idx="4">
                  <c:v>2004.0</c:v>
                </c:pt>
                <c:pt idx="5">
                  <c:v>2005.0</c:v>
                </c:pt>
                <c:pt idx="6">
                  <c:v>2006.0</c:v>
                </c:pt>
                <c:pt idx="7">
                  <c:v>2007.0</c:v>
                </c:pt>
                <c:pt idx="8">
                  <c:v>2008.0</c:v>
                </c:pt>
                <c:pt idx="9">
                  <c:v>2009.0</c:v>
                </c:pt>
                <c:pt idx="10">
                  <c:v>2010.0</c:v>
                </c:pt>
                <c:pt idx="11">
                  <c:v>2011.0</c:v>
                </c:pt>
                <c:pt idx="12">
                  <c:v>2012.0</c:v>
                </c:pt>
              </c:numCache>
            </c:numRef>
          </c:cat>
          <c:val>
            <c:numRef>
              <c:f>Лист3!$D$56:$D$68</c:f>
              <c:numCache>
                <c:formatCode>General</c:formatCode>
                <c:ptCount val="13"/>
                <c:pt idx="0">
                  <c:v>15.9</c:v>
                </c:pt>
                <c:pt idx="1">
                  <c:v>9.0</c:v>
                </c:pt>
                <c:pt idx="2">
                  <c:v>7.6</c:v>
                </c:pt>
                <c:pt idx="3">
                  <c:v>9.1</c:v>
                </c:pt>
                <c:pt idx="4">
                  <c:v>10.0</c:v>
                </c:pt>
                <c:pt idx="5">
                  <c:v>24.4</c:v>
                </c:pt>
                <c:pt idx="6">
                  <c:v>20.7</c:v>
                </c:pt>
                <c:pt idx="7">
                  <c:v>28.1</c:v>
                </c:pt>
                <c:pt idx="8">
                  <c:v>30.7</c:v>
                </c:pt>
                <c:pt idx="9">
                  <c:v>23.6</c:v>
                </c:pt>
                <c:pt idx="10">
                  <c:v>23.6</c:v>
                </c:pt>
                <c:pt idx="11">
                  <c:v>39.5</c:v>
                </c:pt>
                <c:pt idx="12">
                  <c:v>48.0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25388960"/>
        <c:axId val="-1425386912"/>
      </c:lineChart>
      <c:lineChart>
        <c:grouping val="standard"/>
        <c:varyColors val="0"/>
        <c:ser>
          <c:idx val="2"/>
          <c:order val="1"/>
          <c:tx>
            <c:strRef>
              <c:f>Лист3!$F$55</c:f>
              <c:strCache>
                <c:ptCount val="1"/>
                <c:pt idx="0">
                  <c:v>доля инвестиций в объекты ИС в суммарных инвестициях в нефинансовые активы, %</c:v>
                </c:pt>
              </c:strCache>
            </c:strRef>
          </c:tx>
          <c:spPr>
            <a:ln>
              <a:solidFill>
                <a:srgbClr val="5AAAE5"/>
              </a:solidFill>
            </a:ln>
          </c:spPr>
          <c:marker>
            <c:symbol val="none"/>
          </c:marker>
          <c:cat>
            <c:numRef>
              <c:f>Лист3!$C$56:$C$68</c:f>
              <c:numCache>
                <c:formatCode>General</c:formatCode>
                <c:ptCount val="13"/>
                <c:pt idx="0">
                  <c:v>2000.0</c:v>
                </c:pt>
                <c:pt idx="1">
                  <c:v>2001.0</c:v>
                </c:pt>
                <c:pt idx="2">
                  <c:v>2002.0</c:v>
                </c:pt>
                <c:pt idx="3">
                  <c:v>2003.0</c:v>
                </c:pt>
                <c:pt idx="4">
                  <c:v>2004.0</c:v>
                </c:pt>
                <c:pt idx="5">
                  <c:v>2005.0</c:v>
                </c:pt>
                <c:pt idx="6">
                  <c:v>2006.0</c:v>
                </c:pt>
                <c:pt idx="7">
                  <c:v>2007.0</c:v>
                </c:pt>
                <c:pt idx="8">
                  <c:v>2008.0</c:v>
                </c:pt>
                <c:pt idx="9">
                  <c:v>2009.0</c:v>
                </c:pt>
                <c:pt idx="10">
                  <c:v>2010.0</c:v>
                </c:pt>
                <c:pt idx="11">
                  <c:v>2011.0</c:v>
                </c:pt>
                <c:pt idx="12">
                  <c:v>2012.0</c:v>
                </c:pt>
              </c:numCache>
            </c:numRef>
          </c:cat>
          <c:val>
            <c:numRef>
              <c:f>Лист3!$F$56:$F$68</c:f>
              <c:numCache>
                <c:formatCode>0.00%</c:formatCode>
                <c:ptCount val="13"/>
                <c:pt idx="0">
                  <c:v>0.0148431665421957</c:v>
                </c:pt>
                <c:pt idx="1">
                  <c:v>0.00667853962600178</c:v>
                </c:pt>
                <c:pt idx="2">
                  <c:v>0.00514800514800515</c:v>
                </c:pt>
                <c:pt idx="3">
                  <c:v>0.00493144746111743</c:v>
                </c:pt>
                <c:pt idx="4">
                  <c:v>0.00441111601235112</c:v>
                </c:pt>
                <c:pt idx="5">
                  <c:v>0.00828326034558848</c:v>
                </c:pt>
                <c:pt idx="6">
                  <c:v>0.00536464002487949</c:v>
                </c:pt>
                <c:pt idx="7">
                  <c:v>0.00532045820316198</c:v>
                </c:pt>
                <c:pt idx="8">
                  <c:v>0.00451809445319283</c:v>
                </c:pt>
                <c:pt idx="9">
                  <c:v>0.00385784810540426</c:v>
                </c:pt>
                <c:pt idx="10">
                  <c:v>0.00351603819966925</c:v>
                </c:pt>
                <c:pt idx="11">
                  <c:v>0.00460292489657985</c:v>
                </c:pt>
                <c:pt idx="12">
                  <c:v>0.00491380369354244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365153200"/>
        <c:axId val="-1425255120"/>
      </c:lineChart>
      <c:catAx>
        <c:axId val="-142538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-1425386912"/>
        <c:crosses val="autoZero"/>
        <c:auto val="1"/>
        <c:lblAlgn val="ctr"/>
        <c:lblOffset val="100"/>
        <c:noMultiLvlLbl val="0"/>
      </c:catAx>
      <c:valAx>
        <c:axId val="-142538691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 b="0">
                    <a:latin typeface="Times New Roman" charset="0"/>
                    <a:ea typeface="Times New Roman" charset="0"/>
                    <a:cs typeface="Times New Roman" charset="0"/>
                  </a:rPr>
                  <a:t>млрд</a:t>
                </a:r>
                <a:r>
                  <a:rPr lang="ru-RU" sz="1200" b="0" baseline="0">
                    <a:latin typeface="Times New Roman" charset="0"/>
                    <a:ea typeface="Times New Roman" charset="0"/>
                    <a:cs typeface="Times New Roman" charset="0"/>
                  </a:rPr>
                  <a:t> руб</a:t>
                </a:r>
                <a:endParaRPr lang="ru-RU" sz="1200" b="0">
                  <a:latin typeface="Times New Roman" charset="0"/>
                  <a:ea typeface="Times New Roman" charset="0"/>
                  <a:cs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0.000186766923626421"/>
              <c:y val="0.1981334843722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-1425388960"/>
        <c:crosses val="autoZero"/>
        <c:crossBetween val="between"/>
      </c:valAx>
      <c:catAx>
        <c:axId val="-1365153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425255120"/>
        <c:crosses val="autoZero"/>
        <c:auto val="1"/>
        <c:lblAlgn val="ctr"/>
        <c:lblOffset val="100"/>
        <c:noMultiLvlLbl val="0"/>
      </c:catAx>
      <c:valAx>
        <c:axId val="-1425255120"/>
        <c:scaling>
          <c:orientation val="minMax"/>
        </c:scaling>
        <c:delete val="0"/>
        <c:axPos val="r"/>
        <c:numFmt formatCode="0.0%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-1365153200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0.0365867170327223"/>
          <c:y val="0.763462485467846"/>
          <c:w val="0.943269668436066"/>
          <c:h val="0.228815800829538"/>
        </c:manualLayout>
      </c:layout>
      <c:overlay val="0"/>
      <c:txPr>
        <a:bodyPr/>
        <a:lstStyle/>
        <a:p>
          <a:pPr>
            <a:defRPr sz="14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E6676B"/>
              </a:solidFill>
            </c:spPr>
          </c:dPt>
          <c:dPt>
            <c:idx val="1"/>
            <c:invertIfNegative val="0"/>
            <c:bubble3D val="0"/>
            <c:spPr>
              <a:solidFill>
                <a:srgbClr val="E6676B">
                  <a:alpha val="8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6DB6E8">
                  <a:alpha val="65000"/>
                </a:srgbClr>
              </a:solidFill>
            </c:spPr>
          </c:dPt>
          <c:dPt>
            <c:idx val="3"/>
            <c:invertIfNegative val="0"/>
            <c:bubble3D val="0"/>
            <c:spPr>
              <a:solidFill>
                <a:srgbClr val="6DB6E8">
                  <a:alpha val="75000"/>
                </a:srgbClr>
              </a:solidFill>
            </c:spPr>
          </c:dPt>
          <c:dPt>
            <c:idx val="4"/>
            <c:invertIfNegative val="0"/>
            <c:bubble3D val="0"/>
            <c:spPr>
              <a:solidFill>
                <a:srgbClr val="6DB6E8">
                  <a:alpha val="85000"/>
                </a:srgbClr>
              </a:solidFill>
            </c:spPr>
          </c:dPt>
          <c:dPt>
            <c:idx val="5"/>
            <c:invertIfNegative val="0"/>
            <c:bubble3D val="0"/>
            <c:spPr>
              <a:solidFill>
                <a:srgbClr val="6DB6E8"/>
              </a:solidFill>
            </c:spPr>
          </c:dPt>
          <c:dLbls>
            <c:dLbl>
              <c:idx val="0"/>
              <c:layout>
                <c:manualLayout>
                  <c:x val="-0.364122608516766"/>
                  <c:y val="0.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70746597942486"/>
                  <c:y val="-7.2750482331547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Оценка инвестиционных проектов</c:v>
                </c:pt>
                <c:pt idx="1">
                  <c:v>Оценка оборудования и транспортных средств</c:v>
                </c:pt>
                <c:pt idx="2">
                  <c:v>Оценка бизнеса и ценных бумаг</c:v>
                </c:pt>
                <c:pt idx="3">
                  <c:v>Оценка недвижимого имущества</c:v>
                </c:pt>
                <c:pt idx="4">
                  <c:v>Оценка нематериальных активов и интеллектуальной собственности</c:v>
                </c:pt>
                <c:pt idx="5">
                  <c:v>Переоценка основных фондов (в том числе в целях МСФО)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-0.25</c:v>
                </c:pt>
                <c:pt idx="1">
                  <c:v>-0.04</c:v>
                </c:pt>
                <c:pt idx="2">
                  <c:v>0.11</c:v>
                </c:pt>
                <c:pt idx="3">
                  <c:v>0.16</c:v>
                </c:pt>
                <c:pt idx="4">
                  <c:v>0.3</c:v>
                </c:pt>
                <c:pt idx="5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425304400"/>
        <c:axId val="-1425141696"/>
      </c:barChart>
      <c:catAx>
        <c:axId val="-14253044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solidFill>
                  <a:schemeClr val="tx1"/>
                </a:solidFill>
                <a:latin typeface="Times New Roman"/>
                <a:cs typeface="Times New Roman"/>
              </a:defRPr>
            </a:pPr>
            <a:endParaRPr lang="ru-RU"/>
          </a:p>
        </c:txPr>
        <c:crossAx val="-1425141696"/>
        <c:crosses val="autoZero"/>
        <c:auto val="1"/>
        <c:lblAlgn val="ctr"/>
        <c:lblOffset val="100"/>
        <c:noMultiLvlLbl val="0"/>
      </c:catAx>
      <c:valAx>
        <c:axId val="-142514169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-1425304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0718227073430937"/>
          <c:y val="0.0260209613299602"/>
          <c:w val="0.820802178045538"/>
          <c:h val="0.62523000414421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'[Оценка бренда Сбербанк.xlsx]Графики'!$M$3</c:f>
              <c:strCache>
                <c:ptCount val="1"/>
                <c:pt idx="0">
                  <c:v>Стоимость 500 самых дорогих брендов, млрд $</c:v>
                </c:pt>
              </c:strCache>
            </c:strRef>
          </c:tx>
          <c:spPr>
            <a:solidFill>
              <a:srgbClr val="91C7ED"/>
            </a:solidFill>
            <a:ln>
              <a:noFill/>
            </a:ln>
          </c:spPr>
          <c:invertIfNegative val="0"/>
          <c:cat>
            <c:numRef>
              <c:f>'[Оценка бренда Сбербанк.xlsx]Графики'!$L$4:$L$13</c:f>
              <c:numCache>
                <c:formatCode>General</c:formatCode>
                <c:ptCount val="10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  <c:pt idx="5">
                  <c:v>2013.0</c:v>
                </c:pt>
                <c:pt idx="6">
                  <c:v>2014.0</c:v>
                </c:pt>
                <c:pt idx="7">
                  <c:v>2015.0</c:v>
                </c:pt>
                <c:pt idx="8">
                  <c:v>2016.0</c:v>
                </c:pt>
                <c:pt idx="9">
                  <c:v>2017.0</c:v>
                </c:pt>
              </c:numCache>
            </c:numRef>
          </c:cat>
          <c:val>
            <c:numRef>
              <c:f>'[Оценка бренда Сбербанк.xlsx]Графики'!$M$4:$M$13</c:f>
              <c:numCache>
                <c:formatCode>General</c:formatCode>
                <c:ptCount val="10"/>
                <c:pt idx="0">
                  <c:v>689.2</c:v>
                </c:pt>
                <c:pt idx="1">
                  <c:v>480.5</c:v>
                </c:pt>
                <c:pt idx="2">
                  <c:v>716.3</c:v>
                </c:pt>
                <c:pt idx="3">
                  <c:v>855.0</c:v>
                </c:pt>
                <c:pt idx="4">
                  <c:v>746.8</c:v>
                </c:pt>
                <c:pt idx="5">
                  <c:v>860.7</c:v>
                </c:pt>
                <c:pt idx="6">
                  <c:v>908.1</c:v>
                </c:pt>
                <c:pt idx="7">
                  <c:v>953.0</c:v>
                </c:pt>
                <c:pt idx="8">
                  <c:v>988.3</c:v>
                </c:pt>
                <c:pt idx="9">
                  <c:v>1074.0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7"/>
        <c:axId val="-1364412512"/>
        <c:axId val="-1425195856"/>
      </c:barChart>
      <c:lineChart>
        <c:grouping val="standard"/>
        <c:varyColors val="0"/>
        <c:ser>
          <c:idx val="2"/>
          <c:order val="1"/>
          <c:tx>
            <c:strRef>
              <c:f>'[Оценка бренда Сбербанк.xlsx]Графики'!$N$3</c:f>
              <c:strCache>
                <c:ptCount val="1"/>
                <c:pt idx="0">
                  <c:v>Темп роста стоимости, %</c:v>
                </c:pt>
              </c:strCache>
            </c:strRef>
          </c:tx>
          <c:spPr>
            <a:ln w="18415">
              <a:solidFill>
                <a:srgbClr val="4184B6"/>
              </a:solidFill>
            </a:ln>
          </c:spPr>
          <c:marker>
            <c:symbol val="none"/>
          </c:marker>
          <c:cat>
            <c:numRef>
              <c:f>'[Оценка бренда Сбербанк.xlsx]Графики'!$L$4:$L$13</c:f>
              <c:numCache>
                <c:formatCode>General</c:formatCode>
                <c:ptCount val="10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  <c:pt idx="5">
                  <c:v>2013.0</c:v>
                </c:pt>
                <c:pt idx="6">
                  <c:v>2014.0</c:v>
                </c:pt>
                <c:pt idx="7">
                  <c:v>2015.0</c:v>
                </c:pt>
                <c:pt idx="8">
                  <c:v>2016.0</c:v>
                </c:pt>
                <c:pt idx="9">
                  <c:v>2017.0</c:v>
                </c:pt>
              </c:numCache>
            </c:numRef>
          </c:cat>
          <c:val>
            <c:numRef>
              <c:f>'[Оценка бренда Сбербанк.xlsx]Графики'!$N$4:$N$13</c:f>
              <c:numCache>
                <c:formatCode>0.0%</c:formatCode>
                <c:ptCount val="10"/>
                <c:pt idx="1">
                  <c:v>-0.302814857806152</c:v>
                </c:pt>
                <c:pt idx="2">
                  <c:v>0.490738813735692</c:v>
                </c:pt>
                <c:pt idx="3">
                  <c:v>0.193633952254642</c:v>
                </c:pt>
                <c:pt idx="4">
                  <c:v>-0.126549707602339</c:v>
                </c:pt>
                <c:pt idx="5">
                  <c:v>0.152517407605785</c:v>
                </c:pt>
                <c:pt idx="6">
                  <c:v>0.0550714534681074</c:v>
                </c:pt>
                <c:pt idx="7">
                  <c:v>0.0494438938442903</c:v>
                </c:pt>
                <c:pt idx="8">
                  <c:v>0.0370409233997901</c:v>
                </c:pt>
                <c:pt idx="9">
                  <c:v>0.0867145603561672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25144352"/>
        <c:axId val="-1425146672"/>
      </c:lineChart>
      <c:catAx>
        <c:axId val="-136441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-1425195856"/>
        <c:crosses val="autoZero"/>
        <c:auto val="1"/>
        <c:lblAlgn val="ctr"/>
        <c:lblOffset val="100"/>
        <c:noMultiLvlLbl val="0"/>
      </c:catAx>
      <c:valAx>
        <c:axId val="-1425195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-1364412512"/>
        <c:crosses val="autoZero"/>
        <c:crossBetween val="between"/>
      </c:valAx>
      <c:valAx>
        <c:axId val="-1425146672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-1425144352"/>
        <c:crosses val="max"/>
        <c:crossBetween val="between"/>
      </c:valAx>
      <c:catAx>
        <c:axId val="-14251443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425146672"/>
        <c:crosses val="autoZero"/>
        <c:auto val="1"/>
        <c:lblAlgn val="ctr"/>
        <c:lblOffset val="100"/>
        <c:noMultiLvlLbl val="0"/>
      </c:catAx>
      <c:spPr>
        <a:ln>
          <a:noFill/>
        </a:ln>
      </c:spPr>
    </c:plotArea>
    <c:legend>
      <c:legendPos val="b"/>
      <c:layout>
        <c:manualLayout>
          <c:xMode val="edge"/>
          <c:yMode val="edge"/>
          <c:x val="0.0341300131140814"/>
          <c:y val="0.797161528897956"/>
          <c:w val="0.9"/>
          <c:h val="0.171636394228202"/>
        </c:manualLayout>
      </c:layout>
      <c:overlay val="0"/>
      <c:txPr>
        <a:bodyPr/>
        <a:lstStyle/>
        <a:p>
          <a:pPr>
            <a:defRPr sz="14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375711517568128"/>
          <c:y val="0.0433333333333333"/>
          <c:w val="0.896227092188698"/>
          <c:h val="0.5785191280350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'[Оценка бренда Сбербанк.xlsx]Графики'!$D$32</c:f>
              <c:strCache>
                <c:ptCount val="1"/>
                <c:pt idx="0">
                  <c:v>Стоимость бренда Сбербанк, млрд $</c:v>
                </c:pt>
              </c:strCache>
            </c:strRef>
          </c:tx>
          <c:spPr>
            <a:solidFill>
              <a:srgbClr val="4184B6"/>
            </a:solidFill>
          </c:spPr>
          <c:invertIfNegative val="0"/>
          <c:cat>
            <c:numRef>
              <c:f>'[Оценка бренда Сбербанк.xlsx]Графики'!$B$33:$B$41</c:f>
              <c:numCache>
                <c:formatCode>General</c:formatCode>
                <c:ptCount val="9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  <c:pt idx="5">
                  <c:v>2013.0</c:v>
                </c:pt>
                <c:pt idx="6">
                  <c:v>2014.0</c:v>
                </c:pt>
                <c:pt idx="7">
                  <c:v>2015.0</c:v>
                </c:pt>
                <c:pt idx="8">
                  <c:v>2016.0</c:v>
                </c:pt>
              </c:numCache>
            </c:numRef>
          </c:cat>
          <c:val>
            <c:numRef>
              <c:f>'[Оценка бренда Сбербанк.xlsx]Графики'!$D$33:$D$41</c:f>
              <c:numCache>
                <c:formatCode>General</c:formatCode>
                <c:ptCount val="9"/>
                <c:pt idx="0">
                  <c:v>4.531</c:v>
                </c:pt>
                <c:pt idx="1">
                  <c:v>11.729</c:v>
                </c:pt>
                <c:pt idx="2">
                  <c:v>12.012</c:v>
                </c:pt>
                <c:pt idx="3">
                  <c:v>10.772</c:v>
                </c:pt>
                <c:pt idx="4">
                  <c:v>14.16</c:v>
                </c:pt>
                <c:pt idx="5">
                  <c:v>10.95</c:v>
                </c:pt>
                <c:pt idx="6">
                  <c:v>8.668</c:v>
                </c:pt>
                <c:pt idx="7">
                  <c:v>6.806999999999999</c:v>
                </c:pt>
                <c:pt idx="8">
                  <c:v>9.075</c:v>
                </c:pt>
              </c:numCache>
            </c:numRef>
          </c:val>
        </c:ser>
        <c:ser>
          <c:idx val="3"/>
          <c:order val="1"/>
          <c:tx>
            <c:strRef>
              <c:f>'[Оценка бренда Сбербанк.xlsx]Графики'!$E$32</c:f>
              <c:strCache>
                <c:ptCount val="1"/>
                <c:pt idx="0">
                  <c:v>Рыночная капитализация Сбербанк, млрд $</c:v>
                </c:pt>
              </c:strCache>
            </c:strRef>
          </c:tx>
          <c:spPr>
            <a:solidFill>
              <a:srgbClr val="C9E3F7"/>
            </a:solidFill>
          </c:spPr>
          <c:invertIfNegative val="0"/>
          <c:cat>
            <c:numRef>
              <c:f>'[Оценка бренда Сбербанк.xlsx]Графики'!$B$33:$B$41</c:f>
              <c:numCache>
                <c:formatCode>General</c:formatCode>
                <c:ptCount val="9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  <c:pt idx="5">
                  <c:v>2013.0</c:v>
                </c:pt>
                <c:pt idx="6">
                  <c:v>2014.0</c:v>
                </c:pt>
                <c:pt idx="7">
                  <c:v>2015.0</c:v>
                </c:pt>
                <c:pt idx="8">
                  <c:v>2016.0</c:v>
                </c:pt>
              </c:numCache>
            </c:numRef>
          </c:cat>
          <c:val>
            <c:numRef>
              <c:f>'[Оценка бренда Сбербанк.xlsx]Графики'!$E$33:$E$41</c:f>
              <c:numCache>
                <c:formatCode>General</c:formatCode>
                <c:ptCount val="9"/>
                <c:pt idx="0">
                  <c:v>19.616</c:v>
                </c:pt>
                <c:pt idx="1">
                  <c:v>51.108</c:v>
                </c:pt>
                <c:pt idx="2">
                  <c:v>64.32899999999998</c:v>
                </c:pt>
                <c:pt idx="3">
                  <c:v>54.723</c:v>
                </c:pt>
                <c:pt idx="4">
                  <c:v>65.737</c:v>
                </c:pt>
                <c:pt idx="5">
                  <c:v>66.893</c:v>
                </c:pt>
                <c:pt idx="6">
                  <c:v>24.365</c:v>
                </c:pt>
                <c:pt idx="7">
                  <c:v>28.158</c:v>
                </c:pt>
                <c:pt idx="8">
                  <c:v>63.796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9"/>
        <c:overlap val="-29"/>
        <c:axId val="-1425134256"/>
        <c:axId val="-1425126736"/>
      </c:barChart>
      <c:lineChart>
        <c:grouping val="standard"/>
        <c:varyColors val="0"/>
        <c:ser>
          <c:idx val="4"/>
          <c:order val="2"/>
          <c:tx>
            <c:strRef>
              <c:f>'[Оценка бренда Сбербанк.xlsx]Графики'!$F$32</c:f>
              <c:strCache>
                <c:ptCount val="1"/>
                <c:pt idx="0">
                  <c:v>Доля бренда в рыночной капитализации, %</c:v>
                </c:pt>
              </c:strCache>
            </c:strRef>
          </c:tx>
          <c:spPr>
            <a:ln>
              <a:solidFill>
                <a:srgbClr val="D6D6D6"/>
              </a:solidFill>
            </a:ln>
          </c:spPr>
          <c:marker>
            <c:symbol val="none"/>
          </c:marker>
          <c:cat>
            <c:numRef>
              <c:f>'[Оценка бренда Сбербанк.xlsx]Графики'!$B$33:$B$41</c:f>
              <c:numCache>
                <c:formatCode>General</c:formatCode>
                <c:ptCount val="9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  <c:pt idx="5">
                  <c:v>2013.0</c:v>
                </c:pt>
                <c:pt idx="6">
                  <c:v>2014.0</c:v>
                </c:pt>
                <c:pt idx="7">
                  <c:v>2015.0</c:v>
                </c:pt>
                <c:pt idx="8">
                  <c:v>2016.0</c:v>
                </c:pt>
              </c:numCache>
            </c:numRef>
          </c:cat>
          <c:val>
            <c:numRef>
              <c:f>'[Оценка бренда Сбербанк.xlsx]Графики'!$F$33:$F$41</c:f>
              <c:numCache>
                <c:formatCode>0%</c:formatCode>
                <c:ptCount val="9"/>
                <c:pt idx="0">
                  <c:v>0.23098</c:v>
                </c:pt>
                <c:pt idx="1">
                  <c:v>0.22949</c:v>
                </c:pt>
                <c:pt idx="2">
                  <c:v>0.18673</c:v>
                </c:pt>
                <c:pt idx="3">
                  <c:v>0.19685</c:v>
                </c:pt>
                <c:pt idx="4">
                  <c:v>0.2154</c:v>
                </c:pt>
                <c:pt idx="5">
                  <c:v>0.16369</c:v>
                </c:pt>
                <c:pt idx="6">
                  <c:v>0.35576</c:v>
                </c:pt>
                <c:pt idx="7">
                  <c:v>0.24174</c:v>
                </c:pt>
                <c:pt idx="8">
                  <c:v>0.14225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18363584"/>
        <c:axId val="-1425112336"/>
      </c:lineChart>
      <c:catAx>
        <c:axId val="-142513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-1425126736"/>
        <c:crosses val="autoZero"/>
        <c:auto val="1"/>
        <c:lblAlgn val="ctr"/>
        <c:lblOffset val="100"/>
        <c:noMultiLvlLbl val="0"/>
      </c:catAx>
      <c:valAx>
        <c:axId val="-1425126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-1425134256"/>
        <c:crosses val="autoZero"/>
        <c:crossBetween val="between"/>
      </c:valAx>
      <c:valAx>
        <c:axId val="-1425112336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-1418363584"/>
        <c:crosses val="max"/>
        <c:crossBetween val="between"/>
      </c:valAx>
      <c:catAx>
        <c:axId val="-1418363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425112336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0110673043536699"/>
          <c:y val="0.758370112990413"/>
          <c:w val="0.950838364265633"/>
          <c:h val="0.214963110112211"/>
        </c:manualLayout>
      </c:layout>
      <c:overlay val="0"/>
      <c:txPr>
        <a:bodyPr/>
        <a:lstStyle/>
        <a:p>
          <a:pPr>
            <a:defRPr sz="14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0226502391596"/>
          <c:y val="0.0517857142857143"/>
          <c:w val="0.913684796023014"/>
          <c:h val="0.5523887639045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ICBC (Китай)</c:v>
                </c:pt>
              </c:strCache>
            </c:strRef>
          </c:tx>
          <c:spPr>
            <a:solidFill>
              <a:srgbClr val="3C5C7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млрд $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47.832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Wells Fargo (США)</c:v>
                </c:pt>
              </c:strCache>
            </c:strRef>
          </c:tx>
          <c:spPr>
            <a:solidFill>
              <a:srgbClr val="43729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млрд $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41.618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China Construction Bank (Китай)</c:v>
                </c:pt>
              </c:strCache>
            </c:strRef>
          </c:tx>
          <c:spPr>
            <a:solidFill>
              <a:srgbClr val="4A87B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млрд $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41.377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Chase (США)</c:v>
                </c:pt>
              </c:strCache>
            </c:strRef>
          </c:tx>
          <c:spPr>
            <a:solidFill>
              <a:srgbClr val="77BBE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млрд $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33.737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Bank of China (Китай)</c:v>
                </c:pt>
              </c:strCache>
            </c:strRef>
          </c:tx>
          <c:spPr>
            <a:solidFill>
              <a:srgbClr val="A6D1F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млрд $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31.25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Сбербанк (Россия)</c:v>
                </c:pt>
              </c:strCache>
            </c:strRef>
          </c:tx>
          <c:spPr>
            <a:solidFill>
              <a:srgbClr val="C9E3F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млрд $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9.075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6"/>
        <c:overlap val="-100"/>
        <c:axId val="-1365028768"/>
        <c:axId val="-1365044752"/>
      </c:barChart>
      <c:catAx>
        <c:axId val="-13650287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1365044752"/>
        <c:crosses val="autoZero"/>
        <c:auto val="1"/>
        <c:lblAlgn val="ctr"/>
        <c:lblOffset val="100"/>
        <c:noMultiLvlLbl val="0"/>
      </c:catAx>
      <c:valAx>
        <c:axId val="-136504475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млрд</a:t>
                </a:r>
                <a:r>
                  <a:rPr lang="ru-RU" sz="14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 </a:t>
                </a:r>
                <a:r>
                  <a:rPr lang="en-US" sz="14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$</a:t>
                </a:r>
                <a:endParaRPr lang="ru-RU" sz="1400">
                  <a:solidFill>
                    <a:schemeClr val="tx1"/>
                  </a:solidFill>
                  <a:latin typeface="Times New Roman" charset="0"/>
                  <a:ea typeface="Times New Roman" charset="0"/>
                  <a:cs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0.0100341159943809"/>
              <c:y val="0.2525137482814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crossAx val="-136502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867258916536697"/>
          <c:y val="0.698215223097113"/>
          <c:w val="0.91083479104546"/>
          <c:h val="0.2700387451568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charset="0"/>
              <a:ea typeface="Times New Roman" charset="0"/>
              <a:cs typeface="Times New Roman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70A895-FF3E-244A-9C13-303AE914E850}" type="doc">
      <dgm:prSet loTypeId="urn:microsoft.com/office/officeart/2005/8/layout/hProcess11" loCatId="" qsTypeId="urn:microsoft.com/office/officeart/2005/8/quickstyle/simple4" qsCatId="simple" csTypeId="urn:microsoft.com/office/officeart/2005/8/colors/accent1_5" csCatId="accent1" phldr="1"/>
      <dgm:spPr/>
      <dgm:t>
        <a:bodyPr/>
        <a:lstStyle/>
        <a:p>
          <a:endParaRPr lang="ru-RU"/>
        </a:p>
      </dgm:t>
    </dgm:pt>
    <dgm:pt modelId="{DF71BCD2-3BDF-614E-A257-0D79BB499274}">
      <dgm:prSet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О</a:t>
          </a:r>
          <a:r>
            <a:rPr lang="is-IS" sz="1200">
              <a:latin typeface="Times New Roman"/>
              <a:cs typeface="Times New Roman"/>
            </a:rPr>
            <a:t>браз марки в сознании покупателя (195</a:t>
          </a:r>
          <a:r>
            <a:rPr lang="ru-RU" sz="1200">
              <a:latin typeface="Times New Roman"/>
              <a:cs typeface="Times New Roman"/>
            </a:rPr>
            <a:t>5</a:t>
          </a:r>
          <a:r>
            <a:rPr lang="is-IS" sz="1200">
              <a:latin typeface="Times New Roman"/>
              <a:cs typeface="Times New Roman"/>
            </a:rPr>
            <a:t>)</a:t>
          </a:r>
          <a:endParaRPr lang="ru-RU" sz="1200">
            <a:latin typeface="Times New Roman"/>
            <a:cs typeface="Times New Roman"/>
          </a:endParaRPr>
        </a:p>
      </dgm:t>
    </dgm:pt>
    <dgm:pt modelId="{EB27CFD6-0363-6F42-BCCE-F154C9A8B2FA}" type="parTrans" cxnId="{ECAE0285-612A-C44F-B62F-717E8FF4A9D8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0FE2C952-7FB6-2D43-8231-015B2AF2C75F}" type="sibTrans" cxnId="{ECAE0285-612A-C44F-B62F-717E8FF4A9D8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B08B992B-7C2E-DE4F-9869-6E4B0DC7E584}">
      <dgm:prSet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М</a:t>
          </a:r>
          <a:r>
            <a:rPr lang="is-IS" sz="1200">
              <a:latin typeface="Times New Roman"/>
              <a:cs typeface="Times New Roman"/>
            </a:rPr>
            <a:t>еханизм дифференциации товаров (1960)</a:t>
          </a:r>
          <a:endParaRPr lang="ru-RU" sz="1200">
            <a:latin typeface="Times New Roman"/>
            <a:cs typeface="Times New Roman"/>
          </a:endParaRPr>
        </a:p>
      </dgm:t>
    </dgm:pt>
    <dgm:pt modelId="{FD497A44-064C-B849-ACD9-FE91521837EC}" type="parTrans" cxnId="{376938C5-576E-C145-9A12-C2418C4242CA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C08C4C34-1CE7-A344-B8ED-4455EAD35B26}" type="sibTrans" cxnId="{376938C5-576E-C145-9A12-C2418C4242CA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FAC285BC-5F59-C64A-BA5B-BEBA586411E7}">
      <dgm:prSet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Правовой инструмент</a:t>
          </a:r>
          <a:r>
            <a:rPr lang="is-IS" sz="1200">
              <a:latin typeface="Times New Roman"/>
              <a:cs typeface="Times New Roman"/>
            </a:rPr>
            <a:t> (1985)</a:t>
          </a:r>
          <a:endParaRPr lang="ru-RU" sz="1200">
            <a:latin typeface="Times New Roman"/>
            <a:cs typeface="Times New Roman"/>
          </a:endParaRPr>
        </a:p>
      </dgm:t>
    </dgm:pt>
    <dgm:pt modelId="{88CCB77C-8EA3-844C-B3FC-A9078C4B8E08}" type="parTrans" cxnId="{12D6E86E-34BF-D844-ABF2-35C82F7B1795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D974BABA-52A5-B749-A03A-4539C65A5CD9}" type="sibTrans" cxnId="{12D6E86E-34BF-D844-ABF2-35C82F7B1795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6468316A-3A36-5E4F-BD86-E62A78ACA9CB}">
      <dgm:prSet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Добавленная стоимость </a:t>
          </a:r>
          <a:r>
            <a:rPr lang="is-IS" sz="1200">
              <a:latin typeface="Times New Roman"/>
              <a:cs typeface="Times New Roman"/>
            </a:rPr>
            <a:t>(198</a:t>
          </a:r>
          <a:r>
            <a:rPr lang="ru-RU" sz="1200">
              <a:latin typeface="Times New Roman"/>
              <a:cs typeface="Times New Roman"/>
            </a:rPr>
            <a:t>9</a:t>
          </a:r>
          <a:r>
            <a:rPr lang="is-IS" sz="1200">
              <a:latin typeface="Times New Roman"/>
              <a:cs typeface="Times New Roman"/>
            </a:rPr>
            <a:t>)</a:t>
          </a:r>
          <a:endParaRPr lang="ru-RU" sz="1200">
            <a:latin typeface="Times New Roman"/>
            <a:cs typeface="Times New Roman"/>
          </a:endParaRPr>
        </a:p>
      </dgm:t>
    </dgm:pt>
    <dgm:pt modelId="{C918BC4E-E74D-B54E-BE2F-3949F6767850}" type="parTrans" cxnId="{D39AABF0-7FF1-4242-A4F6-A1DF21D667CA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00E681E3-D125-E246-A692-C3B591C80D68}" type="sibTrans" cxnId="{D39AABF0-7FF1-4242-A4F6-A1DF21D667CA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BAB463A6-176D-1B47-8DC0-E0183E7E8BC0}">
      <dgm:prSet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Система ценностей </a:t>
          </a:r>
          <a:r>
            <a:rPr lang="is-IS" sz="1200">
              <a:latin typeface="Times New Roman"/>
              <a:cs typeface="Times New Roman"/>
            </a:rPr>
            <a:t>(19</a:t>
          </a:r>
          <a:r>
            <a:rPr lang="ru-RU" sz="1200">
              <a:latin typeface="Times New Roman"/>
              <a:cs typeface="Times New Roman"/>
            </a:rPr>
            <a:t>92</a:t>
          </a:r>
          <a:r>
            <a:rPr lang="is-IS" sz="1200">
              <a:latin typeface="Times New Roman"/>
              <a:cs typeface="Times New Roman"/>
            </a:rPr>
            <a:t>)</a:t>
          </a:r>
          <a:endParaRPr lang="ru-RU" sz="1200">
            <a:latin typeface="Times New Roman"/>
            <a:cs typeface="Times New Roman"/>
          </a:endParaRPr>
        </a:p>
      </dgm:t>
    </dgm:pt>
    <dgm:pt modelId="{FE37CEE3-C3A3-3243-9A3D-D61990619CCD}" type="parTrans" cxnId="{92F9C4A3-FD48-6D44-92B5-8F544E08EE30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F4662757-6CF4-CE4B-A0C0-697C08E96834}" type="sibTrans" cxnId="{92F9C4A3-FD48-6D44-92B5-8F544E08EE30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95F11838-7FB1-3140-8166-1392C9CD7077}">
      <dgm:prSet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Инструмент снижения риска</a:t>
          </a:r>
          <a:r>
            <a:rPr lang="is-IS" sz="1200">
              <a:latin typeface="Times New Roman"/>
              <a:cs typeface="Times New Roman"/>
            </a:rPr>
            <a:t> (199</a:t>
          </a:r>
          <a:r>
            <a:rPr lang="ru-RU" sz="1200">
              <a:latin typeface="Times New Roman"/>
              <a:cs typeface="Times New Roman"/>
            </a:rPr>
            <a:t>6</a:t>
          </a:r>
          <a:r>
            <a:rPr lang="is-IS" sz="1200">
              <a:latin typeface="Times New Roman"/>
              <a:cs typeface="Times New Roman"/>
            </a:rPr>
            <a:t>)</a:t>
          </a:r>
          <a:endParaRPr lang="ru-RU" sz="1200">
            <a:latin typeface="Times New Roman"/>
            <a:cs typeface="Times New Roman"/>
          </a:endParaRPr>
        </a:p>
      </dgm:t>
    </dgm:pt>
    <dgm:pt modelId="{6268F3EA-AED7-1942-87D1-73942CCB2FCF}" type="parTrans" cxnId="{0CA2C4C0-D6A5-AE43-A1C5-1F572D9AA8E3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17CD3492-5655-F14D-B021-A1F5A916F31B}" type="sibTrans" cxnId="{0CA2C4C0-D6A5-AE43-A1C5-1F572D9AA8E3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6BDFF3C3-3BCB-2A43-A7D7-CDD940B7F25A}">
      <dgm:prSet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Капитал бренда </a:t>
          </a:r>
          <a:r>
            <a:rPr lang="mr-IN" sz="1200">
              <a:latin typeface="Times New Roman"/>
              <a:cs typeface="Times New Roman"/>
            </a:rPr>
            <a:t>(</a:t>
          </a:r>
          <a:r>
            <a:rPr lang="ru-RU" sz="1200">
              <a:latin typeface="Times New Roman"/>
              <a:cs typeface="Times New Roman"/>
            </a:rPr>
            <a:t>2004</a:t>
          </a:r>
          <a:r>
            <a:rPr lang="mr-IN" sz="1200">
              <a:latin typeface="Times New Roman"/>
              <a:cs typeface="Times New Roman"/>
            </a:rPr>
            <a:t>)</a:t>
          </a:r>
          <a:endParaRPr lang="ru-RU" sz="1200">
            <a:latin typeface="Times New Roman"/>
            <a:cs typeface="Times New Roman"/>
          </a:endParaRPr>
        </a:p>
      </dgm:t>
    </dgm:pt>
    <dgm:pt modelId="{A6B3CDBF-41B8-0044-9B0A-E12512BD5E12}" type="parTrans" cxnId="{6B9AB400-CA4F-7E4D-95AE-223473F56270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17817AB6-5AEB-5641-9088-6B1FC07C0685}" type="sibTrans" cxnId="{6B9AB400-CA4F-7E4D-95AE-223473F56270}">
      <dgm:prSet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B951BE71-9164-BA41-AE66-A37641BDD2A0}">
      <dgm:prSet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Нематериальный актив (2010)</a:t>
          </a:r>
        </a:p>
      </dgm:t>
    </dgm:pt>
    <dgm:pt modelId="{90CCE034-CFC0-7045-AEB4-2ED4D3AC0E70}" type="parTrans" cxnId="{6147F230-48D2-6146-96EA-31FA4CCBDB7F}">
      <dgm:prSet/>
      <dgm:spPr/>
      <dgm:t>
        <a:bodyPr/>
        <a:lstStyle/>
        <a:p>
          <a:endParaRPr lang="ru-RU"/>
        </a:p>
      </dgm:t>
    </dgm:pt>
    <dgm:pt modelId="{906F6CBC-DAE3-ED46-ABDA-F36A247528A4}" type="sibTrans" cxnId="{6147F230-48D2-6146-96EA-31FA4CCBDB7F}">
      <dgm:prSet/>
      <dgm:spPr/>
      <dgm:t>
        <a:bodyPr/>
        <a:lstStyle/>
        <a:p>
          <a:endParaRPr lang="ru-RU"/>
        </a:p>
      </dgm:t>
    </dgm:pt>
    <dgm:pt modelId="{481433C7-350F-6A43-A8DC-1FE501DC381B}" type="pres">
      <dgm:prSet presAssocID="{0F70A895-FF3E-244A-9C13-303AE914E85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FA6A1D3-1424-8C42-8291-EAB04DE3CFAA}" type="pres">
      <dgm:prSet presAssocID="{0F70A895-FF3E-244A-9C13-303AE914E850}" presName="arrow" presStyleLbl="bgShp" presStyleIdx="0" presStyleCnt="1"/>
      <dgm:spPr>
        <a:solidFill>
          <a:srgbClr val="C9E3F7"/>
        </a:solidFill>
        <a:effectLst/>
      </dgm:spPr>
      <dgm:t>
        <a:bodyPr/>
        <a:lstStyle/>
        <a:p>
          <a:endParaRPr lang="ru-RU"/>
        </a:p>
      </dgm:t>
    </dgm:pt>
    <dgm:pt modelId="{A52659E4-E0F7-9043-9E09-BFF144C7E3F3}" type="pres">
      <dgm:prSet presAssocID="{0F70A895-FF3E-244A-9C13-303AE914E850}" presName="points" presStyleCnt="0"/>
      <dgm:spPr/>
      <dgm:t>
        <a:bodyPr/>
        <a:lstStyle/>
        <a:p>
          <a:endParaRPr lang="ru-RU"/>
        </a:p>
      </dgm:t>
    </dgm:pt>
    <dgm:pt modelId="{5A7B3CA2-A74D-2B47-AF97-9F39D3C3C8EA}" type="pres">
      <dgm:prSet presAssocID="{DF71BCD2-3BDF-614E-A257-0D79BB499274}" presName="compositeA" presStyleCnt="0"/>
      <dgm:spPr/>
      <dgm:t>
        <a:bodyPr/>
        <a:lstStyle/>
        <a:p>
          <a:endParaRPr lang="ru-RU"/>
        </a:p>
      </dgm:t>
    </dgm:pt>
    <dgm:pt modelId="{2C62E94F-D093-834D-9E85-9DFD25530B50}" type="pres">
      <dgm:prSet presAssocID="{DF71BCD2-3BDF-614E-A257-0D79BB499274}" presName="textA" presStyleLbl="revTx" presStyleIdx="0" presStyleCnt="8" custScaleX="1247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D43C5C-D796-9944-BE8E-4945B4FD1F0F}" type="pres">
      <dgm:prSet presAssocID="{DF71BCD2-3BDF-614E-A257-0D79BB499274}" presName="circleA" presStyleLbl="node1" presStyleIdx="0" presStyleCnt="8"/>
      <dgm:spPr>
        <a:solidFill>
          <a:srgbClr val="90C5EB"/>
        </a:solidFill>
        <a:effectLst/>
      </dgm:spPr>
      <dgm:t>
        <a:bodyPr/>
        <a:lstStyle/>
        <a:p>
          <a:endParaRPr lang="ru-RU"/>
        </a:p>
      </dgm:t>
    </dgm:pt>
    <dgm:pt modelId="{033E3981-4905-A345-B3E4-2C5A62898DC4}" type="pres">
      <dgm:prSet presAssocID="{DF71BCD2-3BDF-614E-A257-0D79BB499274}" presName="spaceA" presStyleCnt="0"/>
      <dgm:spPr/>
      <dgm:t>
        <a:bodyPr/>
        <a:lstStyle/>
        <a:p>
          <a:endParaRPr lang="ru-RU"/>
        </a:p>
      </dgm:t>
    </dgm:pt>
    <dgm:pt modelId="{61986D38-3402-9E42-9E5A-4C0928AD8BCB}" type="pres">
      <dgm:prSet presAssocID="{0FE2C952-7FB6-2D43-8231-015B2AF2C75F}" presName="space" presStyleCnt="0"/>
      <dgm:spPr/>
      <dgm:t>
        <a:bodyPr/>
        <a:lstStyle/>
        <a:p>
          <a:endParaRPr lang="ru-RU"/>
        </a:p>
      </dgm:t>
    </dgm:pt>
    <dgm:pt modelId="{E7E1D04B-340D-054D-931B-A10E20EA530F}" type="pres">
      <dgm:prSet presAssocID="{B08B992B-7C2E-DE4F-9869-6E4B0DC7E584}" presName="compositeB" presStyleCnt="0"/>
      <dgm:spPr/>
      <dgm:t>
        <a:bodyPr/>
        <a:lstStyle/>
        <a:p>
          <a:endParaRPr lang="ru-RU"/>
        </a:p>
      </dgm:t>
    </dgm:pt>
    <dgm:pt modelId="{B8C4FBC5-2A6A-EF47-93BA-B27E668DBF02}" type="pres">
      <dgm:prSet presAssocID="{B08B992B-7C2E-DE4F-9869-6E4B0DC7E584}" presName="textB" presStyleLbl="revTx" presStyleIdx="1" presStyleCnt="8" custScaleX="1707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4256FC-3033-F440-B650-CC0F4B0B0486}" type="pres">
      <dgm:prSet presAssocID="{B08B992B-7C2E-DE4F-9869-6E4B0DC7E584}" presName="circleB" presStyleLbl="node1" presStyleIdx="1" presStyleCnt="8"/>
      <dgm:spPr>
        <a:solidFill>
          <a:srgbClr val="90C5EB"/>
        </a:solidFill>
        <a:effectLst/>
      </dgm:spPr>
      <dgm:t>
        <a:bodyPr/>
        <a:lstStyle/>
        <a:p>
          <a:endParaRPr lang="ru-RU"/>
        </a:p>
      </dgm:t>
    </dgm:pt>
    <dgm:pt modelId="{02F31AE6-E111-6E46-9ABF-D60B3A991EFE}" type="pres">
      <dgm:prSet presAssocID="{B08B992B-7C2E-DE4F-9869-6E4B0DC7E584}" presName="spaceB" presStyleCnt="0"/>
      <dgm:spPr/>
      <dgm:t>
        <a:bodyPr/>
        <a:lstStyle/>
        <a:p>
          <a:endParaRPr lang="ru-RU"/>
        </a:p>
      </dgm:t>
    </dgm:pt>
    <dgm:pt modelId="{9BD3D309-2ABC-504B-825A-8A68E42AEAC1}" type="pres">
      <dgm:prSet presAssocID="{C08C4C34-1CE7-A344-B8ED-4455EAD35B26}" presName="space" presStyleCnt="0"/>
      <dgm:spPr/>
      <dgm:t>
        <a:bodyPr/>
        <a:lstStyle/>
        <a:p>
          <a:endParaRPr lang="ru-RU"/>
        </a:p>
      </dgm:t>
    </dgm:pt>
    <dgm:pt modelId="{70D468A0-E15F-7D40-88CB-41A8E9FF1799}" type="pres">
      <dgm:prSet presAssocID="{FAC285BC-5F59-C64A-BA5B-BEBA586411E7}" presName="compositeA" presStyleCnt="0"/>
      <dgm:spPr/>
      <dgm:t>
        <a:bodyPr/>
        <a:lstStyle/>
        <a:p>
          <a:endParaRPr lang="ru-RU"/>
        </a:p>
      </dgm:t>
    </dgm:pt>
    <dgm:pt modelId="{29D250E1-4B70-C247-A43D-2D598A5D92D9}" type="pres">
      <dgm:prSet presAssocID="{FAC285BC-5F59-C64A-BA5B-BEBA586411E7}" presName="textA" presStyleLbl="revTx" presStyleIdx="2" presStyleCnt="8" custScaleX="1464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C0E359-2E77-F643-AA2C-A9AC6C10DA64}" type="pres">
      <dgm:prSet presAssocID="{FAC285BC-5F59-C64A-BA5B-BEBA586411E7}" presName="circleA" presStyleLbl="node1" presStyleIdx="2" presStyleCnt="8"/>
      <dgm:spPr>
        <a:solidFill>
          <a:srgbClr val="90C5EB"/>
        </a:solidFill>
        <a:effectLst/>
      </dgm:spPr>
      <dgm:t>
        <a:bodyPr/>
        <a:lstStyle/>
        <a:p>
          <a:endParaRPr lang="ru-RU"/>
        </a:p>
      </dgm:t>
    </dgm:pt>
    <dgm:pt modelId="{3F3E5497-2401-8B4B-BC0C-1B6BB869AD96}" type="pres">
      <dgm:prSet presAssocID="{FAC285BC-5F59-C64A-BA5B-BEBA586411E7}" presName="spaceA" presStyleCnt="0"/>
      <dgm:spPr/>
      <dgm:t>
        <a:bodyPr/>
        <a:lstStyle/>
        <a:p>
          <a:endParaRPr lang="ru-RU"/>
        </a:p>
      </dgm:t>
    </dgm:pt>
    <dgm:pt modelId="{C97BE61C-60C2-1C42-9EBE-DC4F4A552A95}" type="pres">
      <dgm:prSet presAssocID="{D974BABA-52A5-B749-A03A-4539C65A5CD9}" presName="space" presStyleCnt="0"/>
      <dgm:spPr/>
      <dgm:t>
        <a:bodyPr/>
        <a:lstStyle/>
        <a:p>
          <a:endParaRPr lang="ru-RU"/>
        </a:p>
      </dgm:t>
    </dgm:pt>
    <dgm:pt modelId="{76D7EBE3-13FF-8F41-92C2-0B7118D5ED5F}" type="pres">
      <dgm:prSet presAssocID="{6468316A-3A36-5E4F-BD86-E62A78ACA9CB}" presName="compositeB" presStyleCnt="0"/>
      <dgm:spPr/>
      <dgm:t>
        <a:bodyPr/>
        <a:lstStyle/>
        <a:p>
          <a:endParaRPr lang="ru-RU"/>
        </a:p>
      </dgm:t>
    </dgm:pt>
    <dgm:pt modelId="{61A95B7C-A7C6-564E-89FF-3B16C0B45554}" type="pres">
      <dgm:prSet presAssocID="{6468316A-3A36-5E4F-BD86-E62A78ACA9CB}" presName="textB" presStyleLbl="revTx" presStyleIdx="3" presStyleCnt="8" custScaleX="1619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6159F7-F1A1-2244-9EAA-D3CF7D89F50B}" type="pres">
      <dgm:prSet presAssocID="{6468316A-3A36-5E4F-BD86-E62A78ACA9CB}" presName="circleB" presStyleLbl="node1" presStyleIdx="3" presStyleCnt="8"/>
      <dgm:spPr>
        <a:solidFill>
          <a:srgbClr val="90C5EB"/>
        </a:solidFill>
        <a:effectLst/>
      </dgm:spPr>
      <dgm:t>
        <a:bodyPr/>
        <a:lstStyle/>
        <a:p>
          <a:endParaRPr lang="ru-RU"/>
        </a:p>
      </dgm:t>
    </dgm:pt>
    <dgm:pt modelId="{91DD5C87-35A1-8645-A4F5-FC05E07183F3}" type="pres">
      <dgm:prSet presAssocID="{6468316A-3A36-5E4F-BD86-E62A78ACA9CB}" presName="spaceB" presStyleCnt="0"/>
      <dgm:spPr/>
      <dgm:t>
        <a:bodyPr/>
        <a:lstStyle/>
        <a:p>
          <a:endParaRPr lang="ru-RU"/>
        </a:p>
      </dgm:t>
    </dgm:pt>
    <dgm:pt modelId="{33B4DB48-AFD6-F84A-BDFF-C0D7FCB0D83F}" type="pres">
      <dgm:prSet presAssocID="{00E681E3-D125-E246-A692-C3B591C80D68}" presName="space" presStyleCnt="0"/>
      <dgm:spPr/>
      <dgm:t>
        <a:bodyPr/>
        <a:lstStyle/>
        <a:p>
          <a:endParaRPr lang="ru-RU"/>
        </a:p>
      </dgm:t>
    </dgm:pt>
    <dgm:pt modelId="{CE943E3C-4851-2242-B999-4199AD9E0318}" type="pres">
      <dgm:prSet presAssocID="{BAB463A6-176D-1B47-8DC0-E0183E7E8BC0}" presName="compositeA" presStyleCnt="0"/>
      <dgm:spPr/>
      <dgm:t>
        <a:bodyPr/>
        <a:lstStyle/>
        <a:p>
          <a:endParaRPr lang="ru-RU"/>
        </a:p>
      </dgm:t>
    </dgm:pt>
    <dgm:pt modelId="{DD000497-BD8A-494B-9BEC-F8703D914B4E}" type="pres">
      <dgm:prSet presAssocID="{BAB463A6-176D-1B47-8DC0-E0183E7E8BC0}" presName="textA" presStyleLbl="revTx" presStyleIdx="4" presStyleCnt="8" custScaleX="1287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237041-4B13-BF4C-A7C2-C9198773CC0A}" type="pres">
      <dgm:prSet presAssocID="{BAB463A6-176D-1B47-8DC0-E0183E7E8BC0}" presName="circleA" presStyleLbl="node1" presStyleIdx="4" presStyleCnt="8"/>
      <dgm:spPr>
        <a:solidFill>
          <a:srgbClr val="90C5EB"/>
        </a:solidFill>
        <a:effectLst/>
      </dgm:spPr>
      <dgm:t>
        <a:bodyPr/>
        <a:lstStyle/>
        <a:p>
          <a:endParaRPr lang="ru-RU"/>
        </a:p>
      </dgm:t>
    </dgm:pt>
    <dgm:pt modelId="{5327F81B-CC9E-0140-A055-288D758CCE3D}" type="pres">
      <dgm:prSet presAssocID="{BAB463A6-176D-1B47-8DC0-E0183E7E8BC0}" presName="spaceA" presStyleCnt="0"/>
      <dgm:spPr/>
      <dgm:t>
        <a:bodyPr/>
        <a:lstStyle/>
        <a:p>
          <a:endParaRPr lang="ru-RU"/>
        </a:p>
      </dgm:t>
    </dgm:pt>
    <dgm:pt modelId="{EFABBE1A-C8BB-7C47-96B5-3C7E1B3C2668}" type="pres">
      <dgm:prSet presAssocID="{F4662757-6CF4-CE4B-A0C0-697C08E96834}" presName="space" presStyleCnt="0"/>
      <dgm:spPr/>
      <dgm:t>
        <a:bodyPr/>
        <a:lstStyle/>
        <a:p>
          <a:endParaRPr lang="ru-RU"/>
        </a:p>
      </dgm:t>
    </dgm:pt>
    <dgm:pt modelId="{7B68E8A6-F25F-4B4F-8677-D209CE83FF98}" type="pres">
      <dgm:prSet presAssocID="{95F11838-7FB1-3140-8166-1392C9CD7077}" presName="compositeB" presStyleCnt="0"/>
      <dgm:spPr/>
      <dgm:t>
        <a:bodyPr/>
        <a:lstStyle/>
        <a:p>
          <a:endParaRPr lang="ru-RU"/>
        </a:p>
      </dgm:t>
    </dgm:pt>
    <dgm:pt modelId="{930F5544-D45B-F442-AA49-C83AB0AD08B1}" type="pres">
      <dgm:prSet presAssocID="{95F11838-7FB1-3140-8166-1392C9CD7077}" presName="textB" presStyleLbl="revTx" presStyleIdx="5" presStyleCnt="8" custScaleX="1814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5C342C-E7F5-814F-8F07-157FB9C139C1}" type="pres">
      <dgm:prSet presAssocID="{95F11838-7FB1-3140-8166-1392C9CD7077}" presName="circleB" presStyleLbl="node1" presStyleIdx="5" presStyleCnt="8"/>
      <dgm:spPr>
        <a:solidFill>
          <a:srgbClr val="90C5EB"/>
        </a:solidFill>
        <a:effectLst/>
      </dgm:spPr>
      <dgm:t>
        <a:bodyPr/>
        <a:lstStyle/>
        <a:p>
          <a:endParaRPr lang="ru-RU"/>
        </a:p>
      </dgm:t>
    </dgm:pt>
    <dgm:pt modelId="{DCCB91FF-1D02-C649-B475-523B982E4D9F}" type="pres">
      <dgm:prSet presAssocID="{95F11838-7FB1-3140-8166-1392C9CD7077}" presName="spaceB" presStyleCnt="0"/>
      <dgm:spPr/>
      <dgm:t>
        <a:bodyPr/>
        <a:lstStyle/>
        <a:p>
          <a:endParaRPr lang="ru-RU"/>
        </a:p>
      </dgm:t>
    </dgm:pt>
    <dgm:pt modelId="{4081501E-0DE9-7F48-A85F-415F95A5DE45}" type="pres">
      <dgm:prSet presAssocID="{17CD3492-5655-F14D-B021-A1F5A916F31B}" presName="space" presStyleCnt="0"/>
      <dgm:spPr/>
      <dgm:t>
        <a:bodyPr/>
        <a:lstStyle/>
        <a:p>
          <a:endParaRPr lang="ru-RU"/>
        </a:p>
      </dgm:t>
    </dgm:pt>
    <dgm:pt modelId="{918D5962-C5B1-7A46-AB7A-6325E3C5F825}" type="pres">
      <dgm:prSet presAssocID="{6BDFF3C3-3BCB-2A43-A7D7-CDD940B7F25A}" presName="compositeA" presStyleCnt="0"/>
      <dgm:spPr/>
      <dgm:t>
        <a:bodyPr/>
        <a:lstStyle/>
        <a:p>
          <a:endParaRPr lang="ru-RU"/>
        </a:p>
      </dgm:t>
    </dgm:pt>
    <dgm:pt modelId="{91EB8D68-4AB9-274E-B61A-2ACDDBDB4123}" type="pres">
      <dgm:prSet presAssocID="{6BDFF3C3-3BCB-2A43-A7D7-CDD940B7F25A}" presName="textA" presStyleLbl="revTx" presStyleIdx="6" presStyleCnt="8" custScaleX="158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AF3371-2CB8-1C4C-8614-C3A131080A31}" type="pres">
      <dgm:prSet presAssocID="{6BDFF3C3-3BCB-2A43-A7D7-CDD940B7F25A}" presName="circleA" presStyleLbl="node1" presStyleIdx="6" presStyleCnt="8"/>
      <dgm:spPr>
        <a:solidFill>
          <a:srgbClr val="90C5EB"/>
        </a:solidFill>
        <a:effectLst/>
      </dgm:spPr>
      <dgm:t>
        <a:bodyPr/>
        <a:lstStyle/>
        <a:p>
          <a:endParaRPr lang="ru-RU"/>
        </a:p>
      </dgm:t>
    </dgm:pt>
    <dgm:pt modelId="{AB3AEE5F-F00D-A74D-A22D-C8241DE606AC}" type="pres">
      <dgm:prSet presAssocID="{6BDFF3C3-3BCB-2A43-A7D7-CDD940B7F25A}" presName="spaceA" presStyleCnt="0"/>
      <dgm:spPr/>
      <dgm:t>
        <a:bodyPr/>
        <a:lstStyle/>
        <a:p>
          <a:endParaRPr lang="ru-RU"/>
        </a:p>
      </dgm:t>
    </dgm:pt>
    <dgm:pt modelId="{E6C3498C-DD69-9547-AB84-B0982455E464}" type="pres">
      <dgm:prSet presAssocID="{17817AB6-5AEB-5641-9088-6B1FC07C0685}" presName="space" presStyleCnt="0"/>
      <dgm:spPr/>
      <dgm:t>
        <a:bodyPr/>
        <a:lstStyle/>
        <a:p>
          <a:endParaRPr lang="ru-RU"/>
        </a:p>
      </dgm:t>
    </dgm:pt>
    <dgm:pt modelId="{52BFCFD5-6DEA-6348-818A-CEC5F5C411CD}" type="pres">
      <dgm:prSet presAssocID="{B951BE71-9164-BA41-AE66-A37641BDD2A0}" presName="compositeB" presStyleCnt="0"/>
      <dgm:spPr/>
      <dgm:t>
        <a:bodyPr/>
        <a:lstStyle/>
        <a:p>
          <a:endParaRPr lang="ru-RU"/>
        </a:p>
      </dgm:t>
    </dgm:pt>
    <dgm:pt modelId="{F12A88DF-4F3B-004A-98F2-E9255BD0CD46}" type="pres">
      <dgm:prSet presAssocID="{B951BE71-9164-BA41-AE66-A37641BDD2A0}" presName="textB" presStyleLbl="revTx" presStyleIdx="7" presStyleCnt="8" custScaleX="1581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479284-DD35-EE49-A8EA-7EC10D6CC650}" type="pres">
      <dgm:prSet presAssocID="{B951BE71-9164-BA41-AE66-A37641BDD2A0}" presName="circleB" presStyleLbl="node1" presStyleIdx="7" presStyleCnt="8" custScaleY="100048"/>
      <dgm:spPr>
        <a:solidFill>
          <a:srgbClr val="90C5EB"/>
        </a:solidFill>
        <a:effectLst/>
      </dgm:spPr>
      <dgm:t>
        <a:bodyPr/>
        <a:lstStyle/>
        <a:p>
          <a:endParaRPr lang="ru-RU"/>
        </a:p>
      </dgm:t>
    </dgm:pt>
    <dgm:pt modelId="{083D23D6-326E-7745-960A-8325573A4104}" type="pres">
      <dgm:prSet presAssocID="{B951BE71-9164-BA41-AE66-A37641BDD2A0}" presName="spaceB" presStyleCnt="0"/>
      <dgm:spPr/>
      <dgm:t>
        <a:bodyPr/>
        <a:lstStyle/>
        <a:p>
          <a:endParaRPr lang="ru-RU"/>
        </a:p>
      </dgm:t>
    </dgm:pt>
  </dgm:ptLst>
  <dgm:cxnLst>
    <dgm:cxn modelId="{0CA2C4C0-D6A5-AE43-A1C5-1F572D9AA8E3}" srcId="{0F70A895-FF3E-244A-9C13-303AE914E850}" destId="{95F11838-7FB1-3140-8166-1392C9CD7077}" srcOrd="5" destOrd="0" parTransId="{6268F3EA-AED7-1942-87D1-73942CCB2FCF}" sibTransId="{17CD3492-5655-F14D-B021-A1F5A916F31B}"/>
    <dgm:cxn modelId="{376938C5-576E-C145-9A12-C2418C4242CA}" srcId="{0F70A895-FF3E-244A-9C13-303AE914E850}" destId="{B08B992B-7C2E-DE4F-9869-6E4B0DC7E584}" srcOrd="1" destOrd="0" parTransId="{FD497A44-064C-B849-ACD9-FE91521837EC}" sibTransId="{C08C4C34-1CE7-A344-B8ED-4455EAD35B26}"/>
    <dgm:cxn modelId="{ECAE0285-612A-C44F-B62F-717E8FF4A9D8}" srcId="{0F70A895-FF3E-244A-9C13-303AE914E850}" destId="{DF71BCD2-3BDF-614E-A257-0D79BB499274}" srcOrd="0" destOrd="0" parTransId="{EB27CFD6-0363-6F42-BCCE-F154C9A8B2FA}" sibTransId="{0FE2C952-7FB6-2D43-8231-015B2AF2C75F}"/>
    <dgm:cxn modelId="{2C90635D-7930-0449-A017-1EFF924FB0E8}" type="presOf" srcId="{95F11838-7FB1-3140-8166-1392C9CD7077}" destId="{930F5544-D45B-F442-AA49-C83AB0AD08B1}" srcOrd="0" destOrd="0" presId="urn:microsoft.com/office/officeart/2005/8/layout/hProcess11"/>
    <dgm:cxn modelId="{1811C2B8-F51E-6140-AEC8-3518A537C83D}" type="presOf" srcId="{6468316A-3A36-5E4F-BD86-E62A78ACA9CB}" destId="{61A95B7C-A7C6-564E-89FF-3B16C0B45554}" srcOrd="0" destOrd="0" presId="urn:microsoft.com/office/officeart/2005/8/layout/hProcess11"/>
    <dgm:cxn modelId="{6147F230-48D2-6146-96EA-31FA4CCBDB7F}" srcId="{0F70A895-FF3E-244A-9C13-303AE914E850}" destId="{B951BE71-9164-BA41-AE66-A37641BDD2A0}" srcOrd="7" destOrd="0" parTransId="{90CCE034-CFC0-7045-AEB4-2ED4D3AC0E70}" sibTransId="{906F6CBC-DAE3-ED46-ABDA-F36A247528A4}"/>
    <dgm:cxn modelId="{6D0D6BE1-6CE6-734E-AF9E-25A6CA97FC09}" type="presOf" srcId="{FAC285BC-5F59-C64A-BA5B-BEBA586411E7}" destId="{29D250E1-4B70-C247-A43D-2D598A5D92D9}" srcOrd="0" destOrd="0" presId="urn:microsoft.com/office/officeart/2005/8/layout/hProcess11"/>
    <dgm:cxn modelId="{8D355386-B682-8B4D-9C3E-5DC8166D284D}" type="presOf" srcId="{B08B992B-7C2E-DE4F-9869-6E4B0DC7E584}" destId="{B8C4FBC5-2A6A-EF47-93BA-B27E668DBF02}" srcOrd="0" destOrd="0" presId="urn:microsoft.com/office/officeart/2005/8/layout/hProcess11"/>
    <dgm:cxn modelId="{C8EA534C-4448-1342-AF8C-2542FB13E231}" type="presOf" srcId="{DF71BCD2-3BDF-614E-A257-0D79BB499274}" destId="{2C62E94F-D093-834D-9E85-9DFD25530B50}" srcOrd="0" destOrd="0" presId="urn:microsoft.com/office/officeart/2005/8/layout/hProcess11"/>
    <dgm:cxn modelId="{8160009A-1E9B-A14E-A491-AF2AC9F5C889}" type="presOf" srcId="{0F70A895-FF3E-244A-9C13-303AE914E850}" destId="{481433C7-350F-6A43-A8DC-1FE501DC381B}" srcOrd="0" destOrd="0" presId="urn:microsoft.com/office/officeart/2005/8/layout/hProcess11"/>
    <dgm:cxn modelId="{B2833E9D-D893-5244-B02D-285C2F832631}" type="presOf" srcId="{BAB463A6-176D-1B47-8DC0-E0183E7E8BC0}" destId="{DD000497-BD8A-494B-9BEC-F8703D914B4E}" srcOrd="0" destOrd="0" presId="urn:microsoft.com/office/officeart/2005/8/layout/hProcess11"/>
    <dgm:cxn modelId="{92F9C4A3-FD48-6D44-92B5-8F544E08EE30}" srcId="{0F70A895-FF3E-244A-9C13-303AE914E850}" destId="{BAB463A6-176D-1B47-8DC0-E0183E7E8BC0}" srcOrd="4" destOrd="0" parTransId="{FE37CEE3-C3A3-3243-9A3D-D61990619CCD}" sibTransId="{F4662757-6CF4-CE4B-A0C0-697C08E96834}"/>
    <dgm:cxn modelId="{12D6E86E-34BF-D844-ABF2-35C82F7B1795}" srcId="{0F70A895-FF3E-244A-9C13-303AE914E850}" destId="{FAC285BC-5F59-C64A-BA5B-BEBA586411E7}" srcOrd="2" destOrd="0" parTransId="{88CCB77C-8EA3-844C-B3FC-A9078C4B8E08}" sibTransId="{D974BABA-52A5-B749-A03A-4539C65A5CD9}"/>
    <dgm:cxn modelId="{D39AABF0-7FF1-4242-A4F6-A1DF21D667CA}" srcId="{0F70A895-FF3E-244A-9C13-303AE914E850}" destId="{6468316A-3A36-5E4F-BD86-E62A78ACA9CB}" srcOrd="3" destOrd="0" parTransId="{C918BC4E-E74D-B54E-BE2F-3949F6767850}" sibTransId="{00E681E3-D125-E246-A692-C3B591C80D68}"/>
    <dgm:cxn modelId="{C3A18863-3CD9-6E49-A476-B3D60727C12C}" type="presOf" srcId="{6BDFF3C3-3BCB-2A43-A7D7-CDD940B7F25A}" destId="{91EB8D68-4AB9-274E-B61A-2ACDDBDB4123}" srcOrd="0" destOrd="0" presId="urn:microsoft.com/office/officeart/2005/8/layout/hProcess11"/>
    <dgm:cxn modelId="{26229361-58FF-924E-9C9D-CC55AB56F45C}" type="presOf" srcId="{B951BE71-9164-BA41-AE66-A37641BDD2A0}" destId="{F12A88DF-4F3B-004A-98F2-E9255BD0CD46}" srcOrd="0" destOrd="0" presId="urn:microsoft.com/office/officeart/2005/8/layout/hProcess11"/>
    <dgm:cxn modelId="{6B9AB400-CA4F-7E4D-95AE-223473F56270}" srcId="{0F70A895-FF3E-244A-9C13-303AE914E850}" destId="{6BDFF3C3-3BCB-2A43-A7D7-CDD940B7F25A}" srcOrd="6" destOrd="0" parTransId="{A6B3CDBF-41B8-0044-9B0A-E12512BD5E12}" sibTransId="{17817AB6-5AEB-5641-9088-6B1FC07C0685}"/>
    <dgm:cxn modelId="{12F8144A-3D64-E84B-B35F-52D2D8A8248D}" type="presParOf" srcId="{481433C7-350F-6A43-A8DC-1FE501DC381B}" destId="{2FA6A1D3-1424-8C42-8291-EAB04DE3CFAA}" srcOrd="0" destOrd="0" presId="urn:microsoft.com/office/officeart/2005/8/layout/hProcess11"/>
    <dgm:cxn modelId="{8B193AF3-1314-C643-876F-F44E968C8FBA}" type="presParOf" srcId="{481433C7-350F-6A43-A8DC-1FE501DC381B}" destId="{A52659E4-E0F7-9043-9E09-BFF144C7E3F3}" srcOrd="1" destOrd="0" presId="urn:microsoft.com/office/officeart/2005/8/layout/hProcess11"/>
    <dgm:cxn modelId="{524D942C-9C60-884C-9DB3-D73299874D3C}" type="presParOf" srcId="{A52659E4-E0F7-9043-9E09-BFF144C7E3F3}" destId="{5A7B3CA2-A74D-2B47-AF97-9F39D3C3C8EA}" srcOrd="0" destOrd="0" presId="urn:microsoft.com/office/officeart/2005/8/layout/hProcess11"/>
    <dgm:cxn modelId="{94AB1E39-6CD0-0144-9B1A-6C9C250317A4}" type="presParOf" srcId="{5A7B3CA2-A74D-2B47-AF97-9F39D3C3C8EA}" destId="{2C62E94F-D093-834D-9E85-9DFD25530B50}" srcOrd="0" destOrd="0" presId="urn:microsoft.com/office/officeart/2005/8/layout/hProcess11"/>
    <dgm:cxn modelId="{7E718EF5-22B2-854A-AB0E-83A76ACD3C8E}" type="presParOf" srcId="{5A7B3CA2-A74D-2B47-AF97-9F39D3C3C8EA}" destId="{FCD43C5C-D796-9944-BE8E-4945B4FD1F0F}" srcOrd="1" destOrd="0" presId="urn:microsoft.com/office/officeart/2005/8/layout/hProcess11"/>
    <dgm:cxn modelId="{603B89A0-304C-4349-BF94-23F0A7C879AA}" type="presParOf" srcId="{5A7B3CA2-A74D-2B47-AF97-9F39D3C3C8EA}" destId="{033E3981-4905-A345-B3E4-2C5A62898DC4}" srcOrd="2" destOrd="0" presId="urn:microsoft.com/office/officeart/2005/8/layout/hProcess11"/>
    <dgm:cxn modelId="{BCE78338-D219-BD48-9463-BE9EE7764914}" type="presParOf" srcId="{A52659E4-E0F7-9043-9E09-BFF144C7E3F3}" destId="{61986D38-3402-9E42-9E5A-4C0928AD8BCB}" srcOrd="1" destOrd="0" presId="urn:microsoft.com/office/officeart/2005/8/layout/hProcess11"/>
    <dgm:cxn modelId="{52FCC4E5-24E6-A742-8405-CE6AC20E4307}" type="presParOf" srcId="{A52659E4-E0F7-9043-9E09-BFF144C7E3F3}" destId="{E7E1D04B-340D-054D-931B-A10E20EA530F}" srcOrd="2" destOrd="0" presId="urn:microsoft.com/office/officeart/2005/8/layout/hProcess11"/>
    <dgm:cxn modelId="{02B49BB8-A9CE-6D4E-9219-B232F7F6F855}" type="presParOf" srcId="{E7E1D04B-340D-054D-931B-A10E20EA530F}" destId="{B8C4FBC5-2A6A-EF47-93BA-B27E668DBF02}" srcOrd="0" destOrd="0" presId="urn:microsoft.com/office/officeart/2005/8/layout/hProcess11"/>
    <dgm:cxn modelId="{B5CE5A5D-2C34-B14F-8E69-3565C51123C5}" type="presParOf" srcId="{E7E1D04B-340D-054D-931B-A10E20EA530F}" destId="{244256FC-3033-F440-B650-CC0F4B0B0486}" srcOrd="1" destOrd="0" presId="urn:microsoft.com/office/officeart/2005/8/layout/hProcess11"/>
    <dgm:cxn modelId="{69ABE1AF-6B03-1941-96FD-852AFB1CC013}" type="presParOf" srcId="{E7E1D04B-340D-054D-931B-A10E20EA530F}" destId="{02F31AE6-E111-6E46-9ABF-D60B3A991EFE}" srcOrd="2" destOrd="0" presId="urn:microsoft.com/office/officeart/2005/8/layout/hProcess11"/>
    <dgm:cxn modelId="{087E8960-D6E4-1A4B-B762-AC433AE2EF31}" type="presParOf" srcId="{A52659E4-E0F7-9043-9E09-BFF144C7E3F3}" destId="{9BD3D309-2ABC-504B-825A-8A68E42AEAC1}" srcOrd="3" destOrd="0" presId="urn:microsoft.com/office/officeart/2005/8/layout/hProcess11"/>
    <dgm:cxn modelId="{1EAD2517-E815-6148-BB7D-A3BB1C48DA91}" type="presParOf" srcId="{A52659E4-E0F7-9043-9E09-BFF144C7E3F3}" destId="{70D468A0-E15F-7D40-88CB-41A8E9FF1799}" srcOrd="4" destOrd="0" presId="urn:microsoft.com/office/officeart/2005/8/layout/hProcess11"/>
    <dgm:cxn modelId="{26918820-76B5-9248-8D3C-C5AB79841D52}" type="presParOf" srcId="{70D468A0-E15F-7D40-88CB-41A8E9FF1799}" destId="{29D250E1-4B70-C247-A43D-2D598A5D92D9}" srcOrd="0" destOrd="0" presId="urn:microsoft.com/office/officeart/2005/8/layout/hProcess11"/>
    <dgm:cxn modelId="{291B400C-EB00-6342-9A8C-50F7A2592478}" type="presParOf" srcId="{70D468A0-E15F-7D40-88CB-41A8E9FF1799}" destId="{40C0E359-2E77-F643-AA2C-A9AC6C10DA64}" srcOrd="1" destOrd="0" presId="urn:microsoft.com/office/officeart/2005/8/layout/hProcess11"/>
    <dgm:cxn modelId="{FA58A985-6F09-F243-9176-6595BD326425}" type="presParOf" srcId="{70D468A0-E15F-7D40-88CB-41A8E9FF1799}" destId="{3F3E5497-2401-8B4B-BC0C-1B6BB869AD96}" srcOrd="2" destOrd="0" presId="urn:microsoft.com/office/officeart/2005/8/layout/hProcess11"/>
    <dgm:cxn modelId="{B36C7EFF-1D3D-9045-BC81-89654DB9822E}" type="presParOf" srcId="{A52659E4-E0F7-9043-9E09-BFF144C7E3F3}" destId="{C97BE61C-60C2-1C42-9EBE-DC4F4A552A95}" srcOrd="5" destOrd="0" presId="urn:microsoft.com/office/officeart/2005/8/layout/hProcess11"/>
    <dgm:cxn modelId="{D985ED39-0647-EA43-8D3B-97FB1C8E1545}" type="presParOf" srcId="{A52659E4-E0F7-9043-9E09-BFF144C7E3F3}" destId="{76D7EBE3-13FF-8F41-92C2-0B7118D5ED5F}" srcOrd="6" destOrd="0" presId="urn:microsoft.com/office/officeart/2005/8/layout/hProcess11"/>
    <dgm:cxn modelId="{B6BD89B5-ACF3-1D4B-9C61-04E04D3D98A7}" type="presParOf" srcId="{76D7EBE3-13FF-8F41-92C2-0B7118D5ED5F}" destId="{61A95B7C-A7C6-564E-89FF-3B16C0B45554}" srcOrd="0" destOrd="0" presId="urn:microsoft.com/office/officeart/2005/8/layout/hProcess11"/>
    <dgm:cxn modelId="{927C48BF-4CA0-A748-A9F2-348627B49E60}" type="presParOf" srcId="{76D7EBE3-13FF-8F41-92C2-0B7118D5ED5F}" destId="{6B6159F7-F1A1-2244-9EAA-D3CF7D89F50B}" srcOrd="1" destOrd="0" presId="urn:microsoft.com/office/officeart/2005/8/layout/hProcess11"/>
    <dgm:cxn modelId="{F16CBC89-213B-F943-8269-CB43291BC6D6}" type="presParOf" srcId="{76D7EBE3-13FF-8F41-92C2-0B7118D5ED5F}" destId="{91DD5C87-35A1-8645-A4F5-FC05E07183F3}" srcOrd="2" destOrd="0" presId="urn:microsoft.com/office/officeart/2005/8/layout/hProcess11"/>
    <dgm:cxn modelId="{D16C97B9-85EA-6B45-8DF7-913F73F7CE6C}" type="presParOf" srcId="{A52659E4-E0F7-9043-9E09-BFF144C7E3F3}" destId="{33B4DB48-AFD6-F84A-BDFF-C0D7FCB0D83F}" srcOrd="7" destOrd="0" presId="urn:microsoft.com/office/officeart/2005/8/layout/hProcess11"/>
    <dgm:cxn modelId="{15F3E437-6267-634F-9C22-7DB553F6771B}" type="presParOf" srcId="{A52659E4-E0F7-9043-9E09-BFF144C7E3F3}" destId="{CE943E3C-4851-2242-B999-4199AD9E0318}" srcOrd="8" destOrd="0" presId="urn:microsoft.com/office/officeart/2005/8/layout/hProcess11"/>
    <dgm:cxn modelId="{B9673B52-252B-6344-B69A-11AF42502742}" type="presParOf" srcId="{CE943E3C-4851-2242-B999-4199AD9E0318}" destId="{DD000497-BD8A-494B-9BEC-F8703D914B4E}" srcOrd="0" destOrd="0" presId="urn:microsoft.com/office/officeart/2005/8/layout/hProcess11"/>
    <dgm:cxn modelId="{2BDC5EE9-0ABB-2547-8386-C20FD29D053C}" type="presParOf" srcId="{CE943E3C-4851-2242-B999-4199AD9E0318}" destId="{13237041-4B13-BF4C-A7C2-C9198773CC0A}" srcOrd="1" destOrd="0" presId="urn:microsoft.com/office/officeart/2005/8/layout/hProcess11"/>
    <dgm:cxn modelId="{4D88FBE6-EEB8-4246-81AF-54F66E4AC0C2}" type="presParOf" srcId="{CE943E3C-4851-2242-B999-4199AD9E0318}" destId="{5327F81B-CC9E-0140-A055-288D758CCE3D}" srcOrd="2" destOrd="0" presId="urn:microsoft.com/office/officeart/2005/8/layout/hProcess11"/>
    <dgm:cxn modelId="{FDF88884-3D6E-F341-BE1E-945E039199E0}" type="presParOf" srcId="{A52659E4-E0F7-9043-9E09-BFF144C7E3F3}" destId="{EFABBE1A-C8BB-7C47-96B5-3C7E1B3C2668}" srcOrd="9" destOrd="0" presId="urn:microsoft.com/office/officeart/2005/8/layout/hProcess11"/>
    <dgm:cxn modelId="{D58B0275-880E-424A-B85C-FE091C152B88}" type="presParOf" srcId="{A52659E4-E0F7-9043-9E09-BFF144C7E3F3}" destId="{7B68E8A6-F25F-4B4F-8677-D209CE83FF98}" srcOrd="10" destOrd="0" presId="urn:microsoft.com/office/officeart/2005/8/layout/hProcess11"/>
    <dgm:cxn modelId="{DFDEEDCD-CC0B-EB48-ADD9-4B3476DF01EC}" type="presParOf" srcId="{7B68E8A6-F25F-4B4F-8677-D209CE83FF98}" destId="{930F5544-D45B-F442-AA49-C83AB0AD08B1}" srcOrd="0" destOrd="0" presId="urn:microsoft.com/office/officeart/2005/8/layout/hProcess11"/>
    <dgm:cxn modelId="{9B44819E-60CF-B549-8BF5-237E71F020EB}" type="presParOf" srcId="{7B68E8A6-F25F-4B4F-8677-D209CE83FF98}" destId="{465C342C-E7F5-814F-8F07-157FB9C139C1}" srcOrd="1" destOrd="0" presId="urn:microsoft.com/office/officeart/2005/8/layout/hProcess11"/>
    <dgm:cxn modelId="{F3E80D3B-BB17-0843-8983-3A9C907110A0}" type="presParOf" srcId="{7B68E8A6-F25F-4B4F-8677-D209CE83FF98}" destId="{DCCB91FF-1D02-C649-B475-523B982E4D9F}" srcOrd="2" destOrd="0" presId="urn:microsoft.com/office/officeart/2005/8/layout/hProcess11"/>
    <dgm:cxn modelId="{6FAC91C0-1366-6148-B223-B6139E70B115}" type="presParOf" srcId="{A52659E4-E0F7-9043-9E09-BFF144C7E3F3}" destId="{4081501E-0DE9-7F48-A85F-415F95A5DE45}" srcOrd="11" destOrd="0" presId="urn:microsoft.com/office/officeart/2005/8/layout/hProcess11"/>
    <dgm:cxn modelId="{88C0D246-9369-9B4C-9A91-B8CF414C2B9A}" type="presParOf" srcId="{A52659E4-E0F7-9043-9E09-BFF144C7E3F3}" destId="{918D5962-C5B1-7A46-AB7A-6325E3C5F825}" srcOrd="12" destOrd="0" presId="urn:microsoft.com/office/officeart/2005/8/layout/hProcess11"/>
    <dgm:cxn modelId="{136369AF-F25E-6241-839C-C7B83C635A38}" type="presParOf" srcId="{918D5962-C5B1-7A46-AB7A-6325E3C5F825}" destId="{91EB8D68-4AB9-274E-B61A-2ACDDBDB4123}" srcOrd="0" destOrd="0" presId="urn:microsoft.com/office/officeart/2005/8/layout/hProcess11"/>
    <dgm:cxn modelId="{21E2FA2A-7B13-A543-ABB3-BB1D3222B743}" type="presParOf" srcId="{918D5962-C5B1-7A46-AB7A-6325E3C5F825}" destId="{9AAF3371-2CB8-1C4C-8614-C3A131080A31}" srcOrd="1" destOrd="0" presId="urn:microsoft.com/office/officeart/2005/8/layout/hProcess11"/>
    <dgm:cxn modelId="{F01D2593-E5D7-6C43-8B0C-2616DDE73363}" type="presParOf" srcId="{918D5962-C5B1-7A46-AB7A-6325E3C5F825}" destId="{AB3AEE5F-F00D-A74D-A22D-C8241DE606AC}" srcOrd="2" destOrd="0" presId="urn:microsoft.com/office/officeart/2005/8/layout/hProcess11"/>
    <dgm:cxn modelId="{215832E2-B608-E847-8A97-5FE294B86F31}" type="presParOf" srcId="{A52659E4-E0F7-9043-9E09-BFF144C7E3F3}" destId="{E6C3498C-DD69-9547-AB84-B0982455E464}" srcOrd="13" destOrd="0" presId="urn:microsoft.com/office/officeart/2005/8/layout/hProcess11"/>
    <dgm:cxn modelId="{04FAB017-02F3-6645-B008-D47123A579D9}" type="presParOf" srcId="{A52659E4-E0F7-9043-9E09-BFF144C7E3F3}" destId="{52BFCFD5-6DEA-6348-818A-CEC5F5C411CD}" srcOrd="14" destOrd="0" presId="urn:microsoft.com/office/officeart/2005/8/layout/hProcess11"/>
    <dgm:cxn modelId="{90BD6EAE-28DC-5D4C-80F6-99C544FDE301}" type="presParOf" srcId="{52BFCFD5-6DEA-6348-818A-CEC5F5C411CD}" destId="{F12A88DF-4F3B-004A-98F2-E9255BD0CD46}" srcOrd="0" destOrd="0" presId="urn:microsoft.com/office/officeart/2005/8/layout/hProcess11"/>
    <dgm:cxn modelId="{430D5E81-549F-1E43-850F-94DFEBA4BFB3}" type="presParOf" srcId="{52BFCFD5-6DEA-6348-818A-CEC5F5C411CD}" destId="{E4479284-DD35-EE49-A8EA-7EC10D6CC650}" srcOrd="1" destOrd="0" presId="urn:microsoft.com/office/officeart/2005/8/layout/hProcess11"/>
    <dgm:cxn modelId="{C124CE93-C7F0-784C-96FA-A468FA2D4F01}" type="presParOf" srcId="{52BFCFD5-6DEA-6348-818A-CEC5F5C411CD}" destId="{083D23D6-326E-7745-960A-8325573A4104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A6A1D3-1424-8C42-8291-EAB04DE3CFAA}">
      <dsp:nvSpPr>
        <dsp:cNvPr id="0" name=""/>
        <dsp:cNvSpPr/>
      </dsp:nvSpPr>
      <dsp:spPr>
        <a:xfrm>
          <a:off x="0" y="852792"/>
          <a:ext cx="9253220" cy="1137056"/>
        </a:xfrm>
        <a:prstGeom prst="notchedRightArrow">
          <a:avLst/>
        </a:prstGeom>
        <a:solidFill>
          <a:srgbClr val="C9E3F7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C62E94F-D093-834D-9E85-9DFD25530B50}">
      <dsp:nvSpPr>
        <dsp:cNvPr id="0" name=""/>
        <dsp:cNvSpPr/>
      </dsp:nvSpPr>
      <dsp:spPr>
        <a:xfrm>
          <a:off x="1389" y="0"/>
          <a:ext cx="820311" cy="11370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О</a:t>
          </a:r>
          <a:r>
            <a:rPr lang="is-IS" sz="1200" kern="1200">
              <a:latin typeface="Times New Roman"/>
              <a:cs typeface="Times New Roman"/>
            </a:rPr>
            <a:t>браз марки в сознании покупателя (195</a:t>
          </a:r>
          <a:r>
            <a:rPr lang="ru-RU" sz="1200" kern="1200">
              <a:latin typeface="Times New Roman"/>
              <a:cs typeface="Times New Roman"/>
            </a:rPr>
            <a:t>5</a:t>
          </a:r>
          <a:r>
            <a:rPr lang="is-IS" sz="1200" kern="1200">
              <a:latin typeface="Times New Roman"/>
              <a:cs typeface="Times New Roman"/>
            </a:rPr>
            <a:t>)</a:t>
          </a:r>
          <a:endParaRPr lang="ru-RU" sz="1200" kern="1200">
            <a:latin typeface="Times New Roman"/>
            <a:cs typeface="Times New Roman"/>
          </a:endParaRPr>
        </a:p>
      </dsp:txBody>
      <dsp:txXfrm>
        <a:off x="1389" y="0"/>
        <a:ext cx="820311" cy="1137056"/>
      </dsp:txXfrm>
    </dsp:sp>
    <dsp:sp modelId="{FCD43C5C-D796-9944-BE8E-4945B4FD1F0F}">
      <dsp:nvSpPr>
        <dsp:cNvPr id="0" name=""/>
        <dsp:cNvSpPr/>
      </dsp:nvSpPr>
      <dsp:spPr>
        <a:xfrm>
          <a:off x="269413" y="1279188"/>
          <a:ext cx="284264" cy="284264"/>
        </a:xfrm>
        <a:prstGeom prst="ellipse">
          <a:avLst/>
        </a:prstGeom>
        <a:solidFill>
          <a:srgbClr val="90C5E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8C4FBC5-2A6A-EF47-93BA-B27E668DBF02}">
      <dsp:nvSpPr>
        <dsp:cNvPr id="0" name=""/>
        <dsp:cNvSpPr/>
      </dsp:nvSpPr>
      <dsp:spPr>
        <a:xfrm>
          <a:off x="854587" y="1705585"/>
          <a:ext cx="1123322" cy="11370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М</a:t>
          </a:r>
          <a:r>
            <a:rPr lang="is-IS" sz="1200" kern="1200">
              <a:latin typeface="Times New Roman"/>
              <a:cs typeface="Times New Roman"/>
            </a:rPr>
            <a:t>еханизм дифференциации товаров (1960)</a:t>
          </a:r>
          <a:endParaRPr lang="ru-RU" sz="1200" kern="1200">
            <a:latin typeface="Times New Roman"/>
            <a:cs typeface="Times New Roman"/>
          </a:endParaRPr>
        </a:p>
      </dsp:txBody>
      <dsp:txXfrm>
        <a:off x="854587" y="1705585"/>
        <a:ext cx="1123322" cy="1137056"/>
      </dsp:txXfrm>
    </dsp:sp>
    <dsp:sp modelId="{244256FC-3033-F440-B650-CC0F4B0B0486}">
      <dsp:nvSpPr>
        <dsp:cNvPr id="0" name=""/>
        <dsp:cNvSpPr/>
      </dsp:nvSpPr>
      <dsp:spPr>
        <a:xfrm>
          <a:off x="1274116" y="1279188"/>
          <a:ext cx="284264" cy="284264"/>
        </a:xfrm>
        <a:prstGeom prst="ellipse">
          <a:avLst/>
        </a:prstGeom>
        <a:solidFill>
          <a:srgbClr val="90C5E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9D250E1-4B70-C247-A43D-2D598A5D92D9}">
      <dsp:nvSpPr>
        <dsp:cNvPr id="0" name=""/>
        <dsp:cNvSpPr/>
      </dsp:nvSpPr>
      <dsp:spPr>
        <a:xfrm>
          <a:off x="2010797" y="0"/>
          <a:ext cx="963414" cy="11370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Правовой инструмент</a:t>
          </a:r>
          <a:r>
            <a:rPr lang="is-IS" sz="1200" kern="1200">
              <a:latin typeface="Times New Roman"/>
              <a:cs typeface="Times New Roman"/>
            </a:rPr>
            <a:t> (1985)</a:t>
          </a:r>
          <a:endParaRPr lang="ru-RU" sz="1200" kern="1200">
            <a:latin typeface="Times New Roman"/>
            <a:cs typeface="Times New Roman"/>
          </a:endParaRPr>
        </a:p>
      </dsp:txBody>
      <dsp:txXfrm>
        <a:off x="2010797" y="0"/>
        <a:ext cx="963414" cy="1137056"/>
      </dsp:txXfrm>
    </dsp:sp>
    <dsp:sp modelId="{40C0E359-2E77-F643-AA2C-A9AC6C10DA64}">
      <dsp:nvSpPr>
        <dsp:cNvPr id="0" name=""/>
        <dsp:cNvSpPr/>
      </dsp:nvSpPr>
      <dsp:spPr>
        <a:xfrm>
          <a:off x="2350372" y="1279188"/>
          <a:ext cx="284264" cy="284264"/>
        </a:xfrm>
        <a:prstGeom prst="ellipse">
          <a:avLst/>
        </a:prstGeom>
        <a:solidFill>
          <a:srgbClr val="90C5E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1A95B7C-A7C6-564E-89FF-3B16C0B45554}">
      <dsp:nvSpPr>
        <dsp:cNvPr id="0" name=""/>
        <dsp:cNvSpPr/>
      </dsp:nvSpPr>
      <dsp:spPr>
        <a:xfrm>
          <a:off x="3007098" y="1705585"/>
          <a:ext cx="1065507" cy="11370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Добавленная стоимость </a:t>
          </a:r>
          <a:r>
            <a:rPr lang="is-IS" sz="1200" kern="1200">
              <a:latin typeface="Times New Roman"/>
              <a:cs typeface="Times New Roman"/>
            </a:rPr>
            <a:t>(198</a:t>
          </a:r>
          <a:r>
            <a:rPr lang="ru-RU" sz="1200" kern="1200">
              <a:latin typeface="Times New Roman"/>
              <a:cs typeface="Times New Roman"/>
            </a:rPr>
            <a:t>9</a:t>
          </a:r>
          <a:r>
            <a:rPr lang="is-IS" sz="1200" kern="1200">
              <a:latin typeface="Times New Roman"/>
              <a:cs typeface="Times New Roman"/>
            </a:rPr>
            <a:t>)</a:t>
          </a:r>
          <a:endParaRPr lang="ru-RU" sz="1200" kern="1200">
            <a:latin typeface="Times New Roman"/>
            <a:cs typeface="Times New Roman"/>
          </a:endParaRPr>
        </a:p>
      </dsp:txBody>
      <dsp:txXfrm>
        <a:off x="3007098" y="1705585"/>
        <a:ext cx="1065507" cy="1137056"/>
      </dsp:txXfrm>
    </dsp:sp>
    <dsp:sp modelId="{6B6159F7-F1A1-2244-9EAA-D3CF7D89F50B}">
      <dsp:nvSpPr>
        <dsp:cNvPr id="0" name=""/>
        <dsp:cNvSpPr/>
      </dsp:nvSpPr>
      <dsp:spPr>
        <a:xfrm>
          <a:off x="3397720" y="1279188"/>
          <a:ext cx="284264" cy="284264"/>
        </a:xfrm>
        <a:prstGeom prst="ellipse">
          <a:avLst/>
        </a:prstGeom>
        <a:solidFill>
          <a:srgbClr val="90C5E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D000497-BD8A-494B-9BEC-F8703D914B4E}">
      <dsp:nvSpPr>
        <dsp:cNvPr id="0" name=""/>
        <dsp:cNvSpPr/>
      </dsp:nvSpPr>
      <dsp:spPr>
        <a:xfrm>
          <a:off x="4105492" y="0"/>
          <a:ext cx="846640" cy="11370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Система ценностей </a:t>
          </a:r>
          <a:r>
            <a:rPr lang="is-IS" sz="1200" kern="1200">
              <a:latin typeface="Times New Roman"/>
              <a:cs typeface="Times New Roman"/>
            </a:rPr>
            <a:t>(19</a:t>
          </a:r>
          <a:r>
            <a:rPr lang="ru-RU" sz="1200" kern="1200">
              <a:latin typeface="Times New Roman"/>
              <a:cs typeface="Times New Roman"/>
            </a:rPr>
            <a:t>92</a:t>
          </a:r>
          <a:r>
            <a:rPr lang="is-IS" sz="1200" kern="1200">
              <a:latin typeface="Times New Roman"/>
              <a:cs typeface="Times New Roman"/>
            </a:rPr>
            <a:t>)</a:t>
          </a:r>
          <a:endParaRPr lang="ru-RU" sz="1200" kern="1200">
            <a:latin typeface="Times New Roman"/>
            <a:cs typeface="Times New Roman"/>
          </a:endParaRPr>
        </a:p>
      </dsp:txBody>
      <dsp:txXfrm>
        <a:off x="4105492" y="0"/>
        <a:ext cx="846640" cy="1137056"/>
      </dsp:txXfrm>
    </dsp:sp>
    <dsp:sp modelId="{13237041-4B13-BF4C-A7C2-C9198773CC0A}">
      <dsp:nvSpPr>
        <dsp:cNvPr id="0" name=""/>
        <dsp:cNvSpPr/>
      </dsp:nvSpPr>
      <dsp:spPr>
        <a:xfrm>
          <a:off x="4386681" y="1279188"/>
          <a:ext cx="284264" cy="284264"/>
        </a:xfrm>
        <a:prstGeom prst="ellipse">
          <a:avLst/>
        </a:prstGeom>
        <a:solidFill>
          <a:srgbClr val="90C5E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0F5544-D45B-F442-AA49-C83AB0AD08B1}">
      <dsp:nvSpPr>
        <dsp:cNvPr id="0" name=""/>
        <dsp:cNvSpPr/>
      </dsp:nvSpPr>
      <dsp:spPr>
        <a:xfrm>
          <a:off x="4985020" y="1705585"/>
          <a:ext cx="1193266" cy="11370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Инструмент снижения риска</a:t>
          </a:r>
          <a:r>
            <a:rPr lang="is-IS" sz="1200" kern="1200">
              <a:latin typeface="Times New Roman"/>
              <a:cs typeface="Times New Roman"/>
            </a:rPr>
            <a:t> (199</a:t>
          </a:r>
          <a:r>
            <a:rPr lang="ru-RU" sz="1200" kern="1200">
              <a:latin typeface="Times New Roman"/>
              <a:cs typeface="Times New Roman"/>
            </a:rPr>
            <a:t>6</a:t>
          </a:r>
          <a:r>
            <a:rPr lang="is-IS" sz="1200" kern="1200">
              <a:latin typeface="Times New Roman"/>
              <a:cs typeface="Times New Roman"/>
            </a:rPr>
            <a:t>)</a:t>
          </a:r>
          <a:endParaRPr lang="ru-RU" sz="1200" kern="1200">
            <a:latin typeface="Times New Roman"/>
            <a:cs typeface="Times New Roman"/>
          </a:endParaRPr>
        </a:p>
      </dsp:txBody>
      <dsp:txXfrm>
        <a:off x="4985020" y="1705585"/>
        <a:ext cx="1193266" cy="1137056"/>
      </dsp:txXfrm>
    </dsp:sp>
    <dsp:sp modelId="{465C342C-E7F5-814F-8F07-157FB9C139C1}">
      <dsp:nvSpPr>
        <dsp:cNvPr id="0" name=""/>
        <dsp:cNvSpPr/>
      </dsp:nvSpPr>
      <dsp:spPr>
        <a:xfrm>
          <a:off x="5439521" y="1279188"/>
          <a:ext cx="284264" cy="284264"/>
        </a:xfrm>
        <a:prstGeom prst="ellipse">
          <a:avLst/>
        </a:prstGeom>
        <a:solidFill>
          <a:srgbClr val="90C5E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1EB8D68-4AB9-274E-B61A-2ACDDBDB4123}">
      <dsp:nvSpPr>
        <dsp:cNvPr id="0" name=""/>
        <dsp:cNvSpPr/>
      </dsp:nvSpPr>
      <dsp:spPr>
        <a:xfrm>
          <a:off x="6211173" y="0"/>
          <a:ext cx="1042224" cy="11370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Капитал бренда </a:t>
          </a:r>
          <a:r>
            <a:rPr lang="mr-IN" sz="1200" kern="1200">
              <a:latin typeface="Times New Roman"/>
              <a:cs typeface="Times New Roman"/>
            </a:rPr>
            <a:t>(</a:t>
          </a:r>
          <a:r>
            <a:rPr lang="ru-RU" sz="1200" kern="1200">
              <a:latin typeface="Times New Roman"/>
              <a:cs typeface="Times New Roman"/>
            </a:rPr>
            <a:t>2004</a:t>
          </a:r>
          <a:r>
            <a:rPr lang="mr-IN" sz="1200" kern="1200">
              <a:latin typeface="Times New Roman"/>
              <a:cs typeface="Times New Roman"/>
            </a:rPr>
            <a:t>)</a:t>
          </a:r>
          <a:endParaRPr lang="ru-RU" sz="1200" kern="1200">
            <a:latin typeface="Times New Roman"/>
            <a:cs typeface="Times New Roman"/>
          </a:endParaRPr>
        </a:p>
      </dsp:txBody>
      <dsp:txXfrm>
        <a:off x="6211173" y="0"/>
        <a:ext cx="1042224" cy="1137056"/>
      </dsp:txXfrm>
    </dsp:sp>
    <dsp:sp modelId="{9AAF3371-2CB8-1C4C-8614-C3A131080A31}">
      <dsp:nvSpPr>
        <dsp:cNvPr id="0" name=""/>
        <dsp:cNvSpPr/>
      </dsp:nvSpPr>
      <dsp:spPr>
        <a:xfrm>
          <a:off x="6590153" y="1279188"/>
          <a:ext cx="284264" cy="284264"/>
        </a:xfrm>
        <a:prstGeom prst="ellipse">
          <a:avLst/>
        </a:prstGeom>
        <a:solidFill>
          <a:srgbClr val="90C5E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12A88DF-4F3B-004A-98F2-E9255BD0CD46}">
      <dsp:nvSpPr>
        <dsp:cNvPr id="0" name=""/>
        <dsp:cNvSpPr/>
      </dsp:nvSpPr>
      <dsp:spPr>
        <a:xfrm>
          <a:off x="7286283" y="1705585"/>
          <a:ext cx="1040224" cy="11370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Нематериальный актив (2010)</a:t>
          </a:r>
        </a:p>
      </dsp:txBody>
      <dsp:txXfrm>
        <a:off x="7286283" y="1705585"/>
        <a:ext cx="1040224" cy="1137056"/>
      </dsp:txXfrm>
    </dsp:sp>
    <dsp:sp modelId="{E4479284-DD35-EE49-A8EA-7EC10D6CC650}">
      <dsp:nvSpPr>
        <dsp:cNvPr id="0" name=""/>
        <dsp:cNvSpPr/>
      </dsp:nvSpPr>
      <dsp:spPr>
        <a:xfrm>
          <a:off x="7664264" y="1279120"/>
          <a:ext cx="284264" cy="284400"/>
        </a:xfrm>
        <a:prstGeom prst="ellipse">
          <a:avLst/>
        </a:prstGeom>
        <a:solidFill>
          <a:srgbClr val="90C5E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B13735-764F-3E41-8171-FDD88C9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108</Pages>
  <Words>17061</Words>
  <Characters>97252</Characters>
  <Application>Microsoft Macintosh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194</cp:revision>
  <dcterms:created xsi:type="dcterms:W3CDTF">2017-04-09T21:23:00Z</dcterms:created>
  <dcterms:modified xsi:type="dcterms:W3CDTF">2017-04-30T15:37:00Z</dcterms:modified>
</cp:coreProperties>
</file>